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7D5" w:rsidP="00DB7592" w:rsidRDefault="006C6561" w14:paraId="69FC80E7" w14:textId="4A63204A">
      <w:pPr>
        <w:pStyle w:val="Heading1"/>
        <w:jc w:val="center"/>
      </w:pPr>
      <w:r>
        <w:t xml:space="preserve">Module 8 </w:t>
      </w:r>
      <w:r w:rsidR="00B36C1A">
        <w:t>–</w:t>
      </w:r>
      <w:r>
        <w:t xml:space="preserve"> </w:t>
      </w:r>
      <w:r w:rsidR="003D549A">
        <w:t>Chapter 2: Assessing Written Reflection</w:t>
      </w:r>
    </w:p>
    <w:p w:rsidR="00D807D5" w:rsidP="00D807D5" w:rsidRDefault="00D807D5" w14:paraId="3D2849FB" w14:textId="12462A68">
      <w:pPr>
        <w:pStyle w:val="Heading1"/>
      </w:pPr>
      <w:r>
        <w:t>Introduction</w:t>
      </w:r>
    </w:p>
    <w:p w:rsidRPr="00DB7592" w:rsidR="00DB7592" w:rsidP="00DB7592" w:rsidRDefault="00D211AF" w14:paraId="28D5A350" w14:textId="53BEF46B">
      <w:r>
        <w:t xml:space="preserve">As </w:t>
      </w:r>
      <w:r w:rsidR="00DA4AD3">
        <w:t xml:space="preserve">the process of reflection can vary dramatically from individual to individual, grading the written work reflections of students can be </w:t>
      </w:r>
      <w:r w:rsidR="00906BA2">
        <w:t>difficult to standardize</w:t>
      </w:r>
      <w:r w:rsidR="00AB59C0">
        <w:t xml:space="preserve">. This chapter focuses on attitudes and </w:t>
      </w:r>
      <w:r w:rsidR="00FC7D2A">
        <w:t>resources that may be used when evaluating students’ written reflections.</w:t>
      </w:r>
    </w:p>
    <w:p w:rsidR="00C57242" w:rsidP="00876AEF" w:rsidRDefault="00D807D5" w14:paraId="4E456FE3" w14:textId="683E27DB">
      <w:pPr>
        <w:pStyle w:val="Heading1"/>
      </w:pPr>
      <w:r>
        <w:t>Modes of Learning</w:t>
      </w:r>
    </w:p>
    <w:p w:rsidR="00C57242" w:rsidP="00DB7592" w:rsidRDefault="00C57242" w14:paraId="76C7034F" w14:textId="402F640A">
      <w:r>
        <w:t>In this module, students will use the following modes of learning:</w:t>
      </w:r>
    </w:p>
    <w:p w:rsidR="00C57242" w:rsidP="00C57242" w:rsidRDefault="2382CB13" w14:paraId="4B9F5F99" w14:textId="3C7F3AB1">
      <w:pPr>
        <w:pStyle w:val="ListParagraph"/>
        <w:numPr>
          <w:ilvl w:val="0"/>
          <w:numId w:val="2"/>
        </w:numPr>
      </w:pPr>
      <w:r>
        <w:t xml:space="preserve">A </w:t>
      </w:r>
      <w:r w:rsidR="00FC7D2A">
        <w:t xml:space="preserve">short </w:t>
      </w:r>
      <w:proofErr w:type="spellStart"/>
      <w:r w:rsidR="00FC7D2A">
        <w:t>MacVideo</w:t>
      </w:r>
      <w:proofErr w:type="spellEnd"/>
      <w:r w:rsidR="17955F8B">
        <w:t>, and</w:t>
      </w:r>
    </w:p>
    <w:p w:rsidRPr="00DB7592" w:rsidR="00C57242" w:rsidP="00C57242" w:rsidRDefault="00BA559D" w14:paraId="50291F45" w14:textId="336A76DE">
      <w:pPr>
        <w:pStyle w:val="ListParagraph"/>
        <w:numPr>
          <w:ilvl w:val="0"/>
          <w:numId w:val="2"/>
        </w:numPr>
      </w:pPr>
      <w:r>
        <w:t>A</w:t>
      </w:r>
      <w:r w:rsidR="00C07AA1">
        <w:t>n</w:t>
      </w:r>
      <w:r w:rsidR="00D86914">
        <w:t xml:space="preserve"> </w:t>
      </w:r>
      <w:r w:rsidR="00C07AA1">
        <w:t>exercise in evaluating written reflection</w:t>
      </w:r>
      <w:r>
        <w:t>.</w:t>
      </w:r>
    </w:p>
    <w:p w:rsidR="373C88C2" w:rsidP="373C88C2" w:rsidRDefault="373C88C2" w14:paraId="7E143712" w14:textId="55DF4E8B"/>
    <w:p w:rsidR="1CFD7EEE" w:rsidP="373C88C2" w:rsidRDefault="1CFD7EEE" w14:paraId="1878EB69" w14:textId="49DE5B4A">
      <w:r>
        <w:t xml:space="preserve">This module will take approximately </w:t>
      </w:r>
      <w:r w:rsidR="00D86914">
        <w:t xml:space="preserve">20 </w:t>
      </w:r>
      <w:r>
        <w:t>minutes to complete.</w:t>
      </w:r>
    </w:p>
    <w:p w:rsidRPr="00D807D5" w:rsidR="00D807D5" w:rsidP="00D807D5" w:rsidRDefault="00D807D5" w14:paraId="4FD5BF3E" w14:textId="336B05AA">
      <w:pPr>
        <w:pStyle w:val="Heading1"/>
      </w:pPr>
      <w:r>
        <w:t>Intended Learning Outcomes</w:t>
      </w:r>
    </w:p>
    <w:p w:rsidR="00E67515" w:rsidP="00EA7E15" w:rsidRDefault="00D807D5" w14:paraId="005B398C" w14:textId="3688C5AF">
      <w:r w:rsidR="00D807D5">
        <w:rPr/>
        <w:t xml:space="preserve">By the end of this module, </w:t>
      </w:r>
      <w:r w:rsidR="33AF4387">
        <w:rPr/>
        <w:t>participants</w:t>
      </w:r>
      <w:r w:rsidR="00D807D5">
        <w:rPr/>
        <w:t xml:space="preserve"> </w:t>
      </w:r>
      <w:r w:rsidR="00D807D5">
        <w:rPr/>
        <w:t>will be able to…</w:t>
      </w:r>
      <w:r>
        <w:br/>
      </w:r>
    </w:p>
    <w:p w:rsidR="00D807D5" w:rsidP="00D807D5" w:rsidRDefault="00082767" w14:paraId="25058B31" w14:textId="327A5224">
      <w:pPr>
        <w:pStyle w:val="ListParagraph"/>
        <w:numPr>
          <w:ilvl w:val="0"/>
          <w:numId w:val="1"/>
        </w:numPr>
      </w:pPr>
      <w:r>
        <w:t xml:space="preserve">Evaluate the </w:t>
      </w:r>
      <w:r w:rsidR="00302C71">
        <w:t>quality of a written reflection</w:t>
      </w:r>
      <w:r w:rsidR="00EA7E15">
        <w:t xml:space="preserve"> using a rubric</w:t>
      </w:r>
      <w:r w:rsidR="000D36FA">
        <w:t>.</w:t>
      </w:r>
    </w:p>
    <w:p w:rsidR="00D807D5" w:rsidP="00D807D5" w:rsidRDefault="00D807D5" w14:paraId="323805DF" w14:textId="27C2840E">
      <w:pPr>
        <w:pStyle w:val="Heading1"/>
      </w:pPr>
      <w:r>
        <w:t>Key Terms &amp; Concepts</w:t>
      </w:r>
    </w:p>
    <w:p w:rsidRPr="008A7A0A" w:rsidR="00C57242" w:rsidP="0014294E" w:rsidRDefault="00C9780E" w14:paraId="54E28C03" w14:textId="3689F01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Reflection</w:t>
      </w:r>
      <w:r>
        <w:t xml:space="preserve">: </w:t>
      </w:r>
      <w:r w:rsidR="00446703">
        <w:t xml:space="preserve">a thoughtful </w:t>
      </w:r>
      <w:r w:rsidR="006D4BD9">
        <w:t xml:space="preserve">and intentional </w:t>
      </w:r>
      <w:r w:rsidR="00511494">
        <w:t>analysis of an experience</w:t>
      </w:r>
      <w:r w:rsidR="00DC251E">
        <w:t xml:space="preserve">. </w:t>
      </w:r>
      <w:r w:rsidR="009620F8">
        <w:t>Reflections examine the a</w:t>
      </w:r>
      <w:r w:rsidR="00B776A2">
        <w:t xml:space="preserve">uthor’s knowledge and skills prior to an experience, how their understanding has changed </w:t>
      </w:r>
      <w:proofErr w:type="gramStart"/>
      <w:r w:rsidR="00B776A2">
        <w:t>as a result of</w:t>
      </w:r>
      <w:proofErr w:type="gramEnd"/>
      <w:r w:rsidR="00B776A2">
        <w:t xml:space="preserve"> that experience</w:t>
      </w:r>
      <w:r w:rsidR="008A7A0A">
        <w:t>, and what their plan would be for similar experiences in the future.</w:t>
      </w:r>
    </w:p>
    <w:p w:rsidR="00D807D5" w:rsidP="001A243E" w:rsidRDefault="4E150752" w14:paraId="7F23336F" w14:textId="3C1A10C2">
      <w:pPr>
        <w:pStyle w:val="Heading1"/>
        <w:rPr>
          <w:rStyle w:val="Heading2Char"/>
        </w:rPr>
      </w:pPr>
      <w:r w:rsidR="4E150752">
        <w:rPr/>
        <w:t>Topics</w:t>
      </w:r>
      <w:r w:rsidR="7C7EF8AE">
        <w:rPr/>
        <w:t xml:space="preserve"> </w:t>
      </w:r>
      <w:r>
        <w:br/>
      </w:r>
      <w:r w:rsidRPr="41093B22" w:rsidR="4E150752">
        <w:rPr>
          <w:rStyle w:val="Heading2Char"/>
        </w:rPr>
        <w:t>Topic 1</w:t>
      </w:r>
      <w:r w:rsidRPr="41093B22" w:rsidR="02A9B241">
        <w:rPr>
          <w:rStyle w:val="Heading2Char"/>
        </w:rPr>
        <w:t xml:space="preserve"> – </w:t>
      </w:r>
      <w:r w:rsidRPr="41093B22" w:rsidR="152FF0E9">
        <w:rPr>
          <w:rStyle w:val="Heading2Char"/>
        </w:rPr>
        <w:t>Assessing Reflection</w:t>
      </w:r>
    </w:p>
    <w:p w:rsidRPr="00C413EB" w:rsidR="00DA1713" w:rsidP="00C413EB" w:rsidRDefault="00C413EB" w14:paraId="4F326608" w14:textId="75E49598">
      <w:r>
        <w:t xml:space="preserve">The following video will walk you through </w:t>
      </w:r>
      <w:r w:rsidR="00EB0A48">
        <w:t>two rubrics that may be used to assess reflection, as well as an example of a written reflection that is evaluated using a rubric</w:t>
      </w:r>
      <w:r>
        <w:t>.</w:t>
      </w:r>
    </w:p>
    <w:p w:rsidR="00D807D5" w:rsidP="00D807D5" w:rsidRDefault="00D807D5" w14:paraId="76C83CF9" w14:textId="5234CDA7">
      <w:pPr>
        <w:pStyle w:val="Heading1"/>
      </w:pPr>
      <w:r>
        <w:t>References</w:t>
      </w:r>
    </w:p>
    <w:p w:rsidR="00BC0DC9" w:rsidP="41093B22" w:rsidRDefault="00BC0DC9" w14:paraId="575C44BA" w14:textId="5A4E351A">
      <w:pPr>
        <w:pStyle w:val="Normal"/>
        <w:ind w:left="0"/>
      </w:pPr>
      <w:r w:rsidR="00453732">
        <w:rPr/>
        <w:t>Ambrose, S. A. (2013). Undergraduate engineering curriculum: The ultimate design challenge. The Bridge, 43(2), 16-23</w:t>
      </w:r>
      <w:proofErr w:type="spellStart"/>
      <w:proofErr w:type="spellEnd"/>
    </w:p>
    <w:p w:rsidR="00BC0DC9" w:rsidP="41093B22" w:rsidRDefault="00BC0DC9" w14:paraId="1503B801" w14:textId="19CD0297">
      <w:pPr>
        <w:pStyle w:val="Normal"/>
        <w:ind w:left="0"/>
      </w:pPr>
    </w:p>
    <w:p w:rsidR="00BC0DC9" w:rsidP="41093B22" w:rsidRDefault="00BC0DC9" w14:paraId="601326B7" w14:textId="4D9663DB">
      <w:pPr>
        <w:pStyle w:val="Normal"/>
        <w:ind w:left="0"/>
      </w:pPr>
      <w:r w:rsidR="00883EE4">
        <w:rPr/>
        <w:t>Ash, S. L., &amp; Clayton, P. H. (2009). Generating, deepening, and documenting learning: The power of critical reflection in applied learning. Journal of Applied Learning in Higher Education, 1(1), 25-48.</w:t>
      </w:r>
    </w:p>
    <w:p w:rsidR="00BC0DC9" w:rsidP="41093B22" w:rsidRDefault="00BC0DC9" w14:paraId="081AA205" w14:textId="6655361F">
      <w:pPr>
        <w:pStyle w:val="Normal"/>
        <w:ind w:left="0"/>
      </w:pPr>
    </w:p>
    <w:p w:rsidR="00BC0DC9" w:rsidP="41093B22" w:rsidRDefault="00BC0DC9" w14:paraId="614DA3C6" w14:textId="659B8B71">
      <w:pPr>
        <w:pStyle w:val="Normal"/>
        <w:ind w:left="0"/>
      </w:pPr>
      <w:r w:rsidR="00E01733">
        <w:rPr/>
        <w:t>Borton</w:t>
      </w:r>
      <w:r w:rsidR="00E01733">
        <w:rPr/>
        <w:t xml:space="preserve">, T. (1970). Reach, touch, and teach (pp. 75-91). New York </w:t>
      </w:r>
      <w:r w:rsidR="00E01733">
        <w:rPr/>
        <w:t>Mcgraw-Hill</w:t>
      </w:r>
      <w:r w:rsidR="00E01733">
        <w:rPr/>
        <w:t>.</w:t>
      </w:r>
    </w:p>
    <w:p w:rsidR="00BC0DC9" w:rsidP="41093B22" w:rsidRDefault="00BC0DC9" w14:paraId="290D4BB3" w14:textId="62873C02">
      <w:pPr>
        <w:pStyle w:val="Normal"/>
        <w:ind w:left="0"/>
      </w:pPr>
    </w:p>
    <w:p w:rsidR="00BC0DC9" w:rsidP="41093B22" w:rsidRDefault="00BC0DC9" w14:paraId="784D5DC6" w14:textId="6128288A">
      <w:pPr>
        <w:pStyle w:val="Normal"/>
        <w:ind w:left="0"/>
      </w:pPr>
      <w:r w:rsidR="00453732">
        <w:rPr/>
        <w:t>Consortium to Promote Reflection in Engineering Education (CPREE) – website with resources on what reflection is, links to reflection field guides from American universities, and conference papers on reflection in Engineering.</w:t>
      </w:r>
    </w:p>
    <w:p w:rsidR="00BC0DC9" w:rsidP="41093B22" w:rsidRDefault="00BC0DC9" w14:paraId="5CB42335" w14:textId="180310F9">
      <w:pPr>
        <w:pStyle w:val="Normal"/>
        <w:ind w:left="0"/>
      </w:pPr>
    </w:p>
    <w:p w:rsidR="00BC0DC9" w:rsidP="41093B22" w:rsidRDefault="00BC0DC9" w14:paraId="15E92982" w14:textId="7F583DCB">
      <w:pPr>
        <w:pStyle w:val="Normal"/>
        <w:ind w:left="0"/>
      </w:pPr>
      <w:r w:rsidR="102B459D">
        <w:rPr/>
        <w:t xml:space="preserve">CPREE. (n.d.) What is Reflection? Consortium to Promote Reflection in Engineering Education (CPREE). </w:t>
      </w:r>
      <w:hyperlink r:id="R2bd56dfcd9be496b">
        <w:r w:rsidRPr="41093B22" w:rsidR="102B459D">
          <w:rPr>
            <w:rStyle w:val="Hyperlink"/>
          </w:rPr>
          <w:t>http://cpree.uw.edu/what-is-reflection/</w:t>
        </w:r>
      </w:hyperlink>
    </w:p>
    <w:p w:rsidR="00BC0DC9" w:rsidP="41093B22" w:rsidRDefault="00BC0DC9" w14:paraId="28AC2DBD" w14:textId="6D7DCC50">
      <w:pPr>
        <w:pStyle w:val="Normal"/>
        <w:ind w:left="0"/>
      </w:pPr>
    </w:p>
    <w:p w:rsidR="00BC0DC9" w:rsidP="41093B22" w:rsidRDefault="00BC0DC9" w14:paraId="54DE8F31" w14:textId="498D87A2">
      <w:pPr>
        <w:pStyle w:val="Normal"/>
        <w:ind w:left="0"/>
      </w:pPr>
      <w:r w:rsidR="00A02355">
        <w:rPr/>
        <w:t>Dewey, J. (1966). Democracy and education: An introduction to the philosophy of education. The Free Press.</w:t>
      </w:r>
    </w:p>
    <w:p w:rsidR="00BC0DC9" w:rsidP="41093B22" w:rsidRDefault="00BC0DC9" w14:paraId="3349DD31" w14:textId="009B5755">
      <w:pPr>
        <w:pStyle w:val="Normal"/>
        <w:ind w:left="0"/>
      </w:pPr>
    </w:p>
    <w:p w:rsidR="00BC0DC9" w:rsidP="41093B22" w:rsidRDefault="00BC0DC9" w14:paraId="3723827E" w14:textId="13758952">
      <w:pPr>
        <w:pStyle w:val="Normal"/>
        <w:ind w:left="0"/>
      </w:pPr>
      <w:r w:rsidR="0082203F">
        <w:rPr/>
        <w:t>Driscoll, J. (1994). Reflective practice for practice. Senior Nurse, 14(1), 47-50.</w:t>
      </w:r>
    </w:p>
    <w:p w:rsidR="00BC0DC9" w:rsidP="41093B22" w:rsidRDefault="00BC0DC9" w14:paraId="0F8734C8" w14:textId="4BC5D9C5">
      <w:pPr>
        <w:pStyle w:val="Normal"/>
        <w:ind w:left="0"/>
      </w:pPr>
    </w:p>
    <w:p w:rsidR="00BC0DC9" w:rsidP="41093B22" w:rsidRDefault="00BC0DC9" w14:paraId="5110A98F" w14:textId="11F06A34">
      <w:pPr>
        <w:pStyle w:val="Normal"/>
        <w:ind w:left="0"/>
      </w:pPr>
      <w:r w:rsidR="0082203F">
        <w:rPr/>
        <w:t>Rolfe, G., Freshwater, D., &amp; Jasper, M. (2001). Critical Reflection for Nursing and the Helping Professions a User's Guide. Palgrave.</w:t>
      </w:r>
    </w:p>
    <w:p w:rsidR="00BC0DC9" w:rsidP="41093B22" w:rsidRDefault="00BC0DC9" w14:paraId="41BDA989" w14:textId="23A0FD17">
      <w:pPr>
        <w:pStyle w:val="Normal"/>
        <w:ind w:left="0"/>
      </w:pPr>
    </w:p>
    <w:p w:rsidR="00BC0DC9" w:rsidP="41093B22" w:rsidRDefault="00BC0DC9" w14:paraId="7D52491A" w14:textId="1C58C544">
      <w:pPr>
        <w:pStyle w:val="Normal"/>
        <w:ind w:left="0"/>
      </w:pPr>
      <w:r w:rsidR="00115BDE">
        <w:rPr/>
        <w:t>Ryan, M. (2013). The pedagogical balancing act: Teaching reflection in higher education. Teaching in Higher Education, 18(2), 144-155.</w:t>
      </w:r>
    </w:p>
    <w:p w:rsidR="00BC0DC9" w:rsidP="41093B22" w:rsidRDefault="00BC0DC9" w14:paraId="08C9E624" w14:textId="0457C1E4">
      <w:pPr>
        <w:pStyle w:val="Normal"/>
        <w:ind w:left="0"/>
      </w:pPr>
    </w:p>
    <w:p w:rsidR="00BC0DC9" w:rsidP="41093B22" w:rsidRDefault="00BC0DC9" w14:paraId="0575B96C" w14:textId="43064ED1">
      <w:pPr>
        <w:pStyle w:val="Normal"/>
        <w:ind w:left="0"/>
      </w:pPr>
      <w:r w:rsidR="00BC0DC9">
        <w:rPr/>
        <w:t xml:space="preserve">Turns, J. A., Sattler, B., Yasuhara, K., </w:t>
      </w:r>
      <w:r w:rsidR="00BC0DC9">
        <w:rPr/>
        <w:t>Borgford</w:t>
      </w:r>
      <w:r w:rsidR="00BC0DC9">
        <w:rPr/>
        <w:t xml:space="preserve">-Parnell, J. L., &amp; Atman, C. J. (2014). Integrating reflection into engineering education. [Paper Presentation]. 121st ASEE Annual Conference &amp; Exposition, Indianapolis. </w:t>
      </w:r>
      <w:hyperlink r:id="R1f28d5ecb18041c1">
        <w:r w:rsidRPr="41093B22" w:rsidR="00BC0DC9">
          <w:rPr>
            <w:rStyle w:val="Hyperlink"/>
          </w:rPr>
          <w:t>https://depts.washington.edu/cpreeuw/wordpress/wp-content/uploads/2015/07/Integrating-Reflection-ASEE-2014.pdf</w:t>
        </w:r>
      </w:hyperlink>
    </w:p>
    <w:p w:rsidR="00D807D5" w:rsidP="00D807D5" w:rsidRDefault="00D807D5" w14:paraId="3DEC896A" w14:textId="66334F32">
      <w:pPr>
        <w:pStyle w:val="Heading1"/>
      </w:pPr>
      <w:r>
        <w:t>Additional Resources</w:t>
      </w:r>
    </w:p>
    <w:p w:rsidR="00B23179" w:rsidP="00B23179" w:rsidRDefault="00B23179" w14:paraId="5EC44B87" w14:textId="4296AEF7">
      <w:r>
        <w:t xml:space="preserve">For instructors or teaching assistants that would like to learn more about </w:t>
      </w:r>
      <w:r w:rsidR="00EE76C1">
        <w:t>embedding reflection in curriculum, please visit the Instructor Reflection Toolkit</w:t>
      </w:r>
    </w:p>
    <w:p w:rsidR="00AD5C2B" w:rsidP="00D807D5" w:rsidRDefault="00F821C7" w14:paraId="3E61AF0D" w14:textId="77D2A881">
      <w:pPr>
        <w:pStyle w:val="Heading1"/>
        <w:rPr>
          <w:rFonts w:asciiTheme="minorHAnsi" w:hAnsiTheme="minorHAnsi" w:eastAsiaTheme="minorHAnsi" w:cstheme="minorBidi"/>
          <w:color w:val="auto"/>
          <w:sz w:val="24"/>
          <w:szCs w:val="24"/>
        </w:rPr>
      </w:pPr>
      <w:hyperlink w:history="1" r:id="rId6">
        <w:r w:rsidRPr="0014517C" w:rsidR="00B23179">
          <w:rPr>
            <w:rStyle w:val="Hyperlink"/>
            <w:rFonts w:asciiTheme="minorHAnsi" w:hAnsiTheme="minorHAnsi" w:eastAsiaTheme="minorHAnsi" w:cstheme="minorBidi"/>
            <w:sz w:val="24"/>
            <w:szCs w:val="24"/>
          </w:rPr>
          <w:t>https://www.eng.mcmaster.ca/resources/instructor-reflection-toolkit</w:t>
        </w:r>
      </w:hyperlink>
    </w:p>
    <w:p w:rsidR="373C88C2" w:rsidP="373C88C2" w:rsidRDefault="373C88C2" w14:paraId="3EBD6D70" w14:textId="37850913"/>
    <w:p w:rsidR="22711A86" w:rsidP="373C88C2" w:rsidRDefault="22711A86" w14:paraId="02AFF82C" w14:textId="5B71AD0E"/>
    <w:sectPr w:rsidR="22711A8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0091"/>
    <w:multiLevelType w:val="hybridMultilevel"/>
    <w:tmpl w:val="DEF4CA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8C1B9A"/>
    <w:multiLevelType w:val="hybridMultilevel"/>
    <w:tmpl w:val="2110E8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D42258"/>
    <w:multiLevelType w:val="hybridMultilevel"/>
    <w:tmpl w:val="303E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30AE"/>
    <w:multiLevelType w:val="hybridMultilevel"/>
    <w:tmpl w:val="90800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C2078F"/>
    <w:multiLevelType w:val="hybridMultilevel"/>
    <w:tmpl w:val="225C99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E22BC7"/>
    <w:multiLevelType w:val="hybridMultilevel"/>
    <w:tmpl w:val="6CB6F4DC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75A500AE"/>
    <w:multiLevelType w:val="hybridMultilevel"/>
    <w:tmpl w:val="7624C4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D5"/>
    <w:rsid w:val="00082767"/>
    <w:rsid w:val="000D36FA"/>
    <w:rsid w:val="000E136C"/>
    <w:rsid w:val="00115BDE"/>
    <w:rsid w:val="00117313"/>
    <w:rsid w:val="00130C25"/>
    <w:rsid w:val="0014294E"/>
    <w:rsid w:val="00176BFD"/>
    <w:rsid w:val="001A243E"/>
    <w:rsid w:val="001D464C"/>
    <w:rsid w:val="001F4601"/>
    <w:rsid w:val="00221CE9"/>
    <w:rsid w:val="00256683"/>
    <w:rsid w:val="00283D09"/>
    <w:rsid w:val="002B6D2A"/>
    <w:rsid w:val="002C3C16"/>
    <w:rsid w:val="002D4436"/>
    <w:rsid w:val="002E590E"/>
    <w:rsid w:val="002E7142"/>
    <w:rsid w:val="00302C71"/>
    <w:rsid w:val="0031560F"/>
    <w:rsid w:val="00336FCC"/>
    <w:rsid w:val="003602BE"/>
    <w:rsid w:val="00390313"/>
    <w:rsid w:val="003A64A6"/>
    <w:rsid w:val="003B3C9F"/>
    <w:rsid w:val="003B6A33"/>
    <w:rsid w:val="003D4AEE"/>
    <w:rsid w:val="003D549A"/>
    <w:rsid w:val="00446703"/>
    <w:rsid w:val="00453732"/>
    <w:rsid w:val="00470789"/>
    <w:rsid w:val="005059E0"/>
    <w:rsid w:val="00511494"/>
    <w:rsid w:val="00522AAF"/>
    <w:rsid w:val="00552526"/>
    <w:rsid w:val="005B6A62"/>
    <w:rsid w:val="005D01D4"/>
    <w:rsid w:val="005F4485"/>
    <w:rsid w:val="006066DA"/>
    <w:rsid w:val="00606E40"/>
    <w:rsid w:val="006147CA"/>
    <w:rsid w:val="0068279D"/>
    <w:rsid w:val="006C6561"/>
    <w:rsid w:val="006D4BD9"/>
    <w:rsid w:val="006F3E26"/>
    <w:rsid w:val="006F3FBF"/>
    <w:rsid w:val="00714B92"/>
    <w:rsid w:val="00722B7F"/>
    <w:rsid w:val="00741A2A"/>
    <w:rsid w:val="007600E3"/>
    <w:rsid w:val="007836BC"/>
    <w:rsid w:val="00793B6C"/>
    <w:rsid w:val="007A5EDA"/>
    <w:rsid w:val="007A7FF5"/>
    <w:rsid w:val="0082203F"/>
    <w:rsid w:val="00834E76"/>
    <w:rsid w:val="008371A0"/>
    <w:rsid w:val="008615DB"/>
    <w:rsid w:val="00867118"/>
    <w:rsid w:val="00875153"/>
    <w:rsid w:val="00876AEF"/>
    <w:rsid w:val="00877390"/>
    <w:rsid w:val="00881E3A"/>
    <w:rsid w:val="00883EE4"/>
    <w:rsid w:val="008A7A0A"/>
    <w:rsid w:val="008B7959"/>
    <w:rsid w:val="008F4C55"/>
    <w:rsid w:val="008F6D52"/>
    <w:rsid w:val="00906BA2"/>
    <w:rsid w:val="009166B5"/>
    <w:rsid w:val="009259D6"/>
    <w:rsid w:val="00932975"/>
    <w:rsid w:val="009620F8"/>
    <w:rsid w:val="00965571"/>
    <w:rsid w:val="00983462"/>
    <w:rsid w:val="009C4189"/>
    <w:rsid w:val="00A02355"/>
    <w:rsid w:val="00A1225D"/>
    <w:rsid w:val="00A24935"/>
    <w:rsid w:val="00A36776"/>
    <w:rsid w:val="00AB59C0"/>
    <w:rsid w:val="00AD5C2B"/>
    <w:rsid w:val="00AD6280"/>
    <w:rsid w:val="00AE7E7C"/>
    <w:rsid w:val="00B011DE"/>
    <w:rsid w:val="00B23179"/>
    <w:rsid w:val="00B3660A"/>
    <w:rsid w:val="00B36C1A"/>
    <w:rsid w:val="00B6280B"/>
    <w:rsid w:val="00B776A2"/>
    <w:rsid w:val="00B77DC7"/>
    <w:rsid w:val="00B84E39"/>
    <w:rsid w:val="00BA1AC4"/>
    <w:rsid w:val="00BA559D"/>
    <w:rsid w:val="00BC0DC9"/>
    <w:rsid w:val="00BC782B"/>
    <w:rsid w:val="00BF530B"/>
    <w:rsid w:val="00BF6449"/>
    <w:rsid w:val="00C01AE6"/>
    <w:rsid w:val="00C07AA1"/>
    <w:rsid w:val="00C413EB"/>
    <w:rsid w:val="00C57242"/>
    <w:rsid w:val="00C75072"/>
    <w:rsid w:val="00C8682C"/>
    <w:rsid w:val="00C965F3"/>
    <w:rsid w:val="00C9780E"/>
    <w:rsid w:val="00CD6EC2"/>
    <w:rsid w:val="00D211AF"/>
    <w:rsid w:val="00D5111E"/>
    <w:rsid w:val="00D806FE"/>
    <w:rsid w:val="00D807D5"/>
    <w:rsid w:val="00D86914"/>
    <w:rsid w:val="00DA1713"/>
    <w:rsid w:val="00DA4AD3"/>
    <w:rsid w:val="00DB7592"/>
    <w:rsid w:val="00DC251E"/>
    <w:rsid w:val="00DC653E"/>
    <w:rsid w:val="00DD61E2"/>
    <w:rsid w:val="00DE418C"/>
    <w:rsid w:val="00E01733"/>
    <w:rsid w:val="00E32D50"/>
    <w:rsid w:val="00E42FBA"/>
    <w:rsid w:val="00E56D06"/>
    <w:rsid w:val="00E67515"/>
    <w:rsid w:val="00E77353"/>
    <w:rsid w:val="00EA7E15"/>
    <w:rsid w:val="00EB0A48"/>
    <w:rsid w:val="00EE4411"/>
    <w:rsid w:val="00EE76C1"/>
    <w:rsid w:val="00F33974"/>
    <w:rsid w:val="00F3419A"/>
    <w:rsid w:val="00F403D4"/>
    <w:rsid w:val="00F564EF"/>
    <w:rsid w:val="00F821C7"/>
    <w:rsid w:val="00FC7D2A"/>
    <w:rsid w:val="02A9B241"/>
    <w:rsid w:val="02C0AAA9"/>
    <w:rsid w:val="0797B847"/>
    <w:rsid w:val="0A36D49F"/>
    <w:rsid w:val="0EB88248"/>
    <w:rsid w:val="102B459D"/>
    <w:rsid w:val="138C536F"/>
    <w:rsid w:val="152FF0E9"/>
    <w:rsid w:val="153708C3"/>
    <w:rsid w:val="17955F8B"/>
    <w:rsid w:val="190FBF86"/>
    <w:rsid w:val="1CFD7EEE"/>
    <w:rsid w:val="21FD9000"/>
    <w:rsid w:val="22711A86"/>
    <w:rsid w:val="229D796F"/>
    <w:rsid w:val="22A60DC4"/>
    <w:rsid w:val="2382CB13"/>
    <w:rsid w:val="29F8658B"/>
    <w:rsid w:val="2CCFEC4E"/>
    <w:rsid w:val="2D3FC465"/>
    <w:rsid w:val="2D514705"/>
    <w:rsid w:val="2EED1766"/>
    <w:rsid w:val="2EF14C4C"/>
    <w:rsid w:val="33AF4387"/>
    <w:rsid w:val="33D85D33"/>
    <w:rsid w:val="347BA8CF"/>
    <w:rsid w:val="373C88C2"/>
    <w:rsid w:val="3B19D025"/>
    <w:rsid w:val="3E2D2927"/>
    <w:rsid w:val="3FE4402E"/>
    <w:rsid w:val="41093B22"/>
    <w:rsid w:val="43106ED3"/>
    <w:rsid w:val="4D256B96"/>
    <w:rsid w:val="4E150752"/>
    <w:rsid w:val="55EEBB90"/>
    <w:rsid w:val="56870A28"/>
    <w:rsid w:val="5763E763"/>
    <w:rsid w:val="59D3B7C7"/>
    <w:rsid w:val="5C1146CD"/>
    <w:rsid w:val="5E5EC23A"/>
    <w:rsid w:val="6184C861"/>
    <w:rsid w:val="62A604F0"/>
    <w:rsid w:val="63F586F1"/>
    <w:rsid w:val="64CC53A6"/>
    <w:rsid w:val="6552165B"/>
    <w:rsid w:val="67429DDA"/>
    <w:rsid w:val="678E0498"/>
    <w:rsid w:val="688DEF99"/>
    <w:rsid w:val="74B2B85A"/>
    <w:rsid w:val="78A7AE8B"/>
    <w:rsid w:val="7C6673F7"/>
    <w:rsid w:val="7C7EF8AE"/>
    <w:rsid w:val="7CA8BB0C"/>
    <w:rsid w:val="7D29F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8FE9"/>
  <w15:chartTrackingRefBased/>
  <w15:docId w15:val="{4058E0ED-96AA-4B99-9085-A508F198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7D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7D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D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807D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807D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2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A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57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65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65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eng.mcmaster.ca/resources/instructor-reflection-toolkit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http://cpree.uw.edu/what-is-reflection/" TargetMode="External" Id="R2bd56dfcd9be496b" /><Relationship Type="http://schemas.openxmlformats.org/officeDocument/2006/relationships/hyperlink" Target="https://depts.washington.edu/cpreeuw/wordpress/wp-content/uploads/2015/07/Integrating-Reflection-ASEE-2014.pdf" TargetMode="External" Id="R1f28d5ecb18041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Alanna Carter</dc:creator>
  <keywords/>
  <dc:description/>
  <lastModifiedBy>Alanna Carter</lastModifiedBy>
  <revision>82</revision>
  <dcterms:created xsi:type="dcterms:W3CDTF">2021-06-11T12:44:00.0000000Z</dcterms:created>
  <dcterms:modified xsi:type="dcterms:W3CDTF">2021-11-16T17:51:31.3718519Z</dcterms:modified>
</coreProperties>
</file>