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135" w:rsidP="000F3135" w:rsidRDefault="000F3135" w14:paraId="5E6BA7FE" w14:textId="65171489">
      <w:pPr>
        <w:pStyle w:val="Heading1"/>
      </w:pPr>
      <w:bookmarkStart w:name="_Toc95995656" w:id="0"/>
      <w:r>
        <w:t>Resource Description</w:t>
      </w:r>
      <w:bookmarkEnd w:id="0"/>
    </w:p>
    <w:p w:rsidRPr="00FA1F8A" w:rsidR="00FA1F8A" w:rsidP="00FA1F8A" w:rsidRDefault="00FA1F8A" w14:paraId="32A15A2C" w14:textId="1CFC656D">
      <w:r w:rsidRPr="00793E0F">
        <w:rPr>
          <w:b/>
          <w:bCs/>
        </w:rPr>
        <w:t xml:space="preserve">Published: </w:t>
      </w:r>
      <w:r w:rsidRPr="00793E0F">
        <w:t>February 2022</w:t>
      </w:r>
    </w:p>
    <w:p w:rsidR="00FA1F8A" w:rsidP="00FA1F8A" w:rsidRDefault="00FA1F8A" w14:paraId="675E7FC6" w14:textId="4CA59754">
      <w:r w:rsidRPr="00FA1F8A">
        <w:rPr>
          <w:b/>
          <w:bCs/>
        </w:rPr>
        <w:t>Audience:</w:t>
      </w:r>
      <w:r>
        <w:t xml:space="preserve"> First-year </w:t>
      </w:r>
      <w:r w:rsidR="00AE1262">
        <w:t xml:space="preserve">diploma-level </w:t>
      </w:r>
      <w:r>
        <w:t>college students</w:t>
      </w:r>
    </w:p>
    <w:p w:rsidR="00742F75" w:rsidP="00FA1F8A" w:rsidRDefault="00742F75" w14:paraId="39BA9E8A" w14:textId="4880EBDC">
      <w:r w:rsidRPr="00742F75">
        <w:rPr>
          <w:b/>
          <w:bCs/>
        </w:rPr>
        <w:t>Resource Type:</w:t>
      </w:r>
      <w:r>
        <w:t xml:space="preserve"> Common Cartridge Course and supplementary materials</w:t>
      </w:r>
    </w:p>
    <w:p w:rsidRPr="00FA1F8A" w:rsidR="00413C90" w:rsidP="00FA1F8A" w:rsidRDefault="00413C90" w14:paraId="789DFBC6" w14:textId="6D558FB9">
      <w:r w:rsidRPr="006967FE">
        <w:rPr>
          <w:b/>
          <w:bCs/>
        </w:rPr>
        <w:t xml:space="preserve">Complementary </w:t>
      </w:r>
      <w:r w:rsidR="003E3537">
        <w:rPr>
          <w:b/>
          <w:bCs/>
        </w:rPr>
        <w:t xml:space="preserve">OER </w:t>
      </w:r>
      <w:r w:rsidRPr="006967FE">
        <w:rPr>
          <w:b/>
          <w:bCs/>
        </w:rPr>
        <w:t>Textbook:</w:t>
      </w:r>
      <w:r>
        <w:t xml:space="preserve"> </w:t>
      </w:r>
      <w:r w:rsidRPr="006967FE" w:rsidR="006967FE">
        <w:t>University of Minnesota. (2015). </w:t>
      </w:r>
      <w:hyperlink r:id="rId11">
        <w:r w:rsidRPr="04D53866" w:rsidR="006967FE">
          <w:rPr>
            <w:rStyle w:val="Hyperlink"/>
            <w:i/>
            <w:iCs/>
          </w:rPr>
          <w:t>College Success</w:t>
        </w:r>
      </w:hyperlink>
      <w:r w:rsidRPr="04D53866" w:rsidR="006967FE">
        <w:rPr>
          <w:i/>
          <w:iCs/>
        </w:rPr>
        <w:t>.</w:t>
      </w:r>
      <w:r w:rsidR="00AE1262">
        <w:t xml:space="preserve"> </w:t>
      </w:r>
      <w:hyperlink r:id="rId12">
        <w:r w:rsidRPr="04D53866" w:rsidR="006967FE">
          <w:rPr>
            <w:rStyle w:val="Hyperlink"/>
          </w:rPr>
          <w:t>University of Minnesota Libraries</w:t>
        </w:r>
      </w:hyperlink>
      <w:r w:rsidR="006967FE">
        <w:t>. Licensed under </w:t>
      </w:r>
      <w:hyperlink r:id="rId13">
        <w:r w:rsidRPr="04D53866" w:rsidR="006967FE">
          <w:rPr>
            <w:rStyle w:val="Hyperlink"/>
          </w:rPr>
          <w:t>CC BY-NC-SA 4.0</w:t>
        </w:r>
      </w:hyperlink>
      <w:r w:rsidR="006967FE">
        <w:t>. </w:t>
      </w:r>
    </w:p>
    <w:p w:rsidR="04D53866" w:rsidP="04D53866" w:rsidRDefault="04D53866" w14:paraId="271AD462" w14:textId="48A0EE0C"/>
    <w:p w:rsidR="007C59F0" w:rsidP="00D233B7" w:rsidRDefault="005D288C" w14:paraId="14110024" w14:textId="5F981A18">
      <w:pPr>
        <w:ind w:firstLine="720"/>
      </w:pPr>
      <w:r w:rsidR="005D288C">
        <w:rPr/>
        <w:t xml:space="preserve">This Common Cartridge </w:t>
      </w:r>
      <w:r w:rsidR="006E503A">
        <w:rPr/>
        <w:t>shell is an adaptation of</w:t>
      </w:r>
      <w:r w:rsidR="00DD48B6">
        <w:rPr/>
        <w:t xml:space="preserve"> Conestoga College’s</w:t>
      </w:r>
      <w:r w:rsidR="00CD11AD">
        <w:rPr/>
        <w:t xml:space="preserve"> long running</w:t>
      </w:r>
      <w:r w:rsidR="00DD48B6">
        <w:rPr/>
        <w:t xml:space="preserve"> </w:t>
      </w:r>
      <w:r w:rsidRPr="10E7706E" w:rsidR="00DD48B6">
        <w:rPr>
          <w:i w:val="1"/>
          <w:iCs w:val="1"/>
        </w:rPr>
        <w:t>Student Success for Higher Learning</w:t>
      </w:r>
      <w:r w:rsidR="00DD48B6">
        <w:rPr/>
        <w:t xml:space="preserve"> (LIBS1540) </w:t>
      </w:r>
      <w:r w:rsidR="006E503A">
        <w:rPr/>
        <w:t>course</w:t>
      </w:r>
      <w:r w:rsidR="00C36AD8">
        <w:rPr/>
        <w:t xml:space="preserve">. The course </w:t>
      </w:r>
      <w:r w:rsidR="00552AC1">
        <w:rPr/>
        <w:t xml:space="preserve">is offered </w:t>
      </w:r>
      <w:r w:rsidR="00A41B3F">
        <w:rPr/>
        <w:t xml:space="preserve">in multiple delivery modalities (in-person, hybrid, </w:t>
      </w:r>
      <w:r w:rsidR="007C34F8">
        <w:rPr/>
        <w:t xml:space="preserve">and fully </w:t>
      </w:r>
      <w:r w:rsidR="00A41B3F">
        <w:rPr/>
        <w:t xml:space="preserve">asynchronous) </w:t>
      </w:r>
      <w:r w:rsidR="00552AC1">
        <w:rPr/>
        <w:t xml:space="preserve">to </w:t>
      </w:r>
      <w:r w:rsidR="00A41B3F">
        <w:rPr/>
        <w:t xml:space="preserve">a wide range of </w:t>
      </w:r>
      <w:r w:rsidR="00552AC1">
        <w:rPr/>
        <w:t>diploma level students across the college</w:t>
      </w:r>
      <w:r w:rsidR="0041712E">
        <w:rPr/>
        <w:t xml:space="preserve"> </w:t>
      </w:r>
      <w:r w:rsidR="0041712E">
        <w:rPr/>
        <w:t xml:space="preserve">as </w:t>
      </w:r>
      <w:r w:rsidR="007C34F8">
        <w:rPr/>
        <w:t>a</w:t>
      </w:r>
      <w:r w:rsidR="0041712E">
        <w:rPr/>
        <w:t xml:space="preserve"> mandatory </w:t>
      </w:r>
      <w:r w:rsidR="000671DB">
        <w:rPr/>
        <w:t>component of their program or</w:t>
      </w:r>
      <w:r w:rsidR="0041712E">
        <w:rPr/>
        <w:t xml:space="preserve"> </w:t>
      </w:r>
      <w:r w:rsidR="000671DB">
        <w:rPr/>
        <w:t xml:space="preserve">as an </w:t>
      </w:r>
      <w:r w:rsidR="0041712E">
        <w:rPr/>
        <w:t>elective choice</w:t>
      </w:r>
      <w:r w:rsidR="00A41B3F">
        <w:rPr/>
        <w:t>.</w:t>
      </w:r>
      <w:r w:rsidR="00D233B7">
        <w:rPr/>
        <w:t xml:space="preserve"> In its standard form, the course runs in a 7-1-7 format, with 7 weeks of content on either side of a Student Success Week break, although the course </w:t>
      </w:r>
      <w:r w:rsidR="00621BE2">
        <w:rPr/>
        <w:t xml:space="preserve">is designed to </w:t>
      </w:r>
      <w:r w:rsidR="00A6616A">
        <w:rPr/>
        <w:t>be adaptable for</w:t>
      </w:r>
      <w:r w:rsidR="00621BE2">
        <w:rPr/>
        <w:t xml:space="preserve"> condensed 7</w:t>
      </w:r>
      <w:r w:rsidR="00CD2E39">
        <w:rPr/>
        <w:t>-</w:t>
      </w:r>
      <w:r w:rsidR="00621BE2">
        <w:rPr/>
        <w:t>week deliver</w:t>
      </w:r>
      <w:r w:rsidR="00A6616A">
        <w:rPr/>
        <w:t>ies</w:t>
      </w:r>
      <w:r w:rsidR="00621BE2">
        <w:rPr/>
        <w:t xml:space="preserve"> or modular 4</w:t>
      </w:r>
      <w:r w:rsidR="00CD2E39">
        <w:rPr/>
        <w:t>-</w:t>
      </w:r>
      <w:r w:rsidR="00621BE2">
        <w:rPr/>
        <w:t xml:space="preserve">week deliveries. </w:t>
      </w:r>
      <w:r w:rsidR="008F616C">
        <w:rPr/>
        <w:t xml:space="preserve">The Common Cartridge course includes </w:t>
      </w:r>
      <w:r w:rsidR="00B22BCD">
        <w:rPr/>
        <w:t xml:space="preserve">everything required for a stand-alone course: </w:t>
      </w:r>
      <w:r w:rsidR="00413C90">
        <w:rPr/>
        <w:t xml:space="preserve">lecture </w:t>
      </w:r>
      <w:r w:rsidR="008F616C">
        <w:rPr/>
        <w:t xml:space="preserve">content, </w:t>
      </w:r>
      <w:r w:rsidR="00B22BCD">
        <w:rPr/>
        <w:t xml:space="preserve">evaluations with rubrics, </w:t>
      </w:r>
      <w:r w:rsidR="008F616C">
        <w:rPr/>
        <w:t xml:space="preserve">videos, </w:t>
      </w:r>
      <w:r w:rsidR="00826765">
        <w:rPr/>
        <w:t xml:space="preserve">stock images, formative assessments, </w:t>
      </w:r>
      <w:r w:rsidR="008F616C">
        <w:rPr/>
        <w:t xml:space="preserve">custom animations and graphics, </w:t>
      </w:r>
      <w:r w:rsidR="00B22BCD">
        <w:rPr/>
        <w:t>links to textbook activities and readings</w:t>
      </w:r>
      <w:r w:rsidR="00826765">
        <w:rPr/>
        <w:t>.</w:t>
      </w:r>
      <w:r w:rsidR="00826765">
        <w:rPr/>
        <w:t xml:space="preserve"> </w:t>
      </w:r>
      <w:r w:rsidR="00826765">
        <w:rPr/>
        <w:t>A course outline and Instructional Plan (</w:t>
      </w:r>
      <w:r w:rsidR="00826765">
        <w:rPr/>
        <w:t>i.e.,</w:t>
      </w:r>
      <w:r w:rsidR="00826765">
        <w:rPr/>
        <w:t xml:space="preserve"> weekly schedule/syllabus) can be found in the Course Information Module of the Common Cartridge.</w:t>
      </w:r>
    </w:p>
    <w:sdt>
      <w:sdtPr>
        <w:rPr>
          <w:rFonts w:asciiTheme="minorHAnsi" w:hAnsiTheme="minorHAnsi" w:eastAsiaTheme="minorHAnsi" w:cstheme="minorBidi"/>
          <w:color w:val="auto"/>
          <w:sz w:val="22"/>
          <w:szCs w:val="22"/>
        </w:rPr>
        <w:id w:val="-1131944485"/>
        <w:docPartObj>
          <w:docPartGallery w:val="Table of Contents"/>
          <w:docPartUnique/>
        </w:docPartObj>
      </w:sdtPr>
      <w:sdtEndPr>
        <w:rPr>
          <w:b/>
          <w:bCs/>
          <w:noProof/>
        </w:rPr>
      </w:sdtEndPr>
      <w:sdtContent>
        <w:p w:rsidR="00691FD6" w:rsidRDefault="00691FD6" w14:paraId="26EDF09A" w14:textId="25202BFB">
          <w:pPr>
            <w:pStyle w:val="TOCHeading"/>
          </w:pPr>
          <w:r>
            <w:t>Contents</w:t>
          </w:r>
        </w:p>
        <w:p w:rsidR="00F3222D" w:rsidRDefault="00691FD6" w14:paraId="76482806" w14:textId="6282463E">
          <w:pPr>
            <w:pStyle w:val="TOC1"/>
            <w:tabs>
              <w:tab w:val="right" w:leader="dot" w:pos="9350"/>
            </w:tabs>
            <w:rPr>
              <w:rFonts w:eastAsiaTheme="minorEastAsia"/>
              <w:noProof/>
              <w:lang w:val="en-CA" w:eastAsia="en-CA"/>
            </w:rPr>
          </w:pPr>
          <w:r>
            <w:fldChar w:fldCharType="begin"/>
          </w:r>
          <w:r>
            <w:instrText xml:space="preserve"> TOC \o "1-3" \h \z \u </w:instrText>
          </w:r>
          <w:r>
            <w:fldChar w:fldCharType="separate"/>
          </w:r>
          <w:hyperlink w:history="1" w:anchor="_Toc95995656">
            <w:r w:rsidRPr="003455E4" w:rsidR="00F3222D">
              <w:rPr>
                <w:rStyle w:val="Hyperlink"/>
                <w:noProof/>
              </w:rPr>
              <w:t>Resource Description</w:t>
            </w:r>
            <w:r w:rsidR="00F3222D">
              <w:rPr>
                <w:noProof/>
                <w:webHidden/>
              </w:rPr>
              <w:tab/>
            </w:r>
            <w:r w:rsidR="00F3222D">
              <w:rPr>
                <w:noProof/>
                <w:webHidden/>
              </w:rPr>
              <w:fldChar w:fldCharType="begin"/>
            </w:r>
            <w:r w:rsidR="00F3222D">
              <w:rPr>
                <w:noProof/>
                <w:webHidden/>
              </w:rPr>
              <w:instrText xml:space="preserve"> PAGEREF _Toc95995656 \h </w:instrText>
            </w:r>
            <w:r w:rsidR="00F3222D">
              <w:rPr>
                <w:noProof/>
                <w:webHidden/>
              </w:rPr>
            </w:r>
            <w:r w:rsidR="00F3222D">
              <w:rPr>
                <w:noProof/>
                <w:webHidden/>
              </w:rPr>
              <w:fldChar w:fldCharType="separate"/>
            </w:r>
            <w:r w:rsidR="00F3222D">
              <w:rPr>
                <w:noProof/>
                <w:webHidden/>
              </w:rPr>
              <w:t>1</w:t>
            </w:r>
            <w:r w:rsidR="00F3222D">
              <w:rPr>
                <w:noProof/>
                <w:webHidden/>
              </w:rPr>
              <w:fldChar w:fldCharType="end"/>
            </w:r>
          </w:hyperlink>
        </w:p>
        <w:p w:rsidR="00F3222D" w:rsidRDefault="00742F75" w14:paraId="4934580E" w14:textId="321538EF">
          <w:pPr>
            <w:pStyle w:val="TOC2"/>
            <w:tabs>
              <w:tab w:val="right" w:leader="dot" w:pos="9350"/>
            </w:tabs>
            <w:rPr>
              <w:rFonts w:eastAsiaTheme="minorEastAsia"/>
              <w:noProof/>
              <w:lang w:val="en-CA" w:eastAsia="en-CA"/>
            </w:rPr>
          </w:pPr>
          <w:hyperlink w:history="1" w:anchor="_Toc95995657">
            <w:r w:rsidRPr="003455E4" w:rsidR="00F3222D">
              <w:rPr>
                <w:rStyle w:val="Hyperlink"/>
                <w:noProof/>
              </w:rPr>
              <w:t>Course Topics</w:t>
            </w:r>
            <w:r w:rsidR="00F3222D">
              <w:rPr>
                <w:noProof/>
                <w:webHidden/>
              </w:rPr>
              <w:tab/>
            </w:r>
            <w:r w:rsidR="00F3222D">
              <w:rPr>
                <w:noProof/>
                <w:webHidden/>
              </w:rPr>
              <w:fldChar w:fldCharType="begin"/>
            </w:r>
            <w:r w:rsidR="00F3222D">
              <w:rPr>
                <w:noProof/>
                <w:webHidden/>
              </w:rPr>
              <w:instrText xml:space="preserve"> PAGEREF _Toc95995657 \h </w:instrText>
            </w:r>
            <w:r w:rsidR="00F3222D">
              <w:rPr>
                <w:noProof/>
                <w:webHidden/>
              </w:rPr>
            </w:r>
            <w:r w:rsidR="00F3222D">
              <w:rPr>
                <w:noProof/>
                <w:webHidden/>
              </w:rPr>
              <w:fldChar w:fldCharType="separate"/>
            </w:r>
            <w:r w:rsidR="00F3222D">
              <w:rPr>
                <w:noProof/>
                <w:webHidden/>
              </w:rPr>
              <w:t>2</w:t>
            </w:r>
            <w:r w:rsidR="00F3222D">
              <w:rPr>
                <w:noProof/>
                <w:webHidden/>
              </w:rPr>
              <w:fldChar w:fldCharType="end"/>
            </w:r>
          </w:hyperlink>
        </w:p>
        <w:p w:rsidR="00F3222D" w:rsidRDefault="00742F75" w14:paraId="7822DDE2" w14:textId="0E492A83">
          <w:pPr>
            <w:pStyle w:val="TOC2"/>
            <w:tabs>
              <w:tab w:val="right" w:leader="dot" w:pos="9350"/>
            </w:tabs>
            <w:rPr>
              <w:rFonts w:eastAsiaTheme="minorEastAsia"/>
              <w:noProof/>
              <w:lang w:val="en-CA" w:eastAsia="en-CA"/>
            </w:rPr>
          </w:pPr>
          <w:hyperlink w:history="1" w:anchor="_Toc95995658">
            <w:r w:rsidRPr="003455E4" w:rsidR="00F3222D">
              <w:rPr>
                <w:rStyle w:val="Hyperlink"/>
                <w:noProof/>
              </w:rPr>
              <w:t>Evaluations</w:t>
            </w:r>
            <w:r w:rsidR="00F3222D">
              <w:rPr>
                <w:noProof/>
                <w:webHidden/>
              </w:rPr>
              <w:tab/>
            </w:r>
            <w:r w:rsidR="00F3222D">
              <w:rPr>
                <w:noProof/>
                <w:webHidden/>
              </w:rPr>
              <w:fldChar w:fldCharType="begin"/>
            </w:r>
            <w:r w:rsidR="00F3222D">
              <w:rPr>
                <w:noProof/>
                <w:webHidden/>
              </w:rPr>
              <w:instrText xml:space="preserve"> PAGEREF _Toc95995658 \h </w:instrText>
            </w:r>
            <w:r w:rsidR="00F3222D">
              <w:rPr>
                <w:noProof/>
                <w:webHidden/>
              </w:rPr>
            </w:r>
            <w:r w:rsidR="00F3222D">
              <w:rPr>
                <w:noProof/>
                <w:webHidden/>
              </w:rPr>
              <w:fldChar w:fldCharType="separate"/>
            </w:r>
            <w:r w:rsidR="00F3222D">
              <w:rPr>
                <w:noProof/>
                <w:webHidden/>
              </w:rPr>
              <w:t>5</w:t>
            </w:r>
            <w:r w:rsidR="00F3222D">
              <w:rPr>
                <w:noProof/>
                <w:webHidden/>
              </w:rPr>
              <w:fldChar w:fldCharType="end"/>
            </w:r>
          </w:hyperlink>
        </w:p>
        <w:p w:rsidR="00F3222D" w:rsidRDefault="00742F75" w14:paraId="6CA72E45" w14:textId="3943373C">
          <w:pPr>
            <w:pStyle w:val="TOC2"/>
            <w:tabs>
              <w:tab w:val="right" w:leader="dot" w:pos="9350"/>
            </w:tabs>
            <w:rPr>
              <w:rFonts w:eastAsiaTheme="minorEastAsia"/>
              <w:noProof/>
              <w:lang w:val="en-CA" w:eastAsia="en-CA"/>
            </w:rPr>
          </w:pPr>
          <w:hyperlink w:history="1" w:anchor="_Toc95995659">
            <w:r w:rsidRPr="003455E4" w:rsidR="00F3222D">
              <w:rPr>
                <w:rStyle w:val="Hyperlink"/>
                <w:noProof/>
              </w:rPr>
              <w:t>Formative Assessments and Learning Activities</w:t>
            </w:r>
            <w:r w:rsidR="00F3222D">
              <w:rPr>
                <w:noProof/>
                <w:webHidden/>
              </w:rPr>
              <w:tab/>
            </w:r>
            <w:r w:rsidR="00F3222D">
              <w:rPr>
                <w:noProof/>
                <w:webHidden/>
              </w:rPr>
              <w:fldChar w:fldCharType="begin"/>
            </w:r>
            <w:r w:rsidR="00F3222D">
              <w:rPr>
                <w:noProof/>
                <w:webHidden/>
              </w:rPr>
              <w:instrText xml:space="preserve"> PAGEREF _Toc95995659 \h </w:instrText>
            </w:r>
            <w:r w:rsidR="00F3222D">
              <w:rPr>
                <w:noProof/>
                <w:webHidden/>
              </w:rPr>
            </w:r>
            <w:r w:rsidR="00F3222D">
              <w:rPr>
                <w:noProof/>
                <w:webHidden/>
              </w:rPr>
              <w:fldChar w:fldCharType="separate"/>
            </w:r>
            <w:r w:rsidR="00F3222D">
              <w:rPr>
                <w:noProof/>
                <w:webHidden/>
              </w:rPr>
              <w:t>6</w:t>
            </w:r>
            <w:r w:rsidR="00F3222D">
              <w:rPr>
                <w:noProof/>
                <w:webHidden/>
              </w:rPr>
              <w:fldChar w:fldCharType="end"/>
            </w:r>
          </w:hyperlink>
        </w:p>
        <w:p w:rsidR="00F3222D" w:rsidRDefault="00742F75" w14:paraId="64A700FB" w14:textId="0E3E3B80">
          <w:pPr>
            <w:pStyle w:val="TOC2"/>
            <w:tabs>
              <w:tab w:val="right" w:leader="dot" w:pos="9350"/>
            </w:tabs>
            <w:rPr>
              <w:rFonts w:eastAsiaTheme="minorEastAsia"/>
              <w:noProof/>
              <w:lang w:val="en-CA" w:eastAsia="en-CA"/>
            </w:rPr>
          </w:pPr>
          <w:hyperlink w:history="1" w:anchor="_Toc95995660">
            <w:r w:rsidRPr="003455E4" w:rsidR="00F3222D">
              <w:rPr>
                <w:rStyle w:val="Hyperlink"/>
                <w:noProof/>
              </w:rPr>
              <w:t>Custom Graphics, Videos, and Animations</w:t>
            </w:r>
            <w:r w:rsidR="00F3222D">
              <w:rPr>
                <w:noProof/>
                <w:webHidden/>
              </w:rPr>
              <w:tab/>
            </w:r>
            <w:r w:rsidR="00F3222D">
              <w:rPr>
                <w:noProof/>
                <w:webHidden/>
              </w:rPr>
              <w:fldChar w:fldCharType="begin"/>
            </w:r>
            <w:r w:rsidR="00F3222D">
              <w:rPr>
                <w:noProof/>
                <w:webHidden/>
              </w:rPr>
              <w:instrText xml:space="preserve"> PAGEREF _Toc95995660 \h </w:instrText>
            </w:r>
            <w:r w:rsidR="00F3222D">
              <w:rPr>
                <w:noProof/>
                <w:webHidden/>
              </w:rPr>
            </w:r>
            <w:r w:rsidR="00F3222D">
              <w:rPr>
                <w:noProof/>
                <w:webHidden/>
              </w:rPr>
              <w:fldChar w:fldCharType="separate"/>
            </w:r>
            <w:r w:rsidR="00F3222D">
              <w:rPr>
                <w:noProof/>
                <w:webHidden/>
              </w:rPr>
              <w:t>6</w:t>
            </w:r>
            <w:r w:rsidR="00F3222D">
              <w:rPr>
                <w:noProof/>
                <w:webHidden/>
              </w:rPr>
              <w:fldChar w:fldCharType="end"/>
            </w:r>
          </w:hyperlink>
        </w:p>
        <w:p w:rsidR="00F3222D" w:rsidRDefault="00742F75" w14:paraId="75DD7705" w14:textId="07B20549">
          <w:pPr>
            <w:pStyle w:val="TOC2"/>
            <w:tabs>
              <w:tab w:val="right" w:leader="dot" w:pos="9350"/>
            </w:tabs>
            <w:rPr>
              <w:rFonts w:eastAsiaTheme="minorEastAsia"/>
              <w:noProof/>
              <w:lang w:val="en-CA" w:eastAsia="en-CA"/>
            </w:rPr>
          </w:pPr>
          <w:hyperlink w:history="1" w:anchor="_Toc95995661">
            <w:r w:rsidRPr="003455E4" w:rsidR="00F3222D">
              <w:rPr>
                <w:rStyle w:val="Hyperlink"/>
                <w:noProof/>
              </w:rPr>
              <w:t>Accessibility Statement</w:t>
            </w:r>
            <w:r w:rsidR="00F3222D">
              <w:rPr>
                <w:noProof/>
                <w:webHidden/>
              </w:rPr>
              <w:tab/>
            </w:r>
            <w:r w:rsidR="00F3222D">
              <w:rPr>
                <w:noProof/>
                <w:webHidden/>
              </w:rPr>
              <w:fldChar w:fldCharType="begin"/>
            </w:r>
            <w:r w:rsidR="00F3222D">
              <w:rPr>
                <w:noProof/>
                <w:webHidden/>
              </w:rPr>
              <w:instrText xml:space="preserve"> PAGEREF _Toc95995661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4C2BF2DA" w14:textId="247FC59E">
          <w:pPr>
            <w:pStyle w:val="TOC3"/>
            <w:tabs>
              <w:tab w:val="right" w:leader="dot" w:pos="9350"/>
            </w:tabs>
            <w:rPr>
              <w:rFonts w:eastAsiaTheme="minorEastAsia"/>
              <w:noProof/>
              <w:lang w:val="en-CA" w:eastAsia="en-CA"/>
            </w:rPr>
          </w:pPr>
          <w:hyperlink w:history="1" w:anchor="_Toc95995662">
            <w:r w:rsidRPr="003455E4" w:rsidR="00F3222D">
              <w:rPr>
                <w:rStyle w:val="Hyperlink"/>
                <w:noProof/>
              </w:rPr>
              <w:t>Measures to support accessibility</w:t>
            </w:r>
            <w:r w:rsidR="00F3222D">
              <w:rPr>
                <w:noProof/>
                <w:webHidden/>
              </w:rPr>
              <w:tab/>
            </w:r>
            <w:r w:rsidR="00F3222D">
              <w:rPr>
                <w:noProof/>
                <w:webHidden/>
              </w:rPr>
              <w:fldChar w:fldCharType="begin"/>
            </w:r>
            <w:r w:rsidR="00F3222D">
              <w:rPr>
                <w:noProof/>
                <w:webHidden/>
              </w:rPr>
              <w:instrText xml:space="preserve"> PAGEREF _Toc95995662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4D106EBC" w14:textId="6AD78E12">
          <w:pPr>
            <w:pStyle w:val="TOC3"/>
            <w:tabs>
              <w:tab w:val="right" w:leader="dot" w:pos="9350"/>
            </w:tabs>
            <w:rPr>
              <w:rFonts w:eastAsiaTheme="minorEastAsia"/>
              <w:noProof/>
              <w:lang w:val="en-CA" w:eastAsia="en-CA"/>
            </w:rPr>
          </w:pPr>
          <w:hyperlink w:history="1" w:anchor="_Toc95995663">
            <w:r w:rsidRPr="003455E4" w:rsidR="00F3222D">
              <w:rPr>
                <w:rStyle w:val="Hyperlink"/>
                <w:noProof/>
              </w:rPr>
              <w:t>Conformance status</w:t>
            </w:r>
            <w:r w:rsidR="00F3222D">
              <w:rPr>
                <w:noProof/>
                <w:webHidden/>
              </w:rPr>
              <w:tab/>
            </w:r>
            <w:r w:rsidR="00F3222D">
              <w:rPr>
                <w:noProof/>
                <w:webHidden/>
              </w:rPr>
              <w:fldChar w:fldCharType="begin"/>
            </w:r>
            <w:r w:rsidR="00F3222D">
              <w:rPr>
                <w:noProof/>
                <w:webHidden/>
              </w:rPr>
              <w:instrText xml:space="preserve"> PAGEREF _Toc95995663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0A74FE76" w14:textId="0957A821">
          <w:pPr>
            <w:pStyle w:val="TOC3"/>
            <w:tabs>
              <w:tab w:val="right" w:leader="dot" w:pos="9350"/>
            </w:tabs>
            <w:rPr>
              <w:rFonts w:eastAsiaTheme="minorEastAsia"/>
              <w:noProof/>
              <w:lang w:val="en-CA" w:eastAsia="en-CA"/>
            </w:rPr>
          </w:pPr>
          <w:hyperlink w:history="1" w:anchor="_Toc95995664">
            <w:r w:rsidRPr="003455E4" w:rsidR="00F3222D">
              <w:rPr>
                <w:rStyle w:val="Hyperlink"/>
                <w:rFonts w:ascii="Calibri Light" w:hAnsi="Calibri Light" w:cs="Calibri Light"/>
                <w:noProof/>
              </w:rPr>
              <w:t>Additional accessibility considerations</w:t>
            </w:r>
            <w:r w:rsidR="00F3222D">
              <w:rPr>
                <w:noProof/>
                <w:webHidden/>
              </w:rPr>
              <w:tab/>
            </w:r>
            <w:r w:rsidR="00F3222D">
              <w:rPr>
                <w:noProof/>
                <w:webHidden/>
              </w:rPr>
              <w:fldChar w:fldCharType="begin"/>
            </w:r>
            <w:r w:rsidR="00F3222D">
              <w:rPr>
                <w:noProof/>
                <w:webHidden/>
              </w:rPr>
              <w:instrText xml:space="preserve"> PAGEREF _Toc95995664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4552B861" w14:textId="4880364C">
          <w:pPr>
            <w:pStyle w:val="TOC3"/>
            <w:tabs>
              <w:tab w:val="right" w:leader="dot" w:pos="9350"/>
            </w:tabs>
            <w:rPr>
              <w:rFonts w:eastAsiaTheme="minorEastAsia"/>
              <w:noProof/>
              <w:lang w:val="en-CA" w:eastAsia="en-CA"/>
            </w:rPr>
          </w:pPr>
          <w:hyperlink w:history="1" w:anchor="_Toc95995665">
            <w:r w:rsidRPr="003455E4" w:rsidR="00F3222D">
              <w:rPr>
                <w:rStyle w:val="Hyperlink"/>
                <w:noProof/>
              </w:rPr>
              <w:t>Compatibility with browsers and assistive technology</w:t>
            </w:r>
            <w:r w:rsidR="00F3222D">
              <w:rPr>
                <w:noProof/>
                <w:webHidden/>
              </w:rPr>
              <w:tab/>
            </w:r>
            <w:r w:rsidR="00F3222D">
              <w:rPr>
                <w:noProof/>
                <w:webHidden/>
              </w:rPr>
              <w:fldChar w:fldCharType="begin"/>
            </w:r>
            <w:r w:rsidR="00F3222D">
              <w:rPr>
                <w:noProof/>
                <w:webHidden/>
              </w:rPr>
              <w:instrText xml:space="preserve"> PAGEREF _Toc95995665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11782DF8" w14:textId="573E29F8">
          <w:pPr>
            <w:pStyle w:val="TOC3"/>
            <w:tabs>
              <w:tab w:val="right" w:leader="dot" w:pos="9350"/>
            </w:tabs>
            <w:rPr>
              <w:rFonts w:eastAsiaTheme="minorEastAsia"/>
              <w:noProof/>
              <w:lang w:val="en-CA" w:eastAsia="en-CA"/>
            </w:rPr>
          </w:pPr>
          <w:hyperlink w:history="1" w:anchor="_Toc95995666">
            <w:r w:rsidRPr="003455E4" w:rsidR="00F3222D">
              <w:rPr>
                <w:rStyle w:val="Hyperlink"/>
                <w:noProof/>
              </w:rPr>
              <w:t>Technical specifications</w:t>
            </w:r>
            <w:r w:rsidR="00F3222D">
              <w:rPr>
                <w:noProof/>
                <w:webHidden/>
              </w:rPr>
              <w:tab/>
            </w:r>
            <w:r w:rsidR="00F3222D">
              <w:rPr>
                <w:noProof/>
                <w:webHidden/>
              </w:rPr>
              <w:fldChar w:fldCharType="begin"/>
            </w:r>
            <w:r w:rsidR="00F3222D">
              <w:rPr>
                <w:noProof/>
                <w:webHidden/>
              </w:rPr>
              <w:instrText xml:space="preserve"> PAGEREF _Toc95995666 \h </w:instrText>
            </w:r>
            <w:r w:rsidR="00F3222D">
              <w:rPr>
                <w:noProof/>
                <w:webHidden/>
              </w:rPr>
            </w:r>
            <w:r w:rsidR="00F3222D">
              <w:rPr>
                <w:noProof/>
                <w:webHidden/>
              </w:rPr>
              <w:fldChar w:fldCharType="separate"/>
            </w:r>
            <w:r w:rsidR="00F3222D">
              <w:rPr>
                <w:noProof/>
                <w:webHidden/>
              </w:rPr>
              <w:t>7</w:t>
            </w:r>
            <w:r w:rsidR="00F3222D">
              <w:rPr>
                <w:noProof/>
                <w:webHidden/>
              </w:rPr>
              <w:fldChar w:fldCharType="end"/>
            </w:r>
          </w:hyperlink>
        </w:p>
        <w:p w:rsidR="00F3222D" w:rsidRDefault="00742F75" w14:paraId="4A883692" w14:textId="24AB7730">
          <w:pPr>
            <w:pStyle w:val="TOC3"/>
            <w:tabs>
              <w:tab w:val="right" w:leader="dot" w:pos="9350"/>
            </w:tabs>
            <w:rPr>
              <w:rFonts w:eastAsiaTheme="minorEastAsia"/>
              <w:noProof/>
              <w:lang w:val="en-CA" w:eastAsia="en-CA"/>
            </w:rPr>
          </w:pPr>
          <w:hyperlink w:history="1" w:anchor="_Toc95995667">
            <w:r w:rsidRPr="003455E4" w:rsidR="00F3222D">
              <w:rPr>
                <w:rStyle w:val="Hyperlink"/>
                <w:noProof/>
              </w:rPr>
              <w:t>Limitations and alternatives</w:t>
            </w:r>
            <w:r w:rsidR="00F3222D">
              <w:rPr>
                <w:noProof/>
                <w:webHidden/>
              </w:rPr>
              <w:tab/>
            </w:r>
            <w:r w:rsidR="00F3222D">
              <w:rPr>
                <w:noProof/>
                <w:webHidden/>
              </w:rPr>
              <w:fldChar w:fldCharType="begin"/>
            </w:r>
            <w:r w:rsidR="00F3222D">
              <w:rPr>
                <w:noProof/>
                <w:webHidden/>
              </w:rPr>
              <w:instrText xml:space="preserve"> PAGEREF _Toc95995667 \h </w:instrText>
            </w:r>
            <w:r w:rsidR="00F3222D">
              <w:rPr>
                <w:noProof/>
                <w:webHidden/>
              </w:rPr>
            </w:r>
            <w:r w:rsidR="00F3222D">
              <w:rPr>
                <w:noProof/>
                <w:webHidden/>
              </w:rPr>
              <w:fldChar w:fldCharType="separate"/>
            </w:r>
            <w:r w:rsidR="00F3222D">
              <w:rPr>
                <w:noProof/>
                <w:webHidden/>
              </w:rPr>
              <w:t>8</w:t>
            </w:r>
            <w:r w:rsidR="00F3222D">
              <w:rPr>
                <w:noProof/>
                <w:webHidden/>
              </w:rPr>
              <w:fldChar w:fldCharType="end"/>
            </w:r>
          </w:hyperlink>
        </w:p>
        <w:p w:rsidR="00F3222D" w:rsidRDefault="00742F75" w14:paraId="66A250B5" w14:textId="38583AB0">
          <w:pPr>
            <w:pStyle w:val="TOC3"/>
            <w:tabs>
              <w:tab w:val="right" w:leader="dot" w:pos="9350"/>
            </w:tabs>
            <w:rPr>
              <w:rFonts w:eastAsiaTheme="minorEastAsia"/>
              <w:noProof/>
              <w:lang w:val="en-CA" w:eastAsia="en-CA"/>
            </w:rPr>
          </w:pPr>
          <w:hyperlink w:history="1" w:anchor="_Toc95995668">
            <w:r w:rsidRPr="003455E4" w:rsidR="00F3222D">
              <w:rPr>
                <w:rStyle w:val="Hyperlink"/>
                <w:noProof/>
              </w:rPr>
              <w:t>Assessment approach</w:t>
            </w:r>
            <w:r w:rsidR="00F3222D">
              <w:rPr>
                <w:noProof/>
                <w:webHidden/>
              </w:rPr>
              <w:tab/>
            </w:r>
            <w:r w:rsidR="00F3222D">
              <w:rPr>
                <w:noProof/>
                <w:webHidden/>
              </w:rPr>
              <w:fldChar w:fldCharType="begin"/>
            </w:r>
            <w:r w:rsidR="00F3222D">
              <w:rPr>
                <w:noProof/>
                <w:webHidden/>
              </w:rPr>
              <w:instrText xml:space="preserve"> PAGEREF _Toc95995668 \h </w:instrText>
            </w:r>
            <w:r w:rsidR="00F3222D">
              <w:rPr>
                <w:noProof/>
                <w:webHidden/>
              </w:rPr>
            </w:r>
            <w:r w:rsidR="00F3222D">
              <w:rPr>
                <w:noProof/>
                <w:webHidden/>
              </w:rPr>
              <w:fldChar w:fldCharType="separate"/>
            </w:r>
            <w:r w:rsidR="00F3222D">
              <w:rPr>
                <w:noProof/>
                <w:webHidden/>
              </w:rPr>
              <w:t>8</w:t>
            </w:r>
            <w:r w:rsidR="00F3222D">
              <w:rPr>
                <w:noProof/>
                <w:webHidden/>
              </w:rPr>
              <w:fldChar w:fldCharType="end"/>
            </w:r>
          </w:hyperlink>
        </w:p>
        <w:p w:rsidR="00F3222D" w:rsidRDefault="00742F75" w14:paraId="7BFF2F81" w14:textId="6C674141">
          <w:pPr>
            <w:pStyle w:val="TOC3"/>
            <w:tabs>
              <w:tab w:val="right" w:leader="dot" w:pos="9350"/>
            </w:tabs>
            <w:rPr>
              <w:rFonts w:eastAsiaTheme="minorEastAsia"/>
              <w:noProof/>
              <w:lang w:val="en-CA" w:eastAsia="en-CA"/>
            </w:rPr>
          </w:pPr>
          <w:hyperlink w:history="1" w:anchor="_Toc95995669">
            <w:r w:rsidRPr="003455E4" w:rsidR="00F3222D">
              <w:rPr>
                <w:rStyle w:val="Hyperlink"/>
                <w:noProof/>
              </w:rPr>
              <w:t>Formal approval of this accessibility statement</w:t>
            </w:r>
            <w:r w:rsidR="00F3222D">
              <w:rPr>
                <w:noProof/>
                <w:webHidden/>
              </w:rPr>
              <w:tab/>
            </w:r>
            <w:r w:rsidR="00F3222D">
              <w:rPr>
                <w:noProof/>
                <w:webHidden/>
              </w:rPr>
              <w:fldChar w:fldCharType="begin"/>
            </w:r>
            <w:r w:rsidR="00F3222D">
              <w:rPr>
                <w:noProof/>
                <w:webHidden/>
              </w:rPr>
              <w:instrText xml:space="preserve"> PAGEREF _Toc95995669 \h </w:instrText>
            </w:r>
            <w:r w:rsidR="00F3222D">
              <w:rPr>
                <w:noProof/>
                <w:webHidden/>
              </w:rPr>
            </w:r>
            <w:r w:rsidR="00F3222D">
              <w:rPr>
                <w:noProof/>
                <w:webHidden/>
              </w:rPr>
              <w:fldChar w:fldCharType="separate"/>
            </w:r>
            <w:r w:rsidR="00F3222D">
              <w:rPr>
                <w:noProof/>
                <w:webHidden/>
              </w:rPr>
              <w:t>8</w:t>
            </w:r>
            <w:r w:rsidR="00F3222D">
              <w:rPr>
                <w:noProof/>
                <w:webHidden/>
              </w:rPr>
              <w:fldChar w:fldCharType="end"/>
            </w:r>
          </w:hyperlink>
        </w:p>
        <w:p w:rsidR="00691FD6" w:rsidRDefault="00691FD6" w14:paraId="11341266" w14:textId="07CE5C75">
          <w:r>
            <w:rPr>
              <w:b/>
              <w:bCs/>
              <w:noProof/>
            </w:rPr>
            <w:fldChar w:fldCharType="end"/>
          </w:r>
        </w:p>
      </w:sdtContent>
    </w:sdt>
    <w:p w:rsidR="00691FD6" w:rsidP="00D233B7" w:rsidRDefault="00691FD6" w14:paraId="16B9C322" w14:textId="77777777">
      <w:pPr>
        <w:ind w:firstLine="720"/>
      </w:pPr>
    </w:p>
    <w:p w:rsidR="00FA1F8A" w:rsidP="00FA1F8A" w:rsidRDefault="00FA1F8A" w14:paraId="69E6E50D" w14:textId="5DF689F3">
      <w:pPr>
        <w:pStyle w:val="Heading2"/>
      </w:pPr>
      <w:bookmarkStart w:name="_Toc95995657" w:id="1"/>
      <w:r>
        <w:lastRenderedPageBreak/>
        <w:t>Course Topics</w:t>
      </w:r>
      <w:bookmarkEnd w:id="1"/>
    </w:p>
    <w:p w:rsidR="002B4A7B" w:rsidP="00D233B7" w:rsidRDefault="007D1944" w14:paraId="7BA233CD" w14:textId="2A4D1869">
      <w:pPr>
        <w:ind w:firstLine="720"/>
      </w:pPr>
      <w:r>
        <w:t xml:space="preserve">The course </w:t>
      </w:r>
      <w:r w:rsidR="007C59F0">
        <w:t>is designed to expose students to the culture and expectations of post-secondary education in Canada</w:t>
      </w:r>
      <w:r w:rsidR="006545BE">
        <w:t xml:space="preserve"> and can generally be described as a ‘study and life skills’ experience</w:t>
      </w:r>
      <w:r w:rsidR="00FE4A81">
        <w:t xml:space="preserve"> that provides a foundation for students’ careers as college students</w:t>
      </w:r>
      <w:r w:rsidR="006545BE">
        <w:t>. As the course is designed for Conestoga College,</w:t>
      </w:r>
      <w:r w:rsidR="00FE4A81">
        <w:t xml:space="preserve"> </w:t>
      </w:r>
      <w:r w:rsidR="00A57472">
        <w:t>Conestoga specific resources are integrated and discussed throughout the course (e.g. Module 1 learners complete a College Resource Internet Scavenger Hunt to learn more about services offered by Conestoga</w:t>
      </w:r>
      <w:r w:rsidR="00443281">
        <w:t xml:space="preserve">; Module 4 </w:t>
      </w:r>
      <w:r w:rsidR="000F2676">
        <w:t>guides students through the academic integrity and APA information available from the College’s Library</w:t>
      </w:r>
      <w:r w:rsidR="00A57472">
        <w:t xml:space="preserve">). </w:t>
      </w:r>
      <w:r w:rsidR="00B22BCD">
        <w:t>We invite you to</w:t>
      </w:r>
      <w:r w:rsidR="00A87C07">
        <w:t xml:space="preserve"> replace Conestoga specific information with information about your own institution</w:t>
      </w:r>
      <w:r w:rsidR="009F5571">
        <w:t xml:space="preserve"> if applicable. </w:t>
      </w:r>
    </w:p>
    <w:p w:rsidR="00E555C2" w:rsidP="002B4A7B" w:rsidRDefault="005A30BF" w14:paraId="74FCC575" w14:textId="3CF74965">
      <w:pPr>
        <w:ind w:firstLine="720"/>
      </w:pPr>
      <w:r>
        <w:t>See the table below for a Quick Guide of the modules found in the resource:</w:t>
      </w:r>
    </w:p>
    <w:tbl>
      <w:tblPr>
        <w:tblStyle w:val="TableGrid"/>
        <w:tblW w:w="0" w:type="auto"/>
        <w:tblLook w:val="04A0" w:firstRow="1" w:lastRow="0" w:firstColumn="1" w:lastColumn="0" w:noHBand="0" w:noVBand="1"/>
      </w:tblPr>
      <w:tblGrid>
        <w:gridCol w:w="2155"/>
        <w:gridCol w:w="7195"/>
      </w:tblGrid>
      <w:tr w:rsidR="007D1944" w:rsidTr="00116FA6" w14:paraId="5499FEE2" w14:textId="77777777">
        <w:trPr>
          <w:cantSplit/>
          <w:tblHeader/>
        </w:trPr>
        <w:tc>
          <w:tcPr>
            <w:tcW w:w="2155" w:type="dxa"/>
          </w:tcPr>
          <w:p w:rsidRPr="007D1944" w:rsidR="007D1944" w:rsidP="007D1944" w:rsidRDefault="007D1944" w14:paraId="08E46493" w14:textId="74C83B91">
            <w:pPr>
              <w:rPr>
                <w:b/>
                <w:bCs/>
              </w:rPr>
            </w:pPr>
            <w:r w:rsidRPr="007D1944">
              <w:rPr>
                <w:b/>
                <w:bCs/>
              </w:rPr>
              <w:t>Module # / Title</w:t>
            </w:r>
          </w:p>
        </w:tc>
        <w:tc>
          <w:tcPr>
            <w:tcW w:w="7195" w:type="dxa"/>
          </w:tcPr>
          <w:p w:rsidRPr="007D1944" w:rsidR="007D1944" w:rsidP="007D1944" w:rsidRDefault="007D1944" w14:paraId="3CF315D9" w14:textId="3ED676A5">
            <w:pPr>
              <w:rPr>
                <w:b/>
                <w:bCs/>
              </w:rPr>
            </w:pPr>
            <w:r w:rsidRPr="007D1944">
              <w:rPr>
                <w:b/>
                <w:bCs/>
              </w:rPr>
              <w:t>Description</w:t>
            </w:r>
            <w:r>
              <w:rPr>
                <w:b/>
                <w:bCs/>
              </w:rPr>
              <w:t xml:space="preserve"> / Key Topics</w:t>
            </w:r>
          </w:p>
        </w:tc>
      </w:tr>
      <w:tr w:rsidR="007D1944" w:rsidTr="00116FA6" w14:paraId="6C3384C6" w14:textId="77777777">
        <w:trPr>
          <w:cantSplit/>
        </w:trPr>
        <w:tc>
          <w:tcPr>
            <w:tcW w:w="2155" w:type="dxa"/>
          </w:tcPr>
          <w:p w:rsidR="007D1944" w:rsidP="002B4A7B" w:rsidRDefault="007D1944" w14:paraId="32D40C8D" w14:textId="12E45543">
            <w:r>
              <w:t>1: Welcome to Student Success</w:t>
            </w:r>
          </w:p>
        </w:tc>
        <w:tc>
          <w:tcPr>
            <w:tcW w:w="7195" w:type="dxa"/>
          </w:tcPr>
          <w:p w:rsidR="007D1944" w:rsidP="00E8409E" w:rsidRDefault="00E8409E" w14:paraId="3092A1C7" w14:textId="77777777">
            <w:r>
              <w:t xml:space="preserve">This module introduces learners to the course and post-secondary education in general. </w:t>
            </w:r>
          </w:p>
          <w:p w:rsidR="00E8409E" w:rsidP="00E8409E" w:rsidRDefault="006E4AEE" w14:paraId="1492D0A7" w14:textId="2D0553A9">
            <w:r>
              <w:t>Select t</w:t>
            </w:r>
            <w:r w:rsidR="00E8409E">
              <w:t>opics include:</w:t>
            </w:r>
          </w:p>
          <w:p w:rsidR="00E8409E" w:rsidP="00E8409E" w:rsidRDefault="00B92471" w14:paraId="0FF2042F" w14:textId="77777777">
            <w:pPr>
              <w:pStyle w:val="ListParagraph"/>
              <w:numPr>
                <w:ilvl w:val="0"/>
                <w:numId w:val="2"/>
              </w:numPr>
            </w:pPr>
            <w:r>
              <w:t>Course delivery formats and modalities</w:t>
            </w:r>
          </w:p>
          <w:p w:rsidR="00B92471" w:rsidP="00E8409E" w:rsidRDefault="00B92471" w14:paraId="163A8638" w14:textId="77777777">
            <w:pPr>
              <w:pStyle w:val="ListParagraph"/>
              <w:numPr>
                <w:ilvl w:val="0"/>
                <w:numId w:val="2"/>
              </w:numPr>
            </w:pPr>
            <w:r>
              <w:t>Course outlines and Instructional Plans</w:t>
            </w:r>
          </w:p>
          <w:p w:rsidR="00B92471" w:rsidP="00E8409E" w:rsidRDefault="00B92471" w14:paraId="730532F2" w14:textId="77777777">
            <w:pPr>
              <w:pStyle w:val="ListParagraph"/>
              <w:numPr>
                <w:ilvl w:val="0"/>
                <w:numId w:val="2"/>
              </w:numPr>
            </w:pPr>
            <w:r>
              <w:t>eConestoga and Learning Management Systems (LMS)</w:t>
            </w:r>
          </w:p>
          <w:p w:rsidR="00431086" w:rsidP="00E8409E" w:rsidRDefault="00431086" w14:paraId="1A516ECA" w14:textId="77777777">
            <w:pPr>
              <w:pStyle w:val="ListParagraph"/>
              <w:numPr>
                <w:ilvl w:val="0"/>
                <w:numId w:val="2"/>
              </w:numPr>
            </w:pPr>
            <w:r>
              <w:t>Introduction to textbook and Open Educational Resources (OERs)</w:t>
            </w:r>
          </w:p>
          <w:p w:rsidR="00431086" w:rsidP="00E8409E" w:rsidRDefault="00431086" w14:paraId="3847178C" w14:textId="77777777">
            <w:pPr>
              <w:pStyle w:val="ListParagraph"/>
              <w:numPr>
                <w:ilvl w:val="0"/>
                <w:numId w:val="2"/>
              </w:numPr>
            </w:pPr>
            <w:r>
              <w:t>College services and resources for success</w:t>
            </w:r>
          </w:p>
          <w:p w:rsidR="00431086" w:rsidP="00E8409E" w:rsidRDefault="006E4AEE" w14:paraId="0BF25F02" w14:textId="36622C4C">
            <w:pPr>
              <w:pStyle w:val="ListParagraph"/>
              <w:numPr>
                <w:ilvl w:val="0"/>
                <w:numId w:val="2"/>
              </w:numPr>
            </w:pPr>
            <w:r>
              <w:t>Defining s</w:t>
            </w:r>
            <w:r w:rsidR="00431086">
              <w:t>uccess</w:t>
            </w:r>
            <w:r>
              <w:t xml:space="preserve"> and </w:t>
            </w:r>
            <w:r w:rsidR="00431086">
              <w:t>values</w:t>
            </w:r>
          </w:p>
        </w:tc>
      </w:tr>
      <w:tr w:rsidR="007D1944" w:rsidTr="00116FA6" w14:paraId="0AD0DFC0" w14:textId="77777777">
        <w:trPr>
          <w:cantSplit/>
        </w:trPr>
        <w:tc>
          <w:tcPr>
            <w:tcW w:w="2155" w:type="dxa"/>
          </w:tcPr>
          <w:p w:rsidR="007D1944" w:rsidP="002B4A7B" w:rsidRDefault="007D1944" w14:paraId="0F7990DA" w14:textId="1A4DFAD7">
            <w:r>
              <w:t>2: Time Management</w:t>
            </w:r>
          </w:p>
        </w:tc>
        <w:tc>
          <w:tcPr>
            <w:tcW w:w="7195" w:type="dxa"/>
          </w:tcPr>
          <w:p w:rsidR="007D1944" w:rsidP="002B4A7B" w:rsidRDefault="00A35850" w14:paraId="7559C6FB" w14:textId="77777777">
            <w:r>
              <w:t xml:space="preserve">This module introduces the concept of critical thinking (which is woven throughout the remaining modules) and time management strategies. </w:t>
            </w:r>
          </w:p>
          <w:p w:rsidR="00A35850" w:rsidP="00A35850" w:rsidRDefault="00A35850" w14:paraId="6EB9CCF0" w14:textId="77777777">
            <w:r>
              <w:t>Select topics include:</w:t>
            </w:r>
          </w:p>
          <w:p w:rsidR="00A35850" w:rsidP="00A35850" w:rsidRDefault="00C835CA" w14:paraId="1E339F4D" w14:textId="7E352462">
            <w:pPr>
              <w:pStyle w:val="ListParagraph"/>
              <w:numPr>
                <w:ilvl w:val="0"/>
                <w:numId w:val="3"/>
              </w:numPr>
            </w:pPr>
            <w:r>
              <w:t>Critical thinking</w:t>
            </w:r>
            <w:r w:rsidR="00C82BE2">
              <w:t>, biases, fallacies</w:t>
            </w:r>
          </w:p>
          <w:p w:rsidR="00C835CA" w:rsidP="00A35850" w:rsidRDefault="00C835CA" w14:paraId="3DEA0C1A" w14:textId="77777777">
            <w:pPr>
              <w:pStyle w:val="ListParagraph"/>
              <w:numPr>
                <w:ilvl w:val="0"/>
                <w:numId w:val="3"/>
              </w:numPr>
            </w:pPr>
            <w:r>
              <w:t>Time management strategies</w:t>
            </w:r>
          </w:p>
          <w:p w:rsidR="00C835CA" w:rsidP="00A35850" w:rsidRDefault="00C835CA" w14:paraId="3EB9385A" w14:textId="22F6670A">
            <w:pPr>
              <w:pStyle w:val="ListParagraph"/>
              <w:numPr>
                <w:ilvl w:val="0"/>
                <w:numId w:val="3"/>
              </w:numPr>
            </w:pPr>
            <w:r>
              <w:t>Prioritization</w:t>
            </w:r>
          </w:p>
          <w:p w:rsidR="00C835CA" w:rsidP="00A35850" w:rsidRDefault="00C82BE2" w14:paraId="5CED4121" w14:textId="37ECC66E">
            <w:pPr>
              <w:pStyle w:val="ListParagraph"/>
              <w:numPr>
                <w:ilvl w:val="0"/>
                <w:numId w:val="3"/>
              </w:numPr>
            </w:pPr>
            <w:r>
              <w:t>P</w:t>
            </w:r>
            <w:r w:rsidR="00C835CA">
              <w:t>rocrastination</w:t>
            </w:r>
          </w:p>
          <w:p w:rsidR="00C82BE2" w:rsidP="00A35850" w:rsidRDefault="00C82BE2" w14:paraId="45B6A47B" w14:textId="2932660C">
            <w:pPr>
              <w:pStyle w:val="ListParagraph"/>
              <w:numPr>
                <w:ilvl w:val="0"/>
                <w:numId w:val="3"/>
              </w:numPr>
            </w:pPr>
            <w:r>
              <w:t>multitasking</w:t>
            </w:r>
          </w:p>
        </w:tc>
      </w:tr>
      <w:tr w:rsidR="007D1944" w:rsidTr="00116FA6" w14:paraId="50CDB2F0" w14:textId="77777777">
        <w:trPr>
          <w:cantSplit/>
        </w:trPr>
        <w:tc>
          <w:tcPr>
            <w:tcW w:w="2155" w:type="dxa"/>
          </w:tcPr>
          <w:p w:rsidR="007D1944" w:rsidP="002B4A7B" w:rsidRDefault="007D1944" w14:paraId="0A246CCB" w14:textId="69513932">
            <w:r>
              <w:t>3: Goal Setting</w:t>
            </w:r>
          </w:p>
        </w:tc>
        <w:tc>
          <w:tcPr>
            <w:tcW w:w="7195" w:type="dxa"/>
          </w:tcPr>
          <w:p w:rsidR="007D1944" w:rsidP="002B4A7B" w:rsidRDefault="00C82BE2" w14:paraId="5374F6BF" w14:textId="77777777">
            <w:r>
              <w:t xml:space="preserve">This module introduces decision making </w:t>
            </w:r>
            <w:r w:rsidR="00AE6716">
              <w:t xml:space="preserve">(which is woven throughout the remaining modules) and goal setting. </w:t>
            </w:r>
          </w:p>
          <w:p w:rsidR="00AE6716" w:rsidP="00AE6716" w:rsidRDefault="00AE6716" w14:paraId="7BF4BDDE" w14:textId="77777777">
            <w:r>
              <w:t>Select topics include:</w:t>
            </w:r>
          </w:p>
          <w:p w:rsidR="00AE6716" w:rsidP="00AE6716" w:rsidRDefault="00AE6716" w14:paraId="766E2537" w14:textId="2D1C10CE">
            <w:pPr>
              <w:pStyle w:val="ListParagraph"/>
              <w:numPr>
                <w:ilvl w:val="0"/>
                <w:numId w:val="4"/>
              </w:numPr>
            </w:pPr>
            <w:r>
              <w:t>Decision making process</w:t>
            </w:r>
          </w:p>
          <w:p w:rsidR="00710DBB" w:rsidP="00AE6716" w:rsidRDefault="00710DBB" w14:paraId="76BBB401" w14:textId="6D4B9CCB">
            <w:pPr>
              <w:pStyle w:val="ListParagraph"/>
              <w:numPr>
                <w:ilvl w:val="0"/>
                <w:numId w:val="4"/>
              </w:numPr>
            </w:pPr>
            <w:r>
              <w:t>Attitudes for success</w:t>
            </w:r>
          </w:p>
          <w:p w:rsidR="00AE6716" w:rsidP="00AE6716" w:rsidRDefault="00710DBB" w14:paraId="069F0FA6" w14:textId="26CEA113">
            <w:pPr>
              <w:pStyle w:val="ListParagraph"/>
              <w:numPr>
                <w:ilvl w:val="0"/>
                <w:numId w:val="4"/>
              </w:numPr>
            </w:pPr>
            <w:r>
              <w:t>Varying lengths of goal setting</w:t>
            </w:r>
          </w:p>
          <w:p w:rsidR="00710DBB" w:rsidP="00AE6716" w:rsidRDefault="00710DBB" w14:paraId="648B49EC" w14:textId="3F0F6249">
            <w:pPr>
              <w:pStyle w:val="ListParagraph"/>
              <w:numPr>
                <w:ilvl w:val="0"/>
                <w:numId w:val="4"/>
              </w:numPr>
            </w:pPr>
            <w:r>
              <w:t>SMART goals</w:t>
            </w:r>
          </w:p>
          <w:p w:rsidR="00AE6716" w:rsidP="002B4A7B" w:rsidRDefault="00AE6716" w14:paraId="326E6962" w14:textId="00623AC3"/>
        </w:tc>
      </w:tr>
      <w:tr w:rsidR="007D1944" w:rsidTr="00116FA6" w14:paraId="737FB80C" w14:textId="77777777">
        <w:trPr>
          <w:cantSplit/>
        </w:trPr>
        <w:tc>
          <w:tcPr>
            <w:tcW w:w="2155" w:type="dxa"/>
          </w:tcPr>
          <w:p w:rsidR="007D1944" w:rsidP="002B4A7B" w:rsidRDefault="007D1944" w14:paraId="7E566EF6" w14:textId="1C8FC218">
            <w:r>
              <w:lastRenderedPageBreak/>
              <w:t>4: Academic Integrity</w:t>
            </w:r>
          </w:p>
        </w:tc>
        <w:tc>
          <w:tcPr>
            <w:tcW w:w="7195" w:type="dxa"/>
          </w:tcPr>
          <w:p w:rsidR="007D1944" w:rsidP="002B4A7B" w:rsidRDefault="00517420" w14:paraId="17087C5F" w14:textId="35C6849D">
            <w:r>
              <w:t>This module takes a unique approach to introducing academic integrity through the use of structured activities with associated practice. Custom graphics</w:t>
            </w:r>
            <w:r w:rsidR="00E46BE5">
              <w:t>, animations,</w:t>
            </w:r>
            <w:r>
              <w:t xml:space="preserve"> and callouts reflect </w:t>
            </w:r>
            <w:r w:rsidR="00E46BE5">
              <w:t xml:space="preserve">a learner perspective as ‘Alex’ works through the module with you. </w:t>
            </w:r>
          </w:p>
          <w:p w:rsidR="00E46BE5" w:rsidP="00E46BE5" w:rsidRDefault="00E46BE5" w14:paraId="219DCB0F" w14:textId="77777777">
            <w:r>
              <w:t>Select topics include:</w:t>
            </w:r>
          </w:p>
          <w:p w:rsidR="00E46BE5" w:rsidP="00E46BE5" w:rsidRDefault="00E46BE5" w14:paraId="4A05341F" w14:textId="77777777">
            <w:pPr>
              <w:pStyle w:val="ListParagraph"/>
              <w:numPr>
                <w:ilvl w:val="0"/>
                <w:numId w:val="5"/>
              </w:numPr>
            </w:pPr>
            <w:r>
              <w:t>Academic integrity</w:t>
            </w:r>
          </w:p>
          <w:p w:rsidR="00E46BE5" w:rsidP="00E46BE5" w:rsidRDefault="00E46BE5" w14:paraId="0BB4597C" w14:textId="77777777">
            <w:pPr>
              <w:pStyle w:val="ListParagraph"/>
              <w:numPr>
                <w:ilvl w:val="0"/>
                <w:numId w:val="5"/>
              </w:numPr>
            </w:pPr>
            <w:r>
              <w:t>Values associated with academic integrity</w:t>
            </w:r>
          </w:p>
          <w:p w:rsidR="00CE4F15" w:rsidP="00E46BE5" w:rsidRDefault="00CE4F15" w14:paraId="0A950588" w14:textId="131F8510">
            <w:pPr>
              <w:pStyle w:val="ListParagraph"/>
              <w:numPr>
                <w:ilvl w:val="0"/>
                <w:numId w:val="5"/>
              </w:numPr>
            </w:pPr>
            <w:r>
              <w:t>Examples of academic dishonesty and offences</w:t>
            </w:r>
          </w:p>
          <w:p w:rsidR="00CE4F15" w:rsidP="00E46BE5" w:rsidRDefault="00CE4F15" w14:paraId="7CC3CD3D" w14:textId="77777777">
            <w:pPr>
              <w:pStyle w:val="ListParagraph"/>
              <w:numPr>
                <w:ilvl w:val="0"/>
                <w:numId w:val="5"/>
              </w:numPr>
            </w:pPr>
            <w:r>
              <w:t>APA @ Conestoga referencing and citation format</w:t>
            </w:r>
          </w:p>
          <w:p w:rsidR="00CE4F15" w:rsidP="00E46BE5" w:rsidRDefault="00CE4F15" w14:paraId="54EBC209" w14:textId="397E3E05">
            <w:pPr>
              <w:pStyle w:val="ListParagraph"/>
              <w:numPr>
                <w:ilvl w:val="0"/>
                <w:numId w:val="5"/>
              </w:numPr>
            </w:pPr>
            <w:r>
              <w:t>Quoting, Paraphrasing, and Summarizing</w:t>
            </w:r>
          </w:p>
        </w:tc>
      </w:tr>
      <w:tr w:rsidR="007D1944" w:rsidTr="00116FA6" w14:paraId="36833AC0" w14:textId="77777777">
        <w:trPr>
          <w:cantSplit/>
        </w:trPr>
        <w:tc>
          <w:tcPr>
            <w:tcW w:w="2155" w:type="dxa"/>
          </w:tcPr>
          <w:p w:rsidR="007D1944" w:rsidP="002B4A7B" w:rsidRDefault="009F6495" w14:paraId="05C489F7" w14:textId="69E39811">
            <w:r>
              <w:t>5: Student Learning Strategies</w:t>
            </w:r>
          </w:p>
        </w:tc>
        <w:tc>
          <w:tcPr>
            <w:tcW w:w="7195" w:type="dxa"/>
          </w:tcPr>
          <w:p w:rsidR="007D1944" w:rsidP="002B4A7B" w:rsidRDefault="00BD182F" w14:paraId="284C4FC1" w14:textId="77777777">
            <w:r>
              <w:t>This module introduces the Learning Cycle and discusses listening, reading, and note taking strategies</w:t>
            </w:r>
            <w:r w:rsidR="002C00AA">
              <w:t xml:space="preserve">. </w:t>
            </w:r>
          </w:p>
          <w:p w:rsidR="002C00AA" w:rsidP="002C00AA" w:rsidRDefault="002C00AA" w14:paraId="156096C4" w14:textId="77777777">
            <w:r>
              <w:t>Select topics include:</w:t>
            </w:r>
          </w:p>
          <w:p w:rsidR="002C00AA" w:rsidP="002C00AA" w:rsidRDefault="002C00AA" w14:paraId="2277C28C" w14:textId="77777777">
            <w:pPr>
              <w:pStyle w:val="ListParagraph"/>
              <w:numPr>
                <w:ilvl w:val="0"/>
                <w:numId w:val="6"/>
              </w:numPr>
            </w:pPr>
            <w:r>
              <w:t>The Learning Cycle</w:t>
            </w:r>
          </w:p>
          <w:p w:rsidR="002C00AA" w:rsidP="002C00AA" w:rsidRDefault="002C00AA" w14:paraId="4C673B5E" w14:textId="77777777">
            <w:pPr>
              <w:pStyle w:val="ListParagraph"/>
              <w:numPr>
                <w:ilvl w:val="0"/>
                <w:numId w:val="6"/>
              </w:numPr>
            </w:pPr>
            <w:r>
              <w:t>Active listening</w:t>
            </w:r>
          </w:p>
          <w:p w:rsidR="002C00AA" w:rsidP="002C00AA" w:rsidRDefault="002C00AA" w14:paraId="154A887B" w14:textId="77777777">
            <w:pPr>
              <w:pStyle w:val="ListParagraph"/>
              <w:numPr>
                <w:ilvl w:val="0"/>
                <w:numId w:val="6"/>
              </w:numPr>
            </w:pPr>
            <w:r>
              <w:t>Asking thoughtful questions</w:t>
            </w:r>
          </w:p>
          <w:p w:rsidR="002C00AA" w:rsidP="002C00AA" w:rsidRDefault="002C00AA" w14:paraId="36B5896C" w14:textId="77777777">
            <w:pPr>
              <w:pStyle w:val="ListParagraph"/>
              <w:numPr>
                <w:ilvl w:val="0"/>
                <w:numId w:val="6"/>
              </w:numPr>
            </w:pPr>
            <w:r>
              <w:t>Reading strategies</w:t>
            </w:r>
          </w:p>
          <w:p w:rsidR="002C00AA" w:rsidP="002C00AA" w:rsidRDefault="002C00AA" w14:paraId="5FED87E5" w14:textId="4AD65E52">
            <w:pPr>
              <w:pStyle w:val="ListParagraph"/>
              <w:numPr>
                <w:ilvl w:val="0"/>
                <w:numId w:val="6"/>
              </w:numPr>
            </w:pPr>
            <w:r>
              <w:t>Note taking strategies</w:t>
            </w:r>
          </w:p>
        </w:tc>
      </w:tr>
      <w:tr w:rsidR="009F6495" w:rsidTr="00116FA6" w14:paraId="6BA355E6" w14:textId="77777777">
        <w:trPr>
          <w:cantSplit/>
        </w:trPr>
        <w:tc>
          <w:tcPr>
            <w:tcW w:w="2155" w:type="dxa"/>
          </w:tcPr>
          <w:p w:rsidR="009F6495" w:rsidP="002B4A7B" w:rsidRDefault="009F6495" w14:paraId="3E7EC409" w14:textId="10D11F6E">
            <w:r>
              <w:t>6: Memory and Test Taking</w:t>
            </w:r>
            <w:r w:rsidR="009F5571">
              <w:t>, Quiz 1</w:t>
            </w:r>
          </w:p>
        </w:tc>
        <w:tc>
          <w:tcPr>
            <w:tcW w:w="7195" w:type="dxa"/>
          </w:tcPr>
          <w:p w:rsidR="009F6495" w:rsidP="002B4A7B" w:rsidRDefault="00C23404" w14:paraId="144840BB" w14:textId="77777777">
            <w:r>
              <w:t xml:space="preserve">This module is timed to align with most midterm exam weeks. It </w:t>
            </w:r>
            <w:r w:rsidR="00F84690">
              <w:t xml:space="preserve">introduces memory and test-taking information. </w:t>
            </w:r>
          </w:p>
          <w:p w:rsidR="00F84690" w:rsidP="00F84690" w:rsidRDefault="00F84690" w14:paraId="06DF73C3" w14:textId="77777777">
            <w:r>
              <w:t>Select topics include:</w:t>
            </w:r>
          </w:p>
          <w:p w:rsidR="00F84690" w:rsidP="007C6505" w:rsidRDefault="007C6505" w14:paraId="7AF2CDAC" w14:textId="77777777">
            <w:pPr>
              <w:pStyle w:val="ListParagraph"/>
              <w:numPr>
                <w:ilvl w:val="0"/>
                <w:numId w:val="7"/>
              </w:numPr>
            </w:pPr>
            <w:r>
              <w:t>Memory</w:t>
            </w:r>
          </w:p>
          <w:p w:rsidR="007C6505" w:rsidP="007C6505" w:rsidRDefault="007C6505" w14:paraId="2CD1C9BC" w14:textId="77777777">
            <w:pPr>
              <w:pStyle w:val="ListParagraph"/>
              <w:numPr>
                <w:ilvl w:val="0"/>
                <w:numId w:val="7"/>
              </w:numPr>
            </w:pPr>
            <w:r>
              <w:t>Memory strategies</w:t>
            </w:r>
          </w:p>
          <w:p w:rsidR="007C6505" w:rsidP="007C6505" w:rsidRDefault="007C6505" w14:paraId="11F8CFC1" w14:textId="77777777">
            <w:pPr>
              <w:pStyle w:val="ListParagraph"/>
              <w:numPr>
                <w:ilvl w:val="0"/>
                <w:numId w:val="7"/>
              </w:numPr>
            </w:pPr>
            <w:r>
              <w:t>Studying strategies</w:t>
            </w:r>
          </w:p>
          <w:p w:rsidR="007C6505" w:rsidP="007C6505" w:rsidRDefault="007C6505" w14:paraId="7CEBB48A" w14:textId="77777777">
            <w:pPr>
              <w:pStyle w:val="ListParagraph"/>
              <w:numPr>
                <w:ilvl w:val="0"/>
                <w:numId w:val="7"/>
              </w:numPr>
            </w:pPr>
            <w:r>
              <w:t>Types of test and questions</w:t>
            </w:r>
          </w:p>
          <w:p w:rsidR="007C6505" w:rsidP="007C6505" w:rsidRDefault="007C6505" w14:paraId="4A97E6F2" w14:textId="77777777">
            <w:pPr>
              <w:pStyle w:val="ListParagraph"/>
              <w:numPr>
                <w:ilvl w:val="0"/>
                <w:numId w:val="7"/>
              </w:numPr>
            </w:pPr>
            <w:r>
              <w:t>During-test strate</w:t>
            </w:r>
            <w:r w:rsidR="005365B4">
              <w:t>gies</w:t>
            </w:r>
          </w:p>
          <w:p w:rsidR="005365B4" w:rsidP="007C6505" w:rsidRDefault="005365B4" w14:paraId="0B7A439F" w14:textId="77777777">
            <w:pPr>
              <w:pStyle w:val="ListParagraph"/>
              <w:numPr>
                <w:ilvl w:val="0"/>
                <w:numId w:val="7"/>
              </w:numPr>
            </w:pPr>
            <w:r>
              <w:t>Managing test anxiety</w:t>
            </w:r>
          </w:p>
          <w:p w:rsidR="005365B4" w:rsidP="007C6505" w:rsidRDefault="005365B4" w14:paraId="2033507C" w14:textId="7F83AABA">
            <w:pPr>
              <w:pStyle w:val="ListParagraph"/>
              <w:numPr>
                <w:ilvl w:val="0"/>
                <w:numId w:val="7"/>
              </w:numPr>
            </w:pPr>
            <w:r>
              <w:t>Critical thinking midterm check in</w:t>
            </w:r>
          </w:p>
        </w:tc>
      </w:tr>
      <w:tr w:rsidR="008F616C" w:rsidTr="00116FA6" w14:paraId="0D8647C3" w14:textId="77777777">
        <w:trPr>
          <w:cantSplit/>
        </w:trPr>
        <w:tc>
          <w:tcPr>
            <w:tcW w:w="2155" w:type="dxa"/>
          </w:tcPr>
          <w:p w:rsidR="008F616C" w:rsidP="002B4A7B" w:rsidRDefault="008F616C" w14:paraId="6CCBD4FA" w14:textId="217B7A1C">
            <w:r>
              <w:t>7: Teaching and Learning</w:t>
            </w:r>
          </w:p>
        </w:tc>
        <w:tc>
          <w:tcPr>
            <w:tcW w:w="7195" w:type="dxa"/>
          </w:tcPr>
          <w:p w:rsidR="008F616C" w:rsidP="002B4A7B" w:rsidRDefault="003630B0" w14:paraId="34A996F0" w14:textId="49C27F54">
            <w:r>
              <w:t>This module encourages learners to explore their own learning preferences</w:t>
            </w:r>
            <w:r w:rsidR="00C77B3F">
              <w:t xml:space="preserve"> and skills,</w:t>
            </w:r>
            <w:r>
              <w:t xml:space="preserve"> so they are able to adapt to teaching styles. </w:t>
            </w:r>
          </w:p>
          <w:p w:rsidR="003630B0" w:rsidP="003630B0" w:rsidRDefault="003630B0" w14:paraId="69104489" w14:textId="77777777">
            <w:r>
              <w:t>Select topics include:</w:t>
            </w:r>
          </w:p>
          <w:p w:rsidR="003630B0" w:rsidP="003630B0" w:rsidRDefault="00C77B3F" w14:paraId="44D9949A" w14:textId="77777777">
            <w:pPr>
              <w:pStyle w:val="ListParagraph"/>
              <w:numPr>
                <w:ilvl w:val="0"/>
                <w:numId w:val="8"/>
              </w:numPr>
            </w:pPr>
            <w:r>
              <w:t>Learning styles (VARK, Felder-Silverman Model)</w:t>
            </w:r>
          </w:p>
          <w:p w:rsidR="00C77B3F" w:rsidP="003630B0" w:rsidRDefault="00C77B3F" w14:paraId="7E930328" w14:textId="77777777">
            <w:pPr>
              <w:pStyle w:val="ListParagraph"/>
              <w:numPr>
                <w:ilvl w:val="0"/>
                <w:numId w:val="8"/>
              </w:numPr>
            </w:pPr>
            <w:r>
              <w:t>Self-regulated learning</w:t>
            </w:r>
          </w:p>
          <w:p w:rsidR="00C77B3F" w:rsidP="003630B0" w:rsidRDefault="00C77B3F" w14:paraId="1DDC8BF2" w14:textId="77777777">
            <w:pPr>
              <w:pStyle w:val="ListParagraph"/>
              <w:numPr>
                <w:ilvl w:val="0"/>
                <w:numId w:val="8"/>
              </w:numPr>
            </w:pPr>
            <w:r>
              <w:t>Emotional intelligence</w:t>
            </w:r>
          </w:p>
          <w:p w:rsidR="00C77B3F" w:rsidP="003630B0" w:rsidRDefault="00C77B3F" w14:paraId="62B67A7F" w14:textId="084C6D1B">
            <w:pPr>
              <w:pStyle w:val="ListParagraph"/>
              <w:numPr>
                <w:ilvl w:val="0"/>
                <w:numId w:val="8"/>
              </w:numPr>
            </w:pPr>
            <w:r>
              <w:t>Introduction to groupwork</w:t>
            </w:r>
          </w:p>
        </w:tc>
      </w:tr>
      <w:tr w:rsidR="00FE6431" w:rsidTr="00116FA6" w14:paraId="101B087F" w14:textId="77777777">
        <w:trPr>
          <w:cantSplit/>
        </w:trPr>
        <w:tc>
          <w:tcPr>
            <w:tcW w:w="2155" w:type="dxa"/>
          </w:tcPr>
          <w:p w:rsidR="00FE6431" w:rsidP="00FE6431" w:rsidRDefault="00FE6431" w14:paraId="2E7CBE11" w14:textId="2E8B5F7B">
            <w:r>
              <w:t>8: Student Success Week</w:t>
            </w:r>
          </w:p>
        </w:tc>
        <w:tc>
          <w:tcPr>
            <w:tcW w:w="7195" w:type="dxa"/>
          </w:tcPr>
          <w:p w:rsidR="00FE6431" w:rsidP="00FE6431" w:rsidRDefault="00FE6431" w14:paraId="029458B0" w14:textId="33DAAD7A">
            <w:r>
              <w:t>N/A</w:t>
            </w:r>
          </w:p>
        </w:tc>
      </w:tr>
      <w:tr w:rsidR="00FE6431" w:rsidTr="00116FA6" w14:paraId="42901329" w14:textId="77777777">
        <w:trPr>
          <w:cantSplit/>
        </w:trPr>
        <w:tc>
          <w:tcPr>
            <w:tcW w:w="2155" w:type="dxa"/>
          </w:tcPr>
          <w:p w:rsidR="00FE6431" w:rsidP="00FE6431" w:rsidRDefault="00FE6431" w14:paraId="540FB339" w14:textId="3F07B992">
            <w:r>
              <w:lastRenderedPageBreak/>
              <w:t>9: Successful Communication in Diverse Settings</w:t>
            </w:r>
          </w:p>
        </w:tc>
        <w:tc>
          <w:tcPr>
            <w:tcW w:w="7195" w:type="dxa"/>
          </w:tcPr>
          <w:p w:rsidR="00FE6431" w:rsidP="00FE6431" w:rsidRDefault="00600E92" w14:paraId="69476766" w14:textId="0FE7528C">
            <w:r>
              <w:t xml:space="preserve">This module forms the basis for </w:t>
            </w:r>
            <w:r w:rsidR="00F342D8">
              <w:t>communication through a discussion of diversity</w:t>
            </w:r>
            <w:r w:rsidR="008B5EC4">
              <w:t xml:space="preserve"> and biases from a psychological perspective</w:t>
            </w:r>
            <w:r w:rsidR="00F342D8">
              <w:t xml:space="preserve">. </w:t>
            </w:r>
          </w:p>
          <w:p w:rsidR="00F342D8" w:rsidP="00F342D8" w:rsidRDefault="00F342D8" w14:paraId="7356AB6A" w14:textId="77777777">
            <w:r>
              <w:t>Select topics include:</w:t>
            </w:r>
          </w:p>
          <w:p w:rsidR="00F342D8" w:rsidP="00F342D8" w:rsidRDefault="00F342D8" w14:paraId="6646D6BC" w14:textId="77777777">
            <w:pPr>
              <w:pStyle w:val="ListParagraph"/>
              <w:numPr>
                <w:ilvl w:val="0"/>
                <w:numId w:val="9"/>
              </w:numPr>
            </w:pPr>
            <w:r>
              <w:t>Diversity</w:t>
            </w:r>
          </w:p>
          <w:p w:rsidR="00F342D8" w:rsidP="00F342D8" w:rsidRDefault="00F342D8" w14:paraId="2903F9E7" w14:textId="6F1176A6">
            <w:pPr>
              <w:pStyle w:val="ListParagraph"/>
              <w:numPr>
                <w:ilvl w:val="0"/>
                <w:numId w:val="9"/>
              </w:numPr>
            </w:pPr>
            <w:r>
              <w:t>Gender</w:t>
            </w:r>
          </w:p>
          <w:p w:rsidR="00F342D8" w:rsidP="00F342D8" w:rsidRDefault="00F342D8" w14:paraId="1C9FBA44" w14:textId="03569BA1">
            <w:pPr>
              <w:pStyle w:val="ListParagraph"/>
              <w:numPr>
                <w:ilvl w:val="0"/>
                <w:numId w:val="9"/>
              </w:numPr>
            </w:pPr>
            <w:r>
              <w:t>Culture</w:t>
            </w:r>
          </w:p>
          <w:p w:rsidR="00F342D8" w:rsidP="00F342D8" w:rsidRDefault="00F342D8" w14:paraId="66F25800" w14:textId="77777777">
            <w:pPr>
              <w:pStyle w:val="ListParagraph"/>
              <w:numPr>
                <w:ilvl w:val="0"/>
                <w:numId w:val="9"/>
              </w:numPr>
            </w:pPr>
            <w:r>
              <w:t>Cultural competence</w:t>
            </w:r>
          </w:p>
          <w:p w:rsidR="00F342D8" w:rsidP="00F342D8" w:rsidRDefault="00165C59" w14:paraId="5B763407" w14:textId="77777777">
            <w:pPr>
              <w:pStyle w:val="ListParagraph"/>
              <w:numPr>
                <w:ilvl w:val="0"/>
                <w:numId w:val="9"/>
              </w:numPr>
            </w:pPr>
            <w:r>
              <w:t>Biases and attribution error</w:t>
            </w:r>
          </w:p>
          <w:p w:rsidR="00165C59" w:rsidP="00F342D8" w:rsidRDefault="00165C59" w14:paraId="20146F47" w14:textId="77777777">
            <w:pPr>
              <w:pStyle w:val="ListParagraph"/>
              <w:numPr>
                <w:ilvl w:val="0"/>
                <w:numId w:val="9"/>
              </w:numPr>
            </w:pPr>
            <w:r>
              <w:t>Barriers to effective communication</w:t>
            </w:r>
          </w:p>
          <w:p w:rsidR="00165C59" w:rsidP="00F342D8" w:rsidRDefault="00165C59" w14:paraId="795B671F" w14:textId="25995610">
            <w:pPr>
              <w:pStyle w:val="ListParagraph"/>
              <w:numPr>
                <w:ilvl w:val="0"/>
                <w:numId w:val="9"/>
              </w:numPr>
            </w:pPr>
            <w:r>
              <w:t>Communication in groups</w:t>
            </w:r>
          </w:p>
        </w:tc>
      </w:tr>
      <w:tr w:rsidR="00FE6431" w:rsidTr="00116FA6" w14:paraId="7150F0F1" w14:textId="77777777">
        <w:trPr>
          <w:cantSplit/>
        </w:trPr>
        <w:tc>
          <w:tcPr>
            <w:tcW w:w="2155" w:type="dxa"/>
          </w:tcPr>
          <w:p w:rsidR="00FE6431" w:rsidP="00FE6431" w:rsidRDefault="00FE6431" w14:paraId="20C39430" w14:textId="12488A2C">
            <w:r>
              <w:t>10: Successful Communication in Diverse Settings</w:t>
            </w:r>
          </w:p>
        </w:tc>
        <w:tc>
          <w:tcPr>
            <w:tcW w:w="7195" w:type="dxa"/>
          </w:tcPr>
          <w:p w:rsidR="00FE6431" w:rsidP="00FE6431" w:rsidRDefault="00165C59" w14:paraId="109649A0" w14:textId="77777777">
            <w:r>
              <w:t xml:space="preserve">Continuing the discussion from the previous module, this module focuses more on feedback and presentation skills. </w:t>
            </w:r>
          </w:p>
          <w:p w:rsidR="00165C59" w:rsidP="00165C59" w:rsidRDefault="00165C59" w14:paraId="709331B3" w14:textId="77777777">
            <w:r>
              <w:t>Select topics include:</w:t>
            </w:r>
          </w:p>
          <w:p w:rsidR="00AB66C1" w:rsidP="00165C59" w:rsidRDefault="00AB66C1" w14:paraId="2685739A" w14:textId="77777777">
            <w:pPr>
              <w:pStyle w:val="ListParagraph"/>
              <w:numPr>
                <w:ilvl w:val="0"/>
                <w:numId w:val="10"/>
              </w:numPr>
            </w:pPr>
            <w:r>
              <w:t>Communication styles</w:t>
            </w:r>
          </w:p>
          <w:p w:rsidR="00165C59" w:rsidP="00165C59" w:rsidRDefault="00AB66C1" w14:paraId="5BB8AFD9" w14:textId="77777777">
            <w:pPr>
              <w:pStyle w:val="ListParagraph"/>
              <w:numPr>
                <w:ilvl w:val="0"/>
                <w:numId w:val="10"/>
              </w:numPr>
            </w:pPr>
            <w:r>
              <w:t>Effective communication</w:t>
            </w:r>
          </w:p>
          <w:p w:rsidR="00AB66C1" w:rsidP="00165C59" w:rsidRDefault="00AB66C1" w14:paraId="3D6A84AB" w14:textId="02F88D6B">
            <w:pPr>
              <w:pStyle w:val="ListParagraph"/>
              <w:numPr>
                <w:ilvl w:val="0"/>
                <w:numId w:val="10"/>
              </w:numPr>
            </w:pPr>
            <w:r>
              <w:t>Conflict</w:t>
            </w:r>
          </w:p>
          <w:p w:rsidR="00AB66C1" w:rsidP="00165C59" w:rsidRDefault="00AB66C1" w14:paraId="5E230875" w14:textId="77777777">
            <w:pPr>
              <w:pStyle w:val="ListParagraph"/>
              <w:numPr>
                <w:ilvl w:val="0"/>
                <w:numId w:val="10"/>
              </w:numPr>
            </w:pPr>
            <w:r>
              <w:t>Giving and receiving feedback</w:t>
            </w:r>
          </w:p>
          <w:p w:rsidR="00D841B4" w:rsidP="00165C59" w:rsidRDefault="00D841B4" w14:paraId="753077A0" w14:textId="77777777">
            <w:pPr>
              <w:pStyle w:val="ListParagraph"/>
              <w:numPr>
                <w:ilvl w:val="0"/>
                <w:numId w:val="10"/>
              </w:numPr>
            </w:pPr>
            <w:r>
              <w:t>Planning for presentations</w:t>
            </w:r>
          </w:p>
          <w:p w:rsidR="00D841B4" w:rsidP="00165C59" w:rsidRDefault="00D841B4" w14:paraId="17D2C97A" w14:textId="77777777">
            <w:pPr>
              <w:pStyle w:val="ListParagraph"/>
              <w:numPr>
                <w:ilvl w:val="0"/>
                <w:numId w:val="10"/>
              </w:numPr>
            </w:pPr>
            <w:r>
              <w:t>Presentation tips</w:t>
            </w:r>
          </w:p>
          <w:p w:rsidR="00D841B4" w:rsidP="00165C59" w:rsidRDefault="00D841B4" w14:paraId="0A18B7D4" w14:textId="102D6F9D">
            <w:pPr>
              <w:pStyle w:val="ListParagraph"/>
              <w:numPr>
                <w:ilvl w:val="0"/>
                <w:numId w:val="10"/>
              </w:numPr>
            </w:pPr>
            <w:r>
              <w:t>Performance anxiety</w:t>
            </w:r>
          </w:p>
        </w:tc>
      </w:tr>
      <w:tr w:rsidR="00FE6431" w:rsidTr="00116FA6" w14:paraId="7A4BF1ED" w14:textId="77777777">
        <w:trPr>
          <w:cantSplit/>
        </w:trPr>
        <w:tc>
          <w:tcPr>
            <w:tcW w:w="2155" w:type="dxa"/>
          </w:tcPr>
          <w:p w:rsidR="00FE6431" w:rsidP="00FE6431" w:rsidRDefault="00FE6431" w14:paraId="7991B867" w14:textId="5909583E">
            <w:r>
              <w:t>11: Mental Health and Wellness</w:t>
            </w:r>
          </w:p>
        </w:tc>
        <w:tc>
          <w:tcPr>
            <w:tcW w:w="7195" w:type="dxa"/>
          </w:tcPr>
          <w:p w:rsidR="00FE6431" w:rsidP="00FE6431" w:rsidRDefault="00D841B4" w14:paraId="3196D50C" w14:textId="77777777">
            <w:r>
              <w:t xml:space="preserve">This module focuses on mental health and stress. </w:t>
            </w:r>
          </w:p>
          <w:p w:rsidR="00C3551B" w:rsidP="00C3551B" w:rsidRDefault="00C3551B" w14:paraId="0277E82F" w14:textId="77777777">
            <w:r>
              <w:t>Select topics include:</w:t>
            </w:r>
          </w:p>
          <w:p w:rsidR="00C3551B" w:rsidP="00C3551B" w:rsidRDefault="00C3551B" w14:paraId="681DE5A1" w14:textId="77777777">
            <w:pPr>
              <w:pStyle w:val="ListParagraph"/>
              <w:numPr>
                <w:ilvl w:val="0"/>
                <w:numId w:val="11"/>
              </w:numPr>
            </w:pPr>
            <w:r>
              <w:t>Mental health and stigma</w:t>
            </w:r>
          </w:p>
          <w:p w:rsidR="00C3551B" w:rsidP="00C3551B" w:rsidRDefault="00C3551B" w14:paraId="4CB5C5A0" w14:textId="77777777">
            <w:pPr>
              <w:pStyle w:val="ListParagraph"/>
              <w:numPr>
                <w:ilvl w:val="0"/>
                <w:numId w:val="11"/>
              </w:numPr>
            </w:pPr>
            <w:r>
              <w:t>Stress and stressors</w:t>
            </w:r>
          </w:p>
          <w:p w:rsidR="00C3551B" w:rsidP="00C3551B" w:rsidRDefault="00C3551B" w14:paraId="0D6B515B" w14:textId="77777777">
            <w:pPr>
              <w:pStyle w:val="ListParagraph"/>
              <w:numPr>
                <w:ilvl w:val="0"/>
                <w:numId w:val="11"/>
              </w:numPr>
            </w:pPr>
            <w:r>
              <w:t>Stress management</w:t>
            </w:r>
          </w:p>
          <w:p w:rsidR="00C3551B" w:rsidP="00C3551B" w:rsidRDefault="00C3551B" w14:paraId="7C02D6BD" w14:textId="3AE2880D">
            <w:pPr>
              <w:pStyle w:val="ListParagraph"/>
              <w:numPr>
                <w:ilvl w:val="0"/>
                <w:numId w:val="11"/>
              </w:numPr>
            </w:pPr>
            <w:r>
              <w:t>Depression</w:t>
            </w:r>
          </w:p>
          <w:p w:rsidR="00C3551B" w:rsidP="00C3551B" w:rsidRDefault="00090284" w14:paraId="665C3436" w14:textId="58043ED8">
            <w:pPr>
              <w:pStyle w:val="ListParagraph"/>
              <w:numPr>
                <w:ilvl w:val="0"/>
                <w:numId w:val="11"/>
              </w:numPr>
            </w:pPr>
            <w:r>
              <w:t>T</w:t>
            </w:r>
            <w:r w:rsidR="00C3551B">
              <w:t>herapies</w:t>
            </w:r>
          </w:p>
        </w:tc>
      </w:tr>
      <w:tr w:rsidR="00FE6431" w:rsidTr="00116FA6" w14:paraId="071F8DDB" w14:textId="77777777">
        <w:trPr>
          <w:cantSplit/>
        </w:trPr>
        <w:tc>
          <w:tcPr>
            <w:tcW w:w="2155" w:type="dxa"/>
          </w:tcPr>
          <w:p w:rsidR="00FE6431" w:rsidP="00FE6431" w:rsidRDefault="00FE6431" w14:paraId="57208544" w14:textId="0377552B">
            <w:r>
              <w:t>12: Mental Health and Wellness</w:t>
            </w:r>
          </w:p>
        </w:tc>
        <w:tc>
          <w:tcPr>
            <w:tcW w:w="7195" w:type="dxa"/>
          </w:tcPr>
          <w:p w:rsidR="00FE6431" w:rsidP="00FE6431" w:rsidRDefault="00090284" w14:paraId="2C1BA419" w14:textId="77777777">
            <w:r>
              <w:t xml:space="preserve">This module discusses physical health and wellness. </w:t>
            </w:r>
          </w:p>
          <w:p w:rsidR="00090284" w:rsidP="00090284" w:rsidRDefault="00090284" w14:paraId="3B732641" w14:textId="77777777">
            <w:r>
              <w:t>Select topics include:</w:t>
            </w:r>
          </w:p>
          <w:p w:rsidR="00090284" w:rsidP="00090284" w:rsidRDefault="00090284" w14:paraId="37867A95" w14:textId="041FAB25">
            <w:pPr>
              <w:pStyle w:val="ListParagraph"/>
              <w:numPr>
                <w:ilvl w:val="0"/>
                <w:numId w:val="12"/>
              </w:numPr>
            </w:pPr>
            <w:r>
              <w:t>Barriers to wellness</w:t>
            </w:r>
          </w:p>
          <w:p w:rsidR="00090284" w:rsidP="00090284" w:rsidRDefault="00090284" w14:paraId="4374FBDA" w14:textId="6616F001">
            <w:pPr>
              <w:pStyle w:val="ListParagraph"/>
              <w:numPr>
                <w:ilvl w:val="0"/>
                <w:numId w:val="12"/>
              </w:numPr>
            </w:pPr>
            <w:r>
              <w:t>Physical activity</w:t>
            </w:r>
          </w:p>
          <w:p w:rsidR="00090284" w:rsidP="00090284" w:rsidRDefault="00090284" w14:paraId="3397D303" w14:textId="6BAB0143">
            <w:pPr>
              <w:pStyle w:val="ListParagraph"/>
              <w:numPr>
                <w:ilvl w:val="0"/>
                <w:numId w:val="12"/>
              </w:numPr>
            </w:pPr>
            <w:r>
              <w:t>Nutrition</w:t>
            </w:r>
          </w:p>
          <w:p w:rsidR="00090284" w:rsidP="00090284" w:rsidRDefault="00090284" w14:paraId="7DAC9CE8" w14:textId="77777777">
            <w:pPr>
              <w:pStyle w:val="ListParagraph"/>
              <w:numPr>
                <w:ilvl w:val="0"/>
                <w:numId w:val="12"/>
              </w:numPr>
            </w:pPr>
            <w:r>
              <w:t>Sleep hygiene</w:t>
            </w:r>
          </w:p>
          <w:p w:rsidR="00CB65C3" w:rsidP="00090284" w:rsidRDefault="008B5EC4" w14:paraId="15A57253" w14:textId="22D50E68">
            <w:pPr>
              <w:pStyle w:val="ListParagraph"/>
              <w:numPr>
                <w:ilvl w:val="0"/>
                <w:numId w:val="12"/>
              </w:numPr>
            </w:pPr>
            <w:r>
              <w:t>The psychology of b</w:t>
            </w:r>
            <w:r w:rsidR="00CB65C3">
              <w:t>ehaviour change</w:t>
            </w:r>
          </w:p>
        </w:tc>
      </w:tr>
      <w:tr w:rsidR="00FE6431" w:rsidTr="00116FA6" w14:paraId="23493F83" w14:textId="77777777">
        <w:trPr>
          <w:cantSplit/>
        </w:trPr>
        <w:tc>
          <w:tcPr>
            <w:tcW w:w="2155" w:type="dxa"/>
          </w:tcPr>
          <w:p w:rsidR="00FE6431" w:rsidP="00FE6431" w:rsidRDefault="00FE6431" w14:paraId="7102C5B3" w14:textId="617BE06D">
            <w:r>
              <w:t>13: Personal Success and Money Management</w:t>
            </w:r>
          </w:p>
        </w:tc>
        <w:tc>
          <w:tcPr>
            <w:tcW w:w="7195" w:type="dxa"/>
          </w:tcPr>
          <w:p w:rsidR="00FE6431" w:rsidP="00FE6431" w:rsidRDefault="00CB65C3" w14:paraId="14621499" w14:textId="15D78BB2">
            <w:r>
              <w:t xml:space="preserve">This module provides a high-level overview of financial health and money management. </w:t>
            </w:r>
          </w:p>
          <w:p w:rsidR="00CB65C3" w:rsidP="00CB65C3" w:rsidRDefault="00CB65C3" w14:paraId="4D1F3DE3" w14:textId="77777777">
            <w:r>
              <w:t>Select topics include:</w:t>
            </w:r>
          </w:p>
          <w:p w:rsidR="00CB65C3" w:rsidP="00CB65C3" w:rsidRDefault="003C023A" w14:paraId="2E8E6C3E" w14:textId="77777777">
            <w:pPr>
              <w:pStyle w:val="ListParagraph"/>
              <w:numPr>
                <w:ilvl w:val="0"/>
                <w:numId w:val="13"/>
              </w:numPr>
            </w:pPr>
            <w:r>
              <w:t>Student loans, bursaries, and scholarships</w:t>
            </w:r>
          </w:p>
          <w:p w:rsidR="003C023A" w:rsidP="00CB65C3" w:rsidRDefault="003C023A" w14:paraId="5CF18BE4" w14:textId="77777777">
            <w:pPr>
              <w:pStyle w:val="ListParagraph"/>
              <w:numPr>
                <w:ilvl w:val="0"/>
                <w:numId w:val="13"/>
              </w:numPr>
            </w:pPr>
            <w:r>
              <w:t>Working while being a student</w:t>
            </w:r>
          </w:p>
          <w:p w:rsidR="003C023A" w:rsidP="00CB65C3" w:rsidRDefault="003C023A" w14:paraId="178C4DF7" w14:textId="652F91D1">
            <w:pPr>
              <w:pStyle w:val="ListParagraph"/>
              <w:numPr>
                <w:ilvl w:val="0"/>
                <w:numId w:val="13"/>
              </w:numPr>
            </w:pPr>
            <w:r>
              <w:t>Budgeting</w:t>
            </w:r>
          </w:p>
          <w:p w:rsidR="003C023A" w:rsidP="00CB65C3" w:rsidRDefault="003C023A" w14:paraId="16EC1A25" w14:textId="77777777">
            <w:pPr>
              <w:pStyle w:val="ListParagraph"/>
              <w:numPr>
                <w:ilvl w:val="0"/>
                <w:numId w:val="13"/>
              </w:numPr>
            </w:pPr>
            <w:r>
              <w:t>Spending risks and saving opportunities</w:t>
            </w:r>
          </w:p>
          <w:p w:rsidR="003C023A" w:rsidP="00CB65C3" w:rsidRDefault="003C023A" w14:paraId="0E4ACFAF" w14:textId="77777777">
            <w:pPr>
              <w:pStyle w:val="ListParagraph"/>
              <w:numPr>
                <w:ilvl w:val="0"/>
                <w:numId w:val="13"/>
              </w:numPr>
            </w:pPr>
            <w:r>
              <w:t>Credit cards</w:t>
            </w:r>
          </w:p>
          <w:p w:rsidR="003C023A" w:rsidP="00CB65C3" w:rsidRDefault="003C023A" w14:paraId="126762E2" w14:textId="50C5BEB1">
            <w:pPr>
              <w:pStyle w:val="ListParagraph"/>
              <w:numPr>
                <w:ilvl w:val="0"/>
                <w:numId w:val="13"/>
              </w:numPr>
            </w:pPr>
            <w:r>
              <w:t>Setting financial goals</w:t>
            </w:r>
          </w:p>
        </w:tc>
      </w:tr>
      <w:tr w:rsidR="00FE6431" w:rsidTr="00116FA6" w14:paraId="7258F7D4" w14:textId="77777777">
        <w:trPr>
          <w:cantSplit/>
        </w:trPr>
        <w:tc>
          <w:tcPr>
            <w:tcW w:w="2155" w:type="dxa"/>
          </w:tcPr>
          <w:p w:rsidR="00FE6431" w:rsidP="00FE6431" w:rsidRDefault="00FE6431" w14:paraId="7EAEEF8C" w14:textId="032D71C7">
            <w:r>
              <w:lastRenderedPageBreak/>
              <w:t>14: Beyond Student Success</w:t>
            </w:r>
          </w:p>
        </w:tc>
        <w:tc>
          <w:tcPr>
            <w:tcW w:w="7195" w:type="dxa"/>
          </w:tcPr>
          <w:p w:rsidR="00FE6431" w:rsidP="00FE6431" w:rsidRDefault="00106657" w14:paraId="0B13D005" w14:textId="77777777">
            <w:r>
              <w:t xml:space="preserve">As the final content module in the course, ‘Beyond Student Success’ acts as a bridge between the course and whatever comes next for students. </w:t>
            </w:r>
          </w:p>
          <w:p w:rsidR="00106657" w:rsidP="00106657" w:rsidRDefault="00106657" w14:paraId="12201700" w14:textId="77777777">
            <w:r>
              <w:t>Select topics include:</w:t>
            </w:r>
          </w:p>
          <w:p w:rsidR="00106657" w:rsidP="00106657" w:rsidRDefault="003E2126" w14:paraId="0A764669" w14:textId="77777777">
            <w:pPr>
              <w:pStyle w:val="ListParagraph"/>
              <w:numPr>
                <w:ilvl w:val="0"/>
                <w:numId w:val="14"/>
              </w:numPr>
            </w:pPr>
            <w:r>
              <w:t>A course review</w:t>
            </w:r>
          </w:p>
          <w:p w:rsidR="003E2126" w:rsidP="00106657" w:rsidRDefault="003E2126" w14:paraId="21BF0A1B" w14:textId="77777777">
            <w:pPr>
              <w:pStyle w:val="ListParagraph"/>
              <w:numPr>
                <w:ilvl w:val="0"/>
                <w:numId w:val="14"/>
              </w:numPr>
            </w:pPr>
            <w:r>
              <w:t>Jobs and careers</w:t>
            </w:r>
          </w:p>
          <w:p w:rsidR="003E2126" w:rsidP="00106657" w:rsidRDefault="003E2126" w14:paraId="384BF987" w14:textId="77777777">
            <w:pPr>
              <w:pStyle w:val="ListParagraph"/>
              <w:numPr>
                <w:ilvl w:val="0"/>
                <w:numId w:val="14"/>
              </w:numPr>
            </w:pPr>
            <w:r>
              <w:t>Career exploration</w:t>
            </w:r>
          </w:p>
          <w:p w:rsidR="003E2126" w:rsidP="00106657" w:rsidRDefault="003E2126" w14:paraId="5C6FDECF" w14:textId="4D9696FB">
            <w:pPr>
              <w:pStyle w:val="ListParagraph"/>
              <w:numPr>
                <w:ilvl w:val="0"/>
                <w:numId w:val="14"/>
              </w:numPr>
            </w:pPr>
            <w:r>
              <w:t>Networking</w:t>
            </w:r>
          </w:p>
          <w:p w:rsidR="003E2126" w:rsidP="00106657" w:rsidRDefault="003E2126" w14:paraId="1828DAA7" w14:textId="4E22BB55">
            <w:pPr>
              <w:pStyle w:val="ListParagraph"/>
              <w:numPr>
                <w:ilvl w:val="0"/>
                <w:numId w:val="14"/>
              </w:numPr>
            </w:pPr>
            <w:r>
              <w:t>Resumes and job interviews</w:t>
            </w:r>
          </w:p>
        </w:tc>
      </w:tr>
      <w:tr w:rsidR="00FE6431" w:rsidTr="00116FA6" w14:paraId="69C25925" w14:textId="77777777">
        <w:trPr>
          <w:cantSplit/>
        </w:trPr>
        <w:tc>
          <w:tcPr>
            <w:tcW w:w="2155" w:type="dxa"/>
          </w:tcPr>
          <w:p w:rsidR="00FE6431" w:rsidP="00FE6431" w:rsidRDefault="00FE6431" w14:paraId="4D67D2B1" w14:textId="4529346C">
            <w:r>
              <w:t>15: Quiz 2</w:t>
            </w:r>
          </w:p>
        </w:tc>
        <w:tc>
          <w:tcPr>
            <w:tcW w:w="7195" w:type="dxa"/>
          </w:tcPr>
          <w:p w:rsidR="00FE6431" w:rsidP="00FE6431" w:rsidRDefault="003E2126" w14:paraId="230AA0AA" w14:textId="1870AE2B">
            <w:r>
              <w:t xml:space="preserve">The final module of the course is reserved for </w:t>
            </w:r>
            <w:r w:rsidR="00116FA6">
              <w:t xml:space="preserve">Quiz 2. </w:t>
            </w:r>
          </w:p>
        </w:tc>
      </w:tr>
    </w:tbl>
    <w:p w:rsidR="005A30BF" w:rsidP="002B4A7B" w:rsidRDefault="005A30BF" w14:paraId="5F0DDE7F" w14:textId="77777777">
      <w:pPr>
        <w:ind w:firstLine="720"/>
      </w:pPr>
    </w:p>
    <w:p w:rsidR="00FA1F8A" w:rsidP="00FA1F8A" w:rsidRDefault="00FA1F8A" w14:paraId="66488BA1" w14:textId="6D067607">
      <w:pPr>
        <w:pStyle w:val="Heading2"/>
      </w:pPr>
      <w:bookmarkStart w:name="_Toc95995658" w:id="2"/>
      <w:r>
        <w:t>Evaluations</w:t>
      </w:r>
      <w:bookmarkEnd w:id="2"/>
    </w:p>
    <w:p w:rsidR="00FA1F8A" w:rsidP="00FA1F8A" w:rsidRDefault="00FA1F8A" w14:paraId="5F460A9C" w14:textId="4D07A974">
      <w:r>
        <w:t xml:space="preserve">Evaluations are intended to provide students with </w:t>
      </w:r>
      <w:r w:rsidR="00EB1AD5">
        <w:t xml:space="preserve">as wide a range of experiences possible to prepare them for what they might encounter in their other courses. </w:t>
      </w:r>
      <w:r w:rsidR="008F6F2C">
        <w:t>Evaluations include instructions, rubrics and marking schemes</w:t>
      </w:r>
      <w:r w:rsidR="00F54DC6">
        <w:t>, and downloadable templates</w:t>
      </w:r>
      <w:r w:rsidR="008F6F2C">
        <w:t xml:space="preserve"> as appropriate. </w:t>
      </w:r>
    </w:p>
    <w:tbl>
      <w:tblPr>
        <w:tblStyle w:val="TableGrid"/>
        <w:tblW w:w="0" w:type="auto"/>
        <w:tblLook w:val="04A0" w:firstRow="1" w:lastRow="0" w:firstColumn="1" w:lastColumn="0" w:noHBand="0" w:noVBand="1"/>
      </w:tblPr>
      <w:tblGrid>
        <w:gridCol w:w="2425"/>
        <w:gridCol w:w="1170"/>
        <w:gridCol w:w="5752"/>
      </w:tblGrid>
      <w:tr w:rsidR="008F6F2C" w:rsidTr="00B72B77" w14:paraId="679EF94D" w14:textId="73BA42E6">
        <w:trPr>
          <w:cantSplit/>
          <w:trHeight w:val="343"/>
          <w:tblHeader/>
        </w:trPr>
        <w:tc>
          <w:tcPr>
            <w:tcW w:w="2425" w:type="dxa"/>
          </w:tcPr>
          <w:p w:rsidRPr="00B72B77" w:rsidR="008F6F2C" w:rsidP="00FA1F8A" w:rsidRDefault="008F6F2C" w14:paraId="3EA4BF38" w14:textId="1D2272D7">
            <w:pPr>
              <w:rPr>
                <w:b/>
                <w:bCs/>
              </w:rPr>
            </w:pPr>
            <w:r w:rsidRPr="00B72B77">
              <w:rPr>
                <w:b/>
                <w:bCs/>
              </w:rPr>
              <w:t>Evaluation</w:t>
            </w:r>
          </w:p>
        </w:tc>
        <w:tc>
          <w:tcPr>
            <w:tcW w:w="1170" w:type="dxa"/>
          </w:tcPr>
          <w:p w:rsidRPr="00B72B77" w:rsidR="008F6F2C" w:rsidP="00FA1F8A" w:rsidRDefault="008F6F2C" w14:paraId="51488EE6" w14:textId="530787CB">
            <w:pPr>
              <w:rPr>
                <w:b/>
                <w:bCs/>
              </w:rPr>
            </w:pPr>
            <w:r w:rsidRPr="00B72B77">
              <w:rPr>
                <w:b/>
                <w:bCs/>
              </w:rPr>
              <w:t>Weight</w:t>
            </w:r>
          </w:p>
        </w:tc>
        <w:tc>
          <w:tcPr>
            <w:tcW w:w="5752" w:type="dxa"/>
          </w:tcPr>
          <w:p w:rsidRPr="00B72B77" w:rsidR="008F6F2C" w:rsidP="00FA1F8A" w:rsidRDefault="008F6F2C" w14:paraId="4BA56C10" w14:textId="711C8FDB">
            <w:pPr>
              <w:rPr>
                <w:b/>
                <w:bCs/>
              </w:rPr>
            </w:pPr>
            <w:r w:rsidRPr="00B72B77">
              <w:rPr>
                <w:b/>
                <w:bCs/>
              </w:rPr>
              <w:t>Description</w:t>
            </w:r>
          </w:p>
        </w:tc>
      </w:tr>
      <w:tr w:rsidR="008F6F2C" w:rsidTr="001F664F" w14:paraId="098C890A" w14:textId="5FCC9EDE">
        <w:trPr>
          <w:trHeight w:val="343"/>
        </w:trPr>
        <w:tc>
          <w:tcPr>
            <w:tcW w:w="2425" w:type="dxa"/>
          </w:tcPr>
          <w:p w:rsidR="008F6F2C" w:rsidP="00FA1F8A" w:rsidRDefault="001F664F" w14:paraId="58CEE074" w14:textId="0A548127">
            <w:r w:rsidRPr="001F664F">
              <w:t>Assignment 1 - Email and Semester Plan</w:t>
            </w:r>
          </w:p>
        </w:tc>
        <w:tc>
          <w:tcPr>
            <w:tcW w:w="1170" w:type="dxa"/>
          </w:tcPr>
          <w:p w:rsidR="008F6F2C" w:rsidP="00FA1F8A" w:rsidRDefault="001F664F" w14:paraId="1385A80C" w14:textId="32A581AC">
            <w:r>
              <w:t>20%</w:t>
            </w:r>
          </w:p>
        </w:tc>
        <w:tc>
          <w:tcPr>
            <w:tcW w:w="5752" w:type="dxa"/>
          </w:tcPr>
          <w:p w:rsidR="008F6F2C" w:rsidP="00FA1F8A" w:rsidRDefault="001F664F" w14:paraId="47F79C3D" w14:textId="2190C062">
            <w:r>
              <w:t xml:space="preserve">Students </w:t>
            </w:r>
            <w:r w:rsidR="0023617D">
              <w:t xml:space="preserve">create their own weekly and monthly schedules for the term, then submit their assignment via email along with </w:t>
            </w:r>
            <w:r>
              <w:t>an email signature</w:t>
            </w:r>
            <w:r w:rsidR="0023617D">
              <w:t xml:space="preserve"> and professional message.</w:t>
            </w:r>
          </w:p>
        </w:tc>
      </w:tr>
      <w:tr w:rsidR="008F6F2C" w:rsidTr="001F664F" w14:paraId="0232161A" w14:textId="420ACA52">
        <w:trPr>
          <w:trHeight w:val="358"/>
        </w:trPr>
        <w:tc>
          <w:tcPr>
            <w:tcW w:w="2425" w:type="dxa"/>
          </w:tcPr>
          <w:p w:rsidR="008F6F2C" w:rsidP="00FA1F8A" w:rsidRDefault="00436147" w14:paraId="6F71EC58" w14:textId="311BB06C">
            <w:r w:rsidRPr="00436147">
              <w:t>Assignment 2 - Academic Integrity</w:t>
            </w:r>
          </w:p>
        </w:tc>
        <w:tc>
          <w:tcPr>
            <w:tcW w:w="1170" w:type="dxa"/>
          </w:tcPr>
          <w:p w:rsidR="008F6F2C" w:rsidP="00FA1F8A" w:rsidRDefault="00436147" w14:paraId="0084D027" w14:textId="1772937C">
            <w:r>
              <w:t>20%</w:t>
            </w:r>
          </w:p>
        </w:tc>
        <w:tc>
          <w:tcPr>
            <w:tcW w:w="5752" w:type="dxa"/>
          </w:tcPr>
          <w:p w:rsidR="008F6F2C" w:rsidP="00FA1F8A" w:rsidRDefault="00436147" w14:paraId="33007F56" w14:textId="20C10CF4">
            <w:r>
              <w:t xml:space="preserve">Students </w:t>
            </w:r>
            <w:r w:rsidR="00E66B04">
              <w:t xml:space="preserve">write descriptions and examples to show their understanding of types of academic offences and </w:t>
            </w:r>
            <w:r>
              <w:t>practice referencing</w:t>
            </w:r>
            <w:r w:rsidR="00E66B04">
              <w:t>/citing in APA @ Conestoga format.</w:t>
            </w:r>
          </w:p>
        </w:tc>
      </w:tr>
      <w:tr w:rsidR="008F6F2C" w:rsidTr="001F664F" w14:paraId="1969A401" w14:textId="583E4EB6">
        <w:trPr>
          <w:trHeight w:val="343"/>
        </w:trPr>
        <w:tc>
          <w:tcPr>
            <w:tcW w:w="2425" w:type="dxa"/>
          </w:tcPr>
          <w:p w:rsidR="008F6F2C" w:rsidP="00FA1F8A" w:rsidRDefault="00D20225" w14:paraId="5686A42F" w14:textId="622FC97A">
            <w:r>
              <w:t>Quiz 1</w:t>
            </w:r>
          </w:p>
        </w:tc>
        <w:tc>
          <w:tcPr>
            <w:tcW w:w="1170" w:type="dxa"/>
          </w:tcPr>
          <w:p w:rsidR="008F6F2C" w:rsidP="00FA1F8A" w:rsidRDefault="00D20225" w14:paraId="06558205" w14:textId="08C2E024">
            <w:r>
              <w:t>10%</w:t>
            </w:r>
          </w:p>
        </w:tc>
        <w:tc>
          <w:tcPr>
            <w:tcW w:w="5752" w:type="dxa"/>
          </w:tcPr>
          <w:p w:rsidR="008F6F2C" w:rsidP="00FA1F8A" w:rsidRDefault="00E44023" w14:paraId="695E8324" w14:textId="460E8BF9">
            <w:r>
              <w:t>M</w:t>
            </w:r>
            <w:r w:rsidRPr="00E44023">
              <w:t xml:space="preserve">ultiple-choice (15 marks), short answer (choose 1 out of 3 questions, 5 marks), </w:t>
            </w:r>
            <w:r>
              <w:t xml:space="preserve">and </w:t>
            </w:r>
            <w:r w:rsidRPr="00E44023">
              <w:t>true/false (10 marks)</w:t>
            </w:r>
            <w:r>
              <w:t xml:space="preserve"> questions covering topics from Modules 1-5. </w:t>
            </w:r>
            <w:r w:rsidR="007878B8">
              <w:t xml:space="preserve">Quiz draws from a larger question bank for objective questions. </w:t>
            </w:r>
            <w:r w:rsidR="00F7230D">
              <w:t xml:space="preserve">Option to include Respondus Lockdown Browser </w:t>
            </w:r>
            <w:r w:rsidR="00ED7856">
              <w:t>to provide the experience of this proctoring software.</w:t>
            </w:r>
          </w:p>
        </w:tc>
      </w:tr>
      <w:tr w:rsidR="00E44023" w:rsidTr="001F664F" w14:paraId="26BFAC83" w14:textId="77777777">
        <w:trPr>
          <w:trHeight w:val="343"/>
        </w:trPr>
        <w:tc>
          <w:tcPr>
            <w:tcW w:w="2425" w:type="dxa"/>
          </w:tcPr>
          <w:p w:rsidR="00E44023" w:rsidP="00FA1F8A" w:rsidRDefault="008F381F" w14:paraId="014BED3A" w14:textId="32CC1A4B">
            <w:r>
              <w:t>Midterm Reflection</w:t>
            </w:r>
          </w:p>
        </w:tc>
        <w:tc>
          <w:tcPr>
            <w:tcW w:w="1170" w:type="dxa"/>
          </w:tcPr>
          <w:p w:rsidR="00E44023" w:rsidP="00FA1F8A" w:rsidRDefault="008F381F" w14:paraId="58D879F3" w14:textId="1624B9FD">
            <w:r>
              <w:t>10%</w:t>
            </w:r>
          </w:p>
        </w:tc>
        <w:tc>
          <w:tcPr>
            <w:tcW w:w="5752" w:type="dxa"/>
          </w:tcPr>
          <w:p w:rsidR="00E44023" w:rsidP="00FA1F8A" w:rsidRDefault="00331CD4" w14:paraId="03CB3BBE" w14:textId="68FABE20">
            <w:r>
              <w:t xml:space="preserve">Students submit </w:t>
            </w:r>
            <w:r w:rsidR="002B2380">
              <w:t xml:space="preserve">individual </w:t>
            </w:r>
            <w:r>
              <w:t>answers to reflection questions</w:t>
            </w:r>
            <w:r w:rsidR="007D2D2C">
              <w:t xml:space="preserve"> about self-regulated learning and course content. Option to submit in </w:t>
            </w:r>
            <w:r>
              <w:t>written or video</w:t>
            </w:r>
            <w:r w:rsidR="007D2D2C">
              <w:t xml:space="preserve"> format.</w:t>
            </w:r>
          </w:p>
        </w:tc>
      </w:tr>
      <w:tr w:rsidR="00E44023" w:rsidTr="001F664F" w14:paraId="00CE2D8B" w14:textId="77777777">
        <w:trPr>
          <w:trHeight w:val="343"/>
        </w:trPr>
        <w:tc>
          <w:tcPr>
            <w:tcW w:w="2425" w:type="dxa"/>
          </w:tcPr>
          <w:p w:rsidR="00E44023" w:rsidP="00FA1F8A" w:rsidRDefault="00E30F6E" w14:paraId="2C953BD1" w14:textId="5E8BEE34">
            <w:r>
              <w:t>Group Project</w:t>
            </w:r>
          </w:p>
        </w:tc>
        <w:tc>
          <w:tcPr>
            <w:tcW w:w="1170" w:type="dxa"/>
          </w:tcPr>
          <w:p w:rsidR="00E44023" w:rsidP="00FA1F8A" w:rsidRDefault="00E30F6E" w14:paraId="74248C87" w14:textId="79CFDB53">
            <w:r>
              <w:t>25%</w:t>
            </w:r>
          </w:p>
        </w:tc>
        <w:tc>
          <w:tcPr>
            <w:tcW w:w="5752" w:type="dxa"/>
          </w:tcPr>
          <w:p w:rsidR="00E44023" w:rsidP="00E30F6E" w:rsidRDefault="00E30F6E" w14:paraId="73EF823C" w14:textId="77777777">
            <w:r>
              <w:t>A multi-phase groupwork presentation:</w:t>
            </w:r>
          </w:p>
          <w:p w:rsidR="00E30F6E" w:rsidP="00E30F6E" w:rsidRDefault="000E3B58" w14:paraId="35A48314" w14:textId="40800812">
            <w:pPr>
              <w:pStyle w:val="ListParagraph"/>
              <w:numPr>
                <w:ilvl w:val="0"/>
                <w:numId w:val="15"/>
              </w:numPr>
            </w:pPr>
            <w:r>
              <w:t>Part 1: Contract and Plan (5%)</w:t>
            </w:r>
            <w:r w:rsidR="00731652">
              <w:t xml:space="preserve"> - students agree to ground rules and submit a proposal/outline to address a topic from a list.</w:t>
            </w:r>
          </w:p>
          <w:p w:rsidR="000E3B58" w:rsidP="00E30F6E" w:rsidRDefault="000E3B58" w14:paraId="7E86FA07" w14:textId="0FCC2D66">
            <w:pPr>
              <w:pStyle w:val="ListParagraph"/>
              <w:numPr>
                <w:ilvl w:val="0"/>
                <w:numId w:val="15"/>
              </w:numPr>
            </w:pPr>
            <w:r>
              <w:t>Part 2: Final Presentation (15%)</w:t>
            </w:r>
            <w:r w:rsidR="00731652">
              <w:t xml:space="preserve"> – students work as a group</w:t>
            </w:r>
            <w:r w:rsidR="00D62398">
              <w:t xml:space="preserve"> to record a video presentation.</w:t>
            </w:r>
          </w:p>
          <w:p w:rsidR="000E3B58" w:rsidP="00E30F6E" w:rsidRDefault="000E3B58" w14:paraId="392FFB73" w14:textId="1C66D356">
            <w:pPr>
              <w:pStyle w:val="ListParagraph"/>
              <w:numPr>
                <w:ilvl w:val="0"/>
                <w:numId w:val="15"/>
              </w:numPr>
            </w:pPr>
            <w:r>
              <w:t>Part 3: Individual Reflection</w:t>
            </w:r>
            <w:r w:rsidR="00D62398">
              <w:t xml:space="preserve"> – students evaluate themselves and their team members</w:t>
            </w:r>
          </w:p>
        </w:tc>
      </w:tr>
      <w:tr w:rsidR="009550B4" w:rsidTr="001F664F" w14:paraId="0984FB6E" w14:textId="77777777">
        <w:trPr>
          <w:trHeight w:val="343"/>
        </w:trPr>
        <w:tc>
          <w:tcPr>
            <w:tcW w:w="2425" w:type="dxa"/>
          </w:tcPr>
          <w:p w:rsidR="009550B4" w:rsidP="00FA1F8A" w:rsidRDefault="009550B4" w14:paraId="4B1D86D4" w14:textId="0ED45CC8">
            <w:r>
              <w:t>Quiz 2</w:t>
            </w:r>
          </w:p>
        </w:tc>
        <w:tc>
          <w:tcPr>
            <w:tcW w:w="1170" w:type="dxa"/>
          </w:tcPr>
          <w:p w:rsidR="009550B4" w:rsidP="00FA1F8A" w:rsidRDefault="00F7230D" w14:paraId="46CA40CB" w14:textId="705976F0">
            <w:r>
              <w:t>15%</w:t>
            </w:r>
          </w:p>
        </w:tc>
        <w:tc>
          <w:tcPr>
            <w:tcW w:w="5752" w:type="dxa"/>
          </w:tcPr>
          <w:p w:rsidR="009550B4" w:rsidP="00E30F6E" w:rsidRDefault="00ED7856" w14:paraId="5824740D" w14:textId="5CD2F74A">
            <w:r>
              <w:t>M</w:t>
            </w:r>
            <w:r w:rsidRPr="00F7230D" w:rsidR="00F7230D">
              <w:t xml:space="preserve">ultiple-choice (20 marks), short answer (choose 1 out of 3 questions, 5 marks), </w:t>
            </w:r>
            <w:r>
              <w:t xml:space="preserve">and </w:t>
            </w:r>
            <w:r w:rsidRPr="00F7230D" w:rsidR="00F7230D">
              <w:t>true/false (15 marks)</w:t>
            </w:r>
            <w:r>
              <w:t xml:space="preserve"> questions from modules 6-14</w:t>
            </w:r>
            <w:r w:rsidRPr="00F7230D" w:rsidR="00F7230D">
              <w:t>.</w:t>
            </w:r>
            <w:r>
              <w:t xml:space="preserve"> Quiz draws from a larger question bank for objective questions. Option to include Respondus Lockdown Browser to provide the experience of this proctoring software.</w:t>
            </w:r>
          </w:p>
        </w:tc>
      </w:tr>
    </w:tbl>
    <w:p w:rsidR="00FA1F8A" w:rsidP="00FA1F8A" w:rsidRDefault="00FA1F8A" w14:paraId="4D130EAE" w14:textId="28D840D3">
      <w:pPr>
        <w:pStyle w:val="Heading2"/>
      </w:pPr>
      <w:bookmarkStart w:name="_Toc95995659" w:id="3"/>
      <w:r>
        <w:lastRenderedPageBreak/>
        <w:t>Formative Assessments and Learning Activities</w:t>
      </w:r>
      <w:bookmarkEnd w:id="3"/>
    </w:p>
    <w:p w:rsidR="00FA1F8A" w:rsidP="00FA1F8A" w:rsidRDefault="000F2C15" w14:paraId="709319E8" w14:textId="08216ADB">
      <w:r>
        <w:t xml:space="preserve">The original version of this course has been modified to </w:t>
      </w:r>
      <w:r w:rsidR="00905FB5">
        <w:t xml:space="preserve">be platform agnostic while </w:t>
      </w:r>
      <w:r>
        <w:t>maintain</w:t>
      </w:r>
      <w:r w:rsidR="00905FB5">
        <w:t xml:space="preserve">ing </w:t>
      </w:r>
      <w:r>
        <w:t>accessibility. While the</w:t>
      </w:r>
      <w:r w:rsidR="00435BF6">
        <w:t xml:space="preserve"> </w:t>
      </w:r>
      <w:r w:rsidR="00E26806">
        <w:t xml:space="preserve">Common Cartridge version of the course still </w:t>
      </w:r>
      <w:r w:rsidR="00435BF6">
        <w:t>includes frequent interaction for students</w:t>
      </w:r>
      <w:r>
        <w:t>, there is room to increase engagement depending on the functionality of your LMS (</w:t>
      </w:r>
      <w:r w:rsidR="00E26806">
        <w:t>e.g.,</w:t>
      </w:r>
      <w:r>
        <w:t xml:space="preserve"> by </w:t>
      </w:r>
      <w:r w:rsidR="00B10487">
        <w:t xml:space="preserve">turning static reflection activities into ungraded discussion boards or translating ‘select to reveal’ knowledge checks into in-line quizzes). </w:t>
      </w:r>
      <w:r w:rsidR="001D3CE1">
        <w:t>Examples of interactive</w:t>
      </w:r>
      <w:r w:rsidR="00FE5EA4">
        <w:t xml:space="preserve">s </w:t>
      </w:r>
      <w:r w:rsidR="001D3CE1">
        <w:t xml:space="preserve">include flip cards, select to reveal </w:t>
      </w:r>
      <w:r w:rsidR="002A10DF">
        <w:t>knowledge checks</w:t>
      </w:r>
      <w:r w:rsidR="001D3CE1">
        <w:t>, select to reveal tooltips</w:t>
      </w:r>
      <w:r w:rsidR="002A10DF">
        <w:t xml:space="preserve">, </w:t>
      </w:r>
      <w:r w:rsidR="00FE5EA4">
        <w:t xml:space="preserve">accordions and tabs, </w:t>
      </w:r>
      <w:r w:rsidR="002A10DF">
        <w:t xml:space="preserve">timed </w:t>
      </w:r>
      <w:r w:rsidR="00905FB5">
        <w:t xml:space="preserve">experience </w:t>
      </w:r>
      <w:r w:rsidR="002A10DF">
        <w:t xml:space="preserve">activities with text alternatives, discussion boards, </w:t>
      </w:r>
      <w:r w:rsidR="0073655B">
        <w:t xml:space="preserve">case studies, and </w:t>
      </w:r>
      <w:r w:rsidR="002A10DF">
        <w:t>reflection questions.</w:t>
      </w:r>
      <w:r w:rsidR="008D3829">
        <w:t xml:space="preserve"> Most modules at least one multiple choice style knowledge check that helps students review the key terms from the unit</w:t>
      </w:r>
      <w:r w:rsidR="000C74D7">
        <w:t xml:space="preserve"> and prepare for the quizzes</w:t>
      </w:r>
      <w:r w:rsidR="008D3829">
        <w:t xml:space="preserve">. </w:t>
      </w:r>
      <w:r w:rsidR="00F64324">
        <w:t>Some</w:t>
      </w:r>
      <w:r w:rsidR="00E92B0E">
        <w:t xml:space="preserve"> automatic</w:t>
      </w:r>
      <w:r w:rsidR="00F64324">
        <w:t xml:space="preserve"> feedback is provided for these knowledge checks. </w:t>
      </w:r>
    </w:p>
    <w:p w:rsidR="00435BF6" w:rsidP="007F32A8" w:rsidRDefault="007F32A8" w14:paraId="538659C8" w14:textId="2B6B2CCA">
      <w:pPr>
        <w:pStyle w:val="Heading2"/>
      </w:pPr>
      <w:bookmarkStart w:name="_Toc95995660" w:id="4"/>
      <w:r>
        <w:t>Custom Graphics</w:t>
      </w:r>
      <w:r w:rsidR="005D03FA">
        <w:t>, Videos,</w:t>
      </w:r>
      <w:r>
        <w:t xml:space="preserve"> and Animations</w:t>
      </w:r>
      <w:bookmarkEnd w:id="4"/>
    </w:p>
    <w:p w:rsidR="007F32A8" w:rsidP="00FA1F8A" w:rsidRDefault="005D03FA" w14:paraId="2AE110B2" w14:textId="1E7600D3">
      <w:r>
        <w:t>A number of custom graphics have been created to complement the course</w:t>
      </w:r>
      <w:r w:rsidR="00261EA3">
        <w:t xml:space="preserve"> content</w:t>
      </w:r>
      <w:r>
        <w:t xml:space="preserve">. </w:t>
      </w:r>
      <w:r w:rsidR="00D53619">
        <w:t>Custom a</w:t>
      </w:r>
      <w:r w:rsidR="004450CE">
        <w:t>nimations highlight</w:t>
      </w:r>
      <w:r w:rsidR="003C6167">
        <w:t xml:space="preserve"> </w:t>
      </w:r>
      <w:r w:rsidR="004450CE">
        <w:t xml:space="preserve">the Learning Cycle, Time Management, and Academic Integrity </w:t>
      </w:r>
      <w:r w:rsidR="003C6167">
        <w:t>con</w:t>
      </w:r>
      <w:r w:rsidR="00261EA3">
        <w:t>cepts</w:t>
      </w:r>
      <w:r w:rsidR="004450CE">
        <w:t>.</w:t>
      </w:r>
      <w:r w:rsidR="003C6167">
        <w:t xml:space="preserve"> Student </w:t>
      </w:r>
      <w:r w:rsidR="004E4E9F">
        <w:t>testimonials about their experiences in post-secondary</w:t>
      </w:r>
      <w:r w:rsidR="003C6167">
        <w:t xml:space="preserve"> are featured in Module </w:t>
      </w:r>
      <w:r w:rsidR="004E4E9F">
        <w:t xml:space="preserve">7 as a way to reflect the diversity of learner demographics in the course. </w:t>
      </w:r>
      <w:r w:rsidR="00FD43D3">
        <w:t>The whole course is wrapped in a custom CSS style</w:t>
      </w:r>
      <w:r w:rsidR="00CD6F84">
        <w:t xml:space="preserve"> to provide a consistent look and feel. </w:t>
      </w:r>
    </w:p>
    <w:p w:rsidR="00BC6A5E" w:rsidRDefault="00BC6A5E" w14:paraId="6C572BA7" w14:textId="77777777">
      <w:pPr>
        <w:rPr>
          <w:rStyle w:val="normaltextrun"/>
          <w:rFonts w:asciiTheme="majorHAnsi" w:hAnsiTheme="majorHAnsi" w:eastAsiaTheme="majorEastAsia" w:cstheme="majorBidi"/>
          <w:color w:val="2F5496" w:themeColor="accent1" w:themeShade="BF"/>
          <w:sz w:val="26"/>
          <w:szCs w:val="26"/>
        </w:rPr>
      </w:pPr>
      <w:r>
        <w:rPr>
          <w:rStyle w:val="normaltextrun"/>
        </w:rPr>
        <w:br w:type="page"/>
      </w:r>
    </w:p>
    <w:p w:rsidRPr="00E8422A" w:rsidR="00E8422A" w:rsidP="00E8422A" w:rsidRDefault="00E8422A" w14:paraId="15F1CCAC" w14:textId="5E512365">
      <w:pPr>
        <w:pStyle w:val="Heading2"/>
      </w:pPr>
      <w:bookmarkStart w:name="_Toc95995661" w:id="5"/>
      <w:r w:rsidRPr="00E8422A">
        <w:rPr>
          <w:rStyle w:val="normaltextrun"/>
        </w:rPr>
        <w:lastRenderedPageBreak/>
        <w:t>Accessibility Statement</w:t>
      </w:r>
      <w:bookmarkEnd w:id="5"/>
    </w:p>
    <w:p w:rsidR="00691FD6" w:rsidP="00691FD6" w:rsidRDefault="00E8422A" w14:paraId="143F27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is an accessibility statement from Conestoga College</w:t>
      </w:r>
      <w:r w:rsidR="00691FD6">
        <w:rPr>
          <w:rStyle w:val="normaltextrun"/>
          <w:rFonts w:ascii="Calibri" w:hAnsi="Calibri" w:cs="Calibri"/>
          <w:sz w:val="22"/>
          <w:szCs w:val="22"/>
        </w:rPr>
        <w:t xml:space="preserve">. This statement was created on February 2022 using the </w:t>
      </w:r>
      <w:hyperlink w:tgtFrame="_blank" w:history="1" r:id="rId14">
        <w:r w:rsidR="00691FD6">
          <w:rPr>
            <w:rStyle w:val="normaltextrun"/>
            <w:rFonts w:ascii="Calibri" w:hAnsi="Calibri" w:cs="Calibri"/>
            <w:color w:val="0563C1"/>
            <w:sz w:val="22"/>
            <w:szCs w:val="22"/>
            <w:u w:val="single"/>
          </w:rPr>
          <w:t>W3C Accessibility Statement Generator Tool</w:t>
        </w:r>
      </w:hyperlink>
      <w:r w:rsidR="00691FD6">
        <w:rPr>
          <w:rStyle w:val="normaltextrun"/>
          <w:rFonts w:ascii="Calibri" w:hAnsi="Calibri" w:cs="Calibri"/>
          <w:sz w:val="22"/>
          <w:szCs w:val="22"/>
        </w:rPr>
        <w:t>.</w:t>
      </w:r>
      <w:r w:rsidR="00691FD6">
        <w:rPr>
          <w:rStyle w:val="eop"/>
          <w:rFonts w:ascii="Calibri" w:hAnsi="Calibri" w:cs="Calibri" w:eastAsiaTheme="majorEastAsia"/>
          <w:sz w:val="22"/>
          <w:szCs w:val="22"/>
        </w:rPr>
        <w:t> </w:t>
      </w:r>
    </w:p>
    <w:p w:rsidR="00E8422A" w:rsidP="00E8422A" w:rsidRDefault="00E8422A" w14:paraId="78459C7A" w14:textId="55CC1884">
      <w:pPr>
        <w:pStyle w:val="paragraph"/>
        <w:spacing w:before="0" w:beforeAutospacing="0" w:after="0" w:afterAutospacing="0"/>
        <w:textAlignment w:val="baseline"/>
        <w:rPr>
          <w:rFonts w:ascii="Segoe UI" w:hAnsi="Segoe UI" w:cs="Segoe UI"/>
          <w:sz w:val="18"/>
          <w:szCs w:val="18"/>
        </w:rPr>
      </w:pPr>
    </w:p>
    <w:p w:rsidRPr="00E8422A" w:rsidR="00E8422A" w:rsidP="00E8422A" w:rsidRDefault="00E8422A" w14:paraId="2190E4CA" w14:textId="77777777">
      <w:pPr>
        <w:pStyle w:val="Heading3"/>
      </w:pPr>
      <w:bookmarkStart w:name="_Toc95995662" w:id="6"/>
      <w:r w:rsidRPr="00E8422A">
        <w:rPr>
          <w:rStyle w:val="normaltextrun"/>
        </w:rPr>
        <w:t>Measures to support accessibility</w:t>
      </w:r>
      <w:bookmarkEnd w:id="6"/>
      <w:r w:rsidRPr="00E8422A">
        <w:rPr>
          <w:rStyle w:val="eop"/>
        </w:rPr>
        <w:t> </w:t>
      </w:r>
    </w:p>
    <w:p w:rsidR="00E8422A" w:rsidP="00E8422A" w:rsidRDefault="00E8422A" w14:paraId="4EA5E59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Conestoga College takes the following measures to ensure accessibility of Student Success for Higher Learning (LIBS1540):</w:t>
      </w:r>
      <w:r>
        <w:rPr>
          <w:rStyle w:val="eop"/>
          <w:rFonts w:ascii="Calibri" w:hAnsi="Calibri" w:cs="Calibri" w:eastAsiaTheme="majorEastAsia"/>
          <w:sz w:val="22"/>
          <w:szCs w:val="22"/>
        </w:rPr>
        <w:t> </w:t>
      </w:r>
    </w:p>
    <w:p w:rsidR="00E8422A" w:rsidP="00E8422A" w:rsidRDefault="00E8422A" w14:paraId="4D657AEA"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Include accessibility as part of our mission statement.</w:t>
      </w:r>
      <w:r>
        <w:rPr>
          <w:rStyle w:val="eop"/>
          <w:rFonts w:ascii="Calibri" w:hAnsi="Calibri" w:cs="Calibri" w:eastAsiaTheme="majorEastAsia"/>
          <w:sz w:val="22"/>
          <w:szCs w:val="22"/>
        </w:rPr>
        <w:t> </w:t>
      </w:r>
    </w:p>
    <w:p w:rsidR="00E8422A" w:rsidP="00E8422A" w:rsidRDefault="00E8422A" w14:paraId="49295187"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Include accessibility throughout our internal policies.</w:t>
      </w:r>
      <w:r>
        <w:rPr>
          <w:rStyle w:val="eop"/>
          <w:rFonts w:ascii="Calibri" w:hAnsi="Calibri" w:cs="Calibri" w:eastAsiaTheme="majorEastAsia"/>
          <w:sz w:val="22"/>
          <w:szCs w:val="22"/>
        </w:rPr>
        <w:t> </w:t>
      </w:r>
    </w:p>
    <w:p w:rsidR="00E8422A" w:rsidP="00E8422A" w:rsidRDefault="00E8422A" w14:paraId="51297ECF"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Integrate accessibility into our procurement practices.</w:t>
      </w:r>
      <w:r>
        <w:rPr>
          <w:rStyle w:val="eop"/>
          <w:rFonts w:ascii="Calibri" w:hAnsi="Calibri" w:cs="Calibri" w:eastAsiaTheme="majorEastAsia"/>
          <w:sz w:val="22"/>
          <w:szCs w:val="22"/>
        </w:rPr>
        <w:t> </w:t>
      </w:r>
    </w:p>
    <w:p w:rsidR="00E8422A" w:rsidP="00E8422A" w:rsidRDefault="00E8422A" w14:paraId="3FF2B213"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Appoint an accessibility officer and/or ombudsperson.</w:t>
      </w:r>
      <w:r>
        <w:rPr>
          <w:rStyle w:val="eop"/>
          <w:rFonts w:ascii="Calibri" w:hAnsi="Calibri" w:cs="Calibri" w:eastAsiaTheme="majorEastAsia"/>
          <w:sz w:val="22"/>
          <w:szCs w:val="22"/>
        </w:rPr>
        <w:t> </w:t>
      </w:r>
    </w:p>
    <w:p w:rsidR="00E8422A" w:rsidP="00E8422A" w:rsidRDefault="00E8422A" w14:paraId="5CA66BCD"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Provide continual accessibility training for our staff.</w:t>
      </w:r>
      <w:r>
        <w:rPr>
          <w:rStyle w:val="eop"/>
          <w:rFonts w:ascii="Calibri" w:hAnsi="Calibri" w:cs="Calibri" w:eastAsiaTheme="majorEastAsia"/>
          <w:sz w:val="22"/>
          <w:szCs w:val="22"/>
        </w:rPr>
        <w:t> </w:t>
      </w:r>
    </w:p>
    <w:p w:rsidR="00E8422A" w:rsidP="00E8422A" w:rsidRDefault="00E8422A" w14:paraId="77827CB3"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Assign clear accessibility goals and responsibilities.</w:t>
      </w:r>
      <w:r>
        <w:rPr>
          <w:rStyle w:val="eop"/>
          <w:rFonts w:ascii="Calibri" w:hAnsi="Calibri" w:cs="Calibri" w:eastAsiaTheme="majorEastAsia"/>
          <w:sz w:val="22"/>
          <w:szCs w:val="22"/>
        </w:rPr>
        <w:t> </w:t>
      </w:r>
    </w:p>
    <w:p w:rsidR="00E8422A" w:rsidP="00E8422A" w:rsidRDefault="00E8422A" w14:paraId="63F6C813" w14:textId="77777777">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Employ formal accessibility quality assurance methods.</w:t>
      </w:r>
      <w:r>
        <w:rPr>
          <w:rStyle w:val="eop"/>
          <w:rFonts w:ascii="Calibri" w:hAnsi="Calibri" w:cs="Calibri" w:eastAsiaTheme="majorEastAsia"/>
          <w:sz w:val="22"/>
          <w:szCs w:val="22"/>
        </w:rPr>
        <w:t> </w:t>
      </w:r>
    </w:p>
    <w:p w:rsidRPr="00E8422A" w:rsidR="00E8422A" w:rsidP="00E8422A" w:rsidRDefault="00E8422A" w14:paraId="0D667438" w14:textId="77777777">
      <w:pPr>
        <w:pStyle w:val="Heading3"/>
      </w:pPr>
      <w:bookmarkStart w:name="_Toc95995663" w:id="7"/>
      <w:r w:rsidRPr="00E8422A">
        <w:rPr>
          <w:rStyle w:val="normaltextrun"/>
        </w:rPr>
        <w:t>Conformance status</w:t>
      </w:r>
      <w:bookmarkEnd w:id="7"/>
      <w:r w:rsidRPr="00E8422A">
        <w:rPr>
          <w:rStyle w:val="eop"/>
        </w:rPr>
        <w:t> </w:t>
      </w:r>
    </w:p>
    <w:p w:rsidR="00E8422A" w:rsidP="00E8422A" w:rsidRDefault="00E8422A" w14:paraId="2E8550BA"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sz w:val="22"/>
          <w:szCs w:val="22"/>
        </w:rPr>
        <w:t xml:space="preserve">The </w:t>
      </w:r>
      <w:hyperlink w:tgtFrame="_blank" w:history="1" r:id="rId15">
        <w:r>
          <w:rPr>
            <w:rStyle w:val="normaltextrun"/>
            <w:rFonts w:ascii="Calibri" w:hAnsi="Calibri" w:cs="Calibri"/>
            <w:color w:val="0563C1"/>
            <w:sz w:val="22"/>
            <w:szCs w:val="22"/>
            <w:u w:val="single"/>
          </w:rPr>
          <w:t>Web Content Accessibility Guidelines (WCAG)</w:t>
        </w:r>
      </w:hyperlink>
      <w:r>
        <w:rPr>
          <w:rStyle w:val="normaltextrun"/>
          <w:rFonts w:ascii="Calibri" w:hAnsi="Calibri" w:cs="Calibri"/>
          <w:sz w:val="22"/>
          <w:szCs w:val="22"/>
        </w:rPr>
        <w:t xml:space="preserve"> defines requirements for designers and developers to improve accessibility for people with disabilities. It defines three levels of conformance: Level A, Level AA, and Level AAA. Student Success for Higher Learning (LIBS1540) is partially conformant with WCAG 2.0 level AA. Partially conformant means that some parts of the content do not fully conform to the accessibility standard.</w:t>
      </w:r>
      <w:r>
        <w:rPr>
          <w:rStyle w:val="eop"/>
          <w:rFonts w:ascii="Calibri" w:hAnsi="Calibri" w:cs="Calibri" w:eastAsiaTheme="majorEastAsia"/>
          <w:sz w:val="22"/>
          <w:szCs w:val="22"/>
        </w:rPr>
        <w:t> </w:t>
      </w:r>
    </w:p>
    <w:p w:rsidR="00E8422A" w:rsidP="00E8422A" w:rsidRDefault="00E8422A" w14:paraId="047B27BA" w14:textId="77777777">
      <w:pPr>
        <w:pStyle w:val="paragraph"/>
        <w:spacing w:before="0" w:beforeAutospacing="0" w:after="0" w:afterAutospacing="0"/>
        <w:textAlignment w:val="baseline"/>
        <w:rPr>
          <w:rFonts w:ascii="Segoe UI" w:hAnsi="Segoe UI" w:cs="Segoe UI"/>
          <w:sz w:val="18"/>
          <w:szCs w:val="18"/>
        </w:rPr>
      </w:pPr>
    </w:p>
    <w:p w:rsidR="00E8422A" w:rsidP="00E8422A" w:rsidRDefault="00E8422A" w14:paraId="4B76B4E1" w14:textId="77777777">
      <w:pPr>
        <w:pStyle w:val="Heading3"/>
        <w:rPr>
          <w:rFonts w:ascii="Segoe UI" w:hAnsi="Segoe UI" w:cs="Segoe UI"/>
          <w:sz w:val="18"/>
          <w:szCs w:val="18"/>
        </w:rPr>
      </w:pPr>
      <w:bookmarkStart w:name="_Toc95995664" w:id="8"/>
      <w:r>
        <w:rPr>
          <w:rStyle w:val="normaltextrun"/>
          <w:rFonts w:ascii="Calibri Light" w:hAnsi="Calibri Light" w:cs="Calibri Light"/>
          <w:color w:val="1F3763"/>
        </w:rPr>
        <w:t>Additional accessibility considerations</w:t>
      </w:r>
      <w:bookmarkEnd w:id="8"/>
      <w:r>
        <w:rPr>
          <w:rStyle w:val="eop"/>
          <w:rFonts w:ascii="Calibri Light" w:hAnsi="Calibri Light" w:cs="Calibri Light"/>
          <w:color w:val="1F3763"/>
        </w:rPr>
        <w:t> </w:t>
      </w:r>
    </w:p>
    <w:p w:rsidR="00E8422A" w:rsidP="00E8422A" w:rsidRDefault="00E8422A" w14:paraId="2405F64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some activities that may not be accessible for all learners, plain-text alternatives have been provided.</w:t>
      </w:r>
      <w:r>
        <w:rPr>
          <w:rStyle w:val="eop"/>
          <w:rFonts w:ascii="Calibri" w:hAnsi="Calibri" w:cs="Calibri" w:eastAsiaTheme="majorEastAsia"/>
          <w:sz w:val="22"/>
          <w:szCs w:val="22"/>
        </w:rPr>
        <w:t> </w:t>
      </w:r>
    </w:p>
    <w:p w:rsidR="00E8422A" w:rsidP="00E8422A" w:rsidRDefault="00E8422A" w14:paraId="13C4DF4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Courses conform to Quality Matters Higher Education Rubric.</w:t>
      </w:r>
      <w:r>
        <w:rPr>
          <w:rStyle w:val="eop"/>
          <w:rFonts w:ascii="Calibri" w:hAnsi="Calibri" w:cs="Calibri" w:eastAsiaTheme="majorEastAsia"/>
          <w:sz w:val="22"/>
          <w:szCs w:val="22"/>
        </w:rPr>
        <w:t> </w:t>
      </w:r>
    </w:p>
    <w:p w:rsidR="00E8422A" w:rsidP="00E8422A" w:rsidRDefault="00E8422A" w14:paraId="02B65B1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images with text have accompanying alt text.</w:t>
      </w:r>
      <w:r>
        <w:rPr>
          <w:rStyle w:val="eop"/>
          <w:rFonts w:ascii="Calibri" w:hAnsi="Calibri" w:cs="Calibri" w:eastAsiaTheme="majorEastAsia"/>
          <w:sz w:val="22"/>
          <w:szCs w:val="22"/>
        </w:rPr>
        <w:t> </w:t>
      </w:r>
    </w:p>
    <w:p w:rsidR="00E8422A" w:rsidP="00E8422A" w:rsidRDefault="00E8422A" w14:paraId="28D1795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videos include closed captions.</w:t>
      </w:r>
      <w:r>
        <w:rPr>
          <w:rStyle w:val="eop"/>
          <w:rFonts w:ascii="Calibri" w:hAnsi="Calibri" w:cs="Calibri" w:eastAsiaTheme="majorEastAsia"/>
          <w:sz w:val="22"/>
          <w:szCs w:val="22"/>
        </w:rPr>
        <w:t> </w:t>
      </w:r>
    </w:p>
    <w:p w:rsidR="00E8422A" w:rsidP="00E8422A" w:rsidRDefault="00E8422A" w14:paraId="0727EAD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interactive tools include standardized instructions for completion.</w:t>
      </w:r>
      <w:r>
        <w:rPr>
          <w:rStyle w:val="eop"/>
          <w:rFonts w:ascii="Calibri" w:hAnsi="Calibri" w:cs="Calibri" w:eastAsiaTheme="majorEastAsia"/>
          <w:sz w:val="22"/>
          <w:szCs w:val="22"/>
        </w:rPr>
        <w:t> </w:t>
      </w:r>
    </w:p>
    <w:p w:rsidR="00E8422A" w:rsidP="00E8422A" w:rsidRDefault="00E8422A" w14:paraId="216970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Tooltips are included and are accessible to keyboard users and screen reader users, and highlight low-frequency words for English-language learners.</w:t>
      </w:r>
      <w:r>
        <w:rPr>
          <w:rStyle w:val="eop"/>
          <w:rFonts w:ascii="Calibri" w:hAnsi="Calibri" w:cs="Calibri" w:eastAsiaTheme="majorEastAsia"/>
          <w:sz w:val="22"/>
          <w:szCs w:val="22"/>
        </w:rPr>
        <w:t> </w:t>
      </w:r>
    </w:p>
    <w:p w:rsidR="00E8422A" w:rsidP="00E8422A" w:rsidRDefault="00E8422A" w14:paraId="65017D62"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sz w:val="22"/>
          <w:szCs w:val="22"/>
        </w:rPr>
        <w:t>For two assignments, learners have the option of submitting either a written or video assignment.</w:t>
      </w:r>
      <w:r>
        <w:rPr>
          <w:rStyle w:val="eop"/>
          <w:rFonts w:ascii="Calibri" w:hAnsi="Calibri" w:cs="Calibri" w:eastAsiaTheme="majorEastAsia"/>
          <w:sz w:val="22"/>
          <w:szCs w:val="22"/>
        </w:rPr>
        <w:t> </w:t>
      </w:r>
    </w:p>
    <w:p w:rsidR="00E8422A" w:rsidP="00E8422A" w:rsidRDefault="00E8422A" w14:paraId="066B776F" w14:textId="77777777">
      <w:pPr>
        <w:pStyle w:val="paragraph"/>
        <w:spacing w:before="0" w:beforeAutospacing="0" w:after="0" w:afterAutospacing="0"/>
        <w:textAlignment w:val="baseline"/>
        <w:rPr>
          <w:rFonts w:ascii="Segoe UI" w:hAnsi="Segoe UI" w:cs="Segoe UI"/>
          <w:sz w:val="18"/>
          <w:szCs w:val="18"/>
        </w:rPr>
      </w:pPr>
    </w:p>
    <w:p w:rsidRPr="00E8422A" w:rsidR="00E8422A" w:rsidP="00E8422A" w:rsidRDefault="00E8422A" w14:paraId="05340F4B" w14:textId="77777777">
      <w:pPr>
        <w:pStyle w:val="Heading3"/>
      </w:pPr>
      <w:bookmarkStart w:name="_Toc95995665" w:id="9"/>
      <w:r w:rsidRPr="00E8422A">
        <w:rPr>
          <w:rStyle w:val="normaltextrun"/>
        </w:rPr>
        <w:t>Compatibility with browsers and assistive technology</w:t>
      </w:r>
      <w:bookmarkEnd w:id="9"/>
      <w:r w:rsidRPr="00E8422A">
        <w:rPr>
          <w:rStyle w:val="eop"/>
        </w:rPr>
        <w:t> </w:t>
      </w:r>
    </w:p>
    <w:p w:rsidR="00E8422A" w:rsidP="00E8422A" w:rsidRDefault="00E8422A" w14:paraId="393B58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 Success for Higher Learning (LIBS1540) is designed to be compatible with the following assistive technologies:</w:t>
      </w:r>
      <w:r>
        <w:rPr>
          <w:rStyle w:val="eop"/>
          <w:rFonts w:ascii="Calibri" w:hAnsi="Calibri" w:cs="Calibri" w:eastAsiaTheme="majorEastAsia"/>
          <w:sz w:val="22"/>
          <w:szCs w:val="22"/>
        </w:rPr>
        <w:t> </w:t>
      </w:r>
    </w:p>
    <w:p w:rsidR="00E8422A" w:rsidP="00E8422A" w:rsidRDefault="00E8422A" w14:paraId="34CF9481"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sz w:val="22"/>
          <w:szCs w:val="22"/>
        </w:rPr>
        <w:t>Course was originally designed to function in Brightspace and Canvas. It was tested in Chrome, Edge, and Firefox. JAWS and NVDA were used to test compatibility with screen readers.</w:t>
      </w:r>
      <w:r>
        <w:rPr>
          <w:rStyle w:val="eop"/>
          <w:rFonts w:ascii="Calibri" w:hAnsi="Calibri" w:cs="Calibri" w:eastAsiaTheme="majorEastAsia"/>
          <w:sz w:val="22"/>
          <w:szCs w:val="22"/>
        </w:rPr>
        <w:t> </w:t>
      </w:r>
    </w:p>
    <w:p w:rsidR="00E8422A" w:rsidP="00E8422A" w:rsidRDefault="00E8422A" w14:paraId="7A42536B" w14:textId="77777777">
      <w:pPr>
        <w:pStyle w:val="paragraph"/>
        <w:spacing w:before="0" w:beforeAutospacing="0" w:after="0" w:afterAutospacing="0"/>
        <w:textAlignment w:val="baseline"/>
        <w:rPr>
          <w:rFonts w:ascii="Segoe UI" w:hAnsi="Segoe UI" w:cs="Segoe UI"/>
          <w:sz w:val="18"/>
          <w:szCs w:val="18"/>
        </w:rPr>
      </w:pPr>
    </w:p>
    <w:p w:rsidRPr="00E8422A" w:rsidR="00E8422A" w:rsidP="00E8422A" w:rsidRDefault="00E8422A" w14:paraId="1A80DDE0" w14:textId="77777777">
      <w:pPr>
        <w:pStyle w:val="Heading3"/>
      </w:pPr>
      <w:bookmarkStart w:name="_Toc95995666" w:id="10"/>
      <w:r w:rsidRPr="00E8422A">
        <w:rPr>
          <w:rStyle w:val="normaltextrun"/>
        </w:rPr>
        <w:t>Technical specifications</w:t>
      </w:r>
      <w:bookmarkEnd w:id="10"/>
      <w:r w:rsidRPr="00E8422A">
        <w:rPr>
          <w:rStyle w:val="eop"/>
        </w:rPr>
        <w:t> </w:t>
      </w:r>
    </w:p>
    <w:p w:rsidR="00E8422A" w:rsidP="00E8422A" w:rsidRDefault="00E8422A" w14:paraId="5CCC990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Accessibility of Student Success for Higher Learning (LIBS1540) relies on the following technologies to work with the particular combination of web browser and any assistive technologies or plugins installed on your computer:</w:t>
      </w:r>
      <w:r>
        <w:rPr>
          <w:rStyle w:val="eop"/>
          <w:rFonts w:ascii="Calibri" w:hAnsi="Calibri" w:cs="Calibri" w:eastAsiaTheme="majorEastAsia"/>
          <w:sz w:val="22"/>
          <w:szCs w:val="22"/>
        </w:rPr>
        <w:t> </w:t>
      </w:r>
    </w:p>
    <w:p w:rsidR="00E8422A" w:rsidP="00E8422A" w:rsidRDefault="00E8422A" w14:paraId="30170299"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HTML</w:t>
      </w:r>
      <w:r>
        <w:rPr>
          <w:rStyle w:val="eop"/>
          <w:rFonts w:ascii="Calibri" w:hAnsi="Calibri" w:cs="Calibri" w:eastAsiaTheme="majorEastAsia"/>
          <w:sz w:val="22"/>
          <w:szCs w:val="22"/>
        </w:rPr>
        <w:t> </w:t>
      </w:r>
    </w:p>
    <w:p w:rsidR="00E8422A" w:rsidP="00E8422A" w:rsidRDefault="00E8422A" w14:paraId="7DCB80BE"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WAI-ARIA</w:t>
      </w:r>
      <w:r>
        <w:rPr>
          <w:rStyle w:val="eop"/>
          <w:rFonts w:ascii="Calibri" w:hAnsi="Calibri" w:cs="Calibri" w:eastAsiaTheme="majorEastAsia"/>
          <w:sz w:val="22"/>
          <w:szCs w:val="22"/>
        </w:rPr>
        <w:t> </w:t>
      </w:r>
    </w:p>
    <w:p w:rsidR="00E8422A" w:rsidP="00E8422A" w:rsidRDefault="00E8422A" w14:paraId="0316FF13"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CSS</w:t>
      </w:r>
      <w:r>
        <w:rPr>
          <w:rStyle w:val="eop"/>
          <w:rFonts w:ascii="Calibri" w:hAnsi="Calibri" w:cs="Calibri" w:eastAsiaTheme="majorEastAsia"/>
          <w:sz w:val="22"/>
          <w:szCs w:val="22"/>
        </w:rPr>
        <w:t> </w:t>
      </w:r>
    </w:p>
    <w:p w:rsidR="00E8422A" w:rsidP="00E8422A" w:rsidRDefault="00E8422A" w14:paraId="24442DBB" w14:textId="77777777">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JavaScript</w:t>
      </w:r>
      <w:r>
        <w:rPr>
          <w:rStyle w:val="eop"/>
          <w:rFonts w:ascii="Calibri" w:hAnsi="Calibri" w:cs="Calibri" w:eastAsiaTheme="majorEastAsia"/>
          <w:sz w:val="22"/>
          <w:szCs w:val="22"/>
        </w:rPr>
        <w:t> </w:t>
      </w:r>
    </w:p>
    <w:p w:rsidR="00E8422A" w:rsidP="00E8422A" w:rsidRDefault="00E8422A" w14:paraId="669B30C1"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sz w:val="22"/>
          <w:szCs w:val="22"/>
        </w:rPr>
        <w:lastRenderedPageBreak/>
        <w:t>These technologies are relied upon for conformance with the accessibility standards used.</w:t>
      </w:r>
      <w:r>
        <w:rPr>
          <w:rStyle w:val="eop"/>
          <w:rFonts w:ascii="Calibri" w:hAnsi="Calibri" w:cs="Calibri" w:eastAsiaTheme="majorEastAsia"/>
          <w:sz w:val="22"/>
          <w:szCs w:val="22"/>
        </w:rPr>
        <w:t> </w:t>
      </w:r>
    </w:p>
    <w:p w:rsidR="00E8422A" w:rsidP="00E8422A" w:rsidRDefault="00E8422A" w14:paraId="22DC823A" w14:textId="77777777">
      <w:pPr>
        <w:pStyle w:val="paragraph"/>
        <w:spacing w:before="0" w:beforeAutospacing="0" w:after="0" w:afterAutospacing="0"/>
        <w:textAlignment w:val="baseline"/>
        <w:rPr>
          <w:rFonts w:ascii="Segoe UI" w:hAnsi="Segoe UI" w:cs="Segoe UI"/>
          <w:sz w:val="18"/>
          <w:szCs w:val="18"/>
        </w:rPr>
      </w:pPr>
    </w:p>
    <w:p w:rsidRPr="00E8422A" w:rsidR="00E8422A" w:rsidP="00E8422A" w:rsidRDefault="00E8422A" w14:paraId="6AAA5A71" w14:textId="77777777">
      <w:pPr>
        <w:pStyle w:val="Heading3"/>
      </w:pPr>
      <w:bookmarkStart w:name="_Toc95995667" w:id="11"/>
      <w:r w:rsidRPr="00E8422A">
        <w:rPr>
          <w:rStyle w:val="normaltextrun"/>
        </w:rPr>
        <w:t>Limitations and alternatives</w:t>
      </w:r>
      <w:bookmarkEnd w:id="11"/>
      <w:r w:rsidRPr="00E8422A">
        <w:rPr>
          <w:rStyle w:val="eop"/>
        </w:rPr>
        <w:t> </w:t>
      </w:r>
    </w:p>
    <w:p w:rsidR="00E8422A" w:rsidP="00E8422A" w:rsidRDefault="00E8422A" w14:paraId="245C845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Despite our best efforts to ensure accessibility of Student Success for Higher Learning (LIBS1540) , there may be some limitations. Below is a description of known limitations, and potential solutions. Please contact us if you observe an issue not listed below.</w:t>
      </w:r>
      <w:r>
        <w:rPr>
          <w:rStyle w:val="eop"/>
          <w:rFonts w:ascii="Calibri" w:hAnsi="Calibri" w:cs="Calibri" w:eastAsiaTheme="majorEastAsia"/>
          <w:sz w:val="22"/>
          <w:szCs w:val="22"/>
        </w:rPr>
        <w:t> </w:t>
      </w:r>
    </w:p>
    <w:p w:rsidR="00E8422A" w:rsidP="00E8422A" w:rsidRDefault="00E8422A" w14:paraId="0C4D7E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Known limitations for Student Success for Higher Learning (LIBS1540):</w:t>
      </w:r>
      <w:r>
        <w:rPr>
          <w:rStyle w:val="eop"/>
          <w:rFonts w:ascii="Calibri" w:hAnsi="Calibri" w:cs="Calibri" w:eastAsiaTheme="majorEastAsia"/>
          <w:sz w:val="22"/>
          <w:szCs w:val="22"/>
        </w:rPr>
        <w:t> </w:t>
      </w:r>
    </w:p>
    <w:p w:rsidRPr="00A57240" w:rsidR="00E8422A" w:rsidP="00E8422A" w:rsidRDefault="00E8422A" w14:paraId="13EF7C1E" w14:textId="77777777">
      <w:pPr>
        <w:pStyle w:val="paragraph"/>
        <w:numPr>
          <w:ilvl w:val="0"/>
          <w:numId w:val="20"/>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Images: Images with text cannot be enlarged because The ability to zoom images was removed to ensure they were platform agnostic. Ensure that alt text is included or that images are otherwise marked as decorative. Use alternative methods of zooming.</w:t>
      </w:r>
      <w:r>
        <w:rPr>
          <w:rStyle w:val="eop"/>
          <w:rFonts w:ascii="Calibri" w:hAnsi="Calibri" w:cs="Calibri" w:eastAsiaTheme="majorEastAsia"/>
          <w:sz w:val="22"/>
          <w:szCs w:val="22"/>
        </w:rPr>
        <w:t> </w:t>
      </w:r>
    </w:p>
    <w:p w:rsidR="00A57240" w:rsidP="00A57240" w:rsidRDefault="00A57240" w14:paraId="0C623E6D" w14:textId="77777777">
      <w:pPr>
        <w:pStyle w:val="paragraph"/>
        <w:spacing w:before="0" w:beforeAutospacing="0" w:after="0" w:afterAutospacing="0"/>
        <w:ind w:left="1080"/>
        <w:textAlignment w:val="baseline"/>
        <w:rPr>
          <w:rFonts w:ascii="Calibri" w:hAnsi="Calibri" w:cs="Calibri"/>
          <w:sz w:val="22"/>
          <w:szCs w:val="22"/>
        </w:rPr>
      </w:pPr>
    </w:p>
    <w:p w:rsidRPr="00E8422A" w:rsidR="00E8422A" w:rsidP="00E8422A" w:rsidRDefault="00E8422A" w14:paraId="65793B9A" w14:textId="77777777">
      <w:pPr>
        <w:pStyle w:val="Heading3"/>
      </w:pPr>
      <w:bookmarkStart w:name="_Toc95995668" w:id="12"/>
      <w:r w:rsidRPr="00E8422A">
        <w:rPr>
          <w:rStyle w:val="normaltextrun"/>
        </w:rPr>
        <w:t>Assessment approach</w:t>
      </w:r>
      <w:bookmarkEnd w:id="12"/>
      <w:r w:rsidRPr="00E8422A">
        <w:rPr>
          <w:rStyle w:val="eop"/>
        </w:rPr>
        <w:t> </w:t>
      </w:r>
    </w:p>
    <w:p w:rsidR="00E8422A" w:rsidP="00E8422A" w:rsidRDefault="00E8422A" w14:paraId="76F05F5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Conestoga College assessed the accessibility of Student Success for Higher Learning (LIBS1540) by the following approaches:</w:t>
      </w:r>
      <w:r>
        <w:rPr>
          <w:rStyle w:val="eop"/>
          <w:rFonts w:ascii="Calibri" w:hAnsi="Calibri" w:cs="Calibri" w:eastAsiaTheme="majorEastAsia"/>
          <w:sz w:val="22"/>
          <w:szCs w:val="22"/>
        </w:rPr>
        <w:t> </w:t>
      </w:r>
    </w:p>
    <w:p w:rsidR="00E8422A" w:rsidP="00E8422A" w:rsidRDefault="00E8422A" w14:paraId="7E86184A" w14:textId="77777777">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Self-evaluation</w:t>
      </w:r>
      <w:r>
        <w:rPr>
          <w:rStyle w:val="eop"/>
          <w:rFonts w:ascii="Calibri" w:hAnsi="Calibri" w:cs="Calibri" w:eastAsiaTheme="majorEastAsia"/>
          <w:sz w:val="22"/>
          <w:szCs w:val="22"/>
        </w:rPr>
        <w:t> </w:t>
      </w:r>
    </w:p>
    <w:p w:rsidRPr="00BC6A5E" w:rsidR="00E8422A" w:rsidP="00E8422A" w:rsidRDefault="00E8422A" w14:paraId="795EDBF8" w14:textId="77777777">
      <w:pPr>
        <w:pStyle w:val="paragraph"/>
        <w:numPr>
          <w:ilvl w:val="0"/>
          <w:numId w:val="2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Conestoga College employs a quality assurance framework that informs the entire course development process.</w:t>
      </w:r>
      <w:r>
        <w:rPr>
          <w:rStyle w:val="eop"/>
          <w:rFonts w:ascii="Calibri" w:hAnsi="Calibri" w:cs="Calibri" w:eastAsiaTheme="majorEastAsia"/>
          <w:sz w:val="22"/>
          <w:szCs w:val="22"/>
        </w:rPr>
        <w:t> </w:t>
      </w:r>
    </w:p>
    <w:p w:rsidR="00BC6A5E" w:rsidP="00A57240" w:rsidRDefault="00BC6A5E" w14:paraId="1C997331" w14:textId="77777777">
      <w:pPr>
        <w:pStyle w:val="paragraph"/>
        <w:spacing w:before="0" w:beforeAutospacing="0" w:after="0" w:afterAutospacing="0"/>
        <w:ind w:left="1080"/>
        <w:textAlignment w:val="baseline"/>
        <w:rPr>
          <w:rFonts w:ascii="Calibri" w:hAnsi="Calibri" w:cs="Calibri"/>
          <w:sz w:val="22"/>
          <w:szCs w:val="22"/>
        </w:rPr>
      </w:pPr>
    </w:p>
    <w:p w:rsidRPr="00E8422A" w:rsidR="00E8422A" w:rsidP="00E8422A" w:rsidRDefault="00E8422A" w14:paraId="4729BA7F" w14:textId="77777777">
      <w:pPr>
        <w:pStyle w:val="Heading3"/>
      </w:pPr>
      <w:bookmarkStart w:name="_Toc95995669" w:id="13"/>
      <w:r w:rsidRPr="00E8422A">
        <w:rPr>
          <w:rStyle w:val="normaltextrun"/>
        </w:rPr>
        <w:t>Formal approval of this accessibility statement</w:t>
      </w:r>
      <w:bookmarkEnd w:id="13"/>
      <w:r w:rsidRPr="00E8422A">
        <w:rPr>
          <w:rStyle w:val="eop"/>
        </w:rPr>
        <w:t> </w:t>
      </w:r>
    </w:p>
    <w:p w:rsidR="00E8422A" w:rsidP="00E8422A" w:rsidRDefault="00E8422A" w14:paraId="26E4684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Accessibility Statement is approved by:</w:t>
      </w:r>
      <w:r>
        <w:rPr>
          <w:rStyle w:val="eop"/>
          <w:rFonts w:ascii="Calibri" w:hAnsi="Calibri" w:cs="Calibri" w:eastAsiaTheme="majorEastAsia"/>
          <w:sz w:val="22"/>
          <w:szCs w:val="22"/>
        </w:rPr>
        <w:t> </w:t>
      </w:r>
    </w:p>
    <w:p w:rsidRPr="00691FD6" w:rsidR="000F2C15" w:rsidP="00691FD6" w:rsidRDefault="00E8422A" w14:paraId="5D765550" w14:textId="60EBD169">
      <w:pPr>
        <w:pStyle w:val="paragraph"/>
        <w:spacing w:before="0" w:beforeAutospacing="0" w:after="0" w:afterAutospacing="0"/>
        <w:textAlignment w:val="baseline"/>
        <w:rPr>
          <w:rFonts w:ascii="Calibri" w:hAnsi="Calibri" w:cs="Calibri" w:eastAsiaTheme="majorEastAsia"/>
          <w:sz w:val="22"/>
          <w:szCs w:val="22"/>
        </w:rPr>
      </w:pPr>
      <w:r>
        <w:rPr>
          <w:rStyle w:val="normaltextrun"/>
          <w:rFonts w:ascii="Calibri" w:hAnsi="Calibri" w:cs="Calibri"/>
          <w:sz w:val="22"/>
          <w:szCs w:val="22"/>
        </w:rPr>
        <w:t>Conestoga College</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Kaitlyn Bois</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Quality Assurance Support Specialist, Conestoga College Online Learning Centre</w:t>
      </w:r>
      <w:r>
        <w:rPr>
          <w:rStyle w:val="eop"/>
          <w:rFonts w:ascii="Calibri" w:hAnsi="Calibri" w:cs="Calibri" w:eastAsiaTheme="majorEastAsia"/>
          <w:sz w:val="22"/>
          <w:szCs w:val="22"/>
        </w:rPr>
        <w:t> </w:t>
      </w:r>
    </w:p>
    <w:sectPr w:rsidRPr="00691FD6" w:rsidR="000F2C15">
      <w:head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C50" w:rsidP="000F3135" w:rsidRDefault="00393C50" w14:paraId="39FFADB9" w14:textId="77777777">
      <w:pPr>
        <w:spacing w:after="0" w:line="240" w:lineRule="auto"/>
      </w:pPr>
      <w:r>
        <w:separator/>
      </w:r>
    </w:p>
  </w:endnote>
  <w:endnote w:type="continuationSeparator" w:id="0">
    <w:p w:rsidR="00393C50" w:rsidP="000F3135" w:rsidRDefault="00393C50" w14:paraId="5A83C328" w14:textId="77777777">
      <w:pPr>
        <w:spacing w:after="0" w:line="240" w:lineRule="auto"/>
      </w:pPr>
      <w:r>
        <w:continuationSeparator/>
      </w:r>
    </w:p>
  </w:endnote>
  <w:endnote w:type="continuationNotice" w:id="1">
    <w:p w:rsidR="00AF3685" w:rsidRDefault="00AF3685" w14:paraId="44CB4E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C50" w:rsidP="000F3135" w:rsidRDefault="00393C50" w14:paraId="672CB98E" w14:textId="77777777">
      <w:pPr>
        <w:spacing w:after="0" w:line="240" w:lineRule="auto"/>
      </w:pPr>
      <w:r>
        <w:separator/>
      </w:r>
    </w:p>
  </w:footnote>
  <w:footnote w:type="continuationSeparator" w:id="0">
    <w:p w:rsidR="00393C50" w:rsidP="000F3135" w:rsidRDefault="00393C50" w14:paraId="18518049" w14:textId="77777777">
      <w:pPr>
        <w:spacing w:after="0" w:line="240" w:lineRule="auto"/>
      </w:pPr>
      <w:r>
        <w:continuationSeparator/>
      </w:r>
    </w:p>
  </w:footnote>
  <w:footnote w:type="continuationNotice" w:id="1">
    <w:p w:rsidR="00AF3685" w:rsidRDefault="00AF3685" w14:paraId="2967D7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135" w:rsidR="000F3135" w:rsidP="000F3135" w:rsidRDefault="000F3135" w14:paraId="291DB390" w14:textId="09587FDC">
    <w:pPr>
      <w:pStyle w:val="Header"/>
    </w:pPr>
    <w:r w:rsidRPr="000F3135">
      <w:t>CONE-966 – Conestoga Digital Content Submission - Student Success for Higher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43E"/>
    <w:multiLevelType w:val="hybridMultilevel"/>
    <w:tmpl w:val="915CF3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D0A60D3"/>
    <w:multiLevelType w:val="hybridMultilevel"/>
    <w:tmpl w:val="AFF2682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E307CCA"/>
    <w:multiLevelType w:val="hybridMultilevel"/>
    <w:tmpl w:val="677EEE7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0B471E1"/>
    <w:multiLevelType w:val="multilevel"/>
    <w:tmpl w:val="2436A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15422C"/>
    <w:multiLevelType w:val="hybridMultilevel"/>
    <w:tmpl w:val="AA2ABEE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6497AA9"/>
    <w:multiLevelType w:val="multilevel"/>
    <w:tmpl w:val="0D781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A26254F"/>
    <w:multiLevelType w:val="hybridMultilevel"/>
    <w:tmpl w:val="0A2A608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0F32621"/>
    <w:multiLevelType w:val="hybridMultilevel"/>
    <w:tmpl w:val="FB6C296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8E7352D"/>
    <w:multiLevelType w:val="multilevel"/>
    <w:tmpl w:val="89863C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D400D04"/>
    <w:multiLevelType w:val="hybridMultilevel"/>
    <w:tmpl w:val="E600409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48B47AA"/>
    <w:multiLevelType w:val="hybridMultilevel"/>
    <w:tmpl w:val="1EF04FF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4552114B"/>
    <w:multiLevelType w:val="hybridMultilevel"/>
    <w:tmpl w:val="375046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8922B75"/>
    <w:multiLevelType w:val="hybridMultilevel"/>
    <w:tmpl w:val="A7E0A80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5943397A"/>
    <w:multiLevelType w:val="multilevel"/>
    <w:tmpl w:val="72328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CE39CA"/>
    <w:multiLevelType w:val="multilevel"/>
    <w:tmpl w:val="5A9A4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F5A4D93"/>
    <w:multiLevelType w:val="hybridMultilevel"/>
    <w:tmpl w:val="8842D8E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14610B6"/>
    <w:multiLevelType w:val="hybridMultilevel"/>
    <w:tmpl w:val="8516FE5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661D4408"/>
    <w:multiLevelType w:val="multilevel"/>
    <w:tmpl w:val="428AF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F741338"/>
    <w:multiLevelType w:val="hybridMultilevel"/>
    <w:tmpl w:val="FAB6AC4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76D10473"/>
    <w:multiLevelType w:val="hybridMultilevel"/>
    <w:tmpl w:val="C5B2F73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7A950224"/>
    <w:multiLevelType w:val="hybridMultilevel"/>
    <w:tmpl w:val="9E2C9D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
  </w:num>
  <w:num w:numId="4">
    <w:abstractNumId w:val="20"/>
  </w:num>
  <w:num w:numId="5">
    <w:abstractNumId w:val="0"/>
  </w:num>
  <w:num w:numId="6">
    <w:abstractNumId w:val="9"/>
  </w:num>
  <w:num w:numId="7">
    <w:abstractNumId w:val="6"/>
  </w:num>
  <w:num w:numId="8">
    <w:abstractNumId w:val="19"/>
  </w:num>
  <w:num w:numId="9">
    <w:abstractNumId w:val="10"/>
  </w:num>
  <w:num w:numId="10">
    <w:abstractNumId w:val="18"/>
  </w:num>
  <w:num w:numId="11">
    <w:abstractNumId w:val="12"/>
  </w:num>
  <w:num w:numId="12">
    <w:abstractNumId w:val="2"/>
  </w:num>
  <w:num w:numId="13">
    <w:abstractNumId w:val="4"/>
  </w:num>
  <w:num w:numId="14">
    <w:abstractNumId w:val="11"/>
  </w:num>
  <w:num w:numId="15">
    <w:abstractNumId w:val="7"/>
  </w:num>
  <w:num w:numId="16">
    <w:abstractNumId w:val="3"/>
  </w:num>
  <w:num w:numId="17">
    <w:abstractNumId w:val="14"/>
  </w:num>
  <w:num w:numId="18">
    <w:abstractNumId w:val="5"/>
  </w:num>
  <w:num w:numId="19">
    <w:abstractNumId w:val="8"/>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03BBC8"/>
    <w:rsid w:val="000671DB"/>
    <w:rsid w:val="00090284"/>
    <w:rsid w:val="000C74D7"/>
    <w:rsid w:val="000E3B58"/>
    <w:rsid w:val="000F2676"/>
    <w:rsid w:val="000F2C15"/>
    <w:rsid w:val="000F3135"/>
    <w:rsid w:val="00106657"/>
    <w:rsid w:val="00116FA6"/>
    <w:rsid w:val="00165C59"/>
    <w:rsid w:val="001C5C6D"/>
    <w:rsid w:val="001D3CE1"/>
    <w:rsid w:val="001F664F"/>
    <w:rsid w:val="00217554"/>
    <w:rsid w:val="0023617D"/>
    <w:rsid w:val="00261EA3"/>
    <w:rsid w:val="002A10DF"/>
    <w:rsid w:val="002B2380"/>
    <w:rsid w:val="002B4A7B"/>
    <w:rsid w:val="002C00AA"/>
    <w:rsid w:val="00331CD4"/>
    <w:rsid w:val="003630B0"/>
    <w:rsid w:val="00393C50"/>
    <w:rsid w:val="003C023A"/>
    <w:rsid w:val="003C6167"/>
    <w:rsid w:val="003E2126"/>
    <w:rsid w:val="003E3537"/>
    <w:rsid w:val="0040495A"/>
    <w:rsid w:val="00413C90"/>
    <w:rsid w:val="0041712E"/>
    <w:rsid w:val="004214DA"/>
    <w:rsid w:val="00431086"/>
    <w:rsid w:val="00435BF6"/>
    <w:rsid w:val="00436147"/>
    <w:rsid w:val="00443281"/>
    <w:rsid w:val="004450CE"/>
    <w:rsid w:val="004E4E9F"/>
    <w:rsid w:val="00517420"/>
    <w:rsid w:val="005365B4"/>
    <w:rsid w:val="00552AC1"/>
    <w:rsid w:val="005A30BF"/>
    <w:rsid w:val="005D03FA"/>
    <w:rsid w:val="005D288C"/>
    <w:rsid w:val="005E35BA"/>
    <w:rsid w:val="00600E92"/>
    <w:rsid w:val="00621BE2"/>
    <w:rsid w:val="006545BE"/>
    <w:rsid w:val="00691FD6"/>
    <w:rsid w:val="006967FE"/>
    <w:rsid w:val="006E4AEE"/>
    <w:rsid w:val="006E503A"/>
    <w:rsid w:val="00710DBB"/>
    <w:rsid w:val="00731652"/>
    <w:rsid w:val="0073655B"/>
    <w:rsid w:val="00742F75"/>
    <w:rsid w:val="00754A99"/>
    <w:rsid w:val="007878B8"/>
    <w:rsid w:val="00793E0F"/>
    <w:rsid w:val="007C34F8"/>
    <w:rsid w:val="007C59F0"/>
    <w:rsid w:val="007C6505"/>
    <w:rsid w:val="007D1944"/>
    <w:rsid w:val="007D2D2C"/>
    <w:rsid w:val="007E326C"/>
    <w:rsid w:val="007F32A8"/>
    <w:rsid w:val="008156AE"/>
    <w:rsid w:val="00826765"/>
    <w:rsid w:val="008B5EC4"/>
    <w:rsid w:val="008D3829"/>
    <w:rsid w:val="008F381F"/>
    <w:rsid w:val="008F616C"/>
    <w:rsid w:val="008F6F2C"/>
    <w:rsid w:val="00905FB5"/>
    <w:rsid w:val="009550B4"/>
    <w:rsid w:val="009624EE"/>
    <w:rsid w:val="009F5571"/>
    <w:rsid w:val="009F6495"/>
    <w:rsid w:val="00A35850"/>
    <w:rsid w:val="00A41B3F"/>
    <w:rsid w:val="00A57240"/>
    <w:rsid w:val="00A57472"/>
    <w:rsid w:val="00A64081"/>
    <w:rsid w:val="00A6616A"/>
    <w:rsid w:val="00A87C07"/>
    <w:rsid w:val="00AB66C1"/>
    <w:rsid w:val="00AE1262"/>
    <w:rsid w:val="00AE6716"/>
    <w:rsid w:val="00AF3685"/>
    <w:rsid w:val="00B10487"/>
    <w:rsid w:val="00B22BCD"/>
    <w:rsid w:val="00B72B77"/>
    <w:rsid w:val="00B92471"/>
    <w:rsid w:val="00BC6A5E"/>
    <w:rsid w:val="00BD182F"/>
    <w:rsid w:val="00C23404"/>
    <w:rsid w:val="00C3551B"/>
    <w:rsid w:val="00C36AD8"/>
    <w:rsid w:val="00C77B3F"/>
    <w:rsid w:val="00C82BE2"/>
    <w:rsid w:val="00C835CA"/>
    <w:rsid w:val="00CB65C3"/>
    <w:rsid w:val="00CD11AD"/>
    <w:rsid w:val="00CD2E39"/>
    <w:rsid w:val="00CD6F84"/>
    <w:rsid w:val="00CE4F15"/>
    <w:rsid w:val="00D20225"/>
    <w:rsid w:val="00D233B7"/>
    <w:rsid w:val="00D53619"/>
    <w:rsid w:val="00D62398"/>
    <w:rsid w:val="00D841B4"/>
    <w:rsid w:val="00DD48B6"/>
    <w:rsid w:val="00E26806"/>
    <w:rsid w:val="00E30F6E"/>
    <w:rsid w:val="00E44023"/>
    <w:rsid w:val="00E46BE5"/>
    <w:rsid w:val="00E555C2"/>
    <w:rsid w:val="00E66B04"/>
    <w:rsid w:val="00E8409E"/>
    <w:rsid w:val="00E8422A"/>
    <w:rsid w:val="00E92B0E"/>
    <w:rsid w:val="00EB1AD5"/>
    <w:rsid w:val="00EC7230"/>
    <w:rsid w:val="00ED7856"/>
    <w:rsid w:val="00F3222D"/>
    <w:rsid w:val="00F342D8"/>
    <w:rsid w:val="00F54DC6"/>
    <w:rsid w:val="00F64324"/>
    <w:rsid w:val="00F662A3"/>
    <w:rsid w:val="00F7230D"/>
    <w:rsid w:val="00F84690"/>
    <w:rsid w:val="00FA1F8A"/>
    <w:rsid w:val="00FD43D3"/>
    <w:rsid w:val="00FE4A81"/>
    <w:rsid w:val="00FE5EA4"/>
    <w:rsid w:val="00FE6431"/>
    <w:rsid w:val="04D53866"/>
    <w:rsid w:val="10E7706E"/>
    <w:rsid w:val="3003B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3BBC8"/>
  <w15:chartTrackingRefBased/>
  <w15:docId w15:val="{2CB9B1C0-7658-4D40-90B8-916BD19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6657"/>
  </w:style>
  <w:style w:type="paragraph" w:styleId="Heading1">
    <w:name w:val="heading 1"/>
    <w:basedOn w:val="Normal"/>
    <w:next w:val="Normal"/>
    <w:link w:val="Heading1Char"/>
    <w:uiPriority w:val="9"/>
    <w:qFormat/>
    <w:rsid w:val="000F31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13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422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F31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3135"/>
  </w:style>
  <w:style w:type="paragraph" w:styleId="Footer">
    <w:name w:val="footer"/>
    <w:basedOn w:val="Normal"/>
    <w:link w:val="FooterChar"/>
    <w:uiPriority w:val="99"/>
    <w:unhideWhenUsed/>
    <w:rsid w:val="000F31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3135"/>
  </w:style>
  <w:style w:type="character" w:styleId="Heading2Char" w:customStyle="1">
    <w:name w:val="Heading 2 Char"/>
    <w:basedOn w:val="DefaultParagraphFont"/>
    <w:link w:val="Heading2"/>
    <w:uiPriority w:val="9"/>
    <w:rsid w:val="000F3135"/>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0F3135"/>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7D19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8409E"/>
    <w:pPr>
      <w:ind w:left="720"/>
      <w:contextualSpacing/>
    </w:pPr>
  </w:style>
  <w:style w:type="character" w:styleId="Hyperlink">
    <w:name w:val="Hyperlink"/>
    <w:basedOn w:val="DefaultParagraphFont"/>
    <w:uiPriority w:val="99"/>
    <w:unhideWhenUsed/>
    <w:rsid w:val="006967FE"/>
    <w:rPr>
      <w:color w:val="0563C1" w:themeColor="hyperlink"/>
      <w:u w:val="single"/>
    </w:rPr>
  </w:style>
  <w:style w:type="character" w:styleId="UnresolvedMention">
    <w:name w:val="Unresolved Mention"/>
    <w:basedOn w:val="DefaultParagraphFont"/>
    <w:uiPriority w:val="99"/>
    <w:semiHidden/>
    <w:unhideWhenUsed/>
    <w:rsid w:val="006967FE"/>
    <w:rPr>
      <w:color w:val="605E5C"/>
      <w:shd w:val="clear" w:color="auto" w:fill="E1DFDD"/>
    </w:rPr>
  </w:style>
  <w:style w:type="paragraph" w:styleId="paragraph" w:customStyle="1">
    <w:name w:val="paragraph"/>
    <w:basedOn w:val="Normal"/>
    <w:rsid w:val="00E8422A"/>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E8422A"/>
  </w:style>
  <w:style w:type="character" w:styleId="eop" w:customStyle="1">
    <w:name w:val="eop"/>
    <w:basedOn w:val="DefaultParagraphFont"/>
    <w:rsid w:val="00E8422A"/>
  </w:style>
  <w:style w:type="character" w:styleId="bcx0" w:customStyle="1">
    <w:name w:val="bcx0"/>
    <w:basedOn w:val="DefaultParagraphFont"/>
    <w:rsid w:val="00E8422A"/>
  </w:style>
  <w:style w:type="character" w:styleId="Heading3Char" w:customStyle="1">
    <w:name w:val="Heading 3 Char"/>
    <w:basedOn w:val="DefaultParagraphFont"/>
    <w:link w:val="Heading3"/>
    <w:uiPriority w:val="9"/>
    <w:rsid w:val="00E8422A"/>
    <w:rPr>
      <w:rFonts w:asciiTheme="majorHAnsi" w:hAnsiTheme="majorHAnsi" w:eastAsiaTheme="majorEastAsia" w:cstheme="majorBidi"/>
      <w:color w:val="1F3763" w:themeColor="accent1" w:themeShade="7F"/>
      <w:sz w:val="24"/>
      <w:szCs w:val="24"/>
    </w:rPr>
  </w:style>
  <w:style w:type="paragraph" w:styleId="TOCHeading">
    <w:name w:val="TOC Heading"/>
    <w:basedOn w:val="Heading1"/>
    <w:next w:val="Normal"/>
    <w:uiPriority w:val="39"/>
    <w:unhideWhenUsed/>
    <w:qFormat/>
    <w:rsid w:val="00691FD6"/>
    <w:pPr>
      <w:outlineLvl w:val="9"/>
    </w:pPr>
  </w:style>
  <w:style w:type="paragraph" w:styleId="TOC1">
    <w:name w:val="toc 1"/>
    <w:basedOn w:val="Normal"/>
    <w:next w:val="Normal"/>
    <w:autoRedefine/>
    <w:uiPriority w:val="39"/>
    <w:unhideWhenUsed/>
    <w:rsid w:val="00691FD6"/>
    <w:pPr>
      <w:spacing w:after="100"/>
    </w:pPr>
  </w:style>
  <w:style w:type="paragraph" w:styleId="TOC2">
    <w:name w:val="toc 2"/>
    <w:basedOn w:val="Normal"/>
    <w:next w:val="Normal"/>
    <w:autoRedefine/>
    <w:uiPriority w:val="39"/>
    <w:unhideWhenUsed/>
    <w:rsid w:val="00691FD6"/>
    <w:pPr>
      <w:spacing w:after="100"/>
      <w:ind w:left="220"/>
    </w:pPr>
  </w:style>
  <w:style w:type="paragraph" w:styleId="TOC3">
    <w:name w:val="toc 3"/>
    <w:basedOn w:val="Normal"/>
    <w:next w:val="Normal"/>
    <w:autoRedefine/>
    <w:uiPriority w:val="39"/>
    <w:unhideWhenUsed/>
    <w:rsid w:val="00691F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60573">
      <w:bodyDiv w:val="1"/>
      <w:marLeft w:val="0"/>
      <w:marRight w:val="0"/>
      <w:marTop w:val="0"/>
      <w:marBottom w:val="0"/>
      <w:divBdr>
        <w:top w:val="none" w:sz="0" w:space="0" w:color="auto"/>
        <w:left w:val="none" w:sz="0" w:space="0" w:color="auto"/>
        <w:bottom w:val="none" w:sz="0" w:space="0" w:color="auto"/>
        <w:right w:val="none" w:sz="0" w:space="0" w:color="auto"/>
      </w:divBdr>
      <w:divsChild>
        <w:div w:id="233004625">
          <w:marLeft w:val="0"/>
          <w:marRight w:val="0"/>
          <w:marTop w:val="0"/>
          <w:marBottom w:val="0"/>
          <w:divBdr>
            <w:top w:val="none" w:sz="0" w:space="0" w:color="auto"/>
            <w:left w:val="none" w:sz="0" w:space="0" w:color="auto"/>
            <w:bottom w:val="none" w:sz="0" w:space="0" w:color="auto"/>
            <w:right w:val="none" w:sz="0" w:space="0" w:color="auto"/>
          </w:divBdr>
          <w:divsChild>
            <w:div w:id="956259799">
              <w:marLeft w:val="0"/>
              <w:marRight w:val="0"/>
              <w:marTop w:val="0"/>
              <w:marBottom w:val="0"/>
              <w:divBdr>
                <w:top w:val="none" w:sz="0" w:space="0" w:color="auto"/>
                <w:left w:val="none" w:sz="0" w:space="0" w:color="auto"/>
                <w:bottom w:val="none" w:sz="0" w:space="0" w:color="auto"/>
                <w:right w:val="none" w:sz="0" w:space="0" w:color="auto"/>
              </w:divBdr>
            </w:div>
            <w:div w:id="355431357">
              <w:marLeft w:val="0"/>
              <w:marRight w:val="0"/>
              <w:marTop w:val="0"/>
              <w:marBottom w:val="0"/>
              <w:divBdr>
                <w:top w:val="none" w:sz="0" w:space="0" w:color="auto"/>
                <w:left w:val="none" w:sz="0" w:space="0" w:color="auto"/>
                <w:bottom w:val="none" w:sz="0" w:space="0" w:color="auto"/>
                <w:right w:val="none" w:sz="0" w:space="0" w:color="auto"/>
              </w:divBdr>
            </w:div>
            <w:div w:id="969475037">
              <w:marLeft w:val="0"/>
              <w:marRight w:val="0"/>
              <w:marTop w:val="0"/>
              <w:marBottom w:val="0"/>
              <w:divBdr>
                <w:top w:val="none" w:sz="0" w:space="0" w:color="auto"/>
                <w:left w:val="none" w:sz="0" w:space="0" w:color="auto"/>
                <w:bottom w:val="none" w:sz="0" w:space="0" w:color="auto"/>
                <w:right w:val="none" w:sz="0" w:space="0" w:color="auto"/>
              </w:divBdr>
            </w:div>
            <w:div w:id="1337801289">
              <w:marLeft w:val="0"/>
              <w:marRight w:val="0"/>
              <w:marTop w:val="0"/>
              <w:marBottom w:val="0"/>
              <w:divBdr>
                <w:top w:val="none" w:sz="0" w:space="0" w:color="auto"/>
                <w:left w:val="none" w:sz="0" w:space="0" w:color="auto"/>
                <w:bottom w:val="none" w:sz="0" w:space="0" w:color="auto"/>
                <w:right w:val="none" w:sz="0" w:space="0" w:color="auto"/>
              </w:divBdr>
            </w:div>
            <w:div w:id="2031177040">
              <w:marLeft w:val="0"/>
              <w:marRight w:val="0"/>
              <w:marTop w:val="0"/>
              <w:marBottom w:val="0"/>
              <w:divBdr>
                <w:top w:val="none" w:sz="0" w:space="0" w:color="auto"/>
                <w:left w:val="none" w:sz="0" w:space="0" w:color="auto"/>
                <w:bottom w:val="none" w:sz="0" w:space="0" w:color="auto"/>
                <w:right w:val="none" w:sz="0" w:space="0" w:color="auto"/>
              </w:divBdr>
            </w:div>
          </w:divsChild>
        </w:div>
        <w:div w:id="368993331">
          <w:marLeft w:val="0"/>
          <w:marRight w:val="0"/>
          <w:marTop w:val="0"/>
          <w:marBottom w:val="0"/>
          <w:divBdr>
            <w:top w:val="none" w:sz="0" w:space="0" w:color="auto"/>
            <w:left w:val="none" w:sz="0" w:space="0" w:color="auto"/>
            <w:bottom w:val="none" w:sz="0" w:space="0" w:color="auto"/>
            <w:right w:val="none" w:sz="0" w:space="0" w:color="auto"/>
          </w:divBdr>
          <w:divsChild>
            <w:div w:id="1651520336">
              <w:marLeft w:val="0"/>
              <w:marRight w:val="0"/>
              <w:marTop w:val="0"/>
              <w:marBottom w:val="0"/>
              <w:divBdr>
                <w:top w:val="none" w:sz="0" w:space="0" w:color="auto"/>
                <w:left w:val="none" w:sz="0" w:space="0" w:color="auto"/>
                <w:bottom w:val="none" w:sz="0" w:space="0" w:color="auto"/>
                <w:right w:val="none" w:sz="0" w:space="0" w:color="auto"/>
              </w:divBdr>
            </w:div>
          </w:divsChild>
        </w:div>
        <w:div w:id="1976329421">
          <w:marLeft w:val="0"/>
          <w:marRight w:val="0"/>
          <w:marTop w:val="0"/>
          <w:marBottom w:val="0"/>
          <w:divBdr>
            <w:top w:val="none" w:sz="0" w:space="0" w:color="auto"/>
            <w:left w:val="none" w:sz="0" w:space="0" w:color="auto"/>
            <w:bottom w:val="none" w:sz="0" w:space="0" w:color="auto"/>
            <w:right w:val="none" w:sz="0" w:space="0" w:color="auto"/>
          </w:divBdr>
          <w:divsChild>
            <w:div w:id="758404511">
              <w:marLeft w:val="0"/>
              <w:marRight w:val="0"/>
              <w:marTop w:val="0"/>
              <w:marBottom w:val="0"/>
              <w:divBdr>
                <w:top w:val="none" w:sz="0" w:space="0" w:color="auto"/>
                <w:left w:val="none" w:sz="0" w:space="0" w:color="auto"/>
                <w:bottom w:val="none" w:sz="0" w:space="0" w:color="auto"/>
                <w:right w:val="none" w:sz="0" w:space="0" w:color="auto"/>
              </w:divBdr>
            </w:div>
            <w:div w:id="1171875795">
              <w:marLeft w:val="0"/>
              <w:marRight w:val="0"/>
              <w:marTop w:val="0"/>
              <w:marBottom w:val="0"/>
              <w:divBdr>
                <w:top w:val="none" w:sz="0" w:space="0" w:color="auto"/>
                <w:left w:val="none" w:sz="0" w:space="0" w:color="auto"/>
                <w:bottom w:val="none" w:sz="0" w:space="0" w:color="auto"/>
                <w:right w:val="none" w:sz="0" w:space="0" w:color="auto"/>
              </w:divBdr>
            </w:div>
            <w:div w:id="795954499">
              <w:marLeft w:val="0"/>
              <w:marRight w:val="0"/>
              <w:marTop w:val="0"/>
              <w:marBottom w:val="0"/>
              <w:divBdr>
                <w:top w:val="none" w:sz="0" w:space="0" w:color="auto"/>
                <w:left w:val="none" w:sz="0" w:space="0" w:color="auto"/>
                <w:bottom w:val="none" w:sz="0" w:space="0" w:color="auto"/>
                <w:right w:val="none" w:sz="0" w:space="0" w:color="auto"/>
              </w:divBdr>
            </w:div>
            <w:div w:id="870188882">
              <w:marLeft w:val="0"/>
              <w:marRight w:val="0"/>
              <w:marTop w:val="0"/>
              <w:marBottom w:val="0"/>
              <w:divBdr>
                <w:top w:val="none" w:sz="0" w:space="0" w:color="auto"/>
                <w:left w:val="none" w:sz="0" w:space="0" w:color="auto"/>
                <w:bottom w:val="none" w:sz="0" w:space="0" w:color="auto"/>
                <w:right w:val="none" w:sz="0" w:space="0" w:color="auto"/>
              </w:divBdr>
            </w:div>
            <w:div w:id="1392383704">
              <w:marLeft w:val="0"/>
              <w:marRight w:val="0"/>
              <w:marTop w:val="0"/>
              <w:marBottom w:val="0"/>
              <w:divBdr>
                <w:top w:val="none" w:sz="0" w:space="0" w:color="auto"/>
                <w:left w:val="none" w:sz="0" w:space="0" w:color="auto"/>
                <w:bottom w:val="none" w:sz="0" w:space="0" w:color="auto"/>
                <w:right w:val="none" w:sz="0" w:space="0" w:color="auto"/>
              </w:divBdr>
            </w:div>
          </w:divsChild>
        </w:div>
        <w:div w:id="948467209">
          <w:marLeft w:val="0"/>
          <w:marRight w:val="0"/>
          <w:marTop w:val="0"/>
          <w:marBottom w:val="0"/>
          <w:divBdr>
            <w:top w:val="none" w:sz="0" w:space="0" w:color="auto"/>
            <w:left w:val="none" w:sz="0" w:space="0" w:color="auto"/>
            <w:bottom w:val="none" w:sz="0" w:space="0" w:color="auto"/>
            <w:right w:val="none" w:sz="0" w:space="0" w:color="auto"/>
          </w:divBdr>
        </w:div>
        <w:div w:id="1939949790">
          <w:marLeft w:val="0"/>
          <w:marRight w:val="0"/>
          <w:marTop w:val="0"/>
          <w:marBottom w:val="0"/>
          <w:divBdr>
            <w:top w:val="none" w:sz="0" w:space="0" w:color="auto"/>
            <w:left w:val="none" w:sz="0" w:space="0" w:color="auto"/>
            <w:bottom w:val="none" w:sz="0" w:space="0" w:color="auto"/>
            <w:right w:val="none" w:sz="0" w:space="0" w:color="auto"/>
          </w:divBdr>
        </w:div>
        <w:div w:id="378171998">
          <w:marLeft w:val="0"/>
          <w:marRight w:val="0"/>
          <w:marTop w:val="0"/>
          <w:marBottom w:val="0"/>
          <w:divBdr>
            <w:top w:val="none" w:sz="0" w:space="0" w:color="auto"/>
            <w:left w:val="none" w:sz="0" w:space="0" w:color="auto"/>
            <w:bottom w:val="none" w:sz="0" w:space="0" w:color="auto"/>
            <w:right w:val="none" w:sz="0" w:space="0" w:color="auto"/>
          </w:divBdr>
        </w:div>
        <w:div w:id="529533903">
          <w:marLeft w:val="0"/>
          <w:marRight w:val="0"/>
          <w:marTop w:val="0"/>
          <w:marBottom w:val="0"/>
          <w:divBdr>
            <w:top w:val="none" w:sz="0" w:space="0" w:color="auto"/>
            <w:left w:val="none" w:sz="0" w:space="0" w:color="auto"/>
            <w:bottom w:val="none" w:sz="0" w:space="0" w:color="auto"/>
            <w:right w:val="none" w:sz="0" w:space="0" w:color="auto"/>
          </w:divBdr>
        </w:div>
        <w:div w:id="383720274">
          <w:marLeft w:val="0"/>
          <w:marRight w:val="0"/>
          <w:marTop w:val="0"/>
          <w:marBottom w:val="0"/>
          <w:divBdr>
            <w:top w:val="none" w:sz="0" w:space="0" w:color="auto"/>
            <w:left w:val="none" w:sz="0" w:space="0" w:color="auto"/>
            <w:bottom w:val="none" w:sz="0" w:space="0" w:color="auto"/>
            <w:right w:val="none" w:sz="0" w:space="0" w:color="auto"/>
          </w:divBdr>
        </w:div>
        <w:div w:id="999312379">
          <w:marLeft w:val="0"/>
          <w:marRight w:val="0"/>
          <w:marTop w:val="0"/>
          <w:marBottom w:val="0"/>
          <w:divBdr>
            <w:top w:val="none" w:sz="0" w:space="0" w:color="auto"/>
            <w:left w:val="none" w:sz="0" w:space="0" w:color="auto"/>
            <w:bottom w:val="none" w:sz="0" w:space="0" w:color="auto"/>
            <w:right w:val="none" w:sz="0" w:space="0" w:color="auto"/>
          </w:divBdr>
        </w:div>
        <w:div w:id="105665401">
          <w:marLeft w:val="0"/>
          <w:marRight w:val="0"/>
          <w:marTop w:val="0"/>
          <w:marBottom w:val="0"/>
          <w:divBdr>
            <w:top w:val="none" w:sz="0" w:space="0" w:color="auto"/>
            <w:left w:val="none" w:sz="0" w:space="0" w:color="auto"/>
            <w:bottom w:val="none" w:sz="0" w:space="0" w:color="auto"/>
            <w:right w:val="none" w:sz="0" w:space="0" w:color="auto"/>
          </w:divBdr>
        </w:div>
        <w:div w:id="1873228306">
          <w:marLeft w:val="0"/>
          <w:marRight w:val="0"/>
          <w:marTop w:val="0"/>
          <w:marBottom w:val="0"/>
          <w:divBdr>
            <w:top w:val="none" w:sz="0" w:space="0" w:color="auto"/>
            <w:left w:val="none" w:sz="0" w:space="0" w:color="auto"/>
            <w:bottom w:val="none" w:sz="0" w:space="0" w:color="auto"/>
            <w:right w:val="none" w:sz="0" w:space="0" w:color="auto"/>
          </w:divBdr>
        </w:div>
        <w:div w:id="42678382">
          <w:marLeft w:val="0"/>
          <w:marRight w:val="0"/>
          <w:marTop w:val="0"/>
          <w:marBottom w:val="0"/>
          <w:divBdr>
            <w:top w:val="none" w:sz="0" w:space="0" w:color="auto"/>
            <w:left w:val="none" w:sz="0" w:space="0" w:color="auto"/>
            <w:bottom w:val="none" w:sz="0" w:space="0" w:color="auto"/>
            <w:right w:val="none" w:sz="0" w:space="0" w:color="auto"/>
          </w:divBdr>
        </w:div>
        <w:div w:id="1542207955">
          <w:marLeft w:val="0"/>
          <w:marRight w:val="0"/>
          <w:marTop w:val="0"/>
          <w:marBottom w:val="0"/>
          <w:divBdr>
            <w:top w:val="none" w:sz="0" w:space="0" w:color="auto"/>
            <w:left w:val="none" w:sz="0" w:space="0" w:color="auto"/>
            <w:bottom w:val="none" w:sz="0" w:space="0" w:color="auto"/>
            <w:right w:val="none" w:sz="0" w:space="0" w:color="auto"/>
          </w:divBdr>
        </w:div>
        <w:div w:id="548884046">
          <w:marLeft w:val="0"/>
          <w:marRight w:val="0"/>
          <w:marTop w:val="0"/>
          <w:marBottom w:val="0"/>
          <w:divBdr>
            <w:top w:val="none" w:sz="0" w:space="0" w:color="auto"/>
            <w:left w:val="none" w:sz="0" w:space="0" w:color="auto"/>
            <w:bottom w:val="none" w:sz="0" w:space="0" w:color="auto"/>
            <w:right w:val="none" w:sz="0" w:space="0" w:color="auto"/>
          </w:divBdr>
          <w:divsChild>
            <w:div w:id="2108572895">
              <w:marLeft w:val="0"/>
              <w:marRight w:val="0"/>
              <w:marTop w:val="0"/>
              <w:marBottom w:val="0"/>
              <w:divBdr>
                <w:top w:val="none" w:sz="0" w:space="0" w:color="auto"/>
                <w:left w:val="none" w:sz="0" w:space="0" w:color="auto"/>
                <w:bottom w:val="none" w:sz="0" w:space="0" w:color="auto"/>
                <w:right w:val="none" w:sz="0" w:space="0" w:color="auto"/>
              </w:divBdr>
            </w:div>
            <w:div w:id="1130511945">
              <w:marLeft w:val="0"/>
              <w:marRight w:val="0"/>
              <w:marTop w:val="0"/>
              <w:marBottom w:val="0"/>
              <w:divBdr>
                <w:top w:val="none" w:sz="0" w:space="0" w:color="auto"/>
                <w:left w:val="none" w:sz="0" w:space="0" w:color="auto"/>
                <w:bottom w:val="none" w:sz="0" w:space="0" w:color="auto"/>
                <w:right w:val="none" w:sz="0" w:space="0" w:color="auto"/>
              </w:divBdr>
            </w:div>
          </w:divsChild>
        </w:div>
        <w:div w:id="154616879">
          <w:marLeft w:val="0"/>
          <w:marRight w:val="0"/>
          <w:marTop w:val="0"/>
          <w:marBottom w:val="0"/>
          <w:divBdr>
            <w:top w:val="none" w:sz="0" w:space="0" w:color="auto"/>
            <w:left w:val="none" w:sz="0" w:space="0" w:color="auto"/>
            <w:bottom w:val="none" w:sz="0" w:space="0" w:color="auto"/>
            <w:right w:val="none" w:sz="0" w:space="0" w:color="auto"/>
          </w:divBdr>
          <w:divsChild>
            <w:div w:id="518009818">
              <w:marLeft w:val="0"/>
              <w:marRight w:val="0"/>
              <w:marTop w:val="0"/>
              <w:marBottom w:val="0"/>
              <w:divBdr>
                <w:top w:val="none" w:sz="0" w:space="0" w:color="auto"/>
                <w:left w:val="none" w:sz="0" w:space="0" w:color="auto"/>
                <w:bottom w:val="none" w:sz="0" w:space="0" w:color="auto"/>
                <w:right w:val="none" w:sz="0" w:space="0" w:color="auto"/>
              </w:divBdr>
            </w:div>
            <w:div w:id="925269293">
              <w:marLeft w:val="0"/>
              <w:marRight w:val="0"/>
              <w:marTop w:val="0"/>
              <w:marBottom w:val="0"/>
              <w:divBdr>
                <w:top w:val="none" w:sz="0" w:space="0" w:color="auto"/>
                <w:left w:val="none" w:sz="0" w:space="0" w:color="auto"/>
                <w:bottom w:val="none" w:sz="0" w:space="0" w:color="auto"/>
                <w:right w:val="none" w:sz="0" w:space="0" w:color="auto"/>
              </w:divBdr>
            </w:div>
            <w:div w:id="1383865779">
              <w:marLeft w:val="0"/>
              <w:marRight w:val="0"/>
              <w:marTop w:val="0"/>
              <w:marBottom w:val="0"/>
              <w:divBdr>
                <w:top w:val="none" w:sz="0" w:space="0" w:color="auto"/>
                <w:left w:val="none" w:sz="0" w:space="0" w:color="auto"/>
                <w:bottom w:val="none" w:sz="0" w:space="0" w:color="auto"/>
                <w:right w:val="none" w:sz="0" w:space="0" w:color="auto"/>
              </w:divBdr>
            </w:div>
            <w:div w:id="1587616448">
              <w:marLeft w:val="0"/>
              <w:marRight w:val="0"/>
              <w:marTop w:val="0"/>
              <w:marBottom w:val="0"/>
              <w:divBdr>
                <w:top w:val="none" w:sz="0" w:space="0" w:color="auto"/>
                <w:left w:val="none" w:sz="0" w:space="0" w:color="auto"/>
                <w:bottom w:val="none" w:sz="0" w:space="0" w:color="auto"/>
                <w:right w:val="none" w:sz="0" w:space="0" w:color="auto"/>
              </w:divBdr>
            </w:div>
            <w:div w:id="1430275647">
              <w:marLeft w:val="0"/>
              <w:marRight w:val="0"/>
              <w:marTop w:val="0"/>
              <w:marBottom w:val="0"/>
              <w:divBdr>
                <w:top w:val="none" w:sz="0" w:space="0" w:color="auto"/>
                <w:left w:val="none" w:sz="0" w:space="0" w:color="auto"/>
                <w:bottom w:val="none" w:sz="0" w:space="0" w:color="auto"/>
                <w:right w:val="none" w:sz="0" w:space="0" w:color="auto"/>
              </w:divBdr>
            </w:div>
          </w:divsChild>
        </w:div>
        <w:div w:id="1079719023">
          <w:marLeft w:val="0"/>
          <w:marRight w:val="0"/>
          <w:marTop w:val="0"/>
          <w:marBottom w:val="0"/>
          <w:divBdr>
            <w:top w:val="none" w:sz="0" w:space="0" w:color="auto"/>
            <w:left w:val="none" w:sz="0" w:space="0" w:color="auto"/>
            <w:bottom w:val="none" w:sz="0" w:space="0" w:color="auto"/>
            <w:right w:val="none" w:sz="0" w:space="0" w:color="auto"/>
          </w:divBdr>
          <w:divsChild>
            <w:div w:id="1289160868">
              <w:marLeft w:val="0"/>
              <w:marRight w:val="0"/>
              <w:marTop w:val="0"/>
              <w:marBottom w:val="0"/>
              <w:divBdr>
                <w:top w:val="none" w:sz="0" w:space="0" w:color="auto"/>
                <w:left w:val="none" w:sz="0" w:space="0" w:color="auto"/>
                <w:bottom w:val="none" w:sz="0" w:space="0" w:color="auto"/>
                <w:right w:val="none" w:sz="0" w:space="0" w:color="auto"/>
              </w:divBdr>
            </w:div>
            <w:div w:id="26638570">
              <w:marLeft w:val="0"/>
              <w:marRight w:val="0"/>
              <w:marTop w:val="0"/>
              <w:marBottom w:val="0"/>
              <w:divBdr>
                <w:top w:val="none" w:sz="0" w:space="0" w:color="auto"/>
                <w:left w:val="none" w:sz="0" w:space="0" w:color="auto"/>
                <w:bottom w:val="none" w:sz="0" w:space="0" w:color="auto"/>
                <w:right w:val="none" w:sz="0" w:space="0" w:color="auto"/>
              </w:divBdr>
            </w:div>
            <w:div w:id="1312102240">
              <w:marLeft w:val="0"/>
              <w:marRight w:val="0"/>
              <w:marTop w:val="0"/>
              <w:marBottom w:val="0"/>
              <w:divBdr>
                <w:top w:val="none" w:sz="0" w:space="0" w:color="auto"/>
                <w:left w:val="none" w:sz="0" w:space="0" w:color="auto"/>
                <w:bottom w:val="none" w:sz="0" w:space="0" w:color="auto"/>
                <w:right w:val="none" w:sz="0" w:space="0" w:color="auto"/>
              </w:divBdr>
            </w:div>
            <w:div w:id="1061291103">
              <w:marLeft w:val="0"/>
              <w:marRight w:val="0"/>
              <w:marTop w:val="0"/>
              <w:marBottom w:val="0"/>
              <w:divBdr>
                <w:top w:val="none" w:sz="0" w:space="0" w:color="auto"/>
                <w:left w:val="none" w:sz="0" w:space="0" w:color="auto"/>
                <w:bottom w:val="none" w:sz="0" w:space="0" w:color="auto"/>
                <w:right w:val="none" w:sz="0" w:space="0" w:color="auto"/>
              </w:divBdr>
            </w:div>
          </w:divsChild>
        </w:div>
        <w:div w:id="511258505">
          <w:marLeft w:val="0"/>
          <w:marRight w:val="0"/>
          <w:marTop w:val="0"/>
          <w:marBottom w:val="0"/>
          <w:divBdr>
            <w:top w:val="none" w:sz="0" w:space="0" w:color="auto"/>
            <w:left w:val="none" w:sz="0" w:space="0" w:color="auto"/>
            <w:bottom w:val="none" w:sz="0" w:space="0" w:color="auto"/>
            <w:right w:val="none" w:sz="0" w:space="0" w:color="auto"/>
          </w:divBdr>
        </w:div>
        <w:div w:id="960069356">
          <w:marLeft w:val="0"/>
          <w:marRight w:val="0"/>
          <w:marTop w:val="0"/>
          <w:marBottom w:val="0"/>
          <w:divBdr>
            <w:top w:val="none" w:sz="0" w:space="0" w:color="auto"/>
            <w:left w:val="none" w:sz="0" w:space="0" w:color="auto"/>
            <w:bottom w:val="none" w:sz="0" w:space="0" w:color="auto"/>
            <w:right w:val="none" w:sz="0" w:space="0" w:color="auto"/>
          </w:divBdr>
        </w:div>
        <w:div w:id="1065490577">
          <w:marLeft w:val="0"/>
          <w:marRight w:val="0"/>
          <w:marTop w:val="0"/>
          <w:marBottom w:val="0"/>
          <w:divBdr>
            <w:top w:val="none" w:sz="0" w:space="0" w:color="auto"/>
            <w:left w:val="none" w:sz="0" w:space="0" w:color="auto"/>
            <w:bottom w:val="none" w:sz="0" w:space="0" w:color="auto"/>
            <w:right w:val="none" w:sz="0" w:space="0" w:color="auto"/>
          </w:divBdr>
        </w:div>
        <w:div w:id="24418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reativecommons.org/licenses/by-nc-sa/4.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ib.umn.edu/publishing/works/textbook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x.doi.org/10.24926/8668.0301" TargetMode="External" Id="rId11" /><Relationship Type="http://schemas.openxmlformats.org/officeDocument/2006/relationships/numbering" Target="numbering.xml" Id="rId5" /><Relationship Type="http://schemas.openxmlformats.org/officeDocument/2006/relationships/hyperlink" Target="https://www.w3.org/WAI/standards-guidelines/wcag/"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3.org/WAI/planning/statements/" TargetMode="External" Id="rId14" /><Relationship Type="http://schemas.openxmlformats.org/officeDocument/2006/relationships/glossaryDocument" Target="glossary/document.xml" Id="Rd2919b1ff5c847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010543-d1a7-4d4f-8dc4-f552ec4a935e}"/>
      </w:docPartPr>
      <w:docPartBody>
        <w:p w14:paraId="62FA1D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3" ma:contentTypeDescription="Create a new document." ma:contentTypeScope="" ma:versionID="0e7b80660965b0aeec6ca1d6469669d0">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7e58b35a79d3bdd1eb9aa74500443dd8"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3F7FF-2EE6-4598-9315-C18ACC0B1836}">
  <ds:schemaRefs>
    <ds:schemaRef ds:uri="http://purl.org/dc/terms/"/>
    <ds:schemaRef ds:uri="283ee9c0-e755-41e5-a251-9de7806f3360"/>
    <ds:schemaRef ds:uri="http://schemas.microsoft.com/office/2006/documentManagement/types"/>
    <ds:schemaRef ds:uri="http://purl.org/dc/elements/1.1/"/>
    <ds:schemaRef ds:uri="http://schemas.microsoft.com/office/2006/metadata/properties"/>
    <ds:schemaRef ds:uri="01b46cc2-f1f2-4988-902a-11328f34eb6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AD94B6-B7AA-4251-BE2B-E8F9C39D04D1}"/>
</file>

<file path=customXml/itemProps3.xml><?xml version="1.0" encoding="utf-8"?>
<ds:datastoreItem xmlns:ds="http://schemas.openxmlformats.org/officeDocument/2006/customXml" ds:itemID="{700CCC7D-EEBC-4AD7-A580-87E4EF292429}">
  <ds:schemaRefs>
    <ds:schemaRef ds:uri="http://schemas.openxmlformats.org/officeDocument/2006/bibliography"/>
  </ds:schemaRefs>
</ds:datastoreItem>
</file>

<file path=customXml/itemProps4.xml><?xml version="1.0" encoding="utf-8"?>
<ds:datastoreItem xmlns:ds="http://schemas.openxmlformats.org/officeDocument/2006/customXml" ds:itemID="{0F2E213A-338A-4BDB-97A4-74D0B61619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Schultz</dc:creator>
  <cp:keywords/>
  <dc:description/>
  <cp:lastModifiedBy>Rob Parker</cp:lastModifiedBy>
  <cp:revision>143</cp:revision>
  <dcterms:created xsi:type="dcterms:W3CDTF">2022-02-08T14:55:00Z</dcterms:created>
  <dcterms:modified xsi:type="dcterms:W3CDTF">2022-02-24T20:13:38Z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