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2169F4" w14:paraId="435D1C1A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1BAAB6C5" w:rsidR="00F52677" w:rsidRPr="002169F4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2169F4" w14:paraId="7142CD37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5655BA40" w:rsidR="000024F5" w:rsidRPr="00A633ED" w:rsidRDefault="00A633ED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2169F4" w14:paraId="4AABB92B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77D42112" w:rsidR="00F52677" w:rsidRPr="002169F4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2169F4" w14:paraId="3EA6154A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6A31281F" w:rsidR="00A665DC" w:rsidRPr="00A633ED" w:rsidRDefault="00A633ED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2169F4" w14:paraId="77542F8B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31724EC3" w:rsidR="00495B82" w:rsidRPr="002169F4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169F4" w14:paraId="62AD4741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6ACB43BD" w:rsidR="00523B13" w:rsidRPr="002169F4" w:rsidRDefault="00A146A3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2169F4" w14:paraId="31C9990C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7C9D4FE4" w:rsidR="00523B13" w:rsidRPr="002169F4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169F4" w14:paraId="31349A98" w14:textId="77777777" w:rsidTr="441ED78D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A4C42" w14:textId="25C5DAC2" w:rsidR="00B61354" w:rsidRPr="002169F4" w:rsidRDefault="5D1A4A60" w:rsidP="765B8F75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sz w:val="20"/>
                <w:szCs w:val="20"/>
                <w:lang w:val="fr-CA"/>
              </w:rPr>
              <w:t xml:space="preserve">décrire les étapes à suivre pour effectuer une étude de marché  </w:t>
            </w:r>
          </w:p>
          <w:p w14:paraId="38DB0656" w14:textId="5E3944F2" w:rsidR="00B61354" w:rsidRPr="002169F4" w:rsidRDefault="5D1A4A60" w:rsidP="441ED78D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441ED78D">
              <w:rPr>
                <w:rFonts w:ascii="Verdana" w:hAnsi="Verdana" w:cs="Arial"/>
                <w:sz w:val="20"/>
                <w:szCs w:val="20"/>
                <w:lang w:val="fr-CA"/>
              </w:rPr>
              <w:t xml:space="preserve">décrire la méthode utilisée pour calculer le prix de revient, le seuil de rentabilité et le </w:t>
            </w:r>
            <w:r w:rsidR="002169F4" w:rsidRPr="441ED78D">
              <w:rPr>
                <w:rFonts w:ascii="Verdana" w:hAnsi="Verdana"/>
                <w:sz w:val="20"/>
                <w:szCs w:val="20"/>
              </w:rPr>
              <w:t>rendement du capital investi</w:t>
            </w:r>
          </w:p>
          <w:p w14:paraId="43BA249F" w14:textId="6A9AD57F" w:rsidR="00B61354" w:rsidRPr="002169F4" w:rsidRDefault="5D1A4A60" w:rsidP="765B8F75">
            <w:pPr>
              <w:pStyle w:val="Paragraphedeliste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sz w:val="20"/>
                <w:szCs w:val="20"/>
                <w:lang w:val="fr-CA"/>
              </w:rPr>
              <w:t>expliquer le réinvestissement des bénéfices dans une entreprise sociale</w:t>
            </w:r>
          </w:p>
          <w:p w14:paraId="7188ADA8" w14:textId="372D8341" w:rsidR="75C16D87" w:rsidRPr="002169F4" w:rsidRDefault="75C16D87" w:rsidP="441ED78D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déterminer le cout de démarrage et les frais d’exploitation </w:t>
            </w:r>
            <w:r w:rsidR="002169F4"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de </w:t>
            </w: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l’entreprise sociale </w:t>
            </w:r>
          </w:p>
          <w:p w14:paraId="1B79704F" w14:textId="353D77CC" w:rsidR="75C16D87" w:rsidRPr="002169F4" w:rsidRDefault="75C16D87" w:rsidP="441ED78D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r w:rsidR="002169F4"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</w:t>
            </w: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’encaisse (</w:t>
            </w:r>
            <w:r w:rsidRPr="441ED78D">
              <w:rPr>
                <w:rFonts w:ascii="Verdana" w:eastAsia="Verdana" w:hAnsi="Verdana" w:cs="Verdana"/>
                <w:i/>
                <w:iCs/>
                <w:color w:val="000000" w:themeColor="text1"/>
                <w:sz w:val="20"/>
                <w:szCs w:val="20"/>
                <w:lang w:val="fr-CA"/>
              </w:rPr>
              <w:t>cashflow</w:t>
            </w: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) requis</w:t>
            </w:r>
            <w:r w:rsidR="002169F4"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e</w:t>
            </w: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pour assurer le bon fonctionnement des opérations de l’entreprise sociale </w:t>
            </w:r>
          </w:p>
          <w:p w14:paraId="07F1E0C9" w14:textId="04DEC0E5" w:rsidR="75C16D87" w:rsidRPr="002169F4" w:rsidRDefault="75C16D87" w:rsidP="765B8F75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002169F4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déterminer la rentabilité de l’entreprise sociale </w:t>
            </w:r>
          </w:p>
          <w:p w14:paraId="744E2354" w14:textId="130FD2FB" w:rsidR="75C16D87" w:rsidRPr="002169F4" w:rsidRDefault="75C16D87" w:rsidP="441ED78D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highlight w:val="yellow"/>
                <w:lang w:val="fr-CA"/>
              </w:rPr>
            </w:pPr>
            <w:r w:rsidRPr="00A633E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différentes sources de financement </w:t>
            </w:r>
            <w:r w:rsidRPr="00A633E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nécessaire</w:t>
            </w:r>
            <w:r w:rsidR="002169F4" w:rsidRPr="00A633E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s</w:t>
            </w:r>
            <w:r w:rsidRPr="00A633E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pour le démarrage et l’exploitation du projet de l’entreprise sociale </w:t>
            </w:r>
          </w:p>
          <w:p w14:paraId="06A1737D" w14:textId="26C17427" w:rsidR="75C16D87" w:rsidRPr="002169F4" w:rsidRDefault="75C16D87" w:rsidP="441ED78D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calculer le seuil de rentabilité et le </w:t>
            </w:r>
            <w:r w:rsidR="002169F4" w:rsidRPr="441ED78D">
              <w:rPr>
                <w:rFonts w:ascii="Verdana" w:hAnsi="Verdana"/>
                <w:sz w:val="20"/>
                <w:szCs w:val="20"/>
              </w:rPr>
              <w:t>rendement du capital investi</w:t>
            </w:r>
          </w:p>
          <w:p w14:paraId="7149BC64" w14:textId="0F89CCF8" w:rsidR="75C16D87" w:rsidRPr="002169F4" w:rsidRDefault="002169F4" w:rsidP="441ED78D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r w:rsidRPr="441ED78D">
              <w:rPr>
                <w:rFonts w:ascii="Verdana" w:hAnsi="Verdana"/>
                <w:sz w:val="20"/>
                <w:szCs w:val="20"/>
                <w:lang w:val="fr-CA"/>
              </w:rPr>
              <w:t>c</w:t>
            </w:r>
            <w:r w:rsidRPr="441ED78D">
              <w:rPr>
                <w:rFonts w:ascii="Verdana" w:hAnsi="Verdana"/>
                <w:sz w:val="20"/>
                <w:szCs w:val="20"/>
              </w:rPr>
              <w:t>alculer les frais fixes et variables ainsi que les revenus de l’entreprise sociale pour chaque mois de la première année et effectuer une projection pour les trois prochaines années</w:t>
            </w:r>
            <w:r w:rsidR="75C16D87" w:rsidRPr="441ED78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3A16A3F8" w14:textId="3130B854" w:rsidR="75C16D87" w:rsidRPr="002169F4" w:rsidRDefault="75C16D87" w:rsidP="441ED78D">
            <w:pPr>
              <w:pStyle w:val="Paragraphedeliste"/>
              <w:numPr>
                <w:ilvl w:val="0"/>
                <w:numId w:val="5"/>
              </w:numPr>
              <w:rPr>
                <w:rFonts w:ascii="Verdana" w:eastAsiaTheme="minorEastAsia" w:hAnsi="Verdana" w:cstheme="minorBidi"/>
                <w:sz w:val="20"/>
                <w:szCs w:val="20"/>
                <w:lang w:val="fr-CA"/>
              </w:rPr>
            </w:pPr>
            <w:r w:rsidRPr="441ED78D">
              <w:rPr>
                <w:rFonts w:ascii="Verdana" w:hAnsi="Verdana"/>
                <w:sz w:val="20"/>
                <w:szCs w:val="20"/>
                <w:lang w:val="fr-CA"/>
              </w:rPr>
              <w:t xml:space="preserve">synthétiser l’information du plan d’affaires pour rédiger le sommaire exécutif </w:t>
            </w:r>
            <w:r w:rsidR="002169F4" w:rsidRPr="441ED78D">
              <w:rPr>
                <w:rFonts w:ascii="Verdana" w:hAnsi="Verdana"/>
                <w:sz w:val="20"/>
                <w:szCs w:val="20"/>
                <w:lang w:val="fr-CA"/>
              </w:rPr>
              <w:t xml:space="preserve">de </w:t>
            </w:r>
            <w:r w:rsidRPr="441ED78D">
              <w:rPr>
                <w:rFonts w:ascii="Verdana" w:hAnsi="Verdana"/>
                <w:sz w:val="20"/>
                <w:szCs w:val="20"/>
                <w:lang w:val="fr-CA"/>
              </w:rPr>
              <w:t>l’entreprise sociale (projet, marché visé, entrepreneur social, prévisions des ventes, financement souhaité)</w:t>
            </w:r>
          </w:p>
          <w:p w14:paraId="1E014158" w14:textId="5929AB91" w:rsidR="00523B13" w:rsidRPr="002169F4" w:rsidRDefault="00523B13" w:rsidP="0092050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</w:p>
        </w:tc>
      </w:tr>
    </w:tbl>
    <w:p w14:paraId="4A1B99F3" w14:textId="22D1158A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06FF1" w:rsidRPr="002169F4" w14:paraId="450A5550" w14:textId="77777777" w:rsidTr="00C55902">
        <w:tc>
          <w:tcPr>
            <w:tcW w:w="1696" w:type="dxa"/>
            <w:shd w:val="clear" w:color="auto" w:fill="C1C1C1"/>
            <w:vAlign w:val="center"/>
          </w:tcPr>
          <w:p w14:paraId="4D76913E" w14:textId="77777777" w:rsidR="00F06FF1" w:rsidRPr="002169F4" w:rsidRDefault="00F06FF1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58AECD64" w14:textId="77777777" w:rsidR="00F06FF1" w:rsidRPr="002169F4" w:rsidRDefault="00F06FF1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441ED78D">
              <w:rPr>
                <w:rFonts w:ascii="Verdana" w:hAnsi="Verdana" w:cs="Arial"/>
                <w:sz w:val="20"/>
                <w:szCs w:val="20"/>
                <w:lang w:val="fr-CA"/>
              </w:rPr>
              <w:t>Séance de cours 6 : Élaboration de l’ébauche (partie 3)</w:t>
            </w:r>
          </w:p>
        </w:tc>
      </w:tr>
    </w:tbl>
    <w:p w14:paraId="4A3424DA" w14:textId="77777777" w:rsidR="00F06FF1" w:rsidRPr="002169F4" w:rsidRDefault="00F06FF1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2169F4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2169F4" w14:paraId="4A2EC677" w14:textId="77777777" w:rsidTr="441ED78D">
        <w:tc>
          <w:tcPr>
            <w:tcW w:w="8630" w:type="dxa"/>
            <w:shd w:val="clear" w:color="auto" w:fill="C1C1C1"/>
          </w:tcPr>
          <w:p w14:paraId="726C9220" w14:textId="77777777" w:rsidR="00F52677" w:rsidRPr="002169F4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169F4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2169F4" w14:paraId="09C288F9" w14:textId="77777777" w:rsidTr="441ED78D">
        <w:tc>
          <w:tcPr>
            <w:tcW w:w="8630" w:type="dxa"/>
          </w:tcPr>
          <w:p w14:paraId="7F80B258" w14:textId="77777777" w:rsidR="00BB02BF" w:rsidRPr="002169F4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2169F4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5C402FF8" w:rsidR="00BB02BF" w:rsidRPr="002169F4" w:rsidRDefault="1291E0B6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séance de cours te permettra d’élaborer les dernières parties de l’ébauche du plan d’affaires. </w:t>
            </w:r>
          </w:p>
        </w:tc>
      </w:tr>
      <w:tr w:rsidR="002D1760" w:rsidRPr="002169F4" w14:paraId="68EF2BA2" w14:textId="77777777" w:rsidTr="441ED78D">
        <w:tc>
          <w:tcPr>
            <w:tcW w:w="8630" w:type="dxa"/>
          </w:tcPr>
          <w:p w14:paraId="070D7082" w14:textId="240B884F" w:rsidR="002D1760" w:rsidRPr="002169F4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2169F4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B43CD75" w14:textId="1CF165BF" w:rsidR="00CB05B7" w:rsidRPr="002169F4" w:rsidRDefault="46359311" w:rsidP="765B8F7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Comme la plupart des entreprises, il est important que les entreprises sociales mettent à l</w:t>
            </w:r>
            <w:r w:rsidR="7970606D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</w:t>
            </w: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échelle leurs </w:t>
            </w:r>
            <w:r w:rsidR="60D770DA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activités </w:t>
            </w: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pour assurer leur croissance. La mise à l</w:t>
            </w:r>
            <w:r w:rsidR="60D770DA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</w:t>
            </w: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échelle de votre entreprise sociale peut être le meilleur moyen d</w:t>
            </w:r>
            <w:r w:rsidR="60D770DA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</w:t>
            </w: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accro</w:t>
            </w:r>
            <w:r w:rsidR="60D770DA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i</w:t>
            </w: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tre vos répercussions sociales.</w:t>
            </w:r>
          </w:p>
          <w:p w14:paraId="6B052B1F" w14:textId="701AF654" w:rsidR="00CB05B7" w:rsidRPr="002169F4" w:rsidRDefault="37225330" w:rsidP="765B8F7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</w:p>
          <w:p w14:paraId="073198F3" w14:textId="40F180AE" w:rsidR="00CB05B7" w:rsidRPr="002169F4" w:rsidRDefault="46359311" w:rsidP="765B8F7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Les répercussions sociales et les profits ne sont pas incompatibles. En fait, que vous soyez une entreprise sociale </w:t>
            </w:r>
            <w:r w:rsidR="60D770DA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avec ou sans but lucratif</w:t>
            </w: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, les revenus sont importants pour retenir les talents, accéder à une clientèle plus large et exploiter une entreprise durable.</w:t>
            </w:r>
          </w:p>
          <w:p w14:paraId="0C80A555" w14:textId="1E9674B8" w:rsidR="00CB05B7" w:rsidRPr="002169F4" w:rsidRDefault="37225330" w:rsidP="765B8F7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</w:p>
          <w:p w14:paraId="68D19D8A" w14:textId="0ECE1103" w:rsidR="00CB05B7" w:rsidRPr="002169F4" w:rsidRDefault="37225330" w:rsidP="765B8F7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Voici quelques éléments qui peuvent aider votre entreprise sociale à se développer</w:t>
            </w:r>
            <w:r w:rsid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:</w:t>
            </w:r>
          </w:p>
          <w:p w14:paraId="47A13457" w14:textId="272441F5" w:rsidR="00CB05B7" w:rsidRPr="002169F4" w:rsidRDefault="37225330" w:rsidP="765B8F75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avoir un réseau solide de partenaires commerciaux et communautaires;</w:t>
            </w:r>
          </w:p>
          <w:p w14:paraId="41F1BA49" w14:textId="05AB3E51" w:rsidR="00CB05B7" w:rsidRPr="002169F4" w:rsidRDefault="37225330" w:rsidP="765B8F75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employer des stratégies de commercialisation innovantes;</w:t>
            </w:r>
          </w:p>
          <w:p w14:paraId="219D8D2D" w14:textId="30D1D599" w:rsidR="00CB05B7" w:rsidRPr="002169F4" w:rsidRDefault="37225330" w:rsidP="765B8F75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lastRenderedPageBreak/>
              <w:t>accéder aux possibilités de financement;</w:t>
            </w:r>
          </w:p>
          <w:p w14:paraId="4125F9DB" w14:textId="5D24B46F" w:rsidR="00CB05B7" w:rsidRPr="002169F4" w:rsidRDefault="37225330" w:rsidP="765B8F75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créer une filiale.</w:t>
            </w:r>
          </w:p>
        </w:tc>
      </w:tr>
      <w:tr w:rsidR="00DA3338" w:rsidRPr="002169F4" w14:paraId="17EE45F8" w14:textId="77777777" w:rsidTr="441ED78D">
        <w:tc>
          <w:tcPr>
            <w:tcW w:w="8630" w:type="dxa"/>
          </w:tcPr>
          <w:p w14:paraId="5E33CE0D" w14:textId="59777888" w:rsidR="00DA3338" w:rsidRPr="002169F4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lastRenderedPageBreak/>
              <w:t>Détails de l’activité</w:t>
            </w:r>
            <w:r w:rsid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169F4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8E04A8" w:rsidRDefault="004451A5" w:rsidP="00AA13A0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240B401A" w14:textId="02118144" w:rsidR="00AA13A0" w:rsidRPr="008E04A8" w:rsidRDefault="2A6F3B8B" w:rsidP="765B8F75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Thèmes à l</w:t>
            </w:r>
            <w:r w:rsidR="60D770DA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</w:t>
            </w: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étude</w:t>
            </w:r>
            <w:r w:rsidR="60D770DA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:</w:t>
            </w:r>
          </w:p>
          <w:p w14:paraId="6417C431" w14:textId="7DB06F82" w:rsidR="00AA13A0" w:rsidRPr="008E04A8" w:rsidRDefault="1D59C375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Étapes de l’étude de marché</w:t>
            </w:r>
          </w:p>
          <w:p w14:paraId="10569385" w14:textId="277E7E08" w:rsidR="00AA13A0" w:rsidRPr="008E04A8" w:rsidRDefault="096A6B3B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Prix de revient, seuil de rentabilité et </w:t>
            </w:r>
            <w:r w:rsidR="7970606D" w:rsidRPr="441ED78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rendement du capital investi</w:t>
            </w:r>
          </w:p>
          <w:p w14:paraId="72BF6D32" w14:textId="590E6611" w:rsidR="00AA13A0" w:rsidRPr="008E04A8" w:rsidRDefault="1D59C375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Cout de démarrage et frais d’exploitation</w:t>
            </w:r>
          </w:p>
          <w:p w14:paraId="598C63D5" w14:textId="3367495F" w:rsidR="00AA13A0" w:rsidRPr="008E04A8" w:rsidRDefault="1D59C375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Niveau d’encaisse</w:t>
            </w:r>
          </w:p>
          <w:p w14:paraId="3D1CC3C4" w14:textId="3E27A7CA" w:rsidR="00AA13A0" w:rsidRPr="008E04A8" w:rsidRDefault="1D59C375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Sources de financement</w:t>
            </w:r>
          </w:p>
          <w:p w14:paraId="685427AD" w14:textId="1F043429" w:rsidR="00AA13A0" w:rsidRPr="008E04A8" w:rsidRDefault="1D59C375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Frais fixes et variables et les revenus</w:t>
            </w:r>
          </w:p>
          <w:p w14:paraId="51545B59" w14:textId="3AEF1220" w:rsidR="00AA13A0" w:rsidRPr="008E04A8" w:rsidRDefault="1D59C375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Sommaire exécutif</w:t>
            </w:r>
          </w:p>
          <w:p w14:paraId="67431069" w14:textId="451116DE" w:rsidR="00AA13A0" w:rsidRPr="008E04A8" w:rsidRDefault="281B74D6" w:rsidP="765B8F7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Travail d’équipe</w:t>
            </w:r>
          </w:p>
          <w:p w14:paraId="609F7480" w14:textId="51A8D177" w:rsidR="12AF3BCA" w:rsidRPr="008E04A8" w:rsidRDefault="12AF3BCA" w:rsidP="70C46FC8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Période de questions </w:t>
            </w:r>
          </w:p>
          <w:p w14:paraId="7718B7F0" w14:textId="1C633F4F" w:rsidR="12AF3BCA" w:rsidRPr="008E04A8" w:rsidRDefault="12AF3BCA" w:rsidP="70C46FC8">
            <w:pPr>
              <w:pStyle w:val="Paragraphedeliste"/>
              <w:numPr>
                <w:ilvl w:val="0"/>
                <w:numId w:val="4"/>
              </w:numPr>
              <w:rPr>
                <w:rFonts w:ascii="Verdana" w:hAnsi="Verdana"/>
                <w:b/>
                <w:bCs/>
                <w:sz w:val="20"/>
                <w:szCs w:val="20"/>
                <w:lang w:val="fr-CA"/>
              </w:rPr>
            </w:pPr>
            <w:r w:rsidRPr="008E04A8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Présentation des travaux à venir</w:t>
            </w:r>
          </w:p>
          <w:p w14:paraId="08FA834B" w14:textId="30EB116A" w:rsidR="00AA13A0" w:rsidRPr="000837FB" w:rsidRDefault="00AA13A0" w:rsidP="5C893C0E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5738C43F" w14:textId="0F62B4F3" w:rsidR="00AA13A0" w:rsidRPr="000837FB" w:rsidRDefault="5E259EF6" w:rsidP="5C893C0E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00837FB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Après la séance</w:t>
            </w:r>
            <w:r w:rsidR="002169F4" w:rsidRPr="000837FB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 </w:t>
            </w:r>
            <w:r w:rsidRPr="000837FB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4DB6326F" w14:textId="709D35DE" w:rsidR="00AA13A0" w:rsidRPr="000837FB" w:rsidRDefault="5E259EF6" w:rsidP="5C893C0E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000837FB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Après la séance, chaque membre du groupe doit remplir </w:t>
            </w:r>
            <w:r w:rsidRPr="000A755C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>la grille d’évaluation par les p</w:t>
            </w:r>
            <w:r w:rsidR="000A755C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>airs</w:t>
            </w:r>
            <w:r w:rsidRPr="000837FB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pour évaluer chaque coéquipier.</w:t>
            </w:r>
          </w:p>
          <w:p w14:paraId="186A5CA1" w14:textId="0A38E12C" w:rsidR="00AA13A0" w:rsidRPr="000837FB" w:rsidRDefault="38C2EB6B" w:rsidP="441ED78D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441ED78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Soumet</w:t>
            </w:r>
            <w:r w:rsidR="7970606D" w:rsidRPr="441ED78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s </w:t>
            </w:r>
            <w:r w:rsidRPr="441ED78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chaque grille d</w:t>
            </w:r>
            <w:r w:rsidR="7970606D" w:rsidRPr="441ED78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’</w:t>
            </w:r>
            <w:r w:rsidRPr="441ED78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évaluation remplie dans le casier de dépôt réservé à cet effet. Chaque membre du groupe aura à </w:t>
            </w:r>
            <w:r w:rsidR="7970606D" w:rsidRPr="441ED78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soumettre sa propre grille</w:t>
            </w:r>
            <w:r w:rsidRPr="441ED78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.</w:t>
            </w:r>
          </w:p>
          <w:p w14:paraId="049309DE" w14:textId="1CAE1AC0" w:rsidR="00AA13A0" w:rsidRPr="002169F4" w:rsidRDefault="00AA13A0" w:rsidP="5C893C0E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2169F4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2169F4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2169F4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2169F4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2169F4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206BD" w14:textId="77777777" w:rsidR="00840451" w:rsidRDefault="00840451" w:rsidP="007511F3">
      <w:r>
        <w:separator/>
      </w:r>
    </w:p>
  </w:endnote>
  <w:endnote w:type="continuationSeparator" w:id="0">
    <w:p w14:paraId="3D9EC1BF" w14:textId="77777777" w:rsidR="00840451" w:rsidRDefault="00840451" w:rsidP="007511F3">
      <w:r>
        <w:continuationSeparator/>
      </w:r>
    </w:p>
  </w:endnote>
  <w:endnote w:type="continuationNotice" w:id="1">
    <w:p w14:paraId="383BC9DA" w14:textId="77777777" w:rsidR="00840451" w:rsidRDefault="008404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16B7F" w14:textId="77777777" w:rsidR="00840451" w:rsidRDefault="00840451" w:rsidP="007511F3">
      <w:r>
        <w:separator/>
      </w:r>
    </w:p>
  </w:footnote>
  <w:footnote w:type="continuationSeparator" w:id="0">
    <w:p w14:paraId="761D7874" w14:textId="77777777" w:rsidR="00840451" w:rsidRDefault="00840451" w:rsidP="007511F3">
      <w:r>
        <w:continuationSeparator/>
      </w:r>
    </w:p>
  </w:footnote>
  <w:footnote w:type="continuationNotice" w:id="1">
    <w:p w14:paraId="7C8229B3" w14:textId="77777777" w:rsidR="00840451" w:rsidRDefault="008404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2B07BB3D" w:rsidR="007511F3" w:rsidRPr="007511F3" w:rsidRDefault="00A41950">
    <w:pPr>
      <w:pStyle w:val="En-tte"/>
      <w:rPr>
        <w:lang w:val="fr-CA"/>
      </w:rPr>
    </w:pPr>
    <w:r w:rsidRPr="00A41950">
      <w:rPr>
        <w:lang w:val="fr-CA"/>
      </w:rPr>
      <w:t>ESO1005 - Planification stratégique d’affaires</w:t>
    </w:r>
    <w:r w:rsidRPr="00A41950" w:rsidDel="00A41950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236F0"/>
    <w:multiLevelType w:val="hybridMultilevel"/>
    <w:tmpl w:val="8D72C136"/>
    <w:lvl w:ilvl="0" w:tplc="B12C5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6C6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82F3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B253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0441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56A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1E7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29E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B6C1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B581E"/>
    <w:multiLevelType w:val="hybridMultilevel"/>
    <w:tmpl w:val="6D12E62A"/>
    <w:lvl w:ilvl="0" w:tplc="869A2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80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2C57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486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0CF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8CA6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7077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691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0A49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36CB7"/>
    <w:multiLevelType w:val="hybridMultilevel"/>
    <w:tmpl w:val="DC6A4AF0"/>
    <w:lvl w:ilvl="0" w:tplc="381E4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94FB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8C9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6AB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CA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DCF2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0E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C2F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E4D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25C95"/>
    <w:multiLevelType w:val="hybridMultilevel"/>
    <w:tmpl w:val="12A6B33C"/>
    <w:lvl w:ilvl="0" w:tplc="881E5E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1C93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C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7808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CB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EC8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8A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E413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03B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5136D"/>
    <w:multiLevelType w:val="hybridMultilevel"/>
    <w:tmpl w:val="023274C8"/>
    <w:lvl w:ilvl="0" w:tplc="86EA5B7A">
      <w:start w:val="1"/>
      <w:numFmt w:val="decimal"/>
      <w:lvlText w:val="%1."/>
      <w:lvlJc w:val="left"/>
      <w:pPr>
        <w:ind w:left="720" w:hanging="360"/>
      </w:pPr>
    </w:lvl>
    <w:lvl w:ilvl="1" w:tplc="E294C916">
      <w:start w:val="1"/>
      <w:numFmt w:val="lowerLetter"/>
      <w:lvlText w:val="%2."/>
      <w:lvlJc w:val="left"/>
      <w:pPr>
        <w:ind w:left="1440" w:hanging="360"/>
      </w:pPr>
    </w:lvl>
    <w:lvl w:ilvl="2" w:tplc="E2E63436">
      <w:start w:val="1"/>
      <w:numFmt w:val="lowerRoman"/>
      <w:lvlText w:val="%3."/>
      <w:lvlJc w:val="right"/>
      <w:pPr>
        <w:ind w:left="2160" w:hanging="180"/>
      </w:pPr>
    </w:lvl>
    <w:lvl w:ilvl="3" w:tplc="44E42FE8">
      <w:start w:val="1"/>
      <w:numFmt w:val="decimal"/>
      <w:lvlText w:val="%4."/>
      <w:lvlJc w:val="left"/>
      <w:pPr>
        <w:ind w:left="2880" w:hanging="360"/>
      </w:pPr>
    </w:lvl>
    <w:lvl w:ilvl="4" w:tplc="2D1AA75E">
      <w:start w:val="1"/>
      <w:numFmt w:val="lowerLetter"/>
      <w:lvlText w:val="%5."/>
      <w:lvlJc w:val="left"/>
      <w:pPr>
        <w:ind w:left="3600" w:hanging="360"/>
      </w:pPr>
    </w:lvl>
    <w:lvl w:ilvl="5" w:tplc="2B50E2D0">
      <w:start w:val="1"/>
      <w:numFmt w:val="lowerRoman"/>
      <w:lvlText w:val="%6."/>
      <w:lvlJc w:val="right"/>
      <w:pPr>
        <w:ind w:left="4320" w:hanging="180"/>
      </w:pPr>
    </w:lvl>
    <w:lvl w:ilvl="6" w:tplc="FE7EE030">
      <w:start w:val="1"/>
      <w:numFmt w:val="decimal"/>
      <w:lvlText w:val="%7."/>
      <w:lvlJc w:val="left"/>
      <w:pPr>
        <w:ind w:left="5040" w:hanging="360"/>
      </w:pPr>
    </w:lvl>
    <w:lvl w:ilvl="7" w:tplc="340618E6">
      <w:start w:val="1"/>
      <w:numFmt w:val="lowerLetter"/>
      <w:lvlText w:val="%8."/>
      <w:lvlJc w:val="left"/>
      <w:pPr>
        <w:ind w:left="5760" w:hanging="360"/>
      </w:pPr>
    </w:lvl>
    <w:lvl w:ilvl="8" w:tplc="70468AD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0"/>
  </w:num>
  <w:num w:numId="4">
    <w:abstractNumId w:val="19"/>
  </w:num>
  <w:num w:numId="5">
    <w:abstractNumId w:val="18"/>
  </w:num>
  <w:num w:numId="6">
    <w:abstractNumId w:val="12"/>
  </w:num>
  <w:num w:numId="7">
    <w:abstractNumId w:val="2"/>
  </w:num>
  <w:num w:numId="8">
    <w:abstractNumId w:val="9"/>
  </w:num>
  <w:num w:numId="9">
    <w:abstractNumId w:val="6"/>
  </w:num>
  <w:num w:numId="10">
    <w:abstractNumId w:val="1"/>
  </w:num>
  <w:num w:numId="11">
    <w:abstractNumId w:val="13"/>
  </w:num>
  <w:num w:numId="12">
    <w:abstractNumId w:val="8"/>
  </w:num>
  <w:num w:numId="13">
    <w:abstractNumId w:val="3"/>
  </w:num>
  <w:num w:numId="14">
    <w:abstractNumId w:val="14"/>
  </w:num>
  <w:num w:numId="15">
    <w:abstractNumId w:val="21"/>
  </w:num>
  <w:num w:numId="16">
    <w:abstractNumId w:val="4"/>
  </w:num>
  <w:num w:numId="17">
    <w:abstractNumId w:val="20"/>
  </w:num>
  <w:num w:numId="18">
    <w:abstractNumId w:val="7"/>
  </w:num>
  <w:num w:numId="19">
    <w:abstractNumId w:val="22"/>
  </w:num>
  <w:num w:numId="20">
    <w:abstractNumId w:val="0"/>
  </w:num>
  <w:num w:numId="21">
    <w:abstractNumId w:val="17"/>
  </w:num>
  <w:num w:numId="22">
    <w:abstractNumId w:val="11"/>
  </w:num>
  <w:num w:numId="23">
    <w:abstractNumId w:val="5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37FB"/>
    <w:rsid w:val="00086027"/>
    <w:rsid w:val="00087AE4"/>
    <w:rsid w:val="000A755C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69F4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40451"/>
    <w:rsid w:val="008519BA"/>
    <w:rsid w:val="00872A34"/>
    <w:rsid w:val="008801C8"/>
    <w:rsid w:val="0089676E"/>
    <w:rsid w:val="00896BF1"/>
    <w:rsid w:val="008A3B03"/>
    <w:rsid w:val="008B3251"/>
    <w:rsid w:val="008B5C55"/>
    <w:rsid w:val="008E04A8"/>
    <w:rsid w:val="00920505"/>
    <w:rsid w:val="009517A9"/>
    <w:rsid w:val="0095419F"/>
    <w:rsid w:val="00991744"/>
    <w:rsid w:val="009947DE"/>
    <w:rsid w:val="009A10A2"/>
    <w:rsid w:val="009A534D"/>
    <w:rsid w:val="009B2351"/>
    <w:rsid w:val="009E77AE"/>
    <w:rsid w:val="009F2362"/>
    <w:rsid w:val="009F3F48"/>
    <w:rsid w:val="00A13169"/>
    <w:rsid w:val="00A13718"/>
    <w:rsid w:val="00A146A3"/>
    <w:rsid w:val="00A2236E"/>
    <w:rsid w:val="00A41950"/>
    <w:rsid w:val="00A50E94"/>
    <w:rsid w:val="00A633ED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06FF1"/>
    <w:rsid w:val="00F3170A"/>
    <w:rsid w:val="00F3395B"/>
    <w:rsid w:val="00F40F7F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2F41"/>
    <w:rsid w:val="00FF44B1"/>
    <w:rsid w:val="0214B8B7"/>
    <w:rsid w:val="096A6B3B"/>
    <w:rsid w:val="1291E0B6"/>
    <w:rsid w:val="12AF3BCA"/>
    <w:rsid w:val="1524554D"/>
    <w:rsid w:val="1B04B1C0"/>
    <w:rsid w:val="1D59C375"/>
    <w:rsid w:val="281B74D6"/>
    <w:rsid w:val="2A6F3B8B"/>
    <w:rsid w:val="2DADCC7A"/>
    <w:rsid w:val="2F9A6503"/>
    <w:rsid w:val="30CF6D08"/>
    <w:rsid w:val="34B07CF9"/>
    <w:rsid w:val="364C4D5A"/>
    <w:rsid w:val="37225330"/>
    <w:rsid w:val="38C2EB6B"/>
    <w:rsid w:val="441ED78D"/>
    <w:rsid w:val="46359311"/>
    <w:rsid w:val="50C1801C"/>
    <w:rsid w:val="527FBE61"/>
    <w:rsid w:val="549BC9FC"/>
    <w:rsid w:val="55795268"/>
    <w:rsid w:val="5C893C0E"/>
    <w:rsid w:val="5D1A4A60"/>
    <w:rsid w:val="5E259EF6"/>
    <w:rsid w:val="60D770DA"/>
    <w:rsid w:val="692BE49D"/>
    <w:rsid w:val="6F178E6F"/>
    <w:rsid w:val="70C46FC8"/>
    <w:rsid w:val="74BFBF14"/>
    <w:rsid w:val="75C16D87"/>
    <w:rsid w:val="765B8F75"/>
    <w:rsid w:val="7970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16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10</cp:revision>
  <cp:lastPrinted>2016-11-10T10:40:00Z</cp:lastPrinted>
  <dcterms:created xsi:type="dcterms:W3CDTF">2021-11-24T14:31:00Z</dcterms:created>
  <dcterms:modified xsi:type="dcterms:W3CDTF">2022-02-23T20:27:00Z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