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8C2A21" w14:paraId="435D1C1A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3B83A9BD" w:rsidR="00F52677" w:rsidRPr="008C2A21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D1C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8C2A21" w14:paraId="7142CD37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2DD0D93C" w:rsidR="000024F5" w:rsidRPr="007D16F7" w:rsidRDefault="007D16F7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8C2A21" w14:paraId="4AABB92B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8CB33FB" w:rsidR="00F52677" w:rsidRPr="008C2A21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D1C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8C2A21" w14:paraId="3EA6154A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625D5C39" w:rsidR="00A665DC" w:rsidRPr="008C2A21" w:rsidRDefault="000D150F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8C2A21" w14:paraId="77542F8B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8C2A21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495B82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 : </w:t>
            </w:r>
          </w:p>
        </w:tc>
      </w:tr>
      <w:tr w:rsidR="00523B13" w:rsidRPr="008C2A21" w14:paraId="62AD4741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62488E82" w:rsidR="00523B13" w:rsidRPr="008C2A21" w:rsidRDefault="000D150F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8C2A21" w14:paraId="31C9990C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62BECAFE" w:rsidR="00523B13" w:rsidRPr="008C2A21" w:rsidRDefault="4D471572" w:rsidP="326A5F3F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5B1FDB56" w:rsidRPr="008C2A21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8C2A21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 : </w:t>
            </w:r>
          </w:p>
        </w:tc>
      </w:tr>
      <w:tr w:rsidR="00523B13" w:rsidRPr="008C2A21" w14:paraId="31349A98" w14:textId="77777777" w:rsidTr="08418CA0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61B55" w14:textId="6E9C94C1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proofErr w:type="gramStart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>décrire</w:t>
            </w:r>
            <w:proofErr w:type="gramEnd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processus de rédaction d’objectifs SMART </w:t>
            </w:r>
          </w:p>
          <w:p w14:paraId="5C11C134" w14:textId="1E7E0362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>expliquer</w:t>
            </w:r>
            <w:proofErr w:type="gramEnd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 l’importance de rédiger un plan d’affaires lors de la création d’une entreprise sociale </w:t>
            </w:r>
          </w:p>
          <w:p w14:paraId="28B303E3" w14:textId="45F7A688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>expliquer</w:t>
            </w:r>
            <w:proofErr w:type="gramEnd"/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 xml:space="preserve"> 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 xml:space="preserve">comment 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>effectuer une analyse FF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>OM</w:t>
            </w:r>
            <w:r w:rsidR="2D5A5EBB" w:rsidRPr="08418CA0">
              <w:rPr>
                <w:rFonts w:ascii="Verdana" w:hAnsi="Verdana" w:cs="Arial"/>
                <w:sz w:val="20"/>
                <w:szCs w:val="20"/>
                <w:lang w:val="fr-CA"/>
              </w:rPr>
              <w:t xml:space="preserve"> (</w:t>
            </w:r>
            <w:r w:rsidR="2D5A5EBB" w:rsidRPr="08418CA0">
              <w:rPr>
                <w:rFonts w:ascii="Verdana" w:hAnsi="Verdana" w:cs="Arial"/>
                <w:i/>
                <w:iCs/>
                <w:sz w:val="20"/>
                <w:szCs w:val="20"/>
                <w:lang w:val="fr-CA"/>
              </w:rPr>
              <w:t>SWOT</w:t>
            </w:r>
            <w:r w:rsidR="2D5A5EBB" w:rsidRPr="08418CA0">
              <w:rPr>
                <w:rFonts w:ascii="Verdana" w:hAnsi="Verdana" w:cs="Arial"/>
                <w:sz w:val="20"/>
                <w:szCs w:val="20"/>
                <w:lang w:val="fr-CA"/>
              </w:rPr>
              <w:t>)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 xml:space="preserve"> (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>f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>orces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>, f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>aiblesses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>, o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>pportunités</w:t>
            </w:r>
            <w:r w:rsidR="008F2008" w:rsidRPr="08418CA0">
              <w:rPr>
                <w:rFonts w:ascii="Verdana" w:hAnsi="Verdana" w:cs="Arial"/>
                <w:sz w:val="20"/>
                <w:szCs w:val="20"/>
                <w:lang w:val="fr-CA"/>
              </w:rPr>
              <w:t>, m</w:t>
            </w:r>
            <w:r w:rsidRPr="08418CA0">
              <w:rPr>
                <w:rFonts w:ascii="Verdana" w:hAnsi="Verdana" w:cs="Arial"/>
                <w:sz w:val="20"/>
                <w:szCs w:val="20"/>
                <w:lang w:val="fr-CA"/>
              </w:rPr>
              <w:t xml:space="preserve">enaces)  </w:t>
            </w:r>
          </w:p>
          <w:p w14:paraId="55DDC627" w14:textId="048C039E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>distinguer</w:t>
            </w:r>
            <w:proofErr w:type="gramEnd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canevas du modèle d’affaires du plan d’affaires</w:t>
            </w:r>
          </w:p>
          <w:p w14:paraId="7083C54E" w14:textId="72268D53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>énumérer</w:t>
            </w:r>
            <w:proofErr w:type="gramEnd"/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étapes de réalisation d’un démarrage d’un projet pour une entreprise sociale</w:t>
            </w:r>
          </w:p>
          <w:p w14:paraId="0265E053" w14:textId="409A6283" w:rsidR="00523B13" w:rsidRPr="00DD1CDE" w:rsidRDefault="6FF0F688" w:rsidP="5DF7AB3F">
            <w:pPr>
              <w:pStyle w:val="Paragraphedeliste"/>
              <w:numPr>
                <w:ilvl w:val="0"/>
                <w:numId w:val="3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proofErr w:type="gramStart"/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>nommer</w:t>
            </w:r>
            <w:proofErr w:type="gramEnd"/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 les caractéristiques (pertinence des informations, </w:t>
            </w:r>
            <w:r w:rsidR="000C5B5C" w:rsidRPr="5DF7AB3F">
              <w:rPr>
                <w:rFonts w:ascii="Verdana" w:hAnsi="Verdana"/>
                <w:sz w:val="20"/>
                <w:szCs w:val="20"/>
                <w:lang w:val="fr-CA"/>
              </w:rPr>
              <w:t>rigueur</w:t>
            </w:r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, </w:t>
            </w:r>
            <w:r w:rsidR="006C2E1E"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rédaction </w:t>
            </w:r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>convaincante, bien adressée, concise, complète, logique) et les exigences (à la 3</w:t>
            </w:r>
            <w:r w:rsidRPr="5DF7AB3F">
              <w:rPr>
                <w:rFonts w:ascii="Verdana" w:hAnsi="Verdana"/>
                <w:sz w:val="20"/>
                <w:szCs w:val="20"/>
                <w:vertAlign w:val="superscript"/>
                <w:lang w:val="fr-CA"/>
              </w:rPr>
              <w:t>e</w:t>
            </w:r>
            <w:r w:rsidR="00DA274B" w:rsidRPr="5DF7AB3F">
              <w:rPr>
                <w:rFonts w:ascii="Verdana" w:hAnsi="Verdana"/>
                <w:sz w:val="20"/>
                <w:szCs w:val="20"/>
                <w:lang w:val="fr-CA"/>
              </w:rPr>
              <w:t> </w:t>
            </w:r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personne) à respecter pour assurer </w:t>
            </w:r>
            <w:r w:rsidR="006C2E1E"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la grande </w:t>
            </w:r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qualité </w:t>
            </w:r>
            <w:r w:rsidR="006C2E1E"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du </w:t>
            </w:r>
            <w:r w:rsidRPr="5DF7AB3F">
              <w:rPr>
                <w:rFonts w:ascii="Verdana" w:hAnsi="Verdana"/>
                <w:sz w:val="20"/>
                <w:szCs w:val="20"/>
                <w:lang w:val="fr-CA"/>
              </w:rPr>
              <w:t xml:space="preserve">plan d’affaires  </w:t>
            </w:r>
          </w:p>
          <w:p w14:paraId="38BF893A" w14:textId="75837F7F" w:rsidR="00523B13" w:rsidRPr="00DD1CDE" w:rsidRDefault="2BA68D3F" w:rsidP="326A5F3F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>résumer</w:t>
            </w:r>
            <w:proofErr w:type="gramEnd"/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principales composantes d’un plan d’affaires, </w:t>
            </w:r>
            <w:r w:rsidR="00EC7E1C" w:rsidRPr="5DF7AB3F">
              <w:rPr>
                <w:rFonts w:ascii="Verdana" w:hAnsi="Verdana" w:cs="Arial"/>
                <w:sz w:val="20"/>
                <w:szCs w:val="20"/>
                <w:lang w:val="fr-CA"/>
              </w:rPr>
              <w:t>dont les suivantes</w:t>
            </w:r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 xml:space="preserve"> : </w:t>
            </w:r>
          </w:p>
          <w:p w14:paraId="141D6E7C" w14:textId="62248E8F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Projet </w:t>
            </w:r>
          </w:p>
          <w:p w14:paraId="3FDA893B" w14:textId="3947B4D2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Profil de l’entreprise sociale </w:t>
            </w:r>
          </w:p>
          <w:p w14:paraId="25EE510B" w14:textId="01C9BC20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Étude de marché </w:t>
            </w:r>
          </w:p>
          <w:p w14:paraId="5F3D4420" w14:textId="79695DEE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Plan de marketing/commercialisation  </w:t>
            </w:r>
          </w:p>
          <w:p w14:paraId="32896546" w14:textId="308DFF12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Plan des opérations </w:t>
            </w:r>
          </w:p>
          <w:p w14:paraId="5EE1D5DA" w14:textId="5AADDE6C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 xml:space="preserve">Plan financier </w:t>
            </w:r>
          </w:p>
          <w:p w14:paraId="1E014158" w14:textId="3248BEB2" w:rsidR="00523B13" w:rsidRPr="00DD1CDE" w:rsidRDefault="2BA68D3F" w:rsidP="326A5F3F">
            <w:pPr>
              <w:pStyle w:val="Paragraphedeliste"/>
              <w:numPr>
                <w:ilvl w:val="1"/>
                <w:numId w:val="3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DD1CDE">
              <w:rPr>
                <w:rFonts w:ascii="Verdana" w:hAnsi="Verdana" w:cs="Arial"/>
                <w:sz w:val="20"/>
                <w:szCs w:val="20"/>
                <w:lang w:val="fr-CA"/>
              </w:rPr>
              <w:t>Sommaire exécutif</w:t>
            </w:r>
          </w:p>
        </w:tc>
      </w:tr>
    </w:tbl>
    <w:p w14:paraId="4A1B99F3" w14:textId="77777777" w:rsidR="00F52677" w:rsidRPr="008C2A21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8C2A21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8C2A21" w14:paraId="0802E735" w14:textId="77777777" w:rsidTr="5DF7AB3F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8C2A21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4DBD7113" w:rsidR="00F52677" w:rsidRPr="008C2A21" w:rsidRDefault="01EA6CF1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 w:rsidR="00DA274B" w:rsidRPr="5DF7AB3F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>4</w:t>
            </w:r>
            <w:r w:rsidR="00DD1CDE" w:rsidRPr="5DF7AB3F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5DF7AB3F">
              <w:rPr>
                <w:rFonts w:ascii="Verdana" w:hAnsi="Verdana" w:cs="Arial"/>
                <w:sz w:val="20"/>
                <w:szCs w:val="20"/>
                <w:lang w:val="fr-CA"/>
              </w:rPr>
              <w:t xml:space="preserve">: </w:t>
            </w:r>
            <w:r w:rsidR="50EA9BD0" w:rsidRPr="5DF7AB3F">
              <w:rPr>
                <w:rFonts w:ascii="Verdana" w:hAnsi="Verdana" w:cs="Arial"/>
                <w:sz w:val="20"/>
                <w:szCs w:val="20"/>
                <w:lang w:val="fr-CA"/>
              </w:rPr>
              <w:t>Élaboration de l’ébauche (</w:t>
            </w:r>
            <w:r w:rsidR="001D6D92" w:rsidRPr="5DF7AB3F">
              <w:rPr>
                <w:rFonts w:ascii="Verdana" w:hAnsi="Verdana" w:cs="Arial"/>
                <w:sz w:val="20"/>
                <w:szCs w:val="20"/>
                <w:lang w:val="fr-CA"/>
              </w:rPr>
              <w:t>p</w:t>
            </w:r>
            <w:r w:rsidR="50EA9BD0" w:rsidRPr="5DF7AB3F">
              <w:rPr>
                <w:rFonts w:ascii="Verdana" w:hAnsi="Verdana" w:cs="Arial"/>
                <w:sz w:val="20"/>
                <w:szCs w:val="20"/>
                <w:lang w:val="fr-CA"/>
              </w:rPr>
              <w:t>artie</w:t>
            </w:r>
            <w:r w:rsidR="00DA274B" w:rsidRPr="5DF7AB3F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="50EA9BD0" w:rsidRPr="5DF7AB3F">
              <w:rPr>
                <w:rFonts w:ascii="Verdana" w:hAnsi="Verdana" w:cs="Arial"/>
                <w:sz w:val="20"/>
                <w:szCs w:val="20"/>
                <w:lang w:val="fr-CA"/>
              </w:rPr>
              <w:t>1)</w:t>
            </w:r>
          </w:p>
        </w:tc>
      </w:tr>
    </w:tbl>
    <w:p w14:paraId="148FF88E" w14:textId="77777777" w:rsidR="000D150F" w:rsidRDefault="000D150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8C2A21" w14:paraId="4A2EC677" w14:textId="77777777" w:rsidTr="5DF7AB3F">
        <w:tc>
          <w:tcPr>
            <w:tcW w:w="8630" w:type="dxa"/>
            <w:shd w:val="clear" w:color="auto" w:fill="C1C1C1"/>
          </w:tcPr>
          <w:p w14:paraId="726C9220" w14:textId="77777777" w:rsidR="00F52677" w:rsidRPr="008C2A21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C2A2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8C2A21" w14:paraId="09C288F9" w14:textId="77777777" w:rsidTr="5DF7AB3F">
        <w:tc>
          <w:tcPr>
            <w:tcW w:w="8630" w:type="dxa"/>
          </w:tcPr>
          <w:p w14:paraId="7F80B258" w14:textId="77777777" w:rsidR="00BB02BF" w:rsidRPr="008C2A21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C2A2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8C2A21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3D3B8D4E" w:rsidR="00BB02BF" w:rsidRPr="008C2A21" w:rsidRDefault="67953CD3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2A2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séance de cours te permettra de revoir plusieurs concepts associés aux premières étapes du plan d’affaires. </w:t>
            </w:r>
          </w:p>
        </w:tc>
      </w:tr>
      <w:tr w:rsidR="002D1760" w:rsidRPr="008C2A21" w14:paraId="68EF2BA2" w14:textId="77777777" w:rsidTr="5DF7AB3F">
        <w:tc>
          <w:tcPr>
            <w:tcW w:w="8630" w:type="dxa"/>
          </w:tcPr>
          <w:p w14:paraId="070D7082" w14:textId="1E81CEED" w:rsidR="002D1760" w:rsidRPr="008C2A21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C2A2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 / Mise en situation</w:t>
            </w:r>
            <w:r w:rsidR="00DA274B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8C2A2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8C2A21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608B7739" w:rsidR="00CB05B7" w:rsidRPr="008C2A21" w:rsidRDefault="46E7AF6C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 plan d’affaires est un document volumineux qui prend plusieurs heures à </w:t>
            </w:r>
            <w:r w:rsidR="001D6D92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élaborer</w:t>
            </w: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  <w:r w:rsidR="001D6D92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Par la suite</w:t>
            </w:r>
            <w:r w:rsidR="4B92E78B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, ce plan d’affaires devient, avec la mission, </w:t>
            </w:r>
            <w:r w:rsidR="008C7D27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l’outil de référence </w:t>
            </w:r>
            <w:r w:rsidR="4B92E78B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pour toutes les décisions qui en découleront. C’est sur le plan d’affaires que les investisseurs potentiels et même le conseil d’administration d’une entreprise social</w:t>
            </w:r>
            <w:r w:rsidR="31A40D53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</w:t>
            </w:r>
            <w:r w:rsidR="4B92E78B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se base</w:t>
            </w:r>
            <w:r w:rsidR="00E14DFC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nt</w:t>
            </w:r>
            <w:r w:rsidR="4B92E78B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754F07D9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pour accepter des idées et approuver des changements. </w:t>
            </w:r>
          </w:p>
        </w:tc>
      </w:tr>
      <w:tr w:rsidR="00DA3338" w:rsidRPr="008C2A21" w14:paraId="17EE45F8" w14:textId="77777777" w:rsidTr="5DF7AB3F">
        <w:tc>
          <w:tcPr>
            <w:tcW w:w="8630" w:type="dxa"/>
          </w:tcPr>
          <w:p w14:paraId="5E33CE0D" w14:textId="77777777" w:rsidR="00DA3338" w:rsidRPr="008C7D27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 (production attendue ou déroulement)</w:t>
            </w:r>
          </w:p>
          <w:p w14:paraId="5DCE0649" w14:textId="0D73F027" w:rsidR="00AA13A0" w:rsidRPr="008C7D27" w:rsidRDefault="00AA13A0" w:rsidP="326A5F3F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5B894C01" w14:textId="4E7E911A" w:rsidR="00AA13A0" w:rsidRPr="008C7D27" w:rsidRDefault="2ED2BBE4" w:rsidP="326A5F3F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Thèmes à l</w:t>
            </w:r>
            <w:r w:rsidR="008C7D27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étude</w:t>
            </w:r>
            <w:r w:rsidR="008C7D27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:</w:t>
            </w:r>
          </w:p>
          <w:p w14:paraId="66070017" w14:textId="2198C978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Processus de rédaction d’objectifs SMART</w:t>
            </w:r>
          </w:p>
          <w:p w14:paraId="09C4C8D8" w14:textId="6B19BD6C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Importance du plan d’affaires</w:t>
            </w:r>
          </w:p>
          <w:p w14:paraId="61482A3E" w14:textId="33CB26D5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Méthodes pour l’analyse FFOM</w:t>
            </w:r>
          </w:p>
          <w:p w14:paraId="7799FEB5" w14:textId="6BDE4ECD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lastRenderedPageBreak/>
              <w:t xml:space="preserve">Canevas du modèle d’affaires vs </w:t>
            </w:r>
            <w:r w:rsidR="003F5D91"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 </w:t>
            </w:r>
            <w:r w:rsidRPr="5DF7AB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plan d’affaires</w:t>
            </w:r>
          </w:p>
          <w:p w14:paraId="4167657B" w14:textId="3F2D1F7D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Étapes du démarrage d’une entreprise sociale</w:t>
            </w:r>
          </w:p>
          <w:p w14:paraId="4F44B529" w14:textId="6DB59F45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Principales composantes d’un plan d’affaires</w:t>
            </w:r>
          </w:p>
          <w:p w14:paraId="531EFC51" w14:textId="7BA0A205" w:rsidR="00AA13A0" w:rsidRPr="008C7D27" w:rsidRDefault="228C747D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Caractéristiques et exigences qui assurent la qualité du plan d’affaires</w:t>
            </w:r>
          </w:p>
          <w:p w14:paraId="09F482E0" w14:textId="69BD63C8" w:rsidR="00AA13A0" w:rsidRPr="008C7D27" w:rsidRDefault="2ED2BBE4" w:rsidP="326A5F3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Travail de groupe</w:t>
            </w:r>
          </w:p>
          <w:p w14:paraId="62952A75" w14:textId="19ECF880" w:rsidR="00AA13A0" w:rsidRPr="008C7D27" w:rsidRDefault="23D55C02" w:rsidP="65363CF5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Période de questions </w:t>
            </w:r>
          </w:p>
          <w:p w14:paraId="1ACEDD93" w14:textId="0374EDF3" w:rsidR="00AA13A0" w:rsidRPr="008C7D27" w:rsidRDefault="23D55C02" w:rsidP="65363CF5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b/>
                <w:bCs/>
                <w:sz w:val="20"/>
                <w:szCs w:val="20"/>
                <w:lang w:val="fr-CA"/>
              </w:rPr>
            </w:pPr>
            <w:r w:rsidRPr="008C7D27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Présentation des travaux à venir</w:t>
            </w:r>
          </w:p>
          <w:p w14:paraId="73FDDC62" w14:textId="128387B0" w:rsidR="00AA13A0" w:rsidRPr="008C7D27" w:rsidRDefault="00AA13A0" w:rsidP="65363CF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D742F22" w14:textId="26CB5198" w:rsidR="00AA13A0" w:rsidRPr="008C7D27" w:rsidRDefault="00AA13A0" w:rsidP="65363CF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67D3DD2E" w14:textId="3DF02B1C" w:rsidR="00AA13A0" w:rsidRPr="008C7D27" w:rsidRDefault="42FE231B" w:rsidP="65363CF5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08C7D2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Après la séance</w:t>
            </w:r>
            <w:r w:rsidR="00DA274B" w:rsidRPr="008C7D2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008C7D27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373A2C93" w14:textId="10D779AC" w:rsidR="00AA13A0" w:rsidRPr="008C7D27" w:rsidRDefault="42FE231B" w:rsidP="65363CF5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8C7D27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Après la séance, chaque membre du groupe doit remplir </w:t>
            </w:r>
            <w:r w:rsidRPr="00616169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la grille d’évaluation par les pa</w:t>
            </w:r>
            <w:r w:rsidR="00616169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irs</w:t>
            </w:r>
            <w:r w:rsidRPr="008C7D27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pour évaluer chaque coéquipier.</w:t>
            </w:r>
          </w:p>
          <w:p w14:paraId="0BB76640" w14:textId="482C25BF" w:rsidR="00AA13A0" w:rsidRPr="008C7D27" w:rsidRDefault="42FE231B" w:rsidP="5DF7AB3F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</w:t>
            </w:r>
            <w:r w:rsidR="002E032B"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</w:t>
            </w:r>
            <w:r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chaque grille d</w:t>
            </w:r>
            <w:r w:rsidR="00E14DFC"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’</w:t>
            </w:r>
            <w:r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évaluation remplie dans le casier de dépôt réservé à cet effet. Chaque membre du groupe </w:t>
            </w:r>
            <w:r w:rsidR="002E032B"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de</w:t>
            </w:r>
            <w:proofErr w:type="spellStart"/>
            <w:r w:rsidR="002E032B" w:rsidRPr="5DF7AB3F">
              <w:rPr>
                <w:rFonts w:ascii="Verdana" w:eastAsia="Open Sans" w:hAnsi="Verdana" w:cs="Open Sans"/>
                <w:color w:val="25272B"/>
                <w:sz w:val="20"/>
                <w:szCs w:val="20"/>
              </w:rPr>
              <w:t>vra</w:t>
            </w:r>
            <w:proofErr w:type="spellEnd"/>
            <w:r w:rsidR="002E032B" w:rsidRPr="5DF7AB3F">
              <w:rPr>
                <w:rFonts w:ascii="Verdana" w:eastAsia="Open Sans" w:hAnsi="Verdana" w:cs="Open Sans"/>
                <w:color w:val="25272B"/>
                <w:sz w:val="20"/>
                <w:szCs w:val="20"/>
              </w:rPr>
              <w:t xml:space="preserve"> soumettre</w:t>
            </w:r>
            <w:r w:rsidR="00AD2BD6" w:rsidRPr="5DF7AB3F">
              <w:rPr>
                <w:rFonts w:ascii="Verdana" w:eastAsia="Open Sans" w:hAnsi="Verdana" w:cs="Open Sans"/>
                <w:color w:val="25272B"/>
                <w:sz w:val="20"/>
                <w:szCs w:val="20"/>
              </w:rPr>
              <w:t xml:space="preserve"> sa propre grille</w:t>
            </w:r>
            <w:r w:rsidRPr="5DF7AB3F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  <w:p w14:paraId="049309DE" w14:textId="08571C12" w:rsidR="00AA13A0" w:rsidRPr="008C7D27" w:rsidRDefault="00AA13A0" w:rsidP="65363CF5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8C2A21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8C2A21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8C2A21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8C2A21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8C2A21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62169BBA" w:rsidR="007511F3" w:rsidRPr="007511F3" w:rsidRDefault="003F6932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75FDC"/>
    <w:multiLevelType w:val="hybridMultilevel"/>
    <w:tmpl w:val="8C3C4AA6"/>
    <w:lvl w:ilvl="0" w:tplc="33C8CC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D81C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AA3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748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9447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6868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5CC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CE7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64C0C"/>
    <w:multiLevelType w:val="hybridMultilevel"/>
    <w:tmpl w:val="3AAEAB4E"/>
    <w:lvl w:ilvl="0" w:tplc="7AEC0C7E">
      <w:start w:val="1"/>
      <w:numFmt w:val="decimal"/>
      <w:lvlText w:val="%1."/>
      <w:lvlJc w:val="left"/>
      <w:pPr>
        <w:ind w:left="720" w:hanging="360"/>
      </w:pPr>
    </w:lvl>
    <w:lvl w:ilvl="1" w:tplc="B52042DA">
      <w:start w:val="1"/>
      <w:numFmt w:val="lowerLetter"/>
      <w:lvlText w:val="%2."/>
      <w:lvlJc w:val="left"/>
      <w:pPr>
        <w:ind w:left="1440" w:hanging="360"/>
      </w:pPr>
    </w:lvl>
    <w:lvl w:ilvl="2" w:tplc="08C4B820">
      <w:start w:val="1"/>
      <w:numFmt w:val="lowerRoman"/>
      <w:lvlText w:val="%3."/>
      <w:lvlJc w:val="right"/>
      <w:pPr>
        <w:ind w:left="2160" w:hanging="180"/>
      </w:pPr>
    </w:lvl>
    <w:lvl w:ilvl="3" w:tplc="2FCAD424">
      <w:start w:val="1"/>
      <w:numFmt w:val="decimal"/>
      <w:lvlText w:val="%4."/>
      <w:lvlJc w:val="left"/>
      <w:pPr>
        <w:ind w:left="2880" w:hanging="360"/>
      </w:pPr>
    </w:lvl>
    <w:lvl w:ilvl="4" w:tplc="073E2276">
      <w:start w:val="1"/>
      <w:numFmt w:val="lowerLetter"/>
      <w:lvlText w:val="%5."/>
      <w:lvlJc w:val="left"/>
      <w:pPr>
        <w:ind w:left="3600" w:hanging="360"/>
      </w:pPr>
    </w:lvl>
    <w:lvl w:ilvl="5" w:tplc="62C206E6">
      <w:start w:val="1"/>
      <w:numFmt w:val="lowerRoman"/>
      <w:lvlText w:val="%6."/>
      <w:lvlJc w:val="right"/>
      <w:pPr>
        <w:ind w:left="4320" w:hanging="180"/>
      </w:pPr>
    </w:lvl>
    <w:lvl w:ilvl="6" w:tplc="F948D888">
      <w:start w:val="1"/>
      <w:numFmt w:val="decimal"/>
      <w:lvlText w:val="%7."/>
      <w:lvlJc w:val="left"/>
      <w:pPr>
        <w:ind w:left="5040" w:hanging="360"/>
      </w:pPr>
    </w:lvl>
    <w:lvl w:ilvl="7" w:tplc="84E83B12">
      <w:start w:val="1"/>
      <w:numFmt w:val="lowerLetter"/>
      <w:lvlText w:val="%8."/>
      <w:lvlJc w:val="left"/>
      <w:pPr>
        <w:ind w:left="5760" w:hanging="360"/>
      </w:pPr>
    </w:lvl>
    <w:lvl w:ilvl="8" w:tplc="AC82A6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E57106"/>
    <w:multiLevelType w:val="hybridMultilevel"/>
    <w:tmpl w:val="9D6CA81A"/>
    <w:lvl w:ilvl="0" w:tplc="87F65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968E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7AA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28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2CF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788C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FE0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0A9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160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9"/>
  </w:num>
  <w:num w:numId="4">
    <w:abstractNumId w:val="13"/>
  </w:num>
  <w:num w:numId="5">
    <w:abstractNumId w:val="2"/>
  </w:num>
  <w:num w:numId="6">
    <w:abstractNumId w:val="11"/>
  </w:num>
  <w:num w:numId="7">
    <w:abstractNumId w:val="7"/>
  </w:num>
  <w:num w:numId="8">
    <w:abstractNumId w:val="1"/>
  </w:num>
  <w:num w:numId="9">
    <w:abstractNumId w:val="14"/>
  </w:num>
  <w:num w:numId="10">
    <w:abstractNumId w:val="10"/>
  </w:num>
  <w:num w:numId="11">
    <w:abstractNumId w:val="4"/>
  </w:num>
  <w:num w:numId="12">
    <w:abstractNumId w:val="15"/>
  </w:num>
  <w:num w:numId="13">
    <w:abstractNumId w:val="20"/>
  </w:num>
  <w:num w:numId="14">
    <w:abstractNumId w:val="5"/>
  </w:num>
  <w:num w:numId="15">
    <w:abstractNumId w:val="18"/>
  </w:num>
  <w:num w:numId="16">
    <w:abstractNumId w:val="9"/>
  </w:num>
  <w:num w:numId="17">
    <w:abstractNumId w:val="21"/>
  </w:num>
  <w:num w:numId="18">
    <w:abstractNumId w:val="0"/>
  </w:num>
  <w:num w:numId="19">
    <w:abstractNumId w:val="17"/>
  </w:num>
  <w:num w:numId="20">
    <w:abstractNumId w:val="12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C5B5C"/>
    <w:rsid w:val="000D150F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D6D92"/>
    <w:rsid w:val="001E2E22"/>
    <w:rsid w:val="001E719B"/>
    <w:rsid w:val="0022510D"/>
    <w:rsid w:val="00225EF4"/>
    <w:rsid w:val="00232DF1"/>
    <w:rsid w:val="00247337"/>
    <w:rsid w:val="00247DED"/>
    <w:rsid w:val="0026263A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E032B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E3941"/>
    <w:rsid w:val="003F1774"/>
    <w:rsid w:val="003F4848"/>
    <w:rsid w:val="003F5D91"/>
    <w:rsid w:val="003F6932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16169"/>
    <w:rsid w:val="00630AE4"/>
    <w:rsid w:val="006423FF"/>
    <w:rsid w:val="006551F3"/>
    <w:rsid w:val="00670B89"/>
    <w:rsid w:val="006C19BC"/>
    <w:rsid w:val="006C2E1E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6F7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8C2A21"/>
    <w:rsid w:val="008C7D27"/>
    <w:rsid w:val="008F2008"/>
    <w:rsid w:val="00920505"/>
    <w:rsid w:val="009517A9"/>
    <w:rsid w:val="0095419F"/>
    <w:rsid w:val="00991744"/>
    <w:rsid w:val="009947DE"/>
    <w:rsid w:val="009A285C"/>
    <w:rsid w:val="009A534D"/>
    <w:rsid w:val="009B2351"/>
    <w:rsid w:val="009E77AE"/>
    <w:rsid w:val="009F2362"/>
    <w:rsid w:val="009F3F48"/>
    <w:rsid w:val="00A13169"/>
    <w:rsid w:val="00A13718"/>
    <w:rsid w:val="00A2236E"/>
    <w:rsid w:val="00A47556"/>
    <w:rsid w:val="00A50E94"/>
    <w:rsid w:val="00A665DC"/>
    <w:rsid w:val="00A70488"/>
    <w:rsid w:val="00A80808"/>
    <w:rsid w:val="00AA13A0"/>
    <w:rsid w:val="00AA3124"/>
    <w:rsid w:val="00AA4B84"/>
    <w:rsid w:val="00AD2BD6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274B"/>
    <w:rsid w:val="00DA3338"/>
    <w:rsid w:val="00DA5958"/>
    <w:rsid w:val="00DD1CDE"/>
    <w:rsid w:val="00DE086F"/>
    <w:rsid w:val="00DE1263"/>
    <w:rsid w:val="00DE32A3"/>
    <w:rsid w:val="00DF414F"/>
    <w:rsid w:val="00DF5F46"/>
    <w:rsid w:val="00E14DFC"/>
    <w:rsid w:val="00E2204F"/>
    <w:rsid w:val="00E26469"/>
    <w:rsid w:val="00E30C95"/>
    <w:rsid w:val="00E4704E"/>
    <w:rsid w:val="00E81C81"/>
    <w:rsid w:val="00E849C2"/>
    <w:rsid w:val="00EA03E2"/>
    <w:rsid w:val="00EC21EC"/>
    <w:rsid w:val="00EC7E1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1EA6CF1"/>
    <w:rsid w:val="0214B8B7"/>
    <w:rsid w:val="03D638A1"/>
    <w:rsid w:val="041149CC"/>
    <w:rsid w:val="08418CA0"/>
    <w:rsid w:val="0C5E6FDC"/>
    <w:rsid w:val="0DB82C12"/>
    <w:rsid w:val="0F53FC73"/>
    <w:rsid w:val="13444EFD"/>
    <w:rsid w:val="180C3C2D"/>
    <w:rsid w:val="2174219C"/>
    <w:rsid w:val="228C747D"/>
    <w:rsid w:val="23D55C02"/>
    <w:rsid w:val="27C0E7A7"/>
    <w:rsid w:val="2BA68D3F"/>
    <w:rsid w:val="2D5A5EBB"/>
    <w:rsid w:val="2ED2BBE4"/>
    <w:rsid w:val="31A40D53"/>
    <w:rsid w:val="326A5F3F"/>
    <w:rsid w:val="3B47E24C"/>
    <w:rsid w:val="3EDD1F8C"/>
    <w:rsid w:val="416CB2E0"/>
    <w:rsid w:val="42FE231B"/>
    <w:rsid w:val="46E7AF6C"/>
    <w:rsid w:val="4712D113"/>
    <w:rsid w:val="4A4A71D5"/>
    <w:rsid w:val="4B92E78B"/>
    <w:rsid w:val="4D471572"/>
    <w:rsid w:val="4FCDDDEC"/>
    <w:rsid w:val="50EA9BD0"/>
    <w:rsid w:val="55795268"/>
    <w:rsid w:val="5B1FDB56"/>
    <w:rsid w:val="5DF7AB3F"/>
    <w:rsid w:val="603FC322"/>
    <w:rsid w:val="65363CF5"/>
    <w:rsid w:val="67953CD3"/>
    <w:rsid w:val="6FF0F688"/>
    <w:rsid w:val="74A3336F"/>
    <w:rsid w:val="754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F2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43216b7f-ccc7-4475-b013-7278345f6c59"/>
    <ds:schemaRef ds:uri="bf01f919-3957-45d6-8c10-d40d4dfe54b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23</cp:revision>
  <cp:lastPrinted>2016-11-10T10:40:00Z</cp:lastPrinted>
  <dcterms:created xsi:type="dcterms:W3CDTF">2021-11-24T12:56:00Z</dcterms:created>
  <dcterms:modified xsi:type="dcterms:W3CDTF">2022-02-23T20:45:00Z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