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1A0890" w14:paraId="3E028571" w14:textId="77777777" w:rsidTr="05B3EBF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F62BFE" w14:textId="77777777" w:rsidR="00F52677" w:rsidRPr="001A0890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A0890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1A0890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1A0890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1A0890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1A089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1A0890" w14:paraId="27355901" w14:textId="77777777" w:rsidTr="05B3EBF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C6158C" w14:textId="418D03AC" w:rsidR="000024F5" w:rsidRPr="001A0890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1A0890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1A0890" w14:paraId="6AE7C84B" w14:textId="77777777" w:rsidTr="05B3EBF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A4373C" w14:textId="77777777" w:rsidR="00F52677" w:rsidRPr="001A0890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A0890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1A0890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1A089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1A0890" w14:paraId="510330F1" w14:textId="77777777" w:rsidTr="05B3EBF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DABC" w14:textId="527B14B8" w:rsidR="00A665DC" w:rsidRPr="001A0890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1A0890">
              <w:rPr>
                <w:rFonts w:cs="Arial"/>
                <w:szCs w:val="20"/>
                <w:lang w:val="fr-CA"/>
              </w:rPr>
              <w:t>Stratégies financières</w:t>
            </w:r>
          </w:p>
        </w:tc>
      </w:tr>
      <w:tr w:rsidR="00495B82" w:rsidRPr="001A0890" w14:paraId="0882C1DB" w14:textId="77777777" w:rsidTr="05B3EBF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7974CE" w14:textId="77777777" w:rsidR="00495B82" w:rsidRPr="001A0890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A0890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1A0890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1A0890" w14:paraId="711A8BD7" w14:textId="77777777" w:rsidTr="05B3EBF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398D3" w14:textId="71899E7D" w:rsidR="00523B13" w:rsidRPr="001A0890" w:rsidRDefault="0035505A" w:rsidP="00A665DC">
            <w:pPr>
              <w:rPr>
                <w:rFonts w:cs="Arial"/>
                <w:szCs w:val="20"/>
                <w:lang w:val="fr-CA"/>
              </w:rPr>
            </w:pPr>
            <w:r w:rsidRPr="001A0890">
              <w:rPr>
                <w:rFonts w:cs="Arial"/>
                <w:szCs w:val="20"/>
                <w:lang w:val="fr-CA"/>
              </w:rPr>
              <w:t>Proposer des stratégies financières selon la structure de propriété de l’entreprise sociale afin d’assurer une autonomie financière.</w:t>
            </w:r>
          </w:p>
        </w:tc>
      </w:tr>
      <w:tr w:rsidR="00523B13" w:rsidRPr="001A0890" w14:paraId="49CF700E" w14:textId="77777777" w:rsidTr="05B3EBF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73A6B7" w14:textId="5BA92C08" w:rsidR="00523B13" w:rsidRPr="001A0890" w:rsidRDefault="00523B13" w:rsidP="05B3EBF1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A0890">
              <w:rPr>
                <w:rFonts w:cs="Arial"/>
                <w:b/>
                <w:bCs/>
                <w:szCs w:val="20"/>
                <w:lang w:val="fr-CA"/>
              </w:rPr>
              <w:t>Élément</w:t>
            </w:r>
            <w:r w:rsidR="007546D0" w:rsidRPr="001A0890">
              <w:rPr>
                <w:rFonts w:cs="Arial"/>
                <w:b/>
                <w:bCs/>
                <w:szCs w:val="20"/>
                <w:lang w:val="fr-CA"/>
              </w:rPr>
              <w:t>s</w:t>
            </w:r>
            <w:r w:rsidRPr="001A0890">
              <w:rPr>
                <w:rFonts w:cs="Arial"/>
                <w:b/>
                <w:bCs/>
                <w:szCs w:val="20"/>
                <w:lang w:val="fr-CA"/>
              </w:rPr>
              <w:t xml:space="preserve"> de performance : </w:t>
            </w:r>
          </w:p>
        </w:tc>
      </w:tr>
      <w:tr w:rsidR="00523B13" w:rsidRPr="001A0890" w14:paraId="505E582D" w14:textId="77777777" w:rsidTr="05B3EBF1">
        <w:trPr>
          <w:trHeight w:val="375"/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A9E0E" w14:textId="0F4B0E3D" w:rsidR="007546D0" w:rsidRPr="001A0890" w:rsidRDefault="007546D0" w:rsidP="05B3EBF1">
            <w:pPr>
              <w:pStyle w:val="Paragraphedeliste"/>
              <w:ind w:left="0"/>
              <w:rPr>
                <w:rFonts w:cs="Arial"/>
                <w:szCs w:val="20"/>
                <w:lang w:val="fr-CA"/>
              </w:rPr>
            </w:pPr>
          </w:p>
        </w:tc>
      </w:tr>
    </w:tbl>
    <w:p w14:paraId="4E698F10" w14:textId="5328849C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1A0890" w14:paraId="10B02C81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1C6EBC54" w14:textId="77777777" w:rsidR="00F52677" w:rsidRPr="001A0890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1A0890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1A0890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1A0890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5F3BB589" w14:textId="0860D561" w:rsidR="00F52677" w:rsidRPr="001A0890" w:rsidRDefault="0082039B" w:rsidP="00087AE4">
            <w:pPr>
              <w:rPr>
                <w:rFonts w:cs="Arial"/>
                <w:szCs w:val="20"/>
                <w:lang w:val="fr-CA"/>
              </w:rPr>
            </w:pPr>
            <w:r w:rsidRPr="001A0890">
              <w:rPr>
                <w:rFonts w:cs="Arial"/>
                <w:szCs w:val="20"/>
                <w:lang w:val="fr-CA"/>
              </w:rPr>
              <w:t xml:space="preserve">Activité : </w:t>
            </w:r>
            <w:r w:rsidR="724BCBB0" w:rsidRPr="001A0890">
              <w:rPr>
                <w:rFonts w:cs="Arial"/>
                <w:szCs w:val="20"/>
                <w:lang w:val="fr-CA"/>
              </w:rPr>
              <w:t>Stratégies de financement</w:t>
            </w:r>
          </w:p>
        </w:tc>
      </w:tr>
    </w:tbl>
    <w:p w14:paraId="51A7FB46" w14:textId="77777777" w:rsidR="00E26A6C" w:rsidRPr="001A0890" w:rsidRDefault="00E26A6C" w:rsidP="00E26A6C">
      <w:pPr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1A0890" w14:paraId="4E952369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5F7EED" w14:textId="77777777" w:rsidR="00E26A6C" w:rsidRPr="001A0890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1A0890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1A0890" w14:paraId="20990F14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A7C60C4" w14:textId="77777777" w:rsidR="00E26A6C" w:rsidRPr="001A0890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A0890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1A0890" w14:paraId="1126520E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19587" w14:textId="345D4A82" w:rsidR="00E26A6C" w:rsidRPr="001A0890" w:rsidRDefault="00E26A6C" w:rsidP="75B36EAA">
            <w:pPr>
              <w:rPr>
                <w:rFonts w:cs="Arial"/>
                <w:szCs w:val="20"/>
                <w:lang w:val="fr-CA"/>
              </w:rPr>
            </w:pPr>
          </w:p>
          <w:p w14:paraId="7B187D23" w14:textId="027BB869" w:rsidR="00E26A6C" w:rsidRPr="001A0890" w:rsidRDefault="3934F4BD" w:rsidP="75B36EAA">
            <w:pPr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Dans cette activité, tu auras l’opportunité de</w:t>
            </w:r>
            <w:r w:rsidR="55CC1AF4" w:rsidRPr="001A0890">
              <w:rPr>
                <w:color w:val="000000" w:themeColor="text1"/>
                <w:szCs w:val="20"/>
                <w:lang w:val="fr-CA"/>
              </w:rPr>
              <w:t xml:space="preserve"> découvrir les différentes sources de financement</w:t>
            </w:r>
            <w:r w:rsidR="01C16F1C" w:rsidRPr="001A0890">
              <w:rPr>
                <w:color w:val="000000" w:themeColor="text1"/>
                <w:szCs w:val="20"/>
                <w:lang w:val="fr-CA"/>
              </w:rPr>
              <w:t xml:space="preserve"> disponibles aux organisations afin d’établir un</w:t>
            </w:r>
            <w:r w:rsidR="0B52154B" w:rsidRPr="001A0890">
              <w:rPr>
                <w:color w:val="000000" w:themeColor="text1"/>
                <w:szCs w:val="20"/>
                <w:lang w:val="fr-CA"/>
              </w:rPr>
              <w:t>e stratégie financière gagnante</w:t>
            </w:r>
            <w:r w:rsidR="01C16F1C" w:rsidRPr="001A0890">
              <w:rPr>
                <w:color w:val="000000" w:themeColor="text1"/>
                <w:szCs w:val="20"/>
                <w:lang w:val="fr-CA"/>
              </w:rPr>
              <w:t xml:space="preserve">. </w:t>
            </w:r>
          </w:p>
          <w:p w14:paraId="2AE43DDF" w14:textId="4E26CA3F" w:rsidR="00E26A6C" w:rsidRPr="001A0890" w:rsidRDefault="3934F4BD" w:rsidP="00CF1430">
            <w:pPr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</w:p>
        </w:tc>
      </w:tr>
      <w:tr w:rsidR="00E26A6C" w:rsidRPr="001A0890" w14:paraId="13B5499B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626A5DA" w14:textId="77777777" w:rsidR="00E26A6C" w:rsidRPr="001A0890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A0890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1A0890" w14:paraId="140E95C8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65523B" w14:textId="143F4D68" w:rsidR="00E26A6C" w:rsidRPr="001A0890" w:rsidRDefault="00E26A6C" w:rsidP="75B36EAA">
            <w:pPr>
              <w:rPr>
                <w:rFonts w:cs="Arial"/>
                <w:szCs w:val="20"/>
                <w:lang w:val="fr-CA"/>
              </w:rPr>
            </w:pPr>
          </w:p>
          <w:p w14:paraId="5C570AAB" w14:textId="4BB841B7" w:rsidR="4CE6B865" w:rsidRPr="001A0890" w:rsidRDefault="4CE6B865" w:rsidP="77D3F659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Il existe différentes formes juridiques que peut prendre une entreprise sociale</w:t>
            </w:r>
            <w:r w:rsidR="4C814248" w:rsidRPr="001A0890">
              <w:rPr>
                <w:color w:val="000000" w:themeColor="text1"/>
                <w:szCs w:val="20"/>
                <w:lang w:val="fr-CA"/>
              </w:rPr>
              <w:t xml:space="preserve"> : </w:t>
            </w:r>
          </w:p>
          <w:p w14:paraId="28617F78" w14:textId="16DA8751" w:rsidR="54321A6A" w:rsidRPr="001A0890" w:rsidRDefault="54321A6A" w:rsidP="77D3F659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Organisme de bienfaisance</w:t>
            </w:r>
          </w:p>
          <w:p w14:paraId="3812A93B" w14:textId="6F5E6324" w:rsidR="54321A6A" w:rsidRPr="001A0890" w:rsidRDefault="54321A6A" w:rsidP="77D3F659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Organis</w:t>
            </w:r>
            <w:r w:rsidR="00344C32">
              <w:rPr>
                <w:color w:val="000000" w:themeColor="text1"/>
                <w:szCs w:val="20"/>
                <w:lang w:val="fr-CA"/>
              </w:rPr>
              <w:t>me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 à but non lucratif (OBNL)</w:t>
            </w:r>
          </w:p>
          <w:p w14:paraId="2502B187" w14:textId="241726A9" w:rsidR="21C1E9BC" w:rsidRPr="001A0890" w:rsidRDefault="21C1E9BC" w:rsidP="77D3F659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Coopérative </w:t>
            </w:r>
          </w:p>
          <w:p w14:paraId="26DB9292" w14:textId="126866F5" w:rsidR="21C1E9BC" w:rsidRPr="001A0890" w:rsidRDefault="21C1E9BC" w:rsidP="77D3F659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Entreprise hybride</w:t>
            </w:r>
          </w:p>
          <w:p w14:paraId="0EC2DE96" w14:textId="3B4A1792" w:rsidR="2D7A9635" w:rsidRPr="001A0890" w:rsidRDefault="2D7A9635" w:rsidP="77D3F659">
            <w:pPr>
              <w:pStyle w:val="Paragraphedeliste"/>
              <w:numPr>
                <w:ilvl w:val="0"/>
                <w:numId w:val="13"/>
              </w:num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Entreprise commerciale à propriétaires uniques ou multiples</w:t>
            </w:r>
          </w:p>
          <w:p w14:paraId="478B92F6" w14:textId="1E899ACF" w:rsidR="00E26A6C" w:rsidRPr="001A0890" w:rsidRDefault="13EC53E4" w:rsidP="77D3F659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Une entreprise à caractère social, tout comme une entreprise lucrative, aurait quatre phases qui résume</w:t>
            </w:r>
            <w:r w:rsidR="5750E11F" w:rsidRPr="001A0890">
              <w:rPr>
                <w:color w:val="000000" w:themeColor="text1"/>
                <w:szCs w:val="20"/>
                <w:lang w:val="fr-CA"/>
              </w:rPr>
              <w:t>rai</w:t>
            </w:r>
            <w:r w:rsidR="001A0890">
              <w:rPr>
                <w:color w:val="000000" w:themeColor="text1"/>
                <w:szCs w:val="20"/>
                <w:lang w:val="fr-CA"/>
              </w:rPr>
              <w:t>en</w:t>
            </w:r>
            <w:r w:rsidR="5750E11F" w:rsidRPr="001A0890">
              <w:rPr>
                <w:color w:val="000000" w:themeColor="text1"/>
                <w:szCs w:val="20"/>
                <w:lang w:val="fr-CA"/>
              </w:rPr>
              <w:t>t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 son</w:t>
            </w:r>
            <w:r w:rsidR="2A247E31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existence : </w:t>
            </w:r>
          </w:p>
          <w:p w14:paraId="04D419D5" w14:textId="14DD657E" w:rsidR="00E26A6C" w:rsidRPr="001A0890" w:rsidRDefault="2E8607D6" w:rsidP="75B36EAA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1- </w:t>
            </w:r>
            <w:r w:rsidR="75BE9D04" w:rsidRPr="001A0890">
              <w:rPr>
                <w:color w:val="000000" w:themeColor="text1"/>
                <w:szCs w:val="20"/>
                <w:lang w:val="fr-CA"/>
              </w:rPr>
              <w:t>Le d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émarrage </w:t>
            </w:r>
          </w:p>
          <w:p w14:paraId="5F1D867D" w14:textId="70FFF366" w:rsidR="00E26A6C" w:rsidRPr="001A0890" w:rsidRDefault="2E8607D6" w:rsidP="75B36EAA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2- </w:t>
            </w:r>
            <w:r w:rsidR="05E8A559" w:rsidRPr="001A0890">
              <w:rPr>
                <w:color w:val="000000" w:themeColor="text1"/>
                <w:szCs w:val="20"/>
                <w:lang w:val="fr-CA"/>
              </w:rPr>
              <w:t>La c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roissance </w:t>
            </w:r>
          </w:p>
          <w:p w14:paraId="4DBCA580" w14:textId="277781D6" w:rsidR="00E26A6C" w:rsidRPr="001A0890" w:rsidRDefault="2E8607D6" w:rsidP="75B36EAA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3- </w:t>
            </w:r>
            <w:r w:rsidR="7BA831A4" w:rsidRPr="001A0890">
              <w:rPr>
                <w:color w:val="000000" w:themeColor="text1"/>
                <w:szCs w:val="20"/>
                <w:lang w:val="fr-CA"/>
              </w:rPr>
              <w:t>La m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aturité </w:t>
            </w:r>
          </w:p>
          <w:p w14:paraId="48CC1955" w14:textId="3DB3412C" w:rsidR="00E26A6C" w:rsidRPr="001A0890" w:rsidRDefault="13EC53E4" w:rsidP="75B36EAA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4- </w:t>
            </w:r>
            <w:r w:rsidR="7F87C122" w:rsidRPr="001A0890">
              <w:rPr>
                <w:color w:val="000000" w:themeColor="text1"/>
                <w:szCs w:val="20"/>
                <w:lang w:val="fr-CA"/>
              </w:rPr>
              <w:t>Le d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éclin </w:t>
            </w:r>
            <w:r w:rsidR="6F6959D3" w:rsidRPr="001A0890">
              <w:rPr>
                <w:color w:val="000000" w:themeColor="text1"/>
                <w:szCs w:val="20"/>
                <w:lang w:val="fr-CA"/>
              </w:rPr>
              <w:t xml:space="preserve">(ex. </w:t>
            </w:r>
            <w:r w:rsidR="54E3819E" w:rsidRPr="001A0890">
              <w:rPr>
                <w:color w:val="000000" w:themeColor="text1"/>
                <w:szCs w:val="20"/>
                <w:lang w:val="fr-CA"/>
              </w:rPr>
              <w:t>Résultats financiers défavorables ou f</w:t>
            </w:r>
            <w:r w:rsidR="6F6959D3" w:rsidRPr="001A0890">
              <w:rPr>
                <w:color w:val="000000" w:themeColor="text1"/>
                <w:szCs w:val="20"/>
                <w:lang w:val="fr-CA"/>
              </w:rPr>
              <w:t xml:space="preserve">aillite) 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ou </w:t>
            </w:r>
            <w:r w:rsidR="2FEBD272" w:rsidRPr="001A0890">
              <w:rPr>
                <w:color w:val="000000" w:themeColor="text1"/>
                <w:szCs w:val="20"/>
                <w:lang w:val="fr-CA"/>
              </w:rPr>
              <w:t xml:space="preserve">la </w:t>
            </w:r>
            <w:r w:rsidRPr="001A0890">
              <w:rPr>
                <w:color w:val="000000" w:themeColor="text1"/>
                <w:szCs w:val="20"/>
                <w:lang w:val="fr-CA"/>
              </w:rPr>
              <w:t>solution de sortie</w:t>
            </w:r>
            <w:r w:rsidR="35AF9EDE" w:rsidRPr="001A0890">
              <w:rPr>
                <w:color w:val="000000" w:themeColor="text1"/>
                <w:szCs w:val="20"/>
                <w:lang w:val="fr-CA"/>
              </w:rPr>
              <w:t xml:space="preserve"> (</w:t>
            </w:r>
            <w:r w:rsidR="7909F714" w:rsidRPr="001A0890">
              <w:rPr>
                <w:color w:val="000000" w:themeColor="text1"/>
                <w:szCs w:val="20"/>
                <w:lang w:val="fr-CA"/>
              </w:rPr>
              <w:t>e</w:t>
            </w:r>
            <w:r w:rsidR="184BC284" w:rsidRPr="001A0890">
              <w:rPr>
                <w:color w:val="000000" w:themeColor="text1"/>
                <w:szCs w:val="20"/>
                <w:lang w:val="fr-CA"/>
              </w:rPr>
              <w:t>x.</w:t>
            </w:r>
            <w:r w:rsidR="35AF9EDE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4822CF48" w:rsidRPr="001A0890">
              <w:rPr>
                <w:color w:val="000000" w:themeColor="text1"/>
                <w:szCs w:val="20"/>
                <w:lang w:val="fr-CA"/>
              </w:rPr>
              <w:t>V</w:t>
            </w:r>
            <w:r w:rsidR="35AF9EDE" w:rsidRPr="001A0890">
              <w:rPr>
                <w:color w:val="000000" w:themeColor="text1"/>
                <w:szCs w:val="20"/>
                <w:lang w:val="fr-CA"/>
              </w:rPr>
              <w:t>endre l’entreprise</w:t>
            </w:r>
            <w:r w:rsidR="1336698C" w:rsidRPr="001A0890">
              <w:rPr>
                <w:color w:val="000000" w:themeColor="text1"/>
                <w:szCs w:val="20"/>
                <w:lang w:val="fr-CA"/>
              </w:rPr>
              <w:t xml:space="preserve"> ou</w:t>
            </w:r>
            <w:r w:rsidR="35AF9EDE" w:rsidRPr="001A0890">
              <w:rPr>
                <w:color w:val="000000" w:themeColor="text1"/>
                <w:szCs w:val="20"/>
                <w:lang w:val="fr-CA"/>
              </w:rPr>
              <w:t xml:space="preserve"> fusion</w:t>
            </w:r>
            <w:r w:rsidR="5FA37A4C" w:rsidRPr="001A0890">
              <w:rPr>
                <w:color w:val="000000" w:themeColor="text1"/>
                <w:szCs w:val="20"/>
                <w:lang w:val="fr-CA"/>
              </w:rPr>
              <w:t>ner</w:t>
            </w:r>
            <w:r w:rsidR="35AF9EDE" w:rsidRPr="001A0890">
              <w:rPr>
                <w:color w:val="000000" w:themeColor="text1"/>
                <w:szCs w:val="20"/>
                <w:lang w:val="fr-CA"/>
              </w:rPr>
              <w:t xml:space="preserve"> avec une autre</w:t>
            </w:r>
            <w:r w:rsidR="247A71BB" w:rsidRPr="001A0890">
              <w:rPr>
                <w:color w:val="000000" w:themeColor="text1"/>
                <w:szCs w:val="20"/>
                <w:lang w:val="fr-CA"/>
              </w:rPr>
              <w:t>)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</w:p>
          <w:p w14:paraId="7DAABE34" w14:textId="3783F8C1" w:rsidR="71AEA28A" w:rsidRPr="001A0890" w:rsidRDefault="1F8D0373" w:rsidP="71AEA28A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Pour chacune de ces phases</w:t>
            </w:r>
            <w:r w:rsidR="3655AD36" w:rsidRPr="001A0890">
              <w:rPr>
                <w:color w:val="000000" w:themeColor="text1"/>
                <w:szCs w:val="20"/>
                <w:lang w:val="fr-CA"/>
              </w:rPr>
              <w:t xml:space="preserve"> d’existence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, les besoins </w:t>
            </w:r>
            <w:r w:rsidR="07ED2E75" w:rsidRPr="001A0890">
              <w:rPr>
                <w:color w:val="000000" w:themeColor="text1"/>
                <w:szCs w:val="20"/>
                <w:lang w:val="fr-CA"/>
              </w:rPr>
              <w:t xml:space="preserve">et les sources </w:t>
            </w:r>
            <w:r w:rsidRPr="001A0890">
              <w:rPr>
                <w:color w:val="000000" w:themeColor="text1"/>
                <w:szCs w:val="20"/>
                <w:lang w:val="fr-CA"/>
              </w:rPr>
              <w:t>en financement diffèrent</w:t>
            </w:r>
            <w:r w:rsidR="2858F4E8" w:rsidRPr="001A0890">
              <w:rPr>
                <w:color w:val="000000" w:themeColor="text1"/>
                <w:szCs w:val="20"/>
                <w:lang w:val="fr-CA"/>
              </w:rPr>
              <w:t xml:space="preserve">. Aussi, les </w:t>
            </w:r>
            <w:r w:rsidR="476B5C63" w:rsidRPr="001A0890">
              <w:rPr>
                <w:color w:val="000000" w:themeColor="text1"/>
                <w:szCs w:val="20"/>
                <w:lang w:val="fr-CA"/>
              </w:rPr>
              <w:t xml:space="preserve">diverses </w:t>
            </w:r>
            <w:r w:rsidR="2858F4E8" w:rsidRPr="001A0890">
              <w:rPr>
                <w:color w:val="000000" w:themeColor="text1"/>
                <w:szCs w:val="20"/>
                <w:lang w:val="fr-CA"/>
              </w:rPr>
              <w:t>sources de financement</w:t>
            </w:r>
            <w:r w:rsidR="2E88C793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2858F4E8" w:rsidRPr="001A0890">
              <w:rPr>
                <w:color w:val="000000" w:themeColor="text1"/>
                <w:szCs w:val="20"/>
                <w:lang w:val="fr-CA"/>
              </w:rPr>
              <w:t xml:space="preserve">donneraient des fonds </w:t>
            </w:r>
            <w:r w:rsidR="272015D3" w:rsidRPr="001A0890">
              <w:rPr>
                <w:color w:val="000000" w:themeColor="text1"/>
                <w:szCs w:val="20"/>
                <w:lang w:val="fr-CA"/>
              </w:rPr>
              <w:t xml:space="preserve">facilement ou </w:t>
            </w:r>
            <w:r w:rsidR="72BED0A0" w:rsidRPr="001A0890">
              <w:rPr>
                <w:color w:val="000000" w:themeColor="text1"/>
                <w:szCs w:val="20"/>
                <w:lang w:val="fr-CA"/>
              </w:rPr>
              <w:t xml:space="preserve">difficilement </w:t>
            </w:r>
            <w:r w:rsidR="6560D263" w:rsidRPr="001A0890">
              <w:rPr>
                <w:color w:val="000000" w:themeColor="text1"/>
                <w:szCs w:val="20"/>
                <w:lang w:val="fr-CA"/>
              </w:rPr>
              <w:t xml:space="preserve">aux organisations </w:t>
            </w:r>
            <w:r w:rsidR="72BED0A0" w:rsidRPr="001A0890">
              <w:rPr>
                <w:color w:val="000000" w:themeColor="text1"/>
                <w:szCs w:val="20"/>
                <w:lang w:val="fr-CA"/>
              </w:rPr>
              <w:t>selon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6D5EEBDB" w:rsidRPr="001A0890">
              <w:rPr>
                <w:color w:val="000000" w:themeColor="text1"/>
                <w:szCs w:val="20"/>
                <w:lang w:val="fr-CA"/>
              </w:rPr>
              <w:t>s</w:t>
            </w:r>
            <w:r w:rsidR="4497A17E" w:rsidRPr="001A0890">
              <w:rPr>
                <w:color w:val="000000" w:themeColor="text1"/>
                <w:szCs w:val="20"/>
                <w:lang w:val="fr-CA"/>
              </w:rPr>
              <w:t>a structure légale</w:t>
            </w:r>
            <w:r w:rsidR="00B334BE" w:rsidRPr="001A0890">
              <w:rPr>
                <w:color w:val="000000" w:themeColor="text1"/>
                <w:szCs w:val="20"/>
                <w:lang w:val="fr-CA"/>
              </w:rPr>
              <w:t>, selon s</w:t>
            </w:r>
            <w:r w:rsidR="285A7222" w:rsidRPr="001A0890">
              <w:rPr>
                <w:color w:val="000000" w:themeColor="text1"/>
                <w:szCs w:val="20"/>
                <w:lang w:val="fr-CA"/>
              </w:rPr>
              <w:t xml:space="preserve">es résultats financiers </w:t>
            </w:r>
            <w:r w:rsidR="0509D38B" w:rsidRPr="001A0890">
              <w:rPr>
                <w:color w:val="000000" w:themeColor="text1"/>
                <w:szCs w:val="20"/>
                <w:lang w:val="fr-CA"/>
              </w:rPr>
              <w:t>et selon son industrie</w:t>
            </w:r>
            <w:r w:rsidR="2DC7D826" w:rsidRPr="001A0890">
              <w:rPr>
                <w:color w:val="000000" w:themeColor="text1"/>
                <w:szCs w:val="20"/>
                <w:lang w:val="fr-CA"/>
              </w:rPr>
              <w:t xml:space="preserve"> parmi d’autres facteurs possibles</w:t>
            </w:r>
            <w:r w:rsidR="6D5EEBDB" w:rsidRPr="001A0890">
              <w:rPr>
                <w:color w:val="000000" w:themeColor="text1"/>
                <w:szCs w:val="20"/>
                <w:lang w:val="fr-CA"/>
              </w:rPr>
              <w:t>.</w:t>
            </w:r>
            <w:r w:rsidR="3499E14B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14CE0028" w:rsidRPr="001A0890">
              <w:rPr>
                <w:color w:val="000000" w:themeColor="text1"/>
                <w:szCs w:val="20"/>
                <w:lang w:val="fr-CA"/>
              </w:rPr>
              <w:t>Les sources de financement se décrive</w:t>
            </w:r>
            <w:r w:rsidR="4E568417" w:rsidRPr="001A0890">
              <w:rPr>
                <w:color w:val="000000" w:themeColor="text1"/>
                <w:szCs w:val="20"/>
                <w:lang w:val="fr-CA"/>
              </w:rPr>
              <w:t>nt</w:t>
            </w:r>
            <w:r w:rsidR="14CE0028" w:rsidRPr="001A0890">
              <w:rPr>
                <w:color w:val="000000" w:themeColor="text1"/>
                <w:szCs w:val="20"/>
                <w:lang w:val="fr-CA"/>
              </w:rPr>
              <w:t xml:space="preserve"> comme suit : </w:t>
            </w:r>
          </w:p>
          <w:p w14:paraId="0D620E71" w14:textId="30F469F1" w:rsidR="71AEA28A" w:rsidRPr="001A0890" w:rsidRDefault="382E606D" w:rsidP="71AEA28A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contextualSpacing w:val="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Propre argent</w:t>
            </w:r>
            <w:r w:rsidR="309F735A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1903343D" w:rsidRPr="001A0890">
              <w:rPr>
                <w:color w:val="000000" w:themeColor="text1"/>
                <w:szCs w:val="20"/>
                <w:lang w:val="fr-CA"/>
              </w:rPr>
              <w:t xml:space="preserve">: </w:t>
            </w:r>
            <w:r w:rsidR="69CEEE6E" w:rsidRPr="001A0890">
              <w:rPr>
                <w:color w:val="000000" w:themeColor="text1"/>
                <w:szCs w:val="20"/>
                <w:lang w:val="fr-CA"/>
              </w:rPr>
              <w:t>Les fondateurs de</w:t>
            </w:r>
            <w:r w:rsidR="739F0E1D" w:rsidRPr="001A0890">
              <w:rPr>
                <w:color w:val="000000" w:themeColor="text1"/>
                <w:szCs w:val="20"/>
                <w:lang w:val="fr-CA"/>
              </w:rPr>
              <w:t xml:space="preserve"> différentes</w:t>
            </w:r>
            <w:r w:rsidR="69CEEE6E" w:rsidRPr="001A0890">
              <w:rPr>
                <w:color w:val="000000" w:themeColor="text1"/>
                <w:szCs w:val="20"/>
                <w:lang w:val="fr-CA"/>
              </w:rPr>
              <w:t xml:space="preserve"> organisations </w:t>
            </w:r>
            <w:r w:rsidR="29D4F77D" w:rsidRPr="001A0890">
              <w:rPr>
                <w:color w:val="000000" w:themeColor="text1"/>
                <w:szCs w:val="20"/>
                <w:lang w:val="fr-CA"/>
              </w:rPr>
              <w:t xml:space="preserve">font souvent recours aux fonds qu’ils </w:t>
            </w:r>
            <w:r w:rsidR="00344C32">
              <w:rPr>
                <w:color w:val="000000" w:themeColor="text1"/>
                <w:szCs w:val="20"/>
                <w:lang w:val="fr-CA"/>
              </w:rPr>
              <w:t>o</w:t>
            </w:r>
            <w:r w:rsidR="29D4F77D" w:rsidRPr="001A0890">
              <w:rPr>
                <w:color w:val="000000" w:themeColor="text1"/>
                <w:szCs w:val="20"/>
                <w:lang w:val="fr-CA"/>
              </w:rPr>
              <w:t>nt épargné à titre personnel</w:t>
            </w:r>
            <w:r w:rsidR="47A1801C" w:rsidRPr="001A0890">
              <w:rPr>
                <w:color w:val="000000" w:themeColor="text1"/>
                <w:szCs w:val="20"/>
                <w:lang w:val="fr-CA"/>
              </w:rPr>
              <w:t xml:space="preserve"> dans le but de démarrer ou de croître les activités de leur entreprise.</w:t>
            </w:r>
            <w:r w:rsidR="20F751DE" w:rsidRPr="001A0890">
              <w:rPr>
                <w:color w:val="000000" w:themeColor="text1"/>
                <w:szCs w:val="20"/>
                <w:lang w:val="fr-CA"/>
              </w:rPr>
              <w:t xml:space="preserve"> C’est l’une des sources de financement les plus communes</w:t>
            </w:r>
            <w:r w:rsidR="500D3D20" w:rsidRPr="001A0890">
              <w:rPr>
                <w:color w:val="000000" w:themeColor="text1"/>
                <w:szCs w:val="20"/>
                <w:lang w:val="fr-CA"/>
              </w:rPr>
              <w:t>.</w:t>
            </w:r>
          </w:p>
          <w:p w14:paraId="487F7BD6" w14:textId="15B2D814" w:rsidR="00E26A6C" w:rsidRPr="001A0890" w:rsidRDefault="007667D5" w:rsidP="71AEA28A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contextualSpacing w:val="0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Argent donné par v</w:t>
            </w:r>
            <w:r w:rsidR="382E606D" w:rsidRPr="001A0890">
              <w:rPr>
                <w:color w:val="000000" w:themeColor="text1"/>
                <w:szCs w:val="20"/>
                <w:lang w:val="fr-CA"/>
              </w:rPr>
              <w:t>os proches</w:t>
            </w:r>
            <w:r w:rsidR="15A42FDB" w:rsidRPr="001A0890">
              <w:rPr>
                <w:color w:val="000000" w:themeColor="text1"/>
                <w:szCs w:val="20"/>
                <w:lang w:val="fr-CA"/>
              </w:rPr>
              <w:t xml:space="preserve"> (appelé </w:t>
            </w:r>
            <w:r w:rsidR="0082039B" w:rsidRPr="001A0890">
              <w:rPr>
                <w:color w:val="000000" w:themeColor="text1"/>
                <w:szCs w:val="20"/>
                <w:lang w:val="fr-CA"/>
              </w:rPr>
              <w:t>« </w:t>
            </w:r>
            <w:r w:rsidR="15A42FDB" w:rsidRPr="001A0890">
              <w:rPr>
                <w:color w:val="000000" w:themeColor="text1"/>
                <w:szCs w:val="20"/>
                <w:lang w:val="fr-CA"/>
              </w:rPr>
              <w:t>love money</w:t>
            </w:r>
            <w:r w:rsidR="0082039B" w:rsidRPr="001A0890">
              <w:rPr>
                <w:color w:val="000000" w:themeColor="text1"/>
                <w:szCs w:val="20"/>
                <w:lang w:val="fr-CA"/>
              </w:rPr>
              <w:t> »</w:t>
            </w:r>
            <w:r w:rsidR="15A42FDB" w:rsidRPr="001A0890">
              <w:rPr>
                <w:color w:val="000000" w:themeColor="text1"/>
                <w:szCs w:val="20"/>
                <w:lang w:val="fr-CA"/>
              </w:rPr>
              <w:t xml:space="preserve"> en anglais)</w:t>
            </w:r>
            <w:r w:rsidR="6034B132" w:rsidRPr="001A0890">
              <w:rPr>
                <w:color w:val="000000" w:themeColor="text1"/>
                <w:szCs w:val="20"/>
                <w:lang w:val="fr-CA"/>
              </w:rPr>
              <w:t xml:space="preserve"> : </w:t>
            </w:r>
            <w:r w:rsidR="6B41ACC3" w:rsidRPr="001A0890">
              <w:rPr>
                <w:color w:val="000000" w:themeColor="text1"/>
                <w:szCs w:val="20"/>
                <w:lang w:val="fr-CA"/>
              </w:rPr>
              <w:t>Souvent, les proches</w:t>
            </w:r>
            <w:r w:rsidR="08D7C18B" w:rsidRPr="001A0890">
              <w:rPr>
                <w:color w:val="000000" w:themeColor="text1"/>
                <w:szCs w:val="20"/>
                <w:lang w:val="fr-CA"/>
              </w:rPr>
              <w:t xml:space="preserve"> des fondateurs d’une entreprise sont nos premiers investisseurs et nos premiers clients.</w:t>
            </w:r>
            <w:r w:rsidR="1620172E" w:rsidRPr="001A0890">
              <w:rPr>
                <w:color w:val="000000" w:themeColor="text1"/>
                <w:szCs w:val="20"/>
                <w:lang w:val="fr-CA"/>
              </w:rPr>
              <w:t xml:space="preserve"> Conjoint(e), enfants, parents, tantes, oncles, cousins, etc.</w:t>
            </w:r>
          </w:p>
          <w:p w14:paraId="17FBA8B6" w14:textId="6FB1ECDE" w:rsidR="71AEA28A" w:rsidRPr="001A0890" w:rsidRDefault="343D780E" w:rsidP="71AEA28A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contextualSpacing w:val="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spellStart"/>
            <w:r w:rsidRPr="001A0890">
              <w:rPr>
                <w:color w:val="000000" w:themeColor="text1"/>
                <w:szCs w:val="20"/>
                <w:lang w:val="fr-CA"/>
              </w:rPr>
              <w:lastRenderedPageBreak/>
              <w:t>Bootstrapping</w:t>
            </w:r>
            <w:proofErr w:type="spellEnd"/>
            <w:r w:rsidR="361D7310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68BC5C90" w:rsidRPr="001A0890">
              <w:rPr>
                <w:color w:val="000000" w:themeColor="text1"/>
                <w:szCs w:val="20"/>
                <w:lang w:val="fr-CA"/>
              </w:rPr>
              <w:t xml:space="preserve">(connu récemment en français sous le terme </w:t>
            </w:r>
            <w:r w:rsidR="0082039B" w:rsidRPr="001A0890">
              <w:rPr>
                <w:color w:val="000000" w:themeColor="text1"/>
                <w:szCs w:val="20"/>
                <w:lang w:val="fr-CA"/>
              </w:rPr>
              <w:t>« </w:t>
            </w:r>
            <w:r w:rsidR="68BC5C90" w:rsidRPr="001A0890">
              <w:rPr>
                <w:color w:val="000000" w:themeColor="text1"/>
                <w:szCs w:val="20"/>
                <w:lang w:val="fr-CA"/>
              </w:rPr>
              <w:t>amorçage</w:t>
            </w:r>
            <w:r w:rsidR="0082039B" w:rsidRPr="001A0890">
              <w:rPr>
                <w:color w:val="000000" w:themeColor="text1"/>
                <w:szCs w:val="20"/>
                <w:lang w:val="fr-CA"/>
              </w:rPr>
              <w:t> »</w:t>
            </w:r>
            <w:r w:rsidR="68BC5C90" w:rsidRPr="001A0890">
              <w:rPr>
                <w:color w:val="000000" w:themeColor="text1"/>
                <w:szCs w:val="20"/>
                <w:lang w:val="fr-CA"/>
              </w:rPr>
              <w:t xml:space="preserve">) </w:t>
            </w:r>
            <w:r w:rsidR="4CD80504" w:rsidRPr="001A0890">
              <w:rPr>
                <w:color w:val="000000" w:themeColor="text1"/>
                <w:szCs w:val="20"/>
                <w:lang w:val="fr-CA"/>
              </w:rPr>
              <w:t xml:space="preserve">: </w:t>
            </w:r>
            <w:r w:rsidR="5FA533C7" w:rsidRPr="001A0890">
              <w:rPr>
                <w:color w:val="000000" w:themeColor="text1"/>
                <w:szCs w:val="20"/>
                <w:lang w:val="fr-CA"/>
              </w:rPr>
              <w:t xml:space="preserve">Cette </w:t>
            </w:r>
            <w:r w:rsidR="05D0E263" w:rsidRPr="001A0890">
              <w:rPr>
                <w:color w:val="000000" w:themeColor="text1"/>
                <w:szCs w:val="20"/>
                <w:lang w:val="fr-CA"/>
              </w:rPr>
              <w:t xml:space="preserve">méthode fait appel au génie des créateurs d’une entreprise </w:t>
            </w:r>
            <w:r w:rsidR="4558998C" w:rsidRPr="001A0890">
              <w:rPr>
                <w:color w:val="000000" w:themeColor="text1"/>
                <w:szCs w:val="20"/>
                <w:lang w:val="fr-CA"/>
              </w:rPr>
              <w:t>avec</w:t>
            </w:r>
            <w:r w:rsidR="05D0E263" w:rsidRPr="001A0890">
              <w:rPr>
                <w:color w:val="000000" w:themeColor="text1"/>
                <w:szCs w:val="20"/>
                <w:lang w:val="fr-CA"/>
              </w:rPr>
              <w:t xml:space="preserve"> des </w:t>
            </w:r>
            <w:r w:rsidR="525F4738" w:rsidRPr="001A0890">
              <w:rPr>
                <w:color w:val="000000" w:themeColor="text1"/>
                <w:szCs w:val="20"/>
                <w:lang w:val="fr-CA"/>
              </w:rPr>
              <w:t xml:space="preserve">méthodes </w:t>
            </w:r>
            <w:r w:rsidR="05D0E263" w:rsidRPr="001A0890">
              <w:rPr>
                <w:color w:val="000000" w:themeColor="text1"/>
                <w:szCs w:val="20"/>
                <w:lang w:val="fr-CA"/>
              </w:rPr>
              <w:t xml:space="preserve">innovatrices </w:t>
            </w:r>
            <w:r w:rsidR="59BD2C4D" w:rsidRPr="001A0890">
              <w:rPr>
                <w:color w:val="000000" w:themeColor="text1"/>
                <w:szCs w:val="20"/>
                <w:lang w:val="fr-CA"/>
              </w:rPr>
              <w:t xml:space="preserve">et inhabituelles </w:t>
            </w:r>
            <w:r w:rsidR="367B6AE1" w:rsidRPr="001A0890">
              <w:rPr>
                <w:color w:val="000000" w:themeColor="text1"/>
                <w:szCs w:val="20"/>
                <w:lang w:val="fr-CA"/>
              </w:rPr>
              <w:t xml:space="preserve">dans le but de trouver les fonds nécessaires au bon fonctionnement d’une </w:t>
            </w:r>
            <w:r w:rsidR="66F921BF" w:rsidRPr="001A0890">
              <w:rPr>
                <w:color w:val="000000" w:themeColor="text1"/>
                <w:szCs w:val="20"/>
                <w:lang w:val="fr-CA"/>
              </w:rPr>
              <w:t xml:space="preserve">organisation. </w:t>
            </w:r>
            <w:r w:rsidR="369ACF98" w:rsidRPr="001A0890">
              <w:rPr>
                <w:color w:val="000000" w:themeColor="text1"/>
                <w:szCs w:val="20"/>
                <w:lang w:val="fr-CA"/>
              </w:rPr>
              <w:t>On peut nommer comme exemples</w:t>
            </w:r>
            <w:r w:rsidR="66F921BF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2A5B93BF" w:rsidRPr="001A0890">
              <w:rPr>
                <w:color w:val="000000" w:themeColor="text1"/>
                <w:szCs w:val="20"/>
                <w:lang w:val="fr-CA"/>
              </w:rPr>
              <w:t>parmi d’autres la génération de revenus venant de sources</w:t>
            </w:r>
            <w:r w:rsidR="7D77119A" w:rsidRPr="001A0890">
              <w:rPr>
                <w:color w:val="000000" w:themeColor="text1"/>
                <w:szCs w:val="20"/>
                <w:lang w:val="fr-CA"/>
              </w:rPr>
              <w:t xml:space="preserve"> variées</w:t>
            </w:r>
            <w:r w:rsidR="2A5B93BF" w:rsidRPr="001A0890">
              <w:rPr>
                <w:color w:val="000000" w:themeColor="text1"/>
                <w:szCs w:val="20"/>
                <w:lang w:val="fr-CA"/>
              </w:rPr>
              <w:t xml:space="preserve">, </w:t>
            </w:r>
            <w:r w:rsidR="38B61D95" w:rsidRPr="001A0890">
              <w:rPr>
                <w:color w:val="000000" w:themeColor="text1"/>
                <w:szCs w:val="20"/>
                <w:lang w:val="fr-CA"/>
              </w:rPr>
              <w:t xml:space="preserve">la négociation de rabais à l’achat, l’usage des médias sociaux pour </w:t>
            </w:r>
            <w:r w:rsidR="3A174E0B" w:rsidRPr="001A0890">
              <w:rPr>
                <w:color w:val="000000" w:themeColor="text1"/>
                <w:szCs w:val="20"/>
                <w:lang w:val="fr-CA"/>
              </w:rPr>
              <w:t xml:space="preserve">recevoir des fonds </w:t>
            </w:r>
            <w:r w:rsidR="6716739B" w:rsidRPr="001A0890">
              <w:rPr>
                <w:color w:val="000000" w:themeColor="text1"/>
                <w:szCs w:val="20"/>
                <w:lang w:val="fr-CA"/>
              </w:rPr>
              <w:t xml:space="preserve">grâce aux rémunérations </w:t>
            </w:r>
            <w:r w:rsidR="0AF02FA8" w:rsidRPr="001A0890">
              <w:rPr>
                <w:color w:val="000000" w:themeColor="text1"/>
                <w:szCs w:val="20"/>
                <w:lang w:val="fr-CA"/>
              </w:rPr>
              <w:t>d</w:t>
            </w:r>
            <w:r w:rsidR="6716739B" w:rsidRPr="001A0890">
              <w:rPr>
                <w:color w:val="000000" w:themeColor="text1"/>
                <w:szCs w:val="20"/>
                <w:lang w:val="fr-CA"/>
              </w:rPr>
              <w:t>es publicités sur le contenu diffusé,</w:t>
            </w:r>
            <w:r w:rsidR="38B61D95" w:rsidRPr="001A0890">
              <w:rPr>
                <w:color w:val="000000" w:themeColor="text1"/>
                <w:szCs w:val="20"/>
                <w:lang w:val="fr-CA"/>
              </w:rPr>
              <w:t xml:space="preserve"> l’approvisionnement social, </w:t>
            </w:r>
            <w:r w:rsidR="66F921BF" w:rsidRPr="001A0890">
              <w:rPr>
                <w:color w:val="000000" w:themeColor="text1"/>
                <w:szCs w:val="20"/>
                <w:lang w:val="fr-CA"/>
              </w:rPr>
              <w:t>la prévente de produits avant leur disponibilité</w:t>
            </w:r>
            <w:r w:rsidR="285DECA9" w:rsidRPr="001A0890">
              <w:rPr>
                <w:color w:val="000000" w:themeColor="text1"/>
                <w:szCs w:val="20"/>
                <w:lang w:val="fr-CA"/>
              </w:rPr>
              <w:t xml:space="preserve"> ou leur production</w:t>
            </w:r>
            <w:r w:rsidR="5A73B317" w:rsidRPr="001A0890">
              <w:rPr>
                <w:color w:val="000000" w:themeColor="text1"/>
                <w:szCs w:val="20"/>
                <w:lang w:val="fr-CA"/>
              </w:rPr>
              <w:t xml:space="preserve"> et</w:t>
            </w:r>
            <w:r w:rsidR="66F921BF" w:rsidRPr="001A0890">
              <w:rPr>
                <w:color w:val="000000" w:themeColor="text1"/>
                <w:szCs w:val="20"/>
                <w:lang w:val="fr-CA"/>
              </w:rPr>
              <w:t xml:space="preserve"> le développement de terrains </w:t>
            </w:r>
            <w:r w:rsidR="464B9458" w:rsidRPr="001A0890">
              <w:rPr>
                <w:color w:val="000000" w:themeColor="text1"/>
                <w:szCs w:val="20"/>
                <w:lang w:val="fr-CA"/>
              </w:rPr>
              <w:t xml:space="preserve">immobiliers </w:t>
            </w:r>
            <w:r w:rsidR="66F921BF" w:rsidRPr="001A0890">
              <w:rPr>
                <w:color w:val="000000" w:themeColor="text1"/>
                <w:szCs w:val="20"/>
                <w:lang w:val="fr-CA"/>
              </w:rPr>
              <w:t>en parallèle à l’activité</w:t>
            </w:r>
            <w:r w:rsidR="1F4C50F0" w:rsidRPr="001A0890">
              <w:rPr>
                <w:color w:val="000000" w:themeColor="text1"/>
                <w:szCs w:val="20"/>
                <w:lang w:val="fr-CA"/>
              </w:rPr>
              <w:t xml:space="preserve"> principale</w:t>
            </w:r>
            <w:r w:rsidR="4A1CF132" w:rsidRPr="001A0890">
              <w:rPr>
                <w:color w:val="000000" w:themeColor="text1"/>
                <w:szCs w:val="20"/>
                <w:lang w:val="fr-CA"/>
              </w:rPr>
              <w:t xml:space="preserve"> de l’organisation.</w:t>
            </w:r>
          </w:p>
          <w:p w14:paraId="7D98D027" w14:textId="664B8488" w:rsidR="343D780E" w:rsidRPr="001A0890" w:rsidRDefault="343D780E" w:rsidP="77D3F659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Subventions</w:t>
            </w:r>
            <w:r w:rsidR="1D98B7F6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3243BE98" w:rsidRPr="001A0890">
              <w:rPr>
                <w:color w:val="000000" w:themeColor="text1"/>
                <w:szCs w:val="20"/>
                <w:lang w:val="fr-CA"/>
              </w:rPr>
              <w:t xml:space="preserve">: </w:t>
            </w:r>
          </w:p>
          <w:p w14:paraId="371DB821" w14:textId="472315C2" w:rsidR="17140DEF" w:rsidRPr="001A0890" w:rsidRDefault="17140DEF" w:rsidP="71AEA28A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* Au niveau fédéral au </w:t>
            </w:r>
            <w:r w:rsidR="1D98B7F6" w:rsidRPr="001A0890">
              <w:rPr>
                <w:color w:val="000000" w:themeColor="text1"/>
                <w:szCs w:val="20"/>
                <w:lang w:val="fr-CA"/>
              </w:rPr>
              <w:t xml:space="preserve">Canada : Ce lien du </w:t>
            </w:r>
            <w:hyperlink r:id="rId11" w:history="1">
              <w:r w:rsidR="1D98B7F6" w:rsidRPr="00BE7391">
                <w:rPr>
                  <w:rStyle w:val="Lienhypertexte"/>
                  <w:szCs w:val="20"/>
                  <w:lang w:val="fr-CA"/>
                </w:rPr>
                <w:t>Gouvernement du Canada</w:t>
              </w:r>
            </w:hyperlink>
            <w:r w:rsidR="1D98B7F6" w:rsidRPr="001A0890">
              <w:rPr>
                <w:color w:val="000000" w:themeColor="text1"/>
                <w:szCs w:val="20"/>
                <w:lang w:val="fr-CA"/>
              </w:rPr>
              <w:t xml:space="preserve"> résume toutes les sources fédérales de financement et de subvention pour les entreprises à but lucratif ou sans but lucratif.</w:t>
            </w:r>
          </w:p>
          <w:p w14:paraId="7AFC2FF9" w14:textId="02B46122" w:rsidR="23FF4E5A" w:rsidRPr="001A0890" w:rsidRDefault="23FF4E5A" w:rsidP="71AEA28A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* Au niveau provincial en </w:t>
            </w:r>
            <w:r w:rsidR="1D98B7F6" w:rsidRPr="001A0890">
              <w:rPr>
                <w:color w:val="000000" w:themeColor="text1"/>
                <w:szCs w:val="20"/>
                <w:lang w:val="fr-CA"/>
              </w:rPr>
              <w:t xml:space="preserve">Ontario : Cette ressource regroupe </w:t>
            </w:r>
            <w:hyperlink r:id="rId12" w:anchor="funding" w:history="1">
              <w:r w:rsidR="1D98B7F6" w:rsidRPr="00BE7391">
                <w:rPr>
                  <w:rStyle w:val="Lienhypertexte"/>
                  <w:szCs w:val="20"/>
                  <w:lang w:val="fr-CA"/>
                </w:rPr>
                <w:t>les aides financières disponibles aux entreprises en Ontario</w:t>
              </w:r>
            </w:hyperlink>
            <w:r w:rsidR="1D98B7F6" w:rsidRPr="001A0890">
              <w:rPr>
                <w:color w:val="000000" w:themeColor="text1"/>
                <w:szCs w:val="20"/>
                <w:lang w:val="fr-CA"/>
              </w:rPr>
              <w:t>.</w:t>
            </w:r>
          </w:p>
          <w:p w14:paraId="11087D29" w14:textId="72DF3238" w:rsidR="71AEA28A" w:rsidRPr="001A0890" w:rsidRDefault="5D3F9B94" w:rsidP="71AEA28A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* Au niveau régional ou municipal : Certaines municipalités ou régions, comme la </w:t>
            </w:r>
            <w:hyperlink r:id="rId13" w:history="1">
              <w:r w:rsidRPr="00BE7391">
                <w:rPr>
                  <w:rStyle w:val="Lienhypertexte"/>
                  <w:szCs w:val="20"/>
                  <w:lang w:val="fr-CA"/>
                </w:rPr>
                <w:t>Ville d’Ottawa</w:t>
              </w:r>
            </w:hyperlink>
            <w:r w:rsidRPr="001A0890">
              <w:rPr>
                <w:color w:val="000000" w:themeColor="text1"/>
                <w:szCs w:val="20"/>
                <w:lang w:val="fr-CA"/>
              </w:rPr>
              <w:t xml:space="preserve"> dans ce cas, offre</w:t>
            </w:r>
            <w:r w:rsidR="00344C32">
              <w:rPr>
                <w:color w:val="000000" w:themeColor="text1"/>
                <w:szCs w:val="20"/>
                <w:lang w:val="fr-CA"/>
              </w:rPr>
              <w:t>nt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 des financements aux organisations. </w:t>
            </w:r>
          </w:p>
          <w:p w14:paraId="0C127429" w14:textId="7034E118" w:rsidR="71AEA28A" w:rsidRPr="001A0890" w:rsidRDefault="343D780E" w:rsidP="71AEA28A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contextualSpacing w:val="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Financement e-</w:t>
            </w:r>
            <w:r w:rsidR="00B301C2">
              <w:rPr>
                <w:color w:val="000000" w:themeColor="text1"/>
                <w:szCs w:val="20"/>
                <w:lang w:val="fr-CA"/>
              </w:rPr>
              <w:t>C</w:t>
            </w:r>
            <w:r w:rsidRPr="001A0890">
              <w:rPr>
                <w:color w:val="000000" w:themeColor="text1"/>
                <w:szCs w:val="20"/>
                <w:lang w:val="fr-CA"/>
              </w:rPr>
              <w:t>ommerce</w:t>
            </w:r>
            <w:r w:rsidR="4D7EEF41" w:rsidRPr="001A0890">
              <w:rPr>
                <w:color w:val="000000" w:themeColor="text1"/>
                <w:szCs w:val="20"/>
                <w:lang w:val="fr-CA"/>
              </w:rPr>
              <w:t xml:space="preserve"> : </w:t>
            </w:r>
            <w:r w:rsidR="5E6FA0A2" w:rsidRPr="001A0890">
              <w:rPr>
                <w:color w:val="000000" w:themeColor="text1"/>
                <w:szCs w:val="20"/>
                <w:lang w:val="fr-CA"/>
              </w:rPr>
              <w:t>S</w:t>
            </w:r>
            <w:r w:rsidR="4FFBAB3D" w:rsidRPr="001A0890">
              <w:rPr>
                <w:color w:val="000000" w:themeColor="text1"/>
                <w:szCs w:val="20"/>
                <w:lang w:val="fr-CA"/>
              </w:rPr>
              <w:t xml:space="preserve">i </w:t>
            </w:r>
            <w:r w:rsidR="4D7EEF41" w:rsidRPr="001A0890">
              <w:rPr>
                <w:color w:val="000000" w:themeColor="text1"/>
                <w:szCs w:val="20"/>
                <w:lang w:val="fr-CA"/>
              </w:rPr>
              <w:t>vo</w:t>
            </w:r>
            <w:r w:rsidR="313F6D9B" w:rsidRPr="001A0890">
              <w:rPr>
                <w:color w:val="000000" w:themeColor="text1"/>
                <w:szCs w:val="20"/>
                <w:lang w:val="fr-CA"/>
              </w:rPr>
              <w:t>tr</w:t>
            </w:r>
            <w:r w:rsidR="4D7EEF41" w:rsidRPr="001A0890">
              <w:rPr>
                <w:color w:val="000000" w:themeColor="text1"/>
                <w:szCs w:val="20"/>
                <w:lang w:val="fr-CA"/>
              </w:rPr>
              <w:t xml:space="preserve">e entreprise sociale </w:t>
            </w:r>
            <w:r w:rsidR="0B7461CA" w:rsidRPr="001A0890">
              <w:rPr>
                <w:color w:val="000000" w:themeColor="text1"/>
                <w:szCs w:val="20"/>
                <w:lang w:val="fr-CA"/>
              </w:rPr>
              <w:t>vend des produits et des services en ligne</w:t>
            </w:r>
            <w:r w:rsidR="2BC74C5B" w:rsidRPr="001A0890">
              <w:rPr>
                <w:color w:val="000000" w:themeColor="text1"/>
                <w:szCs w:val="20"/>
                <w:lang w:val="fr-CA"/>
              </w:rPr>
              <w:t xml:space="preserve">, elle pourrait bénéficier d’un financement à travers des plateformes comme </w:t>
            </w:r>
            <w:hyperlink r:id="rId14" w:history="1">
              <w:proofErr w:type="spellStart"/>
              <w:r w:rsidR="2BC74C5B" w:rsidRPr="00BE7391">
                <w:rPr>
                  <w:rStyle w:val="Lienhypertexte"/>
                  <w:szCs w:val="20"/>
                  <w:lang w:val="fr-CA"/>
                </w:rPr>
                <w:t>Clearco</w:t>
              </w:r>
              <w:proofErr w:type="spellEnd"/>
            </w:hyperlink>
            <w:r w:rsidR="2BC74C5B" w:rsidRPr="001A0890">
              <w:rPr>
                <w:color w:val="000000" w:themeColor="text1"/>
                <w:szCs w:val="20"/>
                <w:lang w:val="fr-CA"/>
              </w:rPr>
              <w:t>.</w:t>
            </w:r>
            <w:r w:rsidR="5B4371FD" w:rsidRPr="001A0890">
              <w:rPr>
                <w:color w:val="000000" w:themeColor="text1"/>
                <w:szCs w:val="20"/>
                <w:lang w:val="fr-CA"/>
              </w:rPr>
              <w:t xml:space="preserve"> Au lieu de vous donner de l’argent en échange de participations en actions, cette entreprise utilise de l’intelligence artificielle </w:t>
            </w:r>
            <w:r w:rsidR="61AA0861" w:rsidRPr="001A0890">
              <w:rPr>
                <w:color w:val="000000" w:themeColor="text1"/>
                <w:szCs w:val="20"/>
                <w:lang w:val="fr-CA"/>
              </w:rPr>
              <w:t>pour se connecter à votre compte bancaire d’entreprise et pour vous approuv</w:t>
            </w:r>
            <w:r w:rsidR="35A67B20" w:rsidRPr="001A0890">
              <w:rPr>
                <w:color w:val="000000" w:themeColor="text1"/>
                <w:szCs w:val="20"/>
                <w:lang w:val="fr-CA"/>
              </w:rPr>
              <w:t>er</w:t>
            </w:r>
            <w:r w:rsidR="61AA0861" w:rsidRPr="001A0890">
              <w:rPr>
                <w:color w:val="000000" w:themeColor="text1"/>
                <w:szCs w:val="20"/>
                <w:lang w:val="fr-CA"/>
              </w:rPr>
              <w:t xml:space="preserve"> très rapidement à des montants empruntés en échange d’un partage </w:t>
            </w:r>
            <w:r w:rsidR="5D0CCBC3" w:rsidRPr="001A0890">
              <w:rPr>
                <w:color w:val="000000" w:themeColor="text1"/>
                <w:szCs w:val="20"/>
                <w:lang w:val="fr-CA"/>
              </w:rPr>
              <w:t>raisonnable sur les</w:t>
            </w:r>
            <w:r w:rsidR="61AA0861" w:rsidRPr="001A0890">
              <w:rPr>
                <w:color w:val="000000" w:themeColor="text1"/>
                <w:szCs w:val="20"/>
                <w:lang w:val="fr-CA"/>
              </w:rPr>
              <w:t xml:space="preserve"> gains </w:t>
            </w:r>
            <w:r w:rsidR="368E581D" w:rsidRPr="001A0890">
              <w:rPr>
                <w:color w:val="000000" w:themeColor="text1"/>
                <w:szCs w:val="20"/>
                <w:lang w:val="fr-CA"/>
              </w:rPr>
              <w:t>d</w:t>
            </w:r>
            <w:r w:rsidR="61AA0861" w:rsidRPr="001A0890">
              <w:rPr>
                <w:color w:val="000000" w:themeColor="text1"/>
                <w:szCs w:val="20"/>
                <w:lang w:val="fr-CA"/>
              </w:rPr>
              <w:t>es ventes subséquentes.</w:t>
            </w:r>
            <w:r w:rsidR="0E70C128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15CCEB5D" w:rsidRPr="001A0890">
              <w:rPr>
                <w:color w:val="000000" w:themeColor="text1"/>
                <w:szCs w:val="20"/>
                <w:lang w:val="fr-CA"/>
              </w:rPr>
              <w:t>Il existe plusieurs alternatives à l’entreprise mentionnée.</w:t>
            </w:r>
          </w:p>
          <w:p w14:paraId="274AC813" w14:textId="131B0F32" w:rsidR="71AEA28A" w:rsidRPr="001A0890" w:rsidRDefault="799AECFC" w:rsidP="71AEA28A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contextualSpacing w:val="0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Sociofinancement (connu </w:t>
            </w:r>
            <w:r w:rsidR="0C4A7E07" w:rsidRPr="001A0890">
              <w:rPr>
                <w:color w:val="000000" w:themeColor="text1"/>
                <w:szCs w:val="20"/>
                <w:lang w:val="fr-CA"/>
              </w:rPr>
              <w:t xml:space="preserve">aussi sous le terme anglophone </w:t>
            </w:r>
            <w:r w:rsidR="0082039B" w:rsidRPr="001A0890">
              <w:rPr>
                <w:color w:val="000000" w:themeColor="text1"/>
                <w:szCs w:val="20"/>
                <w:lang w:val="fr-CA"/>
              </w:rPr>
              <w:t>« </w:t>
            </w:r>
            <w:r w:rsidR="6AB61013" w:rsidRPr="001A0890">
              <w:rPr>
                <w:color w:val="000000" w:themeColor="text1"/>
                <w:szCs w:val="20"/>
                <w:lang w:val="fr-CA"/>
              </w:rPr>
              <w:t>Crowdfunding</w:t>
            </w:r>
            <w:r w:rsidR="0082039B" w:rsidRPr="001A0890">
              <w:rPr>
                <w:color w:val="000000" w:themeColor="text1"/>
                <w:szCs w:val="20"/>
                <w:lang w:val="fr-CA"/>
              </w:rPr>
              <w:t> »</w:t>
            </w:r>
            <w:r w:rsidR="4F3DFB32" w:rsidRPr="001A0890">
              <w:rPr>
                <w:color w:val="000000" w:themeColor="text1"/>
                <w:szCs w:val="20"/>
                <w:lang w:val="fr-CA"/>
              </w:rPr>
              <w:t xml:space="preserve">) : Plusieurs plateformes en ligne comme </w:t>
            </w:r>
            <w:hyperlink r:id="rId15" w:history="1">
              <w:proofErr w:type="spellStart"/>
              <w:r w:rsidR="4F3DFB32" w:rsidRPr="00BE7391">
                <w:rPr>
                  <w:rStyle w:val="Lienhypertexte"/>
                  <w:szCs w:val="20"/>
                  <w:lang w:val="fr-CA"/>
                </w:rPr>
                <w:t>Gofundme</w:t>
              </w:r>
              <w:proofErr w:type="spellEnd"/>
            </w:hyperlink>
            <w:r w:rsidR="4F3DFB32" w:rsidRPr="001A0890">
              <w:rPr>
                <w:color w:val="000000" w:themeColor="text1"/>
                <w:szCs w:val="20"/>
                <w:lang w:val="fr-CA"/>
              </w:rPr>
              <w:t xml:space="preserve"> et </w:t>
            </w:r>
            <w:hyperlink r:id="rId16" w:history="1">
              <w:proofErr w:type="spellStart"/>
              <w:r w:rsidR="4F3DFB32" w:rsidRPr="00BE7391">
                <w:rPr>
                  <w:rStyle w:val="Lienhypertexte"/>
                  <w:szCs w:val="20"/>
                  <w:lang w:val="fr-CA"/>
                </w:rPr>
                <w:t>Frontfundr</w:t>
              </w:r>
              <w:proofErr w:type="spellEnd"/>
            </w:hyperlink>
            <w:r w:rsidR="4F3DFB32" w:rsidRPr="001A0890">
              <w:rPr>
                <w:color w:val="000000" w:themeColor="text1"/>
                <w:szCs w:val="20"/>
                <w:lang w:val="fr-CA"/>
              </w:rPr>
              <w:t xml:space="preserve"> permettent aux entreprises de se procurer des fonds en contrepartie d’une aide sociale, d’une vente de produits/services ou d’une cession d’actions.</w:t>
            </w:r>
          </w:p>
          <w:p w14:paraId="03BFBDD5" w14:textId="2D174B00" w:rsidR="71AEA28A" w:rsidRPr="001A0890" w:rsidRDefault="6AB61013" w:rsidP="007771DD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contextualSpacing w:val="0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 xml:space="preserve">Prêts : Plusieurs banques et caisses au Canada comme la RBC et Desjardins offrent des prêts aux entreprises existantes. Aussi, certains financements sont possibles via des institutions de la Couronne comme la </w:t>
            </w:r>
            <w:hyperlink r:id="rId17" w:history="1">
              <w:r w:rsidRPr="00BE7391">
                <w:rPr>
                  <w:rStyle w:val="Lienhypertexte"/>
                  <w:szCs w:val="20"/>
                  <w:lang w:val="fr-CA"/>
                </w:rPr>
                <w:t>Banque du Canada (BDC)</w:t>
              </w:r>
            </w:hyperlink>
            <w:r w:rsidRPr="001A0890">
              <w:rPr>
                <w:color w:val="000000" w:themeColor="text1"/>
                <w:szCs w:val="20"/>
                <w:lang w:val="fr-CA"/>
              </w:rPr>
              <w:t xml:space="preserve">, </w:t>
            </w:r>
            <w:hyperlink r:id="rId18" w:history="1">
              <w:r w:rsidRPr="00BE7391">
                <w:rPr>
                  <w:rStyle w:val="Lienhypertexte"/>
                  <w:szCs w:val="20"/>
                  <w:lang w:val="fr-CA"/>
                </w:rPr>
                <w:t>Exportation et développement du Canada (EDC)</w:t>
              </w:r>
            </w:hyperlink>
            <w:r w:rsidRPr="001A0890">
              <w:rPr>
                <w:color w:val="000000" w:themeColor="text1"/>
                <w:szCs w:val="20"/>
                <w:lang w:val="fr-CA"/>
              </w:rPr>
              <w:t xml:space="preserve"> et </w:t>
            </w:r>
            <w:hyperlink r:id="rId19" w:history="1">
              <w:r w:rsidRPr="00BE7391">
                <w:rPr>
                  <w:rStyle w:val="Lienhypertexte"/>
                  <w:szCs w:val="20"/>
                  <w:lang w:val="fr-CA"/>
                </w:rPr>
                <w:t>Financement agricole du Canada (FAC)</w:t>
              </w:r>
            </w:hyperlink>
            <w:r w:rsidRPr="001A0890">
              <w:rPr>
                <w:color w:val="000000" w:themeColor="text1"/>
                <w:szCs w:val="20"/>
                <w:lang w:val="fr-CA"/>
              </w:rPr>
              <w:t xml:space="preserve">. Récemment, plusieurs plateformes en ligne et privées comme </w:t>
            </w:r>
            <w:hyperlink r:id="rId20" w:history="1">
              <w:proofErr w:type="spellStart"/>
              <w:r w:rsidRPr="00BE7391">
                <w:rPr>
                  <w:rStyle w:val="Lienhypertexte"/>
                  <w:szCs w:val="20"/>
                  <w:lang w:val="fr-CA"/>
                </w:rPr>
                <w:t>goPeer</w:t>
              </w:r>
              <w:proofErr w:type="spellEnd"/>
            </w:hyperlink>
            <w:r w:rsidRPr="001A0890">
              <w:rPr>
                <w:color w:val="000000" w:themeColor="text1"/>
                <w:szCs w:val="20"/>
                <w:lang w:val="fr-CA"/>
              </w:rPr>
              <w:t xml:space="preserve"> ont été mises en place pour faciliter des prêts entre les particuliers canadiens qui ont des excès d’épargnes et ceux qui en ont besoin.</w:t>
            </w:r>
          </w:p>
          <w:p w14:paraId="12F29104" w14:textId="7C61ABB5" w:rsidR="71AEA28A" w:rsidRPr="001A0890" w:rsidRDefault="6AB61013" w:rsidP="71AEA28A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contextualSpacing w:val="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t>Investissement par actions des anges (</w:t>
            </w:r>
            <w:r w:rsidR="0082039B" w:rsidRPr="001A0890">
              <w:rPr>
                <w:color w:val="000000" w:themeColor="text1"/>
                <w:szCs w:val="20"/>
                <w:lang w:val="fr-CA"/>
              </w:rPr>
              <w:t>« 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Angel </w:t>
            </w:r>
            <w:proofErr w:type="spellStart"/>
            <w:r w:rsidRPr="001A0890">
              <w:rPr>
                <w:color w:val="000000" w:themeColor="text1"/>
                <w:szCs w:val="20"/>
                <w:lang w:val="fr-CA"/>
              </w:rPr>
              <w:t>Investors</w:t>
            </w:r>
            <w:proofErr w:type="spellEnd"/>
            <w:r w:rsidR="0082039B" w:rsidRPr="001A0890">
              <w:rPr>
                <w:color w:val="000000" w:themeColor="text1"/>
                <w:szCs w:val="20"/>
                <w:lang w:val="fr-CA"/>
              </w:rPr>
              <w:t> »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 en anglais) ou les capitaux-risqueurs (</w:t>
            </w:r>
            <w:r w:rsidR="00D02D1E">
              <w:rPr>
                <w:color w:val="000000" w:themeColor="text1"/>
                <w:szCs w:val="20"/>
                <w:lang w:val="fr-CA"/>
              </w:rPr>
              <w:t>« </w:t>
            </w:r>
            <w:r w:rsidRPr="001A0890">
              <w:rPr>
                <w:color w:val="000000" w:themeColor="text1"/>
                <w:szCs w:val="20"/>
                <w:lang w:val="fr-CA"/>
              </w:rPr>
              <w:t>Venture capital</w:t>
            </w:r>
            <w:r w:rsidR="00D02D1E">
              <w:rPr>
                <w:color w:val="000000" w:themeColor="text1"/>
                <w:szCs w:val="20"/>
                <w:lang w:val="fr-CA"/>
              </w:rPr>
              <w:t> »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 en anglais) : Lis</w:t>
            </w:r>
            <w:r w:rsidR="00A44CE4">
              <w:rPr>
                <w:color w:val="000000" w:themeColor="text1"/>
                <w:szCs w:val="20"/>
                <w:lang w:val="fr-CA"/>
              </w:rPr>
              <w:t xml:space="preserve"> la ressource </w:t>
            </w:r>
            <w:hyperlink r:id="rId21" w:history="1">
              <w:r w:rsidR="00A44CE4" w:rsidRPr="00A44CE4">
                <w:rPr>
                  <w:rStyle w:val="Lienhypertexte"/>
                  <w:szCs w:val="20"/>
                  <w:lang w:val="fr-CA"/>
                </w:rPr>
                <w:t>Anges financiers au VC?</w:t>
              </w:r>
            </w:hyperlink>
            <w:r w:rsidRPr="001A0890">
              <w:rPr>
                <w:color w:val="000000" w:themeColor="text1"/>
                <w:szCs w:val="20"/>
                <w:lang w:val="fr-CA"/>
              </w:rPr>
              <w:t xml:space="preserve"> pour en conna</w:t>
            </w:r>
            <w:r w:rsidR="00D02D1E">
              <w:rPr>
                <w:color w:val="000000" w:themeColor="text1"/>
                <w:szCs w:val="20"/>
                <w:lang w:val="fr-CA"/>
              </w:rPr>
              <w:t>i</w:t>
            </w:r>
            <w:r w:rsidRPr="001A0890">
              <w:rPr>
                <w:color w:val="000000" w:themeColor="text1"/>
                <w:szCs w:val="20"/>
                <w:lang w:val="fr-CA"/>
              </w:rPr>
              <w:t xml:space="preserve">tre la définition et la différence. </w:t>
            </w:r>
          </w:p>
          <w:p w14:paraId="5697E243" w14:textId="5128832C" w:rsidR="71AEA28A" w:rsidRPr="001A0890" w:rsidRDefault="001B0619" w:rsidP="71AEA28A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contextualSpacing w:val="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hyperlink r:id="rId22" w:history="1">
              <w:r w:rsidR="277838CD" w:rsidRPr="00A44CE4">
                <w:rPr>
                  <w:rStyle w:val="Lienhypertexte"/>
                  <w:szCs w:val="20"/>
                  <w:lang w:val="fr-CA"/>
                </w:rPr>
                <w:t>Obligations</w:t>
              </w:r>
            </w:hyperlink>
            <w:r w:rsidR="0C56BFE9" w:rsidRPr="001A0890">
              <w:rPr>
                <w:color w:val="000000" w:themeColor="text1"/>
                <w:szCs w:val="20"/>
                <w:lang w:val="fr-CA"/>
              </w:rPr>
              <w:t xml:space="preserve"> : Des investisseurs peuvent donner de l’argent aux entreprises en contrepartie d’un intérêt.  En lien avec ce programme d’études en particulier, il existe des </w:t>
            </w:r>
            <w:hyperlink r:id="rId23" w:history="1">
              <w:r w:rsidR="0C56BFE9" w:rsidRPr="00405BB7">
                <w:rPr>
                  <w:rStyle w:val="Lienhypertexte"/>
                  <w:szCs w:val="20"/>
                  <w:lang w:val="fr-CA"/>
                </w:rPr>
                <w:t>obligations communautaires</w:t>
              </w:r>
            </w:hyperlink>
            <w:r w:rsidR="0C56BFE9" w:rsidRPr="001A0890">
              <w:rPr>
                <w:color w:val="000000" w:themeColor="text1"/>
                <w:szCs w:val="20"/>
                <w:lang w:val="fr-CA"/>
              </w:rPr>
              <w:t xml:space="preserve"> émises par des organismes sociaux.</w:t>
            </w:r>
          </w:p>
          <w:p w14:paraId="2AC39080" w14:textId="3DD0BF19" w:rsidR="71AEA28A" w:rsidRPr="001A0890" w:rsidRDefault="001B0619" w:rsidP="71AEA28A">
            <w:pPr>
              <w:pStyle w:val="Paragraphedeliste"/>
              <w:numPr>
                <w:ilvl w:val="0"/>
                <w:numId w:val="14"/>
              </w:numPr>
              <w:spacing w:after="160" w:line="259" w:lineRule="auto"/>
              <w:contextualSpacing w:val="0"/>
              <w:rPr>
                <w:color w:val="000000" w:themeColor="text1"/>
                <w:szCs w:val="20"/>
                <w:lang w:val="fr-CA"/>
              </w:rPr>
            </w:pPr>
            <w:hyperlink r:id="rId24" w:history="1">
              <w:r w:rsidR="6AB61013" w:rsidRPr="00A66D96">
                <w:rPr>
                  <w:rStyle w:val="Lienhypertexte"/>
                  <w:szCs w:val="20"/>
                  <w:lang w:val="fr-CA"/>
                </w:rPr>
                <w:t>Fusions et acquisitions</w:t>
              </w:r>
            </w:hyperlink>
            <w:r w:rsidR="6AB61013" w:rsidRPr="001A0890">
              <w:rPr>
                <w:color w:val="000000" w:themeColor="text1"/>
                <w:szCs w:val="20"/>
                <w:lang w:val="fr-CA"/>
              </w:rPr>
              <w:t xml:space="preserve"> : Comme solution de sortie en fin d’un cycle de son existence, une entreprise peut recourir à ces solutions pour être achetée par un compétiteur ou pour former qu’une seule entité avec ce dernier.</w:t>
            </w:r>
          </w:p>
          <w:p w14:paraId="2CD575A2" w14:textId="7ABB7EE6" w:rsidR="00E26A6C" w:rsidRPr="001A0890" w:rsidRDefault="6587E570" w:rsidP="75B36EAA">
            <w:p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1A0890">
              <w:rPr>
                <w:color w:val="000000" w:themeColor="text1"/>
                <w:szCs w:val="20"/>
                <w:lang w:val="fr-CA"/>
              </w:rPr>
              <w:lastRenderedPageBreak/>
              <w:t>Il est très important pour les entreprises, sociales ou lucratives, de considérer l'</w:t>
            </w:r>
            <w:r w:rsidR="59229BA8" w:rsidRPr="001A0890">
              <w:rPr>
                <w:color w:val="000000" w:themeColor="text1"/>
                <w:szCs w:val="20"/>
                <w:lang w:val="fr-CA"/>
              </w:rPr>
              <w:t>usage d’une variété de s</w:t>
            </w:r>
            <w:r w:rsidR="4323A330" w:rsidRPr="001A0890">
              <w:rPr>
                <w:color w:val="000000" w:themeColor="text1"/>
                <w:szCs w:val="20"/>
                <w:lang w:val="fr-CA"/>
              </w:rPr>
              <w:t>ources de financement pour démarrer ou accroître ses activités. De plus, en relation avec l’essence de ce programme d’études, il est conseillé d’appliquer</w:t>
            </w:r>
            <w:r w:rsidR="00A20E4F">
              <w:rPr>
                <w:color w:val="000000" w:themeColor="text1"/>
                <w:szCs w:val="20"/>
                <w:lang w:val="fr-CA"/>
              </w:rPr>
              <w:t xml:space="preserve"> les principes de</w:t>
            </w:r>
            <w:r w:rsidR="4323A330" w:rsidRPr="001A0890">
              <w:rPr>
                <w:color w:val="000000" w:themeColor="text1"/>
                <w:szCs w:val="20"/>
                <w:lang w:val="fr-CA"/>
              </w:rPr>
              <w:t xml:space="preserve"> </w:t>
            </w:r>
            <w:hyperlink r:id="rId25" w:history="1">
              <w:r w:rsidR="4323A330" w:rsidRPr="00A66D96">
                <w:rPr>
                  <w:rStyle w:val="Lienhypertexte"/>
                  <w:szCs w:val="20"/>
                  <w:lang w:val="fr-CA"/>
                </w:rPr>
                <w:t>l’approvisionnement social</w:t>
              </w:r>
            </w:hyperlink>
            <w:r w:rsidR="4323A330" w:rsidRPr="001A0890">
              <w:rPr>
                <w:color w:val="000000" w:themeColor="text1"/>
                <w:szCs w:val="20"/>
                <w:lang w:val="fr-CA"/>
              </w:rPr>
              <w:t xml:space="preserve">. Finalement, les montants obtenus doivent être utilisés pour répondre à </w:t>
            </w:r>
            <w:hyperlink r:id="rId26" w:history="1">
              <w:r w:rsidR="4323A330" w:rsidRPr="00A20E4F">
                <w:rPr>
                  <w:rStyle w:val="Lienhypertexte"/>
                  <w:szCs w:val="20"/>
                  <w:lang w:val="fr-CA"/>
                </w:rPr>
                <w:t>la mission de l’entreprise</w:t>
              </w:r>
            </w:hyperlink>
            <w:r w:rsidR="4323A330" w:rsidRPr="001A0890">
              <w:rPr>
                <w:color w:val="000000" w:themeColor="text1"/>
                <w:szCs w:val="20"/>
                <w:lang w:val="fr-CA"/>
              </w:rPr>
              <w:t xml:space="preserve"> et l’aider ultimement à offrir ses produits</w:t>
            </w:r>
            <w:r w:rsidR="00E93B4A">
              <w:rPr>
                <w:color w:val="000000" w:themeColor="text1"/>
                <w:szCs w:val="20"/>
                <w:lang w:val="fr-CA"/>
              </w:rPr>
              <w:t xml:space="preserve"> ou</w:t>
            </w:r>
            <w:r w:rsidR="4323A330" w:rsidRPr="001A0890">
              <w:rPr>
                <w:color w:val="000000" w:themeColor="text1"/>
                <w:szCs w:val="20"/>
                <w:lang w:val="fr-CA"/>
              </w:rPr>
              <w:t xml:space="preserve"> ses services. </w:t>
            </w:r>
          </w:p>
        </w:tc>
      </w:tr>
      <w:tr w:rsidR="00E26A6C" w:rsidRPr="001A0890" w14:paraId="7D04693A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94C98A" w14:textId="77777777" w:rsidR="00E26A6C" w:rsidRPr="001A0890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A0890">
              <w:rPr>
                <w:rFonts w:cs="Arial"/>
                <w:b/>
                <w:bCs/>
                <w:szCs w:val="20"/>
                <w:lang w:val="fr-CA"/>
              </w:rPr>
              <w:lastRenderedPageBreak/>
              <w:t>Consignes, directives et ressources (liens, manuels, images, etc.) :</w:t>
            </w:r>
          </w:p>
        </w:tc>
      </w:tr>
      <w:tr w:rsidR="00E26A6C" w:rsidRPr="001A0890" w14:paraId="6C0EC39B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647EE4" w14:textId="4F83E936" w:rsidR="00E26A6C" w:rsidRPr="001A0890" w:rsidRDefault="00E26A6C" w:rsidP="75B36EAA">
            <w:pPr>
              <w:rPr>
                <w:rFonts w:cs="Arial"/>
                <w:szCs w:val="20"/>
                <w:lang w:val="fr-CA"/>
              </w:rPr>
            </w:pPr>
          </w:p>
          <w:p w14:paraId="5DDFCD49" w14:textId="77777777" w:rsidR="003F3276" w:rsidRDefault="20612632" w:rsidP="003F3276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3F3276">
              <w:rPr>
                <w:rFonts w:eastAsia="Calibri" w:cs="Calibri"/>
                <w:color w:val="000000" w:themeColor="text1"/>
                <w:szCs w:val="20"/>
                <w:lang w:val="fr-CA"/>
              </w:rPr>
              <w:t>Afin d’approfondir tes connaissances et dans le but de bien réussir les évaluations de ce module, il faut consulter l</w:t>
            </w:r>
            <w:r w:rsidR="357C5661" w:rsidRPr="003F3276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es liens </w:t>
            </w:r>
            <w:r w:rsidR="7AA1168D" w:rsidRPr="003F3276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suivants </w:t>
            </w:r>
            <w:r w:rsidR="357C5661" w:rsidRPr="003F3276">
              <w:rPr>
                <w:rFonts w:eastAsia="Calibri" w:cs="Calibri"/>
                <w:color w:val="000000" w:themeColor="text1"/>
                <w:szCs w:val="20"/>
                <w:lang w:val="fr-CA"/>
              </w:rPr>
              <w:t>:</w:t>
            </w:r>
          </w:p>
          <w:p w14:paraId="217B483D" w14:textId="1E99A4F2" w:rsidR="00B42933" w:rsidRDefault="001B0619" w:rsidP="00A6760F">
            <w:pPr>
              <w:pStyle w:val="Paragraphedeliste"/>
              <w:numPr>
                <w:ilvl w:val="1"/>
                <w:numId w:val="16"/>
              </w:numPr>
              <w:spacing w:after="160" w:line="259" w:lineRule="auto"/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hyperlink r:id="rId27" w:history="1">
              <w:r w:rsidR="00B42933" w:rsidRPr="00B42933">
                <w:rPr>
                  <w:rStyle w:val="Lienhypertexte"/>
                  <w:rFonts w:eastAsia="Calibri" w:cs="Calibri"/>
                  <w:szCs w:val="20"/>
                  <w:lang w:val="fr-CA"/>
                </w:rPr>
                <w:t>L</w:t>
              </w:r>
              <w:r w:rsidR="00B42933" w:rsidRPr="00B42933">
                <w:rPr>
                  <w:rStyle w:val="Lienhypertexte"/>
                  <w:rFonts w:eastAsia="Calibri" w:cs="Calibri"/>
                </w:rPr>
                <w:t>’organisation juridique de l’entreprise sociale</w:t>
              </w:r>
            </w:hyperlink>
          </w:p>
          <w:p w14:paraId="0759AACA" w14:textId="2FC56C32" w:rsidR="00455B7A" w:rsidRDefault="001B0619" w:rsidP="00A6760F">
            <w:pPr>
              <w:pStyle w:val="Paragraphedeliste"/>
              <w:numPr>
                <w:ilvl w:val="1"/>
                <w:numId w:val="16"/>
              </w:numPr>
              <w:spacing w:after="160" w:line="259" w:lineRule="auto"/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hyperlink r:id="rId28" w:history="1">
              <w:r w:rsidR="00455B7A" w:rsidRPr="00455B7A">
                <w:rPr>
                  <w:rStyle w:val="Lienhypertexte"/>
                  <w:rFonts w:eastAsia="Calibri" w:cs="Calibri"/>
                  <w:szCs w:val="20"/>
                  <w:lang w:val="fr-CA"/>
                </w:rPr>
                <w:t>Démarrer, créer, et assurer la croissance d'une entreprise sociale : Lancer une entreprise sociale</w:t>
              </w:r>
            </w:hyperlink>
          </w:p>
          <w:p w14:paraId="1353A1EE" w14:textId="471988E6" w:rsidR="77D3F659" w:rsidRPr="0004470F" w:rsidRDefault="001B0619" w:rsidP="0004470F">
            <w:pPr>
              <w:pStyle w:val="Paragraphedeliste"/>
              <w:numPr>
                <w:ilvl w:val="1"/>
                <w:numId w:val="16"/>
              </w:numPr>
              <w:spacing w:after="160" w:line="259" w:lineRule="auto"/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hyperlink r:id="rId29" w:history="1">
              <w:r w:rsidR="0004470F" w:rsidRPr="0004470F">
                <w:rPr>
                  <w:rStyle w:val="Lienhypertexte"/>
                  <w:rFonts w:eastAsia="Calibri" w:cs="Calibri"/>
                  <w:szCs w:val="20"/>
                  <w:lang w:val="fr-CA"/>
                </w:rPr>
                <w:t>Qu'est-ce que le développement des affaires?</w:t>
              </w:r>
            </w:hyperlink>
            <w:r w:rsidR="00A6760F" w:rsidRPr="0004470F">
              <w:rPr>
                <w:rFonts w:eastAsia="Calibri" w:cs="Calibri"/>
                <w:color w:val="000000" w:themeColor="text1"/>
                <w:szCs w:val="20"/>
                <w:lang w:val="fr-CA"/>
              </w:rPr>
              <w:br/>
            </w:r>
          </w:p>
          <w:p w14:paraId="2A215A2E" w14:textId="03BC271D" w:rsidR="44117FE7" w:rsidRPr="00A6760F" w:rsidRDefault="44117FE7" w:rsidP="00A6760F">
            <w:pPr>
              <w:pStyle w:val="Paragraphedeliste"/>
              <w:numPr>
                <w:ilvl w:val="0"/>
                <w:numId w:val="16"/>
              </w:numPr>
              <w:spacing w:after="160" w:line="259" w:lineRule="auto"/>
              <w:rPr>
                <w:color w:val="000000" w:themeColor="text1"/>
                <w:szCs w:val="20"/>
                <w:lang w:val="fr-CA"/>
              </w:rPr>
            </w:pPr>
            <w:r w:rsidRPr="00A6760F">
              <w:rPr>
                <w:color w:val="000000" w:themeColor="text1"/>
                <w:szCs w:val="20"/>
                <w:lang w:val="fr-CA"/>
              </w:rPr>
              <w:t xml:space="preserve">Parmi les sources de financement identifiées </w:t>
            </w:r>
            <w:r w:rsidR="00A6760F">
              <w:rPr>
                <w:color w:val="000000" w:themeColor="text1"/>
                <w:szCs w:val="20"/>
                <w:lang w:val="fr-CA"/>
              </w:rPr>
              <w:t xml:space="preserve">dans la mise en contexte </w:t>
            </w:r>
            <w:r w:rsidR="3BF883A8" w:rsidRPr="00A6760F">
              <w:rPr>
                <w:color w:val="000000" w:themeColor="text1"/>
                <w:szCs w:val="20"/>
                <w:lang w:val="fr-CA"/>
              </w:rPr>
              <w:t>et après avoir consulté les liens fournis</w:t>
            </w:r>
            <w:r w:rsidRPr="00A6760F">
              <w:rPr>
                <w:color w:val="000000" w:themeColor="text1"/>
                <w:szCs w:val="20"/>
                <w:lang w:val="fr-CA"/>
              </w:rPr>
              <w:t>,</w:t>
            </w:r>
            <w:r w:rsidR="381FC6A2" w:rsidRPr="00A6760F">
              <w:rPr>
                <w:color w:val="000000" w:themeColor="text1"/>
                <w:szCs w:val="20"/>
                <w:lang w:val="fr-CA"/>
              </w:rPr>
              <w:t xml:space="preserve"> choisis trois (3) sources de financement</w:t>
            </w:r>
            <w:r w:rsidRPr="00A6760F">
              <w:rPr>
                <w:color w:val="000000" w:themeColor="text1"/>
                <w:szCs w:val="20"/>
                <w:lang w:val="fr-CA"/>
              </w:rPr>
              <w:t xml:space="preserve"> </w:t>
            </w:r>
            <w:r w:rsidR="6754EDDC" w:rsidRPr="00A6760F">
              <w:rPr>
                <w:color w:val="000000" w:themeColor="text1"/>
                <w:szCs w:val="20"/>
                <w:lang w:val="fr-CA"/>
              </w:rPr>
              <w:t xml:space="preserve">pour identifier les points suivants : </w:t>
            </w:r>
          </w:p>
          <w:tbl>
            <w:tblPr>
              <w:tblStyle w:val="TableauGrille1Clair"/>
              <w:tblW w:w="9798" w:type="dxa"/>
              <w:tblLook w:val="06A0" w:firstRow="1" w:lastRow="0" w:firstColumn="1" w:lastColumn="0" w:noHBand="1" w:noVBand="1"/>
            </w:tblPr>
            <w:tblGrid>
              <w:gridCol w:w="2170"/>
              <w:gridCol w:w="2486"/>
              <w:gridCol w:w="2692"/>
              <w:gridCol w:w="2450"/>
            </w:tblGrid>
            <w:tr w:rsidR="77D3F659" w:rsidRPr="001A0890" w14:paraId="3C7CC209" w14:textId="77777777" w:rsidTr="00A6760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33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70" w:type="dxa"/>
                </w:tcPr>
                <w:p w14:paraId="64CDAED3" w14:textId="6DBAC344" w:rsidR="44117FE7" w:rsidRPr="00A6760F" w:rsidRDefault="44117FE7" w:rsidP="71AEA28A">
                  <w:pPr>
                    <w:rPr>
                      <w:color w:val="000000" w:themeColor="text1"/>
                      <w:szCs w:val="20"/>
                      <w:lang w:val="fr-CA"/>
                    </w:rPr>
                  </w:pPr>
                  <w:r w:rsidRPr="00A6760F">
                    <w:rPr>
                      <w:color w:val="000000" w:themeColor="text1"/>
                      <w:szCs w:val="20"/>
                      <w:lang w:val="fr-CA"/>
                    </w:rPr>
                    <w:t>Sources de financement</w:t>
                  </w:r>
                </w:p>
              </w:tc>
              <w:tc>
                <w:tcPr>
                  <w:tcW w:w="2486" w:type="dxa"/>
                </w:tcPr>
                <w:p w14:paraId="1515CD71" w14:textId="114C255D" w:rsidR="44117FE7" w:rsidRPr="00A6760F" w:rsidRDefault="71AEA28A" w:rsidP="71AEA28A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  <w:r w:rsidRPr="00A6760F">
                    <w:rPr>
                      <w:color w:val="000000" w:themeColor="text1"/>
                      <w:szCs w:val="20"/>
                      <w:lang w:val="fr-CA"/>
                    </w:rPr>
                    <w:t xml:space="preserve">Identifie clairement les modalités pour un programme ou une entité offrant cette source de financement. </w:t>
                  </w:r>
                </w:p>
              </w:tc>
              <w:tc>
                <w:tcPr>
                  <w:tcW w:w="2692" w:type="dxa"/>
                </w:tcPr>
                <w:p w14:paraId="5C31B6ED" w14:textId="656052CD" w:rsidR="44117FE7" w:rsidRPr="00A6760F" w:rsidRDefault="44117FE7" w:rsidP="71AEA28A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  <w:r w:rsidRPr="00A6760F">
                    <w:rPr>
                      <w:color w:val="000000" w:themeColor="text1"/>
                      <w:szCs w:val="20"/>
                      <w:lang w:val="fr-CA"/>
                    </w:rPr>
                    <w:t>Quelle phase d’existence de l’entreprise est-elle plus appropriée pour chaque source de financement identifiée ?</w:t>
                  </w:r>
                </w:p>
              </w:tc>
              <w:tc>
                <w:tcPr>
                  <w:tcW w:w="2450" w:type="dxa"/>
                </w:tcPr>
                <w:p w14:paraId="5776C9EF" w14:textId="35A43A03" w:rsidR="7F5C69A6" w:rsidRPr="00A6760F" w:rsidRDefault="00D418A1" w:rsidP="71AEA28A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  <w:r w:rsidRPr="00A6760F">
                    <w:rPr>
                      <w:color w:val="000000" w:themeColor="text1"/>
                      <w:szCs w:val="20"/>
                      <w:lang w:val="fr-CA"/>
                    </w:rPr>
                    <w:t>E</w:t>
                  </w:r>
                  <w:r w:rsidR="71AEA28A" w:rsidRPr="00A6760F">
                    <w:rPr>
                      <w:color w:val="000000" w:themeColor="text1"/>
                      <w:szCs w:val="20"/>
                      <w:lang w:val="fr-CA"/>
                    </w:rPr>
                    <w:t>xplique clairement ta proposition pour la phase identifiée à la question précédente.</w:t>
                  </w:r>
                </w:p>
              </w:tc>
            </w:tr>
            <w:tr w:rsidR="77D3F659" w:rsidRPr="001A0890" w14:paraId="21611ACD" w14:textId="77777777" w:rsidTr="0082039B">
              <w:trPr>
                <w:trHeight w:val="2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70" w:type="dxa"/>
                </w:tcPr>
                <w:p w14:paraId="22474185" w14:textId="1CF8DC2D" w:rsidR="77D3F659" w:rsidRPr="001A0890" w:rsidRDefault="77D3F659" w:rsidP="0082039B">
                  <w:pPr>
                    <w:rPr>
                      <w:rFonts w:eastAsiaTheme="minorEastAsia" w:cstheme="minorBidi"/>
                      <w:color w:val="000000" w:themeColor="text1"/>
                      <w:szCs w:val="20"/>
                      <w:lang w:val="fr-CA" w:eastAsia="es-AR"/>
                    </w:rPr>
                  </w:pPr>
                </w:p>
              </w:tc>
              <w:tc>
                <w:tcPr>
                  <w:tcW w:w="2486" w:type="dxa"/>
                </w:tcPr>
                <w:p w14:paraId="26588867" w14:textId="56A8372D" w:rsidR="77D3F659" w:rsidRPr="001A0890" w:rsidRDefault="77D3F659" w:rsidP="77D3F65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</w:p>
              </w:tc>
              <w:tc>
                <w:tcPr>
                  <w:tcW w:w="2692" w:type="dxa"/>
                </w:tcPr>
                <w:p w14:paraId="7F45D8F6" w14:textId="56A8372D" w:rsidR="77D3F659" w:rsidRPr="001A0890" w:rsidRDefault="77D3F659" w:rsidP="77D3F65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</w:p>
              </w:tc>
              <w:tc>
                <w:tcPr>
                  <w:tcW w:w="2450" w:type="dxa"/>
                </w:tcPr>
                <w:p w14:paraId="7BA02245" w14:textId="56A8372D" w:rsidR="77D3F659" w:rsidRPr="001A0890" w:rsidRDefault="77D3F659" w:rsidP="77D3F65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</w:p>
              </w:tc>
            </w:tr>
            <w:tr w:rsidR="77D3F659" w:rsidRPr="001A0890" w14:paraId="79D685C9" w14:textId="77777777" w:rsidTr="0082039B">
              <w:trPr>
                <w:trHeight w:val="24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70" w:type="dxa"/>
                </w:tcPr>
                <w:p w14:paraId="423A0E4E" w14:textId="57C3135C" w:rsidR="77D3F659" w:rsidRPr="001A0890" w:rsidRDefault="77D3F659" w:rsidP="0082039B">
                  <w:pPr>
                    <w:rPr>
                      <w:rFonts w:eastAsiaTheme="minorEastAsia" w:cstheme="minorBidi"/>
                      <w:color w:val="000000" w:themeColor="text1"/>
                      <w:szCs w:val="20"/>
                      <w:lang w:val="fr-CA" w:eastAsia="es-AR"/>
                    </w:rPr>
                  </w:pPr>
                </w:p>
              </w:tc>
              <w:tc>
                <w:tcPr>
                  <w:tcW w:w="2486" w:type="dxa"/>
                </w:tcPr>
                <w:p w14:paraId="4233353F" w14:textId="56A8372D" w:rsidR="77D3F659" w:rsidRPr="001A0890" w:rsidRDefault="77D3F659" w:rsidP="77D3F65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</w:p>
              </w:tc>
              <w:tc>
                <w:tcPr>
                  <w:tcW w:w="2692" w:type="dxa"/>
                </w:tcPr>
                <w:p w14:paraId="564B6FAC" w14:textId="56A8372D" w:rsidR="77D3F659" w:rsidRPr="001A0890" w:rsidRDefault="77D3F659" w:rsidP="77D3F65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</w:p>
              </w:tc>
              <w:tc>
                <w:tcPr>
                  <w:tcW w:w="2450" w:type="dxa"/>
                </w:tcPr>
                <w:p w14:paraId="57C6F487" w14:textId="56A8372D" w:rsidR="77D3F659" w:rsidRPr="001A0890" w:rsidRDefault="77D3F659" w:rsidP="77D3F65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</w:p>
              </w:tc>
            </w:tr>
            <w:tr w:rsidR="77D3F659" w:rsidRPr="001A0890" w14:paraId="5311DD17" w14:textId="77777777" w:rsidTr="0082039B">
              <w:trPr>
                <w:trHeight w:val="24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70" w:type="dxa"/>
                </w:tcPr>
                <w:p w14:paraId="46EDAF8F" w14:textId="51C06088" w:rsidR="77D3F659" w:rsidRPr="001A0890" w:rsidRDefault="77D3F659" w:rsidP="0082039B">
                  <w:pPr>
                    <w:rPr>
                      <w:rFonts w:eastAsiaTheme="minorEastAsia" w:cstheme="minorBidi"/>
                      <w:color w:val="000000" w:themeColor="text1"/>
                      <w:szCs w:val="20"/>
                      <w:lang w:val="fr-CA" w:eastAsia="es-AR"/>
                    </w:rPr>
                  </w:pPr>
                </w:p>
              </w:tc>
              <w:tc>
                <w:tcPr>
                  <w:tcW w:w="2486" w:type="dxa"/>
                </w:tcPr>
                <w:p w14:paraId="7C8DDAD9" w14:textId="56A8372D" w:rsidR="77D3F659" w:rsidRPr="001A0890" w:rsidRDefault="77D3F659" w:rsidP="77D3F65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</w:p>
              </w:tc>
              <w:tc>
                <w:tcPr>
                  <w:tcW w:w="2692" w:type="dxa"/>
                </w:tcPr>
                <w:p w14:paraId="7C8C8B8D" w14:textId="56A8372D" w:rsidR="77D3F659" w:rsidRPr="001A0890" w:rsidRDefault="77D3F659" w:rsidP="77D3F65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</w:p>
              </w:tc>
              <w:tc>
                <w:tcPr>
                  <w:tcW w:w="2450" w:type="dxa"/>
                </w:tcPr>
                <w:p w14:paraId="7A9C47F5" w14:textId="56A8372D" w:rsidR="77D3F659" w:rsidRPr="001A0890" w:rsidRDefault="77D3F659" w:rsidP="77D3F65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Cs w:val="20"/>
                      <w:lang w:val="fr-CA"/>
                    </w:rPr>
                  </w:pPr>
                </w:p>
              </w:tc>
            </w:tr>
          </w:tbl>
          <w:p w14:paraId="31D14CF4" w14:textId="16A95892" w:rsidR="77D3F659" w:rsidRPr="001A0890" w:rsidRDefault="77D3F659" w:rsidP="71AEA28A">
            <w:pPr>
              <w:spacing w:after="160" w:line="259" w:lineRule="auto"/>
              <w:rPr>
                <w:szCs w:val="20"/>
                <w:lang w:val="fr-CA"/>
              </w:rPr>
            </w:pPr>
          </w:p>
          <w:p w14:paraId="2D45DBD2" w14:textId="0541E4E6" w:rsidR="00E26A6C" w:rsidRPr="001A0890" w:rsidRDefault="00E26A6C" w:rsidP="00CF1430">
            <w:pPr>
              <w:rPr>
                <w:szCs w:val="20"/>
                <w:lang w:val="fr-CA"/>
              </w:rPr>
            </w:pPr>
          </w:p>
        </w:tc>
      </w:tr>
    </w:tbl>
    <w:p w14:paraId="74F02679" w14:textId="77777777" w:rsidR="00E26A6C" w:rsidRPr="001A0890" w:rsidRDefault="00E26A6C" w:rsidP="00E26A6C">
      <w:pPr>
        <w:rPr>
          <w:szCs w:val="20"/>
          <w:lang w:val="fr-CA"/>
        </w:rPr>
      </w:pPr>
    </w:p>
    <w:sectPr w:rsidR="00E26A6C" w:rsidRPr="001A0890" w:rsidSect="004B03CC">
      <w:headerReference w:type="default" r:id="rId30"/>
      <w:footerReference w:type="default" r:id="rId31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43A0" w14:textId="77777777" w:rsidR="001B0619" w:rsidRDefault="001B0619" w:rsidP="007511F3">
      <w:r>
        <w:separator/>
      </w:r>
    </w:p>
  </w:endnote>
  <w:endnote w:type="continuationSeparator" w:id="0">
    <w:p w14:paraId="287CF306" w14:textId="77777777" w:rsidR="001B0619" w:rsidRDefault="001B0619" w:rsidP="007511F3">
      <w:r>
        <w:continuationSeparator/>
      </w:r>
    </w:p>
  </w:endnote>
  <w:endnote w:type="continuationNotice" w:id="1">
    <w:p w14:paraId="4D3CAA96" w14:textId="77777777" w:rsidR="001B0619" w:rsidRDefault="001B06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3FB4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7A2C5" w14:textId="77777777" w:rsidR="001B0619" w:rsidRDefault="001B0619" w:rsidP="007511F3">
      <w:r>
        <w:separator/>
      </w:r>
    </w:p>
  </w:footnote>
  <w:footnote w:type="continuationSeparator" w:id="0">
    <w:p w14:paraId="59F1D2D3" w14:textId="77777777" w:rsidR="001B0619" w:rsidRDefault="001B0619" w:rsidP="007511F3">
      <w:r>
        <w:continuationSeparator/>
      </w:r>
    </w:p>
  </w:footnote>
  <w:footnote w:type="continuationNotice" w:id="1">
    <w:p w14:paraId="6C49678D" w14:textId="77777777" w:rsidR="001B0619" w:rsidRDefault="001B06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45A1" w14:textId="58DA0F2F" w:rsidR="007511F3" w:rsidRPr="00C23828" w:rsidRDefault="0035505A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ESO1004 : Diversification financière</w:t>
    </w:r>
    <w:r w:rsidR="00A52D1F">
      <w:rPr>
        <w:szCs w:val="20"/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4B6"/>
    <w:multiLevelType w:val="hybridMultilevel"/>
    <w:tmpl w:val="CD56FB2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3707F"/>
    <w:multiLevelType w:val="hybridMultilevel"/>
    <w:tmpl w:val="00D419A6"/>
    <w:lvl w:ilvl="0" w:tplc="6CCE99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EC037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A6E1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C0C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C4D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6E8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4ECA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BAB3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8473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47A92"/>
    <w:multiLevelType w:val="hybridMultilevel"/>
    <w:tmpl w:val="1B6C560E"/>
    <w:lvl w:ilvl="0" w:tplc="D592CBA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6281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324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E8BA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A4CA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02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684E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BC7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EE0E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C3BCA"/>
    <w:multiLevelType w:val="hybridMultilevel"/>
    <w:tmpl w:val="E7B223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25879"/>
    <w:multiLevelType w:val="hybridMultilevel"/>
    <w:tmpl w:val="A6B28F80"/>
    <w:lvl w:ilvl="0" w:tplc="950EC19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54C9B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7A9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F2AB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EC6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C0ED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2B6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30B6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0695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820A9F"/>
    <w:multiLevelType w:val="hybridMultilevel"/>
    <w:tmpl w:val="53821BD2"/>
    <w:lvl w:ilvl="0" w:tplc="862CAF3C">
      <w:start w:val="1"/>
      <w:numFmt w:val="decimal"/>
      <w:lvlText w:val="%1-"/>
      <w:lvlJc w:val="left"/>
      <w:pPr>
        <w:ind w:left="720" w:hanging="360"/>
      </w:pPr>
    </w:lvl>
    <w:lvl w:ilvl="1" w:tplc="FC18B6DC">
      <w:start w:val="1"/>
      <w:numFmt w:val="lowerLetter"/>
      <w:lvlText w:val="%2."/>
      <w:lvlJc w:val="left"/>
      <w:pPr>
        <w:ind w:left="1440" w:hanging="360"/>
      </w:pPr>
    </w:lvl>
    <w:lvl w:ilvl="2" w:tplc="AB2AF85E">
      <w:start w:val="1"/>
      <w:numFmt w:val="lowerRoman"/>
      <w:lvlText w:val="%3."/>
      <w:lvlJc w:val="right"/>
      <w:pPr>
        <w:ind w:left="2160" w:hanging="180"/>
      </w:pPr>
    </w:lvl>
    <w:lvl w:ilvl="3" w:tplc="FAC4B524">
      <w:start w:val="1"/>
      <w:numFmt w:val="decimal"/>
      <w:lvlText w:val="%4."/>
      <w:lvlJc w:val="left"/>
      <w:pPr>
        <w:ind w:left="2880" w:hanging="360"/>
      </w:pPr>
    </w:lvl>
    <w:lvl w:ilvl="4" w:tplc="AF84FC3A">
      <w:start w:val="1"/>
      <w:numFmt w:val="lowerLetter"/>
      <w:lvlText w:val="%5."/>
      <w:lvlJc w:val="left"/>
      <w:pPr>
        <w:ind w:left="3600" w:hanging="360"/>
      </w:pPr>
    </w:lvl>
    <w:lvl w:ilvl="5" w:tplc="D3D2AA88">
      <w:start w:val="1"/>
      <w:numFmt w:val="lowerRoman"/>
      <w:lvlText w:val="%6."/>
      <w:lvlJc w:val="right"/>
      <w:pPr>
        <w:ind w:left="4320" w:hanging="180"/>
      </w:pPr>
    </w:lvl>
    <w:lvl w:ilvl="6" w:tplc="C5A83034">
      <w:start w:val="1"/>
      <w:numFmt w:val="decimal"/>
      <w:lvlText w:val="%7."/>
      <w:lvlJc w:val="left"/>
      <w:pPr>
        <w:ind w:left="5040" w:hanging="360"/>
      </w:pPr>
    </w:lvl>
    <w:lvl w:ilvl="7" w:tplc="923C85C8">
      <w:start w:val="1"/>
      <w:numFmt w:val="lowerLetter"/>
      <w:lvlText w:val="%8."/>
      <w:lvlJc w:val="left"/>
      <w:pPr>
        <w:ind w:left="5760" w:hanging="360"/>
      </w:pPr>
    </w:lvl>
    <w:lvl w:ilvl="8" w:tplc="BA1C66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7"/>
  </w:num>
  <w:num w:numId="5">
    <w:abstractNumId w:val="1"/>
  </w:num>
  <w:num w:numId="6">
    <w:abstractNumId w:val="12"/>
  </w:num>
  <w:num w:numId="7">
    <w:abstractNumId w:val="9"/>
  </w:num>
  <w:num w:numId="8">
    <w:abstractNumId w:val="4"/>
  </w:num>
  <w:num w:numId="9">
    <w:abstractNumId w:val="13"/>
  </w:num>
  <w:num w:numId="10">
    <w:abstractNumId w:val="8"/>
  </w:num>
  <w:num w:numId="11">
    <w:abstractNumId w:val="15"/>
  </w:num>
  <w:num w:numId="12">
    <w:abstractNumId w:val="14"/>
  </w:num>
  <w:num w:numId="13">
    <w:abstractNumId w:val="5"/>
  </w:num>
  <w:num w:numId="14">
    <w:abstractNumId w:val="3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5A"/>
    <w:rsid w:val="000024F5"/>
    <w:rsid w:val="00012AF9"/>
    <w:rsid w:val="0004470F"/>
    <w:rsid w:val="000471A3"/>
    <w:rsid w:val="00066B0D"/>
    <w:rsid w:val="00073A7C"/>
    <w:rsid w:val="00077148"/>
    <w:rsid w:val="00087AE4"/>
    <w:rsid w:val="000C1560"/>
    <w:rsid w:val="00152AA3"/>
    <w:rsid w:val="00160385"/>
    <w:rsid w:val="00165EE1"/>
    <w:rsid w:val="001A0890"/>
    <w:rsid w:val="001B0619"/>
    <w:rsid w:val="001E5E77"/>
    <w:rsid w:val="00266A6D"/>
    <w:rsid w:val="0029013A"/>
    <w:rsid w:val="002D1760"/>
    <w:rsid w:val="002F74F6"/>
    <w:rsid w:val="00324581"/>
    <w:rsid w:val="00343B1E"/>
    <w:rsid w:val="00344C32"/>
    <w:rsid w:val="00346B13"/>
    <w:rsid w:val="0035505A"/>
    <w:rsid w:val="003B1F67"/>
    <w:rsid w:val="003F1774"/>
    <w:rsid w:val="003F3276"/>
    <w:rsid w:val="00405BB7"/>
    <w:rsid w:val="00421D00"/>
    <w:rsid w:val="00452D97"/>
    <w:rsid w:val="00455B7A"/>
    <w:rsid w:val="00456007"/>
    <w:rsid w:val="004664AB"/>
    <w:rsid w:val="00495B82"/>
    <w:rsid w:val="004B03CC"/>
    <w:rsid w:val="00523B13"/>
    <w:rsid w:val="00562E45"/>
    <w:rsid w:val="005CF247"/>
    <w:rsid w:val="00670B89"/>
    <w:rsid w:val="006C19BC"/>
    <w:rsid w:val="00712972"/>
    <w:rsid w:val="00731F2E"/>
    <w:rsid w:val="0073774D"/>
    <w:rsid w:val="007511F3"/>
    <w:rsid w:val="00753BCF"/>
    <w:rsid w:val="007546D0"/>
    <w:rsid w:val="00764F8C"/>
    <w:rsid w:val="007667D5"/>
    <w:rsid w:val="007C7357"/>
    <w:rsid w:val="007D1815"/>
    <w:rsid w:val="007D443C"/>
    <w:rsid w:val="007D56A6"/>
    <w:rsid w:val="0082039B"/>
    <w:rsid w:val="00823125"/>
    <w:rsid w:val="008333D0"/>
    <w:rsid w:val="008860E3"/>
    <w:rsid w:val="008A46DC"/>
    <w:rsid w:val="008B3251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20E4F"/>
    <w:rsid w:val="00A44CE4"/>
    <w:rsid w:val="00A50E94"/>
    <w:rsid w:val="00A52D1F"/>
    <w:rsid w:val="00A665DC"/>
    <w:rsid w:val="00A66D96"/>
    <w:rsid w:val="00A6760F"/>
    <w:rsid w:val="00A80808"/>
    <w:rsid w:val="00AB45B3"/>
    <w:rsid w:val="00AE603C"/>
    <w:rsid w:val="00B301C2"/>
    <w:rsid w:val="00B334BE"/>
    <w:rsid w:val="00B42933"/>
    <w:rsid w:val="00BE7391"/>
    <w:rsid w:val="00C13D37"/>
    <w:rsid w:val="00C23828"/>
    <w:rsid w:val="00CC5F55"/>
    <w:rsid w:val="00CD4951"/>
    <w:rsid w:val="00D02D1E"/>
    <w:rsid w:val="00D24CF4"/>
    <w:rsid w:val="00D418A1"/>
    <w:rsid w:val="00D835CF"/>
    <w:rsid w:val="00DB4CFC"/>
    <w:rsid w:val="00DE086F"/>
    <w:rsid w:val="00DF5F46"/>
    <w:rsid w:val="00E0390F"/>
    <w:rsid w:val="00E26A6C"/>
    <w:rsid w:val="00E31F7F"/>
    <w:rsid w:val="00E75886"/>
    <w:rsid w:val="00E849C2"/>
    <w:rsid w:val="00E9358C"/>
    <w:rsid w:val="00E93B4A"/>
    <w:rsid w:val="00F2439E"/>
    <w:rsid w:val="00F52677"/>
    <w:rsid w:val="00FA3C71"/>
    <w:rsid w:val="00FA5B54"/>
    <w:rsid w:val="013DCEB0"/>
    <w:rsid w:val="01413CFE"/>
    <w:rsid w:val="01720E86"/>
    <w:rsid w:val="0190807E"/>
    <w:rsid w:val="01B84C8E"/>
    <w:rsid w:val="01C16F1C"/>
    <w:rsid w:val="01D79A48"/>
    <w:rsid w:val="03C8AAE8"/>
    <w:rsid w:val="0425ABEA"/>
    <w:rsid w:val="0450FFAA"/>
    <w:rsid w:val="04672D9C"/>
    <w:rsid w:val="0509D38B"/>
    <w:rsid w:val="056F1D8A"/>
    <w:rsid w:val="057E913D"/>
    <w:rsid w:val="05B3EBF1"/>
    <w:rsid w:val="05D0E263"/>
    <w:rsid w:val="05E8A559"/>
    <w:rsid w:val="05F02985"/>
    <w:rsid w:val="064A8F3A"/>
    <w:rsid w:val="06904837"/>
    <w:rsid w:val="07BEC4FC"/>
    <w:rsid w:val="07C532F3"/>
    <w:rsid w:val="07ED2E75"/>
    <w:rsid w:val="08846B57"/>
    <w:rsid w:val="08D7C18B"/>
    <w:rsid w:val="095B8751"/>
    <w:rsid w:val="09C20C92"/>
    <w:rsid w:val="09DBAD66"/>
    <w:rsid w:val="09FB10BC"/>
    <w:rsid w:val="0A433904"/>
    <w:rsid w:val="0A598EDB"/>
    <w:rsid w:val="0A90E6C7"/>
    <w:rsid w:val="0AF02FA8"/>
    <w:rsid w:val="0B52154B"/>
    <w:rsid w:val="0B7461CA"/>
    <w:rsid w:val="0B777DC7"/>
    <w:rsid w:val="0BAB473F"/>
    <w:rsid w:val="0BC5E108"/>
    <w:rsid w:val="0C46F9A9"/>
    <w:rsid w:val="0C4A7E07"/>
    <w:rsid w:val="0C56BFE9"/>
    <w:rsid w:val="0C5C639F"/>
    <w:rsid w:val="0C8A8602"/>
    <w:rsid w:val="0CC07FD1"/>
    <w:rsid w:val="0D2480C2"/>
    <w:rsid w:val="0DD9F6C1"/>
    <w:rsid w:val="0E4820D1"/>
    <w:rsid w:val="0E70C128"/>
    <w:rsid w:val="0EF451B9"/>
    <w:rsid w:val="0F27B7B2"/>
    <w:rsid w:val="0FCAF52B"/>
    <w:rsid w:val="0FE9C771"/>
    <w:rsid w:val="1031DAC9"/>
    <w:rsid w:val="10C38813"/>
    <w:rsid w:val="1100284B"/>
    <w:rsid w:val="11494D1F"/>
    <w:rsid w:val="114D9D2F"/>
    <w:rsid w:val="1207ED26"/>
    <w:rsid w:val="1243EBE8"/>
    <w:rsid w:val="1263D1E0"/>
    <w:rsid w:val="1282D04F"/>
    <w:rsid w:val="1336698C"/>
    <w:rsid w:val="13EC53E4"/>
    <w:rsid w:val="144F30C3"/>
    <w:rsid w:val="146291C4"/>
    <w:rsid w:val="146D4094"/>
    <w:rsid w:val="146FA018"/>
    <w:rsid w:val="14853DF1"/>
    <w:rsid w:val="14CE0028"/>
    <w:rsid w:val="14E4749A"/>
    <w:rsid w:val="1592BCF6"/>
    <w:rsid w:val="15A42FDB"/>
    <w:rsid w:val="15CCEB5D"/>
    <w:rsid w:val="15ED4231"/>
    <w:rsid w:val="15FB6BF1"/>
    <w:rsid w:val="1620172E"/>
    <w:rsid w:val="1622EFF8"/>
    <w:rsid w:val="163A0A59"/>
    <w:rsid w:val="165611E8"/>
    <w:rsid w:val="17056660"/>
    <w:rsid w:val="17140DEF"/>
    <w:rsid w:val="17220185"/>
    <w:rsid w:val="172735C3"/>
    <w:rsid w:val="17B88EA3"/>
    <w:rsid w:val="17D5DABA"/>
    <w:rsid w:val="17F994A2"/>
    <w:rsid w:val="1846FF6B"/>
    <w:rsid w:val="184BC284"/>
    <w:rsid w:val="18BDD1E6"/>
    <w:rsid w:val="1903343D"/>
    <w:rsid w:val="192DA708"/>
    <w:rsid w:val="193022EE"/>
    <w:rsid w:val="1958AF14"/>
    <w:rsid w:val="19AE9659"/>
    <w:rsid w:val="19FE4FBE"/>
    <w:rsid w:val="1A3EF1E6"/>
    <w:rsid w:val="1A4B53BD"/>
    <w:rsid w:val="1AF02F65"/>
    <w:rsid w:val="1B53B61E"/>
    <w:rsid w:val="1B95A70F"/>
    <w:rsid w:val="1BF572A8"/>
    <w:rsid w:val="1D0F2BEB"/>
    <w:rsid w:val="1D98B7F6"/>
    <w:rsid w:val="1E2CB861"/>
    <w:rsid w:val="1E4467B3"/>
    <w:rsid w:val="1F179015"/>
    <w:rsid w:val="1F4C50F0"/>
    <w:rsid w:val="1F8D0373"/>
    <w:rsid w:val="1FC7F098"/>
    <w:rsid w:val="1FE0EC9F"/>
    <w:rsid w:val="202E6BAE"/>
    <w:rsid w:val="20612632"/>
    <w:rsid w:val="2083905D"/>
    <w:rsid w:val="20AB01D1"/>
    <w:rsid w:val="20F751DE"/>
    <w:rsid w:val="21745739"/>
    <w:rsid w:val="21C1E9BC"/>
    <w:rsid w:val="22BDEA20"/>
    <w:rsid w:val="23294E8E"/>
    <w:rsid w:val="23D23F65"/>
    <w:rsid w:val="23FF4E5A"/>
    <w:rsid w:val="2437B001"/>
    <w:rsid w:val="244BEF8E"/>
    <w:rsid w:val="245A429D"/>
    <w:rsid w:val="24715727"/>
    <w:rsid w:val="247A71BB"/>
    <w:rsid w:val="248CB69A"/>
    <w:rsid w:val="24947271"/>
    <w:rsid w:val="24B20A0D"/>
    <w:rsid w:val="24F060A1"/>
    <w:rsid w:val="256E0FC6"/>
    <w:rsid w:val="2572AA58"/>
    <w:rsid w:val="269DB6EC"/>
    <w:rsid w:val="272015D3"/>
    <w:rsid w:val="277838CD"/>
    <w:rsid w:val="2778526B"/>
    <w:rsid w:val="27E2ED34"/>
    <w:rsid w:val="28081B6B"/>
    <w:rsid w:val="280BDB29"/>
    <w:rsid w:val="2812A72F"/>
    <w:rsid w:val="28280163"/>
    <w:rsid w:val="2850C668"/>
    <w:rsid w:val="2858F4E8"/>
    <w:rsid w:val="285A7222"/>
    <w:rsid w:val="285DECA9"/>
    <w:rsid w:val="29304076"/>
    <w:rsid w:val="29A7DD43"/>
    <w:rsid w:val="29D4F77D"/>
    <w:rsid w:val="2A247E31"/>
    <w:rsid w:val="2A4AA0FB"/>
    <w:rsid w:val="2A5B93BF"/>
    <w:rsid w:val="2A62697B"/>
    <w:rsid w:val="2BC74C5B"/>
    <w:rsid w:val="2C070D83"/>
    <w:rsid w:val="2CF29D7E"/>
    <w:rsid w:val="2D64B3F1"/>
    <w:rsid w:val="2D705C7C"/>
    <w:rsid w:val="2D7A9635"/>
    <w:rsid w:val="2D82EFDC"/>
    <w:rsid w:val="2DB75614"/>
    <w:rsid w:val="2DC0CB9E"/>
    <w:rsid w:val="2DC7D826"/>
    <w:rsid w:val="2E751A5A"/>
    <w:rsid w:val="2E8607D6"/>
    <w:rsid w:val="2E88C793"/>
    <w:rsid w:val="2EAD0D25"/>
    <w:rsid w:val="2F04E45F"/>
    <w:rsid w:val="2F9F81FA"/>
    <w:rsid w:val="2FEBD272"/>
    <w:rsid w:val="2FEEA939"/>
    <w:rsid w:val="309F735A"/>
    <w:rsid w:val="30A28201"/>
    <w:rsid w:val="31004130"/>
    <w:rsid w:val="313F6D9B"/>
    <w:rsid w:val="322F265F"/>
    <w:rsid w:val="3243BE98"/>
    <w:rsid w:val="325660FF"/>
    <w:rsid w:val="32597D14"/>
    <w:rsid w:val="32B3B602"/>
    <w:rsid w:val="34094BC1"/>
    <w:rsid w:val="343D780E"/>
    <w:rsid w:val="3499E14B"/>
    <w:rsid w:val="34E2F463"/>
    <w:rsid w:val="357C5661"/>
    <w:rsid w:val="35A67B20"/>
    <w:rsid w:val="35AF9EDE"/>
    <w:rsid w:val="361D7310"/>
    <w:rsid w:val="3655AD36"/>
    <w:rsid w:val="367262ED"/>
    <w:rsid w:val="367B6AE1"/>
    <w:rsid w:val="368E581D"/>
    <w:rsid w:val="369ACF98"/>
    <w:rsid w:val="36C1533B"/>
    <w:rsid w:val="36CD4768"/>
    <w:rsid w:val="36FF6456"/>
    <w:rsid w:val="3740EC83"/>
    <w:rsid w:val="375E385A"/>
    <w:rsid w:val="37811EFC"/>
    <w:rsid w:val="381FC6A2"/>
    <w:rsid w:val="382E606D"/>
    <w:rsid w:val="384C3CC8"/>
    <w:rsid w:val="3861D97C"/>
    <w:rsid w:val="38670991"/>
    <w:rsid w:val="38B61D95"/>
    <w:rsid w:val="3934F4BD"/>
    <w:rsid w:val="39C5CE01"/>
    <w:rsid w:val="39D07FD7"/>
    <w:rsid w:val="3A174E0B"/>
    <w:rsid w:val="3A4669DC"/>
    <w:rsid w:val="3AE055E2"/>
    <w:rsid w:val="3B241A0F"/>
    <w:rsid w:val="3BF883A8"/>
    <w:rsid w:val="3D3B03F4"/>
    <w:rsid w:val="3EB55437"/>
    <w:rsid w:val="3F5CBF95"/>
    <w:rsid w:val="3FACD24C"/>
    <w:rsid w:val="3FC1F244"/>
    <w:rsid w:val="41AF2147"/>
    <w:rsid w:val="420BF368"/>
    <w:rsid w:val="428B8CB0"/>
    <w:rsid w:val="42A263EF"/>
    <w:rsid w:val="4323A330"/>
    <w:rsid w:val="433D512E"/>
    <w:rsid w:val="4346B08D"/>
    <w:rsid w:val="4377621D"/>
    <w:rsid w:val="4394B30B"/>
    <w:rsid w:val="43BC819F"/>
    <w:rsid w:val="43C7E11C"/>
    <w:rsid w:val="440A10FA"/>
    <w:rsid w:val="44117FE7"/>
    <w:rsid w:val="443FC9AD"/>
    <w:rsid w:val="4480208F"/>
    <w:rsid w:val="4497A17E"/>
    <w:rsid w:val="44D9218F"/>
    <w:rsid w:val="4558998C"/>
    <w:rsid w:val="464B9458"/>
    <w:rsid w:val="46FBC009"/>
    <w:rsid w:val="476B5C63"/>
    <w:rsid w:val="47A1801C"/>
    <w:rsid w:val="4822CF48"/>
    <w:rsid w:val="487B34EC"/>
    <w:rsid w:val="48E3B3D3"/>
    <w:rsid w:val="49446B93"/>
    <w:rsid w:val="496EDA52"/>
    <w:rsid w:val="49EB3D4D"/>
    <w:rsid w:val="4A1CF132"/>
    <w:rsid w:val="4A2B4014"/>
    <w:rsid w:val="4A99C450"/>
    <w:rsid w:val="4ADCD937"/>
    <w:rsid w:val="4AE3FB79"/>
    <w:rsid w:val="4B4BFF8E"/>
    <w:rsid w:val="4B6CED38"/>
    <w:rsid w:val="4C1522DF"/>
    <w:rsid w:val="4C814248"/>
    <w:rsid w:val="4CBA9A89"/>
    <w:rsid w:val="4CD80504"/>
    <w:rsid w:val="4CE6B865"/>
    <w:rsid w:val="4D0A8C11"/>
    <w:rsid w:val="4D7EEF41"/>
    <w:rsid w:val="4E1B9C3B"/>
    <w:rsid w:val="4E568417"/>
    <w:rsid w:val="4F3DFB32"/>
    <w:rsid w:val="4F3FDD01"/>
    <w:rsid w:val="4FCB2AAC"/>
    <w:rsid w:val="4FFBAB3D"/>
    <w:rsid w:val="500D3D20"/>
    <w:rsid w:val="5023C1BC"/>
    <w:rsid w:val="512C88C4"/>
    <w:rsid w:val="5149921A"/>
    <w:rsid w:val="51568F67"/>
    <w:rsid w:val="5167DF34"/>
    <w:rsid w:val="51D7D89E"/>
    <w:rsid w:val="520F2CA0"/>
    <w:rsid w:val="525F4738"/>
    <w:rsid w:val="52BF8911"/>
    <w:rsid w:val="5300B86F"/>
    <w:rsid w:val="531E2DED"/>
    <w:rsid w:val="537C4B10"/>
    <w:rsid w:val="54321A6A"/>
    <w:rsid w:val="547983BA"/>
    <w:rsid w:val="54DE0A82"/>
    <w:rsid w:val="54E3819E"/>
    <w:rsid w:val="5520E121"/>
    <w:rsid w:val="558BC8FE"/>
    <w:rsid w:val="55CC1AF4"/>
    <w:rsid w:val="56C16C20"/>
    <w:rsid w:val="574A4376"/>
    <w:rsid w:val="5750E11F"/>
    <w:rsid w:val="5787AB47"/>
    <w:rsid w:val="57987B2B"/>
    <w:rsid w:val="579BCA48"/>
    <w:rsid w:val="57CE8946"/>
    <w:rsid w:val="583753E1"/>
    <w:rsid w:val="59229BA8"/>
    <w:rsid w:val="59379AA9"/>
    <w:rsid w:val="59BD2C4D"/>
    <w:rsid w:val="59C5106C"/>
    <w:rsid w:val="5A73B317"/>
    <w:rsid w:val="5AE5837B"/>
    <w:rsid w:val="5B0D0D14"/>
    <w:rsid w:val="5B4371FD"/>
    <w:rsid w:val="5BE43753"/>
    <w:rsid w:val="5C10E1F5"/>
    <w:rsid w:val="5C19E399"/>
    <w:rsid w:val="5C2442F6"/>
    <w:rsid w:val="5C5A365B"/>
    <w:rsid w:val="5C9DDD2A"/>
    <w:rsid w:val="5CF233F2"/>
    <w:rsid w:val="5D0A04F9"/>
    <w:rsid w:val="5D0CCBC3"/>
    <w:rsid w:val="5D3F9B94"/>
    <w:rsid w:val="5D6691FE"/>
    <w:rsid w:val="5DF606BC"/>
    <w:rsid w:val="5E1C7D67"/>
    <w:rsid w:val="5E5F81C2"/>
    <w:rsid w:val="5E6FA0A2"/>
    <w:rsid w:val="5E888943"/>
    <w:rsid w:val="5F27100A"/>
    <w:rsid w:val="5F70C235"/>
    <w:rsid w:val="5F990E05"/>
    <w:rsid w:val="5FA37A4C"/>
    <w:rsid w:val="5FA533C7"/>
    <w:rsid w:val="6034B132"/>
    <w:rsid w:val="60BB5E35"/>
    <w:rsid w:val="60E2F9AB"/>
    <w:rsid w:val="61A852C3"/>
    <w:rsid w:val="61AA0861"/>
    <w:rsid w:val="61DD761C"/>
    <w:rsid w:val="62C200A1"/>
    <w:rsid w:val="63442324"/>
    <w:rsid w:val="63696B5D"/>
    <w:rsid w:val="6400E1A1"/>
    <w:rsid w:val="64424072"/>
    <w:rsid w:val="64FC1AD7"/>
    <w:rsid w:val="6560D263"/>
    <w:rsid w:val="6587E570"/>
    <w:rsid w:val="664A7654"/>
    <w:rsid w:val="664ED872"/>
    <w:rsid w:val="66A655FB"/>
    <w:rsid w:val="66F921BF"/>
    <w:rsid w:val="6716739B"/>
    <w:rsid w:val="6754EDDC"/>
    <w:rsid w:val="6833BB99"/>
    <w:rsid w:val="6892F242"/>
    <w:rsid w:val="68BC5C90"/>
    <w:rsid w:val="68D452C4"/>
    <w:rsid w:val="690669A4"/>
    <w:rsid w:val="6936086B"/>
    <w:rsid w:val="69CEEE6E"/>
    <w:rsid w:val="69D16DA0"/>
    <w:rsid w:val="6A473781"/>
    <w:rsid w:val="6AB61013"/>
    <w:rsid w:val="6B04BF1A"/>
    <w:rsid w:val="6B41ACC3"/>
    <w:rsid w:val="6B8B53F4"/>
    <w:rsid w:val="6C4C742E"/>
    <w:rsid w:val="6C6C4F8E"/>
    <w:rsid w:val="6D1756BE"/>
    <w:rsid w:val="6D1F7438"/>
    <w:rsid w:val="6D5EEBDB"/>
    <w:rsid w:val="6D7D09FF"/>
    <w:rsid w:val="6D8E9B8A"/>
    <w:rsid w:val="6D985915"/>
    <w:rsid w:val="6EBB4499"/>
    <w:rsid w:val="6EF80695"/>
    <w:rsid w:val="6F0CE2D8"/>
    <w:rsid w:val="6F5D85F3"/>
    <w:rsid w:val="6F6959D3"/>
    <w:rsid w:val="6FDDC3A8"/>
    <w:rsid w:val="7012D229"/>
    <w:rsid w:val="70A8B339"/>
    <w:rsid w:val="70F945AE"/>
    <w:rsid w:val="71117B89"/>
    <w:rsid w:val="71213265"/>
    <w:rsid w:val="71251050"/>
    <w:rsid w:val="71317227"/>
    <w:rsid w:val="71AEA28A"/>
    <w:rsid w:val="724BCBB0"/>
    <w:rsid w:val="72BED0A0"/>
    <w:rsid w:val="738F6A47"/>
    <w:rsid w:val="739F0E1D"/>
    <w:rsid w:val="7405853B"/>
    <w:rsid w:val="74112CD3"/>
    <w:rsid w:val="745CB112"/>
    <w:rsid w:val="747F0980"/>
    <w:rsid w:val="7515DC17"/>
    <w:rsid w:val="7533282E"/>
    <w:rsid w:val="75B36EAA"/>
    <w:rsid w:val="75BE9D04"/>
    <w:rsid w:val="76B1AC78"/>
    <w:rsid w:val="76EDB3B4"/>
    <w:rsid w:val="77153FE1"/>
    <w:rsid w:val="776A53AD"/>
    <w:rsid w:val="777A1018"/>
    <w:rsid w:val="77D3F659"/>
    <w:rsid w:val="78898415"/>
    <w:rsid w:val="78C7A34E"/>
    <w:rsid w:val="7909F714"/>
    <w:rsid w:val="793EBAAE"/>
    <w:rsid w:val="799AECFC"/>
    <w:rsid w:val="79B835F9"/>
    <w:rsid w:val="79CA71DA"/>
    <w:rsid w:val="79D84977"/>
    <w:rsid w:val="7A1B9AC0"/>
    <w:rsid w:val="7A6D1E92"/>
    <w:rsid w:val="7AA1168D"/>
    <w:rsid w:val="7B64FA3A"/>
    <w:rsid w:val="7B81E411"/>
    <w:rsid w:val="7B851D9B"/>
    <w:rsid w:val="7BA831A4"/>
    <w:rsid w:val="7D5943C5"/>
    <w:rsid w:val="7D64FB74"/>
    <w:rsid w:val="7D77119A"/>
    <w:rsid w:val="7D9A9B2C"/>
    <w:rsid w:val="7D9B1471"/>
    <w:rsid w:val="7DA4BF54"/>
    <w:rsid w:val="7E5A712C"/>
    <w:rsid w:val="7EB41221"/>
    <w:rsid w:val="7EC10E6D"/>
    <w:rsid w:val="7F42B5A6"/>
    <w:rsid w:val="7F5BC2A3"/>
    <w:rsid w:val="7F5C69A6"/>
    <w:rsid w:val="7F87C122"/>
    <w:rsid w:val="7F93BC78"/>
    <w:rsid w:val="7FA56C9C"/>
    <w:rsid w:val="7FC0F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6EBA8"/>
  <w15:chartTrackingRefBased/>
  <w15:docId w15:val="{6C76627C-0AF2-4727-8636-95A0A2C7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3B1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3B1E"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3B1E"/>
    <w:rPr>
      <w:sz w:val="16"/>
      <w:szCs w:val="16"/>
    </w:rPr>
  </w:style>
  <w:style w:type="table" w:styleId="TableauGrille1Clair">
    <w:name w:val="Grid Table 1 Light"/>
    <w:basedOn w:val="TableauNormal"/>
    <w:uiPriority w:val="46"/>
    <w:rsid w:val="008203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46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46D0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BE7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ttawa.ca/fr/financement" TargetMode="External"/><Relationship Id="rId18" Type="http://schemas.openxmlformats.org/officeDocument/2006/relationships/hyperlink" Target="https://www.edc.ca/" TargetMode="External"/><Relationship Id="rId26" Type="http://schemas.openxmlformats.org/officeDocument/2006/relationships/hyperlink" Target="https://www.bdc.ca/fr/articles-outils/strategie-affaires-planification/definir-strategie/definir-votre-enonce-mission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esaffaires.com/blogues/kim-auclair/anges-financiers-ou-vc/536784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ontario.ca/fr/page/acces-pour-les-petites-entreprises-de-lontario" TargetMode="External"/><Relationship Id="rId17" Type="http://schemas.openxmlformats.org/officeDocument/2006/relationships/hyperlink" Target="https://www.bdc.ca/fr" TargetMode="External"/><Relationship Id="rId25" Type="http://schemas.openxmlformats.org/officeDocument/2006/relationships/hyperlink" Target="https://www.buysocialcanada.com/wp-content/uploads/fr_bsc_socialprocurement_r3_interactive.pdf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rontfundr.com/" TargetMode="External"/><Relationship Id="rId20" Type="http://schemas.openxmlformats.org/officeDocument/2006/relationships/hyperlink" Target="https://gopeer.ca/borrow/" TargetMode="External"/><Relationship Id="rId29" Type="http://schemas.openxmlformats.org/officeDocument/2006/relationships/hyperlink" Target="https://altametrics.com/fr/business-development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novation.ised-isde.canada.ca/s/?language=fr_CA" TargetMode="External"/><Relationship Id="rId24" Type="http://schemas.openxmlformats.org/officeDocument/2006/relationships/hyperlink" Target="https://www.bdc.ca/fr/articles-outils/boite-outils-entrepreneur/gabarits-documents-guides-affaires/glossaire/fusions-et-acquisitions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gofundme.com/fr-ca" TargetMode="External"/><Relationship Id="rId23" Type="http://schemas.openxmlformats.org/officeDocument/2006/relationships/hyperlink" Target="https://tiess.ca/obligations-communautaires-info/" TargetMode="External"/><Relationship Id="rId28" Type="http://schemas.openxmlformats.org/officeDocument/2006/relationships/hyperlink" Target="https://www.ic.gc.ca/eic/site/053.nsf/fra/h_00006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fcc-fac.ca/fr.html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lear.co/" TargetMode="External"/><Relationship Id="rId22" Type="http://schemas.openxmlformats.org/officeDocument/2006/relationships/hyperlink" Target="https://www.disnat.com/centre-apprentissage/notions-bourse/principes-fondamentaux-des-obligations/qu-est-ce-qu-une-obligation" TargetMode="External"/><Relationship Id="rId27" Type="http://schemas.openxmlformats.org/officeDocument/2006/relationships/hyperlink" Target="https://www.contact.ulaval.ca/article_blogue/organisation-juridique-de-lentreprise-sociale/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FECB18-236A-472B-88F2-23825ED6A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3623E6-569C-45A8-B680-950E5251F9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4CDBB-13CD-424E-A185-D47BBB4928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1250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26</cp:revision>
  <cp:lastPrinted>2016-11-10T13:40:00Z</cp:lastPrinted>
  <dcterms:created xsi:type="dcterms:W3CDTF">2022-01-26T16:51:00Z</dcterms:created>
  <dcterms:modified xsi:type="dcterms:W3CDTF">2022-02-28T19:06:00Z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