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1E58E3" w14:paraId="2069D7FD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35239A6" w:rsidR="00F52677" w:rsidRPr="001E58E3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E58E3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1E58E3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1E58E3">
              <w:rPr>
                <w:rFonts w:cs="Arial"/>
                <w:b/>
                <w:szCs w:val="20"/>
                <w:lang w:val="fr-CA"/>
              </w:rPr>
              <w:t>odule</w:t>
            </w:r>
            <w:r w:rsidR="004A6C1C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1E58E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1E58E3" w14:paraId="009014E8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D97322D" w:rsidR="000024F5" w:rsidRPr="001E58E3" w:rsidRDefault="51883238" w:rsidP="2709C33E">
            <w:pPr>
              <w:rPr>
                <w:rFonts w:cs="Arial"/>
                <w:lang w:val="fr-CA"/>
              </w:rPr>
            </w:pPr>
            <w:r w:rsidRPr="001E58E3">
              <w:rPr>
                <w:rFonts w:cs="Arial"/>
                <w:lang w:val="fr-CA"/>
              </w:rPr>
              <w:t>2</w:t>
            </w:r>
          </w:p>
        </w:tc>
      </w:tr>
      <w:tr w:rsidR="00F52677" w:rsidRPr="001E58E3" w14:paraId="43602E5D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4B342B83" w:rsidR="00F52677" w:rsidRPr="001E58E3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E58E3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1E58E3">
              <w:rPr>
                <w:rFonts w:cs="Arial"/>
                <w:b/>
                <w:szCs w:val="20"/>
                <w:lang w:val="fr-CA"/>
              </w:rPr>
              <w:t>odule</w:t>
            </w:r>
            <w:r w:rsidR="004A6C1C">
              <w:rPr>
                <w:rFonts w:cs="Arial"/>
                <w:b/>
                <w:szCs w:val="20"/>
                <w:lang w:val="fr-CA"/>
              </w:rPr>
              <w:t> </w:t>
            </w:r>
            <w:r w:rsidRPr="001E58E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1E58E3" w14:paraId="29FD4A01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50EF201C" w:rsidR="00A665DC" w:rsidRPr="001E58E3" w:rsidRDefault="2DAAAC28" w:rsidP="2709C33E">
            <w:pPr>
              <w:rPr>
                <w:rFonts w:cs="Arial"/>
                <w:lang w:val="fr-CA"/>
              </w:rPr>
            </w:pPr>
            <w:r w:rsidRPr="001E58E3">
              <w:rPr>
                <w:rFonts w:cs="Arial"/>
                <w:lang w:val="fr-CA"/>
              </w:rPr>
              <w:t>Recommandations d’outils de vente et d’achat</w:t>
            </w:r>
          </w:p>
        </w:tc>
      </w:tr>
      <w:tr w:rsidR="00495B82" w:rsidRPr="001E58E3" w14:paraId="0854CD54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1E58E3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E58E3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1E58E3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1E58E3" w14:paraId="4C90E2AB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6E610105" w:rsidR="00523B13" w:rsidRPr="001E58E3" w:rsidRDefault="6E34D4F9" w:rsidP="15E6A505">
            <w:pPr>
              <w:spacing w:after="200" w:line="276" w:lineRule="auto"/>
              <w:rPr>
                <w:rFonts w:eastAsia="Verdana" w:cs="Verdana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Recommander des outils de vente et d’achat selon la clientèle cible afin d’ajouter une valeur sociale en lien avec des stratégies de commercialisation innovatrice de l’entreprise sociale.</w:t>
            </w:r>
          </w:p>
        </w:tc>
      </w:tr>
      <w:tr w:rsidR="00523B13" w:rsidRPr="001E58E3" w14:paraId="640A3004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490053D3" w:rsidR="00523B13" w:rsidRPr="001E58E3" w:rsidRDefault="00523B13" w:rsidP="292083AA">
            <w:pPr>
              <w:rPr>
                <w:rFonts w:cs="Arial"/>
                <w:b/>
                <w:bCs/>
                <w:lang w:val="fr-CA"/>
              </w:rPr>
            </w:pPr>
            <w:r w:rsidRPr="001E58E3">
              <w:rPr>
                <w:rFonts w:cs="Arial"/>
                <w:b/>
                <w:bCs/>
                <w:lang w:val="fr-CA"/>
              </w:rPr>
              <w:t>Élément</w:t>
            </w:r>
            <w:r w:rsidR="572E36B9" w:rsidRPr="001E58E3">
              <w:rPr>
                <w:rFonts w:cs="Arial"/>
                <w:b/>
                <w:bCs/>
                <w:lang w:val="fr-CA"/>
              </w:rPr>
              <w:t>s</w:t>
            </w:r>
            <w:r w:rsidRPr="001E58E3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1E58E3" w14:paraId="51D26B04" w14:textId="77777777" w:rsidTr="15E6A5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B098A" w14:textId="7BDE5ADD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identifier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différents outils de vente et d’achat sur le marché</w:t>
            </w:r>
          </w:p>
          <w:p w14:paraId="404FE392" w14:textId="030AAD35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énumérer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avantages et les inconvénients de la vente en ligne et son impact sur l’entreprise sociale</w:t>
            </w:r>
          </w:p>
          <w:p w14:paraId="7CFB8E70" w14:textId="61A8C68F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comparer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différents systèmes transactionnels pouvant être utilisés par une entreprise sociale</w:t>
            </w:r>
          </w:p>
          <w:p w14:paraId="35E93E9A" w14:textId="632FFF05" w:rsidR="00523B13" w:rsidRPr="001E58E3" w:rsidRDefault="08373016" w:rsidP="15E6A505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prévoir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l’impact de divers outils de vente et d’achat, tel</w:t>
            </w:r>
            <w:r w:rsidR="00465352"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que la vente en ligne, ainsi que leurs conséquences potentielles</w:t>
            </w:r>
          </w:p>
          <w:p w14:paraId="7EAF6EBC" w14:textId="08314301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proposer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stratégies à inclure dans un plan d’action pour réduire l’impact négatif potentiel des outils de vente et d’achat pour l’entreprise sociale</w:t>
            </w:r>
          </w:p>
          <w:p w14:paraId="539FA635" w14:textId="5AEF5511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discuter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 l’importance d’ajouter une valeur sociale dans les stratégies de commercialisation</w:t>
            </w:r>
          </w:p>
          <w:p w14:paraId="3764BEA2" w14:textId="3E735F5A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choisir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systèmes transactionnels en lien avec les besoins de l’entreprise sociale</w:t>
            </w:r>
          </w:p>
          <w:p w14:paraId="012BAA05" w14:textId="597BA2CA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établir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jalons permettant de mesurer l’impact de l’implantation de systèmes transactionnels dans l’entreprise sociale</w:t>
            </w:r>
          </w:p>
          <w:p w14:paraId="1378E311" w14:textId="2140D922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tenir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compte des besoins de l’entreprise sociale lors de la sélection des outils de vente et d’achat</w:t>
            </w:r>
          </w:p>
          <w:p w14:paraId="263B8692" w14:textId="4FD6B223" w:rsidR="00523B13" w:rsidRPr="001E58E3" w:rsidRDefault="70A6EA74" w:rsidP="7B6AB2D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faire</w:t>
            </w:r>
            <w:proofErr w:type="gramEnd"/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preuve d’innovation et de créativité en recommandant des outils de vente et d’achat qui répondent aux besoins du marché numérique</w:t>
            </w:r>
          </w:p>
          <w:p w14:paraId="75E0F2E0" w14:textId="5C971EB8" w:rsidR="00523B13" w:rsidRPr="001E58E3" w:rsidRDefault="00523B13" w:rsidP="7B6AB2DD">
            <w:pPr>
              <w:rPr>
                <w:szCs w:val="20"/>
                <w:lang w:val="fr-CA"/>
              </w:rPr>
            </w:pPr>
          </w:p>
        </w:tc>
      </w:tr>
    </w:tbl>
    <w:p w14:paraId="746E0840" w14:textId="7EC4CF3A" w:rsidR="00F52677" w:rsidRPr="001E58E3" w:rsidRDefault="00F52677" w:rsidP="4CBF3A6A">
      <w:pPr>
        <w:spacing w:after="200"/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1E58E3" w14:paraId="60791FCC" w14:textId="77777777" w:rsidTr="446B2B2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1E58E3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1E58E3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1E58E3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1E58E3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1DCAE413" w:rsidR="00F52677" w:rsidRPr="001E58E3" w:rsidRDefault="0DD84865" w:rsidP="292083AA">
            <w:pPr>
              <w:rPr>
                <w:rFonts w:cs="Arial"/>
                <w:lang w:val="fr-CA"/>
              </w:rPr>
            </w:pPr>
            <w:r w:rsidRPr="001E58E3">
              <w:rPr>
                <w:rFonts w:cs="Arial"/>
                <w:lang w:val="fr-CA"/>
              </w:rPr>
              <w:t>Séance de cours</w:t>
            </w:r>
            <w:r w:rsidR="004A6C1C">
              <w:rPr>
                <w:rFonts w:cs="Arial"/>
                <w:lang w:val="fr-CA"/>
              </w:rPr>
              <w:t> </w:t>
            </w:r>
            <w:r w:rsidRPr="001E58E3">
              <w:rPr>
                <w:rFonts w:cs="Arial"/>
                <w:lang w:val="fr-CA"/>
              </w:rPr>
              <w:t>5</w:t>
            </w:r>
            <w:r w:rsidR="004A6C1C">
              <w:rPr>
                <w:rFonts w:cs="Arial"/>
                <w:lang w:val="fr-CA"/>
              </w:rPr>
              <w:t> </w:t>
            </w:r>
            <w:r w:rsidRPr="001E58E3">
              <w:rPr>
                <w:rFonts w:cs="Arial"/>
                <w:lang w:val="fr-CA"/>
              </w:rPr>
              <w:t xml:space="preserve">: </w:t>
            </w:r>
            <w:r w:rsidR="003E201B">
              <w:rPr>
                <w:rFonts w:cs="Arial"/>
                <w:lang w:val="fr-CA"/>
              </w:rPr>
              <w:t>O</w:t>
            </w:r>
            <w:r w:rsidRPr="001E58E3">
              <w:rPr>
                <w:rFonts w:cs="Arial"/>
                <w:lang w:val="fr-CA"/>
              </w:rPr>
              <w:t>utils d’achat</w:t>
            </w:r>
          </w:p>
        </w:tc>
      </w:tr>
    </w:tbl>
    <w:p w14:paraId="21C5CF78" w14:textId="77777777" w:rsidR="00E26A6C" w:rsidRPr="001E58E3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1E58E3" w14:paraId="05E0D538" w14:textId="77777777" w:rsidTr="600A571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1E58E3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1E58E3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1E58E3" w14:paraId="18A9063B" w14:textId="77777777" w:rsidTr="600A571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4585FCEE" w:rsidR="00E26A6C" w:rsidRPr="001E58E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E58E3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4A6C1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E58E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E58E3" w14:paraId="47B35103" w14:textId="77777777" w:rsidTr="600A571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A5A5" w14:textId="0B9C5E95" w:rsidR="00E26A6C" w:rsidRPr="001E58E3" w:rsidRDefault="4478B4AB" w:rsidP="15E6A505">
            <w:pPr>
              <w:rPr>
                <w:rFonts w:ascii="Arial" w:eastAsia="Arial" w:hAnsi="Arial" w:cs="Arial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Cette séance de cours te permettra de faire le tour des divers outils d’achat susceptibles d’être efficaces dans le domaine.</w:t>
            </w:r>
          </w:p>
          <w:p w14:paraId="2760CD5E" w14:textId="78F6C0BE" w:rsidR="00E26A6C" w:rsidRPr="001E58E3" w:rsidRDefault="00E26A6C" w:rsidP="15E6A505">
            <w:pPr>
              <w:rPr>
                <w:szCs w:val="20"/>
                <w:lang w:val="fr-CA"/>
              </w:rPr>
            </w:pPr>
          </w:p>
        </w:tc>
      </w:tr>
      <w:tr w:rsidR="00E26A6C" w:rsidRPr="001E58E3" w14:paraId="03F36783" w14:textId="77777777" w:rsidTr="600A571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36A8B376" w:rsidR="00E26A6C" w:rsidRPr="001E58E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E58E3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4A6C1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E58E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E58E3" w14:paraId="661D9A2B" w14:textId="77777777" w:rsidTr="600A571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B8BE1" w14:textId="3B51D409" w:rsidR="00E26A6C" w:rsidRPr="001E58E3" w:rsidRDefault="74D75616" w:rsidP="15E6A505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Les achats que l’entreprise sociale effectue pour son activité doivent respecter sa mission, sa vision et ses valeurs. Par exemple</w:t>
            </w:r>
            <w:r w:rsidR="003E3FFF">
              <w:rPr>
                <w:rFonts w:eastAsia="Verdana" w:cs="Verdana"/>
                <w:color w:val="000000" w:themeColor="text1"/>
                <w:szCs w:val="20"/>
                <w:lang w:val="fr-CA"/>
              </w:rPr>
              <w:t>,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l’entreprise d’économie sociale doit s’efforcer de s’approvisionner en favorisant l’impact social. Pour ce faire, il est impératif de mettre en place des outils d’achat </w:t>
            </w:r>
            <w:r w:rsidR="007E44F5">
              <w:rPr>
                <w:rFonts w:eastAsia="Verdana" w:cs="Verdana"/>
                <w:color w:val="000000" w:themeColor="text1"/>
                <w:szCs w:val="20"/>
                <w:lang w:val="fr-CA"/>
              </w:rPr>
              <w:t>pour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ses matières premières, ses entrants ou ses fournitures diverses. </w:t>
            </w:r>
          </w:p>
          <w:p w14:paraId="46C4C39E" w14:textId="76E244C1" w:rsidR="00E26A6C" w:rsidRPr="001E58E3" w:rsidRDefault="74D75616" w:rsidP="15E6A505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Les outils d’achat se résument </w:t>
            </w:r>
            <w:r w:rsidR="00530831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à 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des critères à </w:t>
            </w:r>
            <w:r w:rsidR="00530831">
              <w:rPr>
                <w:rFonts w:eastAsia="Verdana" w:cs="Verdana"/>
                <w:color w:val="000000" w:themeColor="text1"/>
                <w:szCs w:val="20"/>
                <w:lang w:val="fr-CA"/>
              </w:rPr>
              <w:t>appliquer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pour effectuer les achats. Il peut s’agir d’une sélection des fournisseurs en fonction de leur mission ou de leurs valeurs, </w:t>
            </w:r>
            <w:r w:rsidR="002A25D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mais aussi 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critères d’achat responsable pour </w:t>
            </w:r>
            <w:r w:rsidR="00EB79DA">
              <w:rPr>
                <w:rFonts w:eastAsia="Verdana" w:cs="Verdana"/>
                <w:color w:val="000000" w:themeColor="text1"/>
                <w:szCs w:val="20"/>
                <w:lang w:val="fr-CA"/>
              </w:rPr>
              <w:t>se procurer</w:t>
            </w:r>
            <w:r w:rsidR="00EB79DA"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des produits durables ou de critères de performances des achats par rapport aux résultats globaux de l’entreprise.</w:t>
            </w:r>
          </w:p>
          <w:p w14:paraId="7392418F" w14:textId="347D3EA5" w:rsidR="00E26A6C" w:rsidRPr="001E58E3" w:rsidRDefault="74D75616" w:rsidP="15E6A505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Tu dois savoir que les outils d’achat sont importants pour l’entreprise sociale</w:t>
            </w:r>
            <w:r w:rsidR="00271F77">
              <w:rPr>
                <w:rFonts w:eastAsia="Verdana" w:cs="Verdana"/>
                <w:color w:val="000000" w:themeColor="text1"/>
                <w:szCs w:val="20"/>
                <w:lang w:val="fr-CA"/>
              </w:rPr>
              <w:t>,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car </w:t>
            </w:r>
            <w:r w:rsidR="00492CF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en plus de 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les utiliser pour ses propres achats, elle doit savoir que les organisations </w:t>
            </w:r>
            <w:r w:rsidR="00492CF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se servent de </w:t>
            </w:r>
            <w:r w:rsidRPr="001E58E3">
              <w:rPr>
                <w:rFonts w:eastAsia="Verdana" w:cs="Verdana"/>
                <w:color w:val="000000" w:themeColor="text1"/>
                <w:szCs w:val="20"/>
                <w:lang w:val="fr-CA"/>
              </w:rPr>
              <w:t>ces outils pour favoriser le développement des affaires avec elle. Par exemple, une municipalité peut utiliser ces outils d’achat pour identifier une entreprise d’économie sociale et lui octroyer un contrat.</w:t>
            </w:r>
          </w:p>
          <w:p w14:paraId="2BD6AFA8" w14:textId="24C73DC4" w:rsidR="00E26A6C" w:rsidRPr="001E58E3" w:rsidRDefault="00E26A6C" w:rsidP="15E6A505">
            <w:pPr>
              <w:rPr>
                <w:szCs w:val="20"/>
                <w:lang w:val="fr-CA"/>
              </w:rPr>
            </w:pPr>
          </w:p>
        </w:tc>
      </w:tr>
      <w:tr w:rsidR="00E26A6C" w:rsidRPr="001E58E3" w14:paraId="3F26A787" w14:textId="77777777" w:rsidTr="600A571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00784B07" w:rsidR="00E26A6C" w:rsidRPr="001E58E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E58E3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4A6C1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E58E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E58E3" w14:paraId="154B043C" w14:textId="77777777" w:rsidTr="600A571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2DF3F" w14:textId="7AB0D863" w:rsidR="00E26A6C" w:rsidRPr="001E58E3" w:rsidRDefault="5A7A77E2" w:rsidP="15E6A505">
            <w:pPr>
              <w:rPr>
                <w:b/>
                <w:bCs/>
                <w:szCs w:val="20"/>
                <w:lang w:val="fr-CA"/>
              </w:rPr>
            </w:pPr>
            <w:r w:rsidRPr="001E58E3">
              <w:rPr>
                <w:b/>
                <w:bCs/>
                <w:szCs w:val="20"/>
                <w:lang w:val="fr-CA"/>
              </w:rPr>
              <w:lastRenderedPageBreak/>
              <w:t>Thèmes à l’étude</w:t>
            </w:r>
          </w:p>
          <w:p w14:paraId="44DAC7E2" w14:textId="43D918BB" w:rsidR="580EBB1B" w:rsidRPr="001E58E3" w:rsidRDefault="580EBB1B" w:rsidP="15E6A505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Outils d’achat</w:t>
            </w:r>
          </w:p>
          <w:p w14:paraId="710BC797" w14:textId="7A96A123" w:rsidR="580EBB1B" w:rsidRPr="001E58E3" w:rsidRDefault="580EBB1B" w:rsidP="15E6A505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Systèmes d’achat</w:t>
            </w:r>
          </w:p>
          <w:p w14:paraId="19E879D3" w14:textId="71CB262B" w:rsidR="580EBB1B" w:rsidRPr="001E58E3" w:rsidRDefault="580EBB1B" w:rsidP="15E6A505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Achats et fournisseurs</w:t>
            </w:r>
          </w:p>
          <w:p w14:paraId="54AFAA25" w14:textId="4C067514" w:rsidR="00E26A6C" w:rsidRPr="001E58E3" w:rsidRDefault="580EBB1B" w:rsidP="15E6A505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szCs w:val="20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Place à la</w:t>
            </w:r>
            <w:r w:rsidR="075F177F" w:rsidRPr="001E58E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 xml:space="preserve"> valeur sociale dans les stratégies de commercialisation</w:t>
            </w:r>
          </w:p>
          <w:p w14:paraId="55CC01D4" w14:textId="373A99BE" w:rsidR="00E26A6C" w:rsidRPr="001F364A" w:rsidRDefault="407DF9B5" w:rsidP="15E6A505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</w:pPr>
            <w:r w:rsidRPr="001E58E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Stratégies pour réduire l’impact négatif des outils de vente et d’achat</w:t>
            </w:r>
          </w:p>
          <w:p w14:paraId="15733868" w14:textId="438F0AC1" w:rsidR="00E26A6C" w:rsidRPr="001F364A" w:rsidRDefault="42BCA795" w:rsidP="15E6A505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</w:pPr>
            <w:r w:rsidRPr="001F364A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Comité de travail (discussion)</w:t>
            </w:r>
          </w:p>
          <w:p w14:paraId="476A4ECE" w14:textId="2287AA12" w:rsidR="00E26A6C" w:rsidRPr="001F364A" w:rsidRDefault="42BCA795" w:rsidP="600A5713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</w:pPr>
            <w:r w:rsidRPr="600A5713"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  <w:t>Période de questions</w:t>
            </w:r>
          </w:p>
          <w:p w14:paraId="025E5BE1" w14:textId="0D9FF036" w:rsidR="600A5713" w:rsidRDefault="600A5713" w:rsidP="600A5713">
            <w:pPr>
              <w:pStyle w:val="Paragraphedeliste"/>
              <w:numPr>
                <w:ilvl w:val="0"/>
                <w:numId w:val="3"/>
              </w:numPr>
              <w:rPr>
                <w:rFonts w:eastAsia="Verdana" w:cs="Verdana"/>
                <w:color w:val="000000" w:themeColor="text1"/>
                <w:sz w:val="22"/>
                <w:szCs w:val="22"/>
                <w:lang w:val="fr-CA"/>
              </w:rPr>
            </w:pPr>
            <w:r w:rsidRPr="600A5713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48F5B5C4" w14:textId="18858267" w:rsidR="00E26A6C" w:rsidRPr="001E58E3" w:rsidRDefault="00E26A6C" w:rsidP="12556064">
            <w:pPr>
              <w:rPr>
                <w:color w:val="000000" w:themeColor="text1"/>
                <w:szCs w:val="20"/>
                <w:lang w:val="fr-CA"/>
              </w:rPr>
            </w:pPr>
          </w:p>
        </w:tc>
      </w:tr>
    </w:tbl>
    <w:p w14:paraId="41D89E34" w14:textId="77777777" w:rsidR="00E26A6C" w:rsidRPr="001E58E3" w:rsidRDefault="00E26A6C" w:rsidP="00E26A6C">
      <w:pPr>
        <w:rPr>
          <w:lang w:val="fr-CA"/>
        </w:rPr>
      </w:pPr>
    </w:p>
    <w:sectPr w:rsidR="00E26A6C" w:rsidRPr="001E58E3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C8342" w14:textId="77777777" w:rsidR="003F7FF4" w:rsidRDefault="003F7FF4" w:rsidP="007511F3">
      <w:r>
        <w:separator/>
      </w:r>
    </w:p>
  </w:endnote>
  <w:endnote w:type="continuationSeparator" w:id="0">
    <w:p w14:paraId="0E198165" w14:textId="77777777" w:rsidR="003F7FF4" w:rsidRDefault="003F7FF4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EC26" w14:textId="77777777" w:rsidR="003F7FF4" w:rsidRDefault="003F7FF4" w:rsidP="007511F3">
      <w:r>
        <w:separator/>
      </w:r>
    </w:p>
  </w:footnote>
  <w:footnote w:type="continuationSeparator" w:id="0">
    <w:p w14:paraId="0FAC039F" w14:textId="77777777" w:rsidR="003F7FF4" w:rsidRDefault="003F7FF4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40842F4B" w:rsidR="007511F3" w:rsidRPr="00A648B2" w:rsidRDefault="00A648B2" w:rsidP="2709C33E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A648B2">
      <w:rPr>
        <w:b/>
        <w:bCs/>
        <w:lang w:val="fr-CA"/>
      </w:rPr>
      <w:t xml:space="preserve">ESO1007 - </w:t>
    </w:r>
    <w:r w:rsidR="2709C33E" w:rsidRPr="00A648B2">
      <w:rPr>
        <w:b/>
        <w:bCs/>
        <w:lang w:val="fr-CA"/>
      </w:rPr>
      <w:t xml:space="preserve">Commercialisation et approvisionnement social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B79F0"/>
    <w:multiLevelType w:val="hybridMultilevel"/>
    <w:tmpl w:val="5AE20F30"/>
    <w:lvl w:ilvl="0" w:tplc="1CB251F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DE8D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20F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C28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E9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80E1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029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764F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CA52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57BC3"/>
    <w:multiLevelType w:val="hybridMultilevel"/>
    <w:tmpl w:val="5A3E8A06"/>
    <w:lvl w:ilvl="0" w:tplc="AA924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C8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52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00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42D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2E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EB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E8D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CAB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00EC3"/>
    <w:multiLevelType w:val="hybridMultilevel"/>
    <w:tmpl w:val="157A6DFA"/>
    <w:lvl w:ilvl="0" w:tplc="8EE2E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6A0C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3262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A8A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C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643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E09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58F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0E5A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55D03"/>
    <w:rsid w:val="00066B0D"/>
    <w:rsid w:val="00073A7C"/>
    <w:rsid w:val="00077148"/>
    <w:rsid w:val="00087AE4"/>
    <w:rsid w:val="000C1560"/>
    <w:rsid w:val="00152AA3"/>
    <w:rsid w:val="00160385"/>
    <w:rsid w:val="001679A7"/>
    <w:rsid w:val="001E58E3"/>
    <w:rsid w:val="001E5E77"/>
    <w:rsid w:val="001F364A"/>
    <w:rsid w:val="00266A6D"/>
    <w:rsid w:val="00271F77"/>
    <w:rsid w:val="0029013A"/>
    <w:rsid w:val="002A25D0"/>
    <w:rsid w:val="002D1760"/>
    <w:rsid w:val="002F74F6"/>
    <w:rsid w:val="00324581"/>
    <w:rsid w:val="00346B13"/>
    <w:rsid w:val="003B1F67"/>
    <w:rsid w:val="003E201B"/>
    <w:rsid w:val="003E3FFF"/>
    <w:rsid w:val="003F1774"/>
    <w:rsid w:val="003F7FF4"/>
    <w:rsid w:val="00421D00"/>
    <w:rsid w:val="00452D97"/>
    <w:rsid w:val="00456007"/>
    <w:rsid w:val="00465352"/>
    <w:rsid w:val="004664AB"/>
    <w:rsid w:val="00492CFA"/>
    <w:rsid w:val="00495B82"/>
    <w:rsid w:val="004A6C1C"/>
    <w:rsid w:val="004B03CC"/>
    <w:rsid w:val="00523B13"/>
    <w:rsid w:val="00530831"/>
    <w:rsid w:val="00562E45"/>
    <w:rsid w:val="00670B89"/>
    <w:rsid w:val="006C19BC"/>
    <w:rsid w:val="0071135F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7E44F5"/>
    <w:rsid w:val="008860E3"/>
    <w:rsid w:val="008B325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48B2"/>
    <w:rsid w:val="00A665DC"/>
    <w:rsid w:val="00A80808"/>
    <w:rsid w:val="00AB45B3"/>
    <w:rsid w:val="00AE603C"/>
    <w:rsid w:val="00C13D37"/>
    <w:rsid w:val="00C14EB4"/>
    <w:rsid w:val="00C23828"/>
    <w:rsid w:val="00CC5F55"/>
    <w:rsid w:val="00CD4951"/>
    <w:rsid w:val="00CE1207"/>
    <w:rsid w:val="00D24CF4"/>
    <w:rsid w:val="00D835CF"/>
    <w:rsid w:val="00D90DB1"/>
    <w:rsid w:val="00DB4CFC"/>
    <w:rsid w:val="00DE086F"/>
    <w:rsid w:val="00DF5F46"/>
    <w:rsid w:val="00E0390F"/>
    <w:rsid w:val="00E26A6C"/>
    <w:rsid w:val="00E75886"/>
    <w:rsid w:val="00E849C2"/>
    <w:rsid w:val="00EB79DA"/>
    <w:rsid w:val="00EC6173"/>
    <w:rsid w:val="00F2439E"/>
    <w:rsid w:val="00F52677"/>
    <w:rsid w:val="00FA3C71"/>
    <w:rsid w:val="00FA5B54"/>
    <w:rsid w:val="0511BE80"/>
    <w:rsid w:val="075F177F"/>
    <w:rsid w:val="08373016"/>
    <w:rsid w:val="0DD84865"/>
    <w:rsid w:val="12556064"/>
    <w:rsid w:val="15E6A505"/>
    <w:rsid w:val="2605BDFC"/>
    <w:rsid w:val="2709C33E"/>
    <w:rsid w:val="292083AA"/>
    <w:rsid w:val="2BF87847"/>
    <w:rsid w:val="2DAAAC28"/>
    <w:rsid w:val="3024A1CC"/>
    <w:rsid w:val="3627090A"/>
    <w:rsid w:val="407DF9B5"/>
    <w:rsid w:val="42BCA795"/>
    <w:rsid w:val="446B2B2F"/>
    <w:rsid w:val="4478B4AB"/>
    <w:rsid w:val="4588FF9A"/>
    <w:rsid w:val="4C3919D6"/>
    <w:rsid w:val="4CBF3A6A"/>
    <w:rsid w:val="4D5B385D"/>
    <w:rsid w:val="4EA3DE28"/>
    <w:rsid w:val="4ED21028"/>
    <w:rsid w:val="4FF32300"/>
    <w:rsid w:val="51883238"/>
    <w:rsid w:val="572E36B9"/>
    <w:rsid w:val="580EBB1B"/>
    <w:rsid w:val="598640C5"/>
    <w:rsid w:val="5A7A77E2"/>
    <w:rsid w:val="600A5713"/>
    <w:rsid w:val="63B812B7"/>
    <w:rsid w:val="67A9850D"/>
    <w:rsid w:val="6A758A52"/>
    <w:rsid w:val="6E34D4F9"/>
    <w:rsid w:val="70A6EA74"/>
    <w:rsid w:val="74D75616"/>
    <w:rsid w:val="75A3A823"/>
    <w:rsid w:val="7B6AB2DD"/>
    <w:rsid w:val="7EFFA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4A6C1C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cp:lastPrinted>2016-11-10T13:40:00Z</cp:lastPrinted>
  <dcterms:created xsi:type="dcterms:W3CDTF">2022-02-14T14:39:00Z</dcterms:created>
  <dcterms:modified xsi:type="dcterms:W3CDTF">2022-02-24T15:55:00Z</dcterms:modified>
</cp:coreProperties>
</file>