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630D5" w14:paraId="3501AB88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4630D5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630D5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630D5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630D5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4630D5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4630D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630D5" w14:paraId="53E62FA5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79DD75D3" w:rsidR="000024F5" w:rsidRPr="004630D5" w:rsidRDefault="74524C74" w:rsidP="5194ED90">
            <w:pPr>
              <w:rPr>
                <w:rFonts w:cs="Arial"/>
                <w:szCs w:val="20"/>
                <w:lang w:val="fr-CA"/>
              </w:rPr>
            </w:pPr>
            <w:r w:rsidRPr="004630D5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4630D5" w14:paraId="6C871E89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4630D5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630D5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630D5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4630D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630D5" w14:paraId="44BBB3D9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47134B99" w:rsidR="00A665DC" w:rsidRPr="004630D5" w:rsidRDefault="7167841E" w:rsidP="5194ED9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4630D5" w14:paraId="4F611A8B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4630D5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630D5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4630D5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4630D5" w14:paraId="5EBEDEBE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3B4D312B" w:rsidR="00523B13" w:rsidRPr="004630D5" w:rsidRDefault="00A92204" w:rsidP="5194ED90">
            <w:pPr>
              <w:rPr>
                <w:rFonts w:cs="Arial"/>
                <w:szCs w:val="20"/>
                <w:lang w:val="fr-CA"/>
              </w:rPr>
            </w:pPr>
            <w:r w:rsidRPr="00A92204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4630D5" w14:paraId="0BFF3DE0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4630D5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630D5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4630D5" w14:paraId="35452FBC" w14:textId="77777777" w:rsidTr="1D41CB8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E84C1" w14:textId="77777777" w:rsidR="003C7B86" w:rsidRDefault="003C7B86" w:rsidP="003C7B86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C957E7">
              <w:rPr>
                <w:rFonts w:cs="Arial"/>
                <w:szCs w:val="20"/>
                <w:lang w:val="fr-CA"/>
              </w:rPr>
              <w:t>distinguer les diverses économies émergentes (humaniste, circulaire, verte, sociale et solidaire, féministe, etc.)</w:t>
            </w:r>
          </w:p>
          <w:p w14:paraId="7F856B03" w14:textId="77777777" w:rsidR="003C7B86" w:rsidRDefault="003C7B86" w:rsidP="003C7B86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2F38B5">
              <w:rPr>
                <w:rFonts w:cs="Arial"/>
                <w:szCs w:val="20"/>
                <w:lang w:val="fr-CA"/>
              </w:rPr>
              <w:t>déterminer l’influence potentielle des économies émergentes sur l’économie locale et mondiale</w:t>
            </w:r>
          </w:p>
          <w:p w14:paraId="59F55EDD" w14:textId="22F3D6D5" w:rsidR="00523B13" w:rsidRPr="003C7B86" w:rsidRDefault="003C7B86" w:rsidP="003C7B86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3C7B86">
              <w:rPr>
                <w:rFonts w:cs="Arial"/>
                <w:szCs w:val="20"/>
                <w:lang w:val="fr-CA"/>
              </w:rPr>
              <w:t>faire preuve de respect et d’ouverture d’esprit envers les opinions et croyances d’autrui relatives à l’égalité et l’équité économique</w:t>
            </w:r>
          </w:p>
        </w:tc>
      </w:tr>
    </w:tbl>
    <w:p w14:paraId="0942C9A7" w14:textId="77777777" w:rsidR="00F52677" w:rsidRPr="004630D5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630D5" w14:paraId="316669C2" w14:textId="77777777" w:rsidTr="052E170E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4630D5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630D5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630D5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630D5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6F92EC2D" w:rsidR="00F52677" w:rsidRPr="008A66D1" w:rsidRDefault="005E3BAB" w:rsidP="008A66D1">
            <w:pPr>
              <w:spacing w:after="160" w:line="259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4630D5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Discussion : </w:t>
            </w:r>
            <w:r w:rsidR="229BBBC5" w:rsidRPr="004630D5">
              <w:rPr>
                <w:rFonts w:eastAsia="Calibri" w:cs="Calibri"/>
                <w:color w:val="000000" w:themeColor="text1"/>
                <w:szCs w:val="20"/>
                <w:lang w:val="fr-CA"/>
              </w:rPr>
              <w:t>Influences mondiales des économies émergentes et plurielles</w:t>
            </w:r>
          </w:p>
        </w:tc>
      </w:tr>
    </w:tbl>
    <w:p w14:paraId="04A41758" w14:textId="77777777" w:rsidR="00D921C0" w:rsidRDefault="00D921C0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4630D5" w14:paraId="6C047C38" w14:textId="77777777" w:rsidTr="052E170E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4630D5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4630D5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4630D5" w14:paraId="5FAB2EC9" w14:textId="77777777" w:rsidTr="052E170E">
        <w:trPr>
          <w:jc w:val="center"/>
        </w:trPr>
        <w:tc>
          <w:tcPr>
            <w:tcW w:w="10206" w:type="dxa"/>
          </w:tcPr>
          <w:p w14:paraId="031E6490" w14:textId="77777777" w:rsidR="00AB45B3" w:rsidRPr="004630D5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4630D5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4630D5">
              <w:rPr>
                <w:rStyle w:val="lev"/>
                <w:szCs w:val="20"/>
                <w:lang w:val="fr-CA"/>
              </w:rPr>
              <w:t> :</w:t>
            </w:r>
            <w:r w:rsidR="000C1560" w:rsidRPr="004630D5">
              <w:rPr>
                <w:rStyle w:val="lev"/>
                <w:szCs w:val="20"/>
                <w:lang w:val="fr-CA"/>
              </w:rPr>
              <w:t xml:space="preserve"> </w:t>
            </w:r>
          </w:p>
          <w:p w14:paraId="6A888CE7" w14:textId="31CC8060" w:rsidR="41498CE9" w:rsidRPr="004630D5" w:rsidRDefault="41498CE9" w:rsidP="1D41CB8A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630D5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Cette discussion te permettra d</w:t>
            </w:r>
            <w:r w:rsidRPr="004630D5">
              <w:rPr>
                <w:rStyle w:val="lev"/>
                <w:rFonts w:eastAsia="Calibri" w:cs="Calibri"/>
                <w:b w:val="0"/>
                <w:bCs w:val="0"/>
                <w:color w:val="000000" w:themeColor="text1"/>
                <w:szCs w:val="20"/>
                <w:lang w:val="fr-CA"/>
              </w:rPr>
              <w:t>’échanger au sujet des</w:t>
            </w:r>
            <w:r w:rsidRPr="004630D5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diverses influences au niveau </w:t>
            </w:r>
            <w:r w:rsidR="7FF16F6E" w:rsidRPr="004630D5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mondi</w:t>
            </w:r>
            <w:r w:rsidRPr="004630D5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al des économies émergentes et plurielles.</w:t>
            </w:r>
          </w:p>
          <w:p w14:paraId="0A46F82B" w14:textId="77777777" w:rsidR="00AB45B3" w:rsidRPr="004630D5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4630D5" w14:paraId="36558FA1" w14:textId="77777777" w:rsidTr="052E170E">
        <w:trPr>
          <w:jc w:val="center"/>
        </w:trPr>
        <w:tc>
          <w:tcPr>
            <w:tcW w:w="10206" w:type="dxa"/>
          </w:tcPr>
          <w:p w14:paraId="452EB275" w14:textId="77777777" w:rsidR="00AB45B3" w:rsidRPr="004630D5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4630D5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4630D5">
              <w:rPr>
                <w:rStyle w:val="lev"/>
                <w:szCs w:val="20"/>
                <w:lang w:val="fr-CA"/>
              </w:rPr>
              <w:t> </w:t>
            </w:r>
            <w:r w:rsidRPr="004630D5">
              <w:rPr>
                <w:rStyle w:val="lev"/>
                <w:szCs w:val="20"/>
                <w:lang w:val="fr-CA"/>
              </w:rPr>
              <w:t>:</w:t>
            </w:r>
            <w:r w:rsidR="000C1560" w:rsidRPr="004630D5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4630D5" w:rsidRDefault="00AB45B3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243DC4A2" w14:textId="2FA6556F" w:rsidR="5E73D6B6" w:rsidRPr="004630D5" w:rsidRDefault="5E73D6B6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Plusieurs organismes existent avec un but d'apporter de l’aide au niveau </w:t>
            </w:r>
            <w:r w:rsidR="2F441AD0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mondial </w:t>
            </w: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>avec un ou plusieurs besoins</w:t>
            </w:r>
            <w:r w:rsidR="0AEC0565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comme l’aide aux animaux, la santé, l’aide après sinistres, l’habitation, les droits de la personne, </w:t>
            </w:r>
            <w:r w:rsidR="7EB8BC64" w:rsidRPr="004630D5">
              <w:rPr>
                <w:rStyle w:val="lev"/>
                <w:b w:val="0"/>
                <w:bCs w:val="0"/>
                <w:szCs w:val="20"/>
                <w:lang w:val="fr-CA"/>
              </w:rPr>
              <w:t>l’adoption d’enfants, etc</w:t>
            </w: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422A2330" w14:textId="7342AD6E" w:rsidR="052E170E" w:rsidRPr="004630D5" w:rsidRDefault="052E170E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0C1B965" w14:textId="38AF5C60" w:rsidR="0160B8E8" w:rsidRPr="004630D5" w:rsidRDefault="0160B8E8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>Dans un monde où il coexiste certains pays très prospères ainsi que d’autres</w:t>
            </w:r>
            <w:r w:rsidR="00EE6732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très pauvres, ces charités mondiales jouent un rôle </w:t>
            </w:r>
            <w:r w:rsidR="6CFC2626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important pour transférer une petite partie des richesses vers les régions nécessiteuses dans </w:t>
            </w:r>
            <w:r w:rsidR="54EE62FC" w:rsidRPr="004630D5">
              <w:rPr>
                <w:rStyle w:val="lev"/>
                <w:b w:val="0"/>
                <w:bCs w:val="0"/>
                <w:szCs w:val="20"/>
                <w:lang w:val="fr-CA"/>
              </w:rPr>
              <w:t>le but d’aider à atténuer les inégalités à l’échelle internationale</w:t>
            </w:r>
            <w:r w:rsidR="6CFC2626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</w:p>
          <w:p w14:paraId="5E3468AD" w14:textId="31B1874E" w:rsidR="052E170E" w:rsidRPr="004630D5" w:rsidRDefault="052E170E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713758E" w14:textId="4756CE5B" w:rsidR="6FB4093A" w:rsidRPr="004630D5" w:rsidRDefault="6FB4093A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En terminant cette dernière activité de ce cours, voici quelques points de réflexion. </w:t>
            </w:r>
            <w:r w:rsidR="768EEB2F" w:rsidRPr="004630D5">
              <w:rPr>
                <w:rStyle w:val="lev"/>
                <w:b w:val="0"/>
                <w:bCs w:val="0"/>
                <w:szCs w:val="20"/>
                <w:lang w:val="fr-CA"/>
              </w:rPr>
              <w:t>Bien que l</w:t>
            </w:r>
            <w:r w:rsidR="5F05D7E0" w:rsidRPr="004630D5">
              <w:rPr>
                <w:rStyle w:val="lev"/>
                <w:b w:val="0"/>
                <w:bCs w:val="0"/>
                <w:szCs w:val="20"/>
                <w:lang w:val="fr-CA"/>
              </w:rPr>
              <w:t>es</w:t>
            </w:r>
            <w:r w:rsidR="768EEB2F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charités </w:t>
            </w:r>
            <w:r w:rsidR="1783A2BF" w:rsidRPr="004630D5">
              <w:rPr>
                <w:rStyle w:val="lev"/>
                <w:b w:val="0"/>
                <w:bCs w:val="0"/>
                <w:szCs w:val="20"/>
                <w:lang w:val="fr-CA"/>
              </w:rPr>
              <w:t>aient</w:t>
            </w:r>
            <w:r w:rsidR="597C5517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une </w:t>
            </w:r>
            <w:r w:rsidR="0BE710C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bonne </w:t>
            </w:r>
            <w:r w:rsidR="597C5517" w:rsidRPr="004630D5">
              <w:rPr>
                <w:rStyle w:val="lev"/>
                <w:b w:val="0"/>
                <w:bCs w:val="0"/>
                <w:szCs w:val="20"/>
                <w:lang w:val="fr-CA"/>
              </w:rPr>
              <w:t>intention</w:t>
            </w:r>
            <w:r w:rsidR="3E04064F" w:rsidRPr="004630D5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="3E584A79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cette industrie n’est pas exemptée de fraudes, </w:t>
            </w:r>
            <w:hyperlink r:id="rId8" w:history="1">
              <w:r w:rsidR="3E584A79" w:rsidRPr="00CD4579">
                <w:rPr>
                  <w:rStyle w:val="Lienhypertexte"/>
                  <w:szCs w:val="20"/>
                  <w:lang w:val="fr-CA"/>
                </w:rPr>
                <w:t>de vols</w:t>
              </w:r>
            </w:hyperlink>
            <w:r w:rsidR="3E584A79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hyperlink r:id="rId9" w:history="1">
              <w:r w:rsidR="3E584A79" w:rsidRPr="00CD4579">
                <w:rPr>
                  <w:rStyle w:val="Lienhypertexte"/>
                  <w:szCs w:val="20"/>
                  <w:lang w:val="fr-CA"/>
                </w:rPr>
                <w:t>de détournements</w:t>
              </w:r>
            </w:hyperlink>
            <w:r w:rsidR="3E584A79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hyperlink r:id="rId10" w:history="1">
              <w:r w:rsidR="76969946" w:rsidRPr="00CD4579">
                <w:rPr>
                  <w:rStyle w:val="Lienhypertexte"/>
                  <w:szCs w:val="20"/>
                  <w:lang w:val="fr-CA"/>
                </w:rPr>
                <w:t>de conflits d’intérêts</w:t>
              </w:r>
            </w:hyperlink>
            <w:r w:rsidR="76969946" w:rsidRPr="004630D5">
              <w:rPr>
                <w:rStyle w:val="lev"/>
                <w:b w:val="0"/>
                <w:bCs w:val="0"/>
                <w:szCs w:val="20"/>
                <w:lang w:val="fr-CA"/>
              </w:rPr>
              <w:t>, de lobbyings</w:t>
            </w:r>
            <w:r w:rsidR="4534D9E5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pour pousser certaines idées politiques ou religieuses</w:t>
            </w:r>
            <w:r w:rsidR="76969946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, etc. Aussi, </w:t>
            </w:r>
            <w:r w:rsidR="5C4FA243" w:rsidRPr="004630D5">
              <w:rPr>
                <w:rStyle w:val="lev"/>
                <w:b w:val="0"/>
                <w:bCs w:val="0"/>
                <w:szCs w:val="20"/>
                <w:lang w:val="fr-CA"/>
              </w:rPr>
              <w:t>le</w:t>
            </w:r>
            <w:r w:rsidR="76969946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s </w:t>
            </w:r>
            <w:r w:rsidR="5C4FA24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donateurs ont le droit, voir l’obligation de consulter la part </w:t>
            </w:r>
            <w:hyperlink r:id="rId11" w:history="1">
              <w:r w:rsidR="5C4FA243" w:rsidRPr="00CD4579">
                <w:rPr>
                  <w:rStyle w:val="Lienhypertexte"/>
                  <w:szCs w:val="20"/>
                  <w:lang w:val="fr-CA"/>
                </w:rPr>
                <w:t>des frais administratifs</w:t>
              </w:r>
            </w:hyperlink>
            <w:r w:rsidR="5C4FA24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et </w:t>
            </w:r>
            <w:hyperlink r:id="rId12" w:history="1">
              <w:r w:rsidR="5C4FA243" w:rsidRPr="00CD4579">
                <w:rPr>
                  <w:rStyle w:val="Lienhypertexte"/>
                  <w:szCs w:val="20"/>
                  <w:lang w:val="fr-CA"/>
                </w:rPr>
                <w:t>des salaire</w:t>
              </w:r>
              <w:r w:rsidR="000F357E" w:rsidRPr="00CD4579">
                <w:rPr>
                  <w:rStyle w:val="Lienhypertexte"/>
                  <w:szCs w:val="20"/>
                  <w:lang w:val="fr-CA"/>
                </w:rPr>
                <w:t>s versés</w:t>
              </w:r>
            </w:hyperlink>
            <w:r w:rsidR="5C4FA24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273D821B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aux dirigeants supérieurs </w:t>
            </w:r>
            <w:r w:rsidR="23365EB5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de leurs charités </w:t>
            </w:r>
            <w:r w:rsidR="273D821B" w:rsidRPr="004630D5">
              <w:rPr>
                <w:rStyle w:val="lev"/>
                <w:b w:val="0"/>
                <w:bCs w:val="0"/>
                <w:szCs w:val="20"/>
                <w:lang w:val="fr-CA"/>
              </w:rPr>
              <w:t>pour s’assurer que la majeure partie de leurs don</w:t>
            </w:r>
            <w:r w:rsidR="00E239FB">
              <w:rPr>
                <w:rStyle w:val="lev"/>
                <w:b w:val="0"/>
                <w:bCs w:val="0"/>
                <w:szCs w:val="20"/>
                <w:lang w:val="fr-CA"/>
              </w:rPr>
              <w:t>s de charité</w:t>
            </w:r>
            <w:r w:rsidR="273D821B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est dédiée aux aides prévues.</w:t>
            </w:r>
            <w:r w:rsidR="726A3ED7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D’autant plus que les </w:t>
            </w:r>
            <w:r w:rsidR="00E239FB">
              <w:rPr>
                <w:rStyle w:val="lev"/>
                <w:b w:val="0"/>
                <w:bCs w:val="0"/>
                <w:szCs w:val="20"/>
                <w:lang w:val="fr-CA"/>
              </w:rPr>
              <w:t>dons de charité</w:t>
            </w:r>
            <w:r w:rsidR="726A3ED7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fait</w:t>
            </w:r>
            <w:r w:rsidR="00E239FB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726A3ED7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par les contribuables canadiens viennent avec </w:t>
            </w:r>
            <w:hyperlink r:id="rId13" w:history="1">
              <w:r w:rsidR="45E27F74" w:rsidRPr="00CD4579">
                <w:rPr>
                  <w:rStyle w:val="Lienhypertexte"/>
                  <w:szCs w:val="20"/>
                  <w:lang w:val="fr-CA"/>
                </w:rPr>
                <w:t xml:space="preserve">des avantages au </w:t>
              </w:r>
              <w:r w:rsidR="00DE3572" w:rsidRPr="00CD4579">
                <w:rPr>
                  <w:rStyle w:val="Lienhypertexte"/>
                  <w:szCs w:val="20"/>
                  <w:lang w:val="fr-CA"/>
                </w:rPr>
                <w:t>niveau f</w:t>
              </w:r>
              <w:r w:rsidR="45E27F74" w:rsidRPr="00CD4579">
                <w:rPr>
                  <w:rStyle w:val="Lienhypertexte"/>
                  <w:szCs w:val="20"/>
                  <w:lang w:val="fr-CA"/>
                </w:rPr>
                <w:t>iscal</w:t>
              </w:r>
            </w:hyperlink>
            <w:r w:rsidR="4F067BD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:</w:t>
            </w:r>
            <w:r w:rsidR="45E27F74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1FD6BFED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selon les conditions en place, </w:t>
            </w:r>
            <w:r w:rsidR="309CD80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les </w:t>
            </w:r>
            <w:r w:rsidR="00981196">
              <w:rPr>
                <w:rStyle w:val="lev"/>
                <w:b w:val="0"/>
                <w:bCs w:val="0"/>
                <w:szCs w:val="20"/>
                <w:lang w:val="fr-CA"/>
              </w:rPr>
              <w:t>dons de charité</w:t>
            </w:r>
            <w:r w:rsidR="309CD80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peuvent </w:t>
            </w:r>
            <w:r w:rsidR="45E27F74" w:rsidRPr="004630D5">
              <w:rPr>
                <w:rStyle w:val="lev"/>
                <w:b w:val="0"/>
                <w:bCs w:val="0"/>
                <w:szCs w:val="20"/>
                <w:lang w:val="fr-CA"/>
              </w:rPr>
              <w:t>rédui</w:t>
            </w:r>
            <w:r w:rsidR="23F166AA" w:rsidRPr="004630D5">
              <w:rPr>
                <w:rStyle w:val="lev"/>
                <w:b w:val="0"/>
                <w:bCs w:val="0"/>
                <w:szCs w:val="20"/>
                <w:lang w:val="fr-CA"/>
              </w:rPr>
              <w:t>re</w:t>
            </w:r>
            <w:r w:rsidR="45E27F74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 l</w:t>
            </w:r>
            <w:r w:rsidR="760615C2" w:rsidRPr="004630D5">
              <w:rPr>
                <w:rStyle w:val="lev"/>
                <w:b w:val="0"/>
                <w:bCs w:val="0"/>
                <w:szCs w:val="20"/>
                <w:lang w:val="fr-CA"/>
              </w:rPr>
              <w:t>e montant de l’</w:t>
            </w:r>
            <w:r w:rsidR="45E27F74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impôt sur le revenu dû au gouvernement ! </w:t>
            </w:r>
            <w:r w:rsidR="35D1EC63"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Pour plusieurs, c’est un bel incitatif. </w:t>
            </w:r>
          </w:p>
          <w:p w14:paraId="242A0FE1" w14:textId="6E9E48B7" w:rsidR="00DE3572" w:rsidRPr="004630D5" w:rsidRDefault="00DE3572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95877D6" w14:textId="234A1AE5" w:rsidR="00DE3572" w:rsidRPr="004630D5" w:rsidRDefault="00DE3572" w:rsidP="052E170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630D5">
              <w:rPr>
                <w:rStyle w:val="lev"/>
                <w:szCs w:val="20"/>
                <w:lang w:val="fr-CA"/>
              </w:rPr>
              <w:t xml:space="preserve">Note : </w:t>
            </w:r>
            <w:r w:rsidRPr="004630D5">
              <w:rPr>
                <w:rStyle w:val="lev"/>
                <w:b w:val="0"/>
                <w:bCs w:val="0"/>
                <w:szCs w:val="20"/>
                <w:lang w:val="fr-CA"/>
              </w:rPr>
              <w:t xml:space="preserve">Tu peux consulter les articles </w:t>
            </w:r>
            <w:r w:rsidR="006549DB" w:rsidRPr="004630D5">
              <w:rPr>
                <w:rStyle w:val="lev"/>
                <w:b w:val="0"/>
                <w:bCs w:val="0"/>
                <w:szCs w:val="20"/>
                <w:lang w:val="fr-CA"/>
              </w:rPr>
              <w:t>en lien dans la mise en contexte pour en apprendre davantage sur ces sujets et pour voir des exemples concrets.</w:t>
            </w:r>
          </w:p>
          <w:p w14:paraId="0DEC1E5D" w14:textId="77777777" w:rsidR="00AB45B3" w:rsidRPr="004630D5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4630D5" w14:paraId="2BAAD5D7" w14:textId="77777777" w:rsidTr="052E170E">
        <w:trPr>
          <w:jc w:val="center"/>
        </w:trPr>
        <w:tc>
          <w:tcPr>
            <w:tcW w:w="10206" w:type="dxa"/>
          </w:tcPr>
          <w:p w14:paraId="0B73F606" w14:textId="77777777" w:rsidR="00AB45B3" w:rsidRPr="004630D5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4630D5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4630D5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4630D5">
              <w:rPr>
                <w:rStyle w:val="lev"/>
                <w:szCs w:val="20"/>
                <w:lang w:val="fr-CA"/>
              </w:rPr>
              <w:t>)</w:t>
            </w:r>
            <w:r w:rsidR="000C1560" w:rsidRPr="004630D5">
              <w:rPr>
                <w:rStyle w:val="lev"/>
                <w:szCs w:val="20"/>
                <w:lang w:val="fr-CA"/>
              </w:rPr>
              <w:t> </w:t>
            </w:r>
            <w:r w:rsidR="00E0390F" w:rsidRPr="004630D5">
              <w:rPr>
                <w:rStyle w:val="lev"/>
                <w:szCs w:val="20"/>
                <w:lang w:val="fr-CA"/>
              </w:rPr>
              <w:t>:</w:t>
            </w:r>
            <w:r w:rsidR="000C1560" w:rsidRPr="004630D5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244C6E8A" w:rsidR="00AB45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33969E5" w14:textId="5133C71C" w:rsidR="00AB0901" w:rsidRPr="00AB0901" w:rsidRDefault="00AB0901" w:rsidP="00AB45B3">
            <w:pPr>
              <w:rPr>
                <w:rStyle w:val="lev"/>
                <w:rFonts w:eastAsia="Verdana" w:cs="Verdana"/>
                <w:b w:val="0"/>
                <w:color w:val="000000" w:themeColor="text1"/>
                <w:lang w:val="fr-CA"/>
              </w:rPr>
            </w:pPr>
            <w:r w:rsidRPr="00225A94">
              <w:rPr>
                <w:rFonts w:eastAsia="Verdana" w:cs="Verdana"/>
                <w:bCs/>
                <w:color w:val="000000" w:themeColor="text1"/>
                <w:lang w:val="fr-CA"/>
              </w:rPr>
              <w:t>Accède au sujet de discussion pour consulter les consignes et y participer.</w:t>
            </w:r>
          </w:p>
          <w:p w14:paraId="58096FAE" w14:textId="77777777" w:rsidR="00AB0901" w:rsidRPr="004630D5" w:rsidRDefault="00AB0901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49E74F81" w14:textId="26CA3843" w:rsidR="009A4560" w:rsidRDefault="00DB0558" w:rsidP="009A4560">
            <w:pPr>
              <w:rPr>
                <w:rStyle w:val="lev"/>
                <w:rFonts w:eastAsia="Verdana"/>
              </w:rPr>
            </w:pPr>
            <w:r>
              <w:rPr>
                <w:rStyle w:val="lev"/>
                <w:rFonts w:eastAsia="Verdana"/>
              </w:rPr>
              <w:t xml:space="preserve">Dans l’outil : </w:t>
            </w:r>
          </w:p>
          <w:p w14:paraId="36DD318A" w14:textId="77777777" w:rsidR="00DB0558" w:rsidRPr="004630D5" w:rsidRDefault="00DB0558" w:rsidP="009A456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76757988" w14:textId="79E31693" w:rsidR="007D6E26" w:rsidRPr="004630D5" w:rsidRDefault="007D6E26" w:rsidP="007D6E26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lastRenderedPageBreak/>
              <w:t xml:space="preserve">Consulte les ressources suivantes, qui présentent </w:t>
            </w:r>
            <w:r w:rsidR="00E84025" w:rsidRP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certains organismes </w:t>
            </w:r>
            <w:r w:rsidR="004630D5" w:rsidRP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qui ont un impact </w:t>
            </w:r>
            <w:r w:rsid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t>au niveau mondial</w:t>
            </w:r>
            <w:r w:rsidR="00E84025" w:rsidRP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t> :</w:t>
            </w:r>
          </w:p>
          <w:p w14:paraId="2D6FBAD3" w14:textId="129BE9A0" w:rsidR="00E84025" w:rsidRPr="004630D5" w:rsidRDefault="00645AC4" w:rsidP="00E84025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hyperlink r:id="rId14" w:history="1">
              <w:r w:rsidR="00E84025" w:rsidRPr="00CD4579">
                <w:rPr>
                  <w:rStyle w:val="Lienhypertexte"/>
                  <w:rFonts w:eastAsia="Verdana" w:cs="Verdana"/>
                  <w:szCs w:val="20"/>
                  <w:lang w:val="fr-CA"/>
                </w:rPr>
                <w:t>Médecins sans frontières (MSF)</w:t>
              </w:r>
            </w:hyperlink>
          </w:p>
          <w:p w14:paraId="3BBC9B7F" w14:textId="0D7391C8" w:rsidR="00E84025" w:rsidRPr="004630D5" w:rsidRDefault="00645AC4" w:rsidP="00E84025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hyperlink r:id="rId15" w:history="1">
              <w:r w:rsidR="002806C0" w:rsidRPr="00CD4579">
                <w:rPr>
                  <w:rStyle w:val="Lienhypertexte"/>
                  <w:rFonts w:eastAsia="Verdana" w:cs="Verdana"/>
                  <w:szCs w:val="20"/>
                  <w:lang w:val="fr-CA"/>
                </w:rPr>
                <w:t>Vision Mondiale</w:t>
              </w:r>
            </w:hyperlink>
          </w:p>
          <w:p w14:paraId="0DC445FF" w14:textId="642DF026" w:rsidR="00414760" w:rsidRPr="004630D5" w:rsidRDefault="00645AC4" w:rsidP="00E84025">
            <w:pPr>
              <w:pStyle w:val="Paragraphedeliste"/>
              <w:numPr>
                <w:ilvl w:val="1"/>
                <w:numId w:val="1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hyperlink r:id="rId16" w:history="1">
              <w:r w:rsidR="00112F43" w:rsidRPr="00CD4579">
                <w:rPr>
                  <w:rStyle w:val="Lienhypertexte"/>
                  <w:rFonts w:eastAsia="Verdana" w:cs="Verdana"/>
                  <w:szCs w:val="20"/>
                  <w:lang w:val="fr-CA"/>
                </w:rPr>
                <w:t>Croix-Rouge</w:t>
              </w:r>
            </w:hyperlink>
          </w:p>
          <w:p w14:paraId="6E720E09" w14:textId="77777777" w:rsidR="007D6E26" w:rsidRPr="004630D5" w:rsidRDefault="007D6E26" w:rsidP="009A456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26F5EB45" w14:textId="77777777" w:rsidR="00994836" w:rsidRDefault="00994836" w:rsidP="00CD4C84">
            <w:pPr>
              <w:ind w:left="360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994836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Note :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</w:p>
          <w:p w14:paraId="04B68AD3" w14:textId="68374F99" w:rsidR="00994836" w:rsidRDefault="00994836" w:rsidP="00CD4C84">
            <w:pPr>
              <w:pStyle w:val="Paragraphedeliste"/>
              <w:numPr>
                <w:ilvl w:val="0"/>
                <w:numId w:val="13"/>
              </w:numPr>
              <w:ind w:left="1080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>La liste</w:t>
            </w:r>
            <w:r w:rsidR="00747FE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d’organismes</w:t>
            </w: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pourrait être très longue. Voici une </w:t>
            </w:r>
            <w:hyperlink r:id="rId17" w:history="1">
              <w:r w:rsidRPr="00CD4579">
                <w:rPr>
                  <w:rStyle w:val="Lienhypertexte"/>
                  <w:rFonts w:eastAsia="Verdana" w:cs="Verdana"/>
                  <w:szCs w:val="20"/>
                  <w:lang w:val="fr-CA"/>
                </w:rPr>
                <w:t>liste</w:t>
              </w:r>
              <w:r w:rsidR="00D76276" w:rsidRPr="00CD4579">
                <w:rPr>
                  <w:rStyle w:val="Lienhypertexte"/>
                  <w:rFonts w:eastAsia="Verdana" w:cs="Verdana"/>
                  <w:szCs w:val="20"/>
                  <w:lang w:val="fr-CA"/>
                </w:rPr>
                <w:t xml:space="preserve"> des meilleurs organismes de charité</w:t>
              </w:r>
            </w:hyperlink>
            <w:r w:rsidR="00D7627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88650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(en anglais) </w:t>
            </w: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>offerte par le magazine Forbes</w:t>
            </w:r>
            <w:r w:rsidR="00886500">
              <w:rPr>
                <w:rFonts w:eastAsia="Verdana" w:cs="Verdana"/>
                <w:color w:val="000000" w:themeColor="text1"/>
                <w:szCs w:val="20"/>
                <w:lang w:val="fr-CA"/>
              </w:rPr>
              <w:t>,</w:t>
            </w: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selon un classement en date de décembre 2021. L’outil permet de filtrer selon les besoins internationaux (</w:t>
            </w:r>
            <w:r w:rsidRPr="00886500"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 xml:space="preserve">International </w:t>
            </w:r>
            <w:proofErr w:type="spellStart"/>
            <w:r w:rsidRPr="00886500"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>needs</w:t>
            </w:r>
            <w:proofErr w:type="spellEnd"/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>).</w:t>
            </w:r>
          </w:p>
          <w:p w14:paraId="58A8C793" w14:textId="2B4DA677" w:rsidR="00994836" w:rsidRPr="00994836" w:rsidRDefault="00994836" w:rsidP="00CD4C84">
            <w:pPr>
              <w:pStyle w:val="Paragraphedeliste"/>
              <w:numPr>
                <w:ilvl w:val="0"/>
                <w:numId w:val="13"/>
              </w:numPr>
              <w:ind w:left="1080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Voici </w:t>
            </w:r>
            <w:hyperlink r:id="rId18" w:history="1">
              <w:r w:rsidRPr="00CD4579">
                <w:rPr>
                  <w:rStyle w:val="Lienhypertexte"/>
                  <w:rFonts w:eastAsia="Verdana" w:cs="Verdana"/>
                  <w:szCs w:val="20"/>
                  <w:lang w:val="fr-CA"/>
                </w:rPr>
                <w:t>un autre outil de classement</w:t>
              </w:r>
            </w:hyperlink>
            <w:r w:rsidR="0088650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(</w:t>
            </w: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>en anglais</w:t>
            </w:r>
            <w:r w:rsidR="00886500">
              <w:rPr>
                <w:rFonts w:eastAsia="Verdana" w:cs="Verdana"/>
                <w:color w:val="000000" w:themeColor="text1"/>
                <w:szCs w:val="20"/>
                <w:lang w:val="fr-CA"/>
              </w:rPr>
              <w:t>)</w:t>
            </w:r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charités mondiales conçu par </w:t>
            </w:r>
            <w:proofErr w:type="spellStart"/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>Charity</w:t>
            </w:r>
            <w:proofErr w:type="spellEnd"/>
            <w:r w:rsidRPr="0099483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Watch. </w:t>
            </w:r>
          </w:p>
          <w:p w14:paraId="49E1E9F2" w14:textId="10FE2894" w:rsidR="009A4560" w:rsidRDefault="009A4560" w:rsidP="009A456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016777EE" w14:textId="77777777" w:rsidR="00994836" w:rsidRPr="004630D5" w:rsidRDefault="00994836" w:rsidP="009A456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3DE1A6E5" w14:textId="77777777" w:rsidR="00B067E2" w:rsidRDefault="004C4DED" w:rsidP="00B067E2">
            <w:pPr>
              <w:pStyle w:val="Paragraphedeliste"/>
              <w:numPr>
                <w:ilvl w:val="0"/>
                <w:numId w:val="12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4C4DED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 xml:space="preserve">Dans un fil de discussion, </w:t>
            </w:r>
            <w: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>présente les éléments suivants</w:t>
            </w:r>
            <w:r w:rsidRPr="004C4DED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 xml:space="preserve"> : </w:t>
            </w:r>
          </w:p>
          <w:p w14:paraId="189AF9A2" w14:textId="398BBCC9" w:rsidR="00B067E2" w:rsidRPr="00B067E2" w:rsidRDefault="009A4560" w:rsidP="00B067E2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Trouve et partage un lien vers un programme d’une institution internationale permettant d’influencer mondialement au moins </w:t>
            </w:r>
            <w:r w:rsidRPr="00B067E2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deux (2)</w:t>
            </w:r>
            <w:r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économies suivantes</w:t>
            </w:r>
            <w:r w:rsidR="00B067E2"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> :</w:t>
            </w:r>
          </w:p>
          <w:p w14:paraId="51350314" w14:textId="77777777" w:rsidR="00B067E2" w:rsidRPr="00B067E2" w:rsidRDefault="009A4560" w:rsidP="00B067E2">
            <w:pPr>
              <w:pStyle w:val="Paragraphedeliste"/>
              <w:numPr>
                <w:ilvl w:val="1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color w:val="000000" w:themeColor="text1"/>
                <w:szCs w:val="20"/>
                <w:lang w:val="fr-CA"/>
              </w:rPr>
              <w:t>Économie circulaire</w:t>
            </w:r>
          </w:p>
          <w:p w14:paraId="49ED3CD5" w14:textId="77777777" w:rsidR="00B067E2" w:rsidRPr="00B067E2" w:rsidRDefault="009A4560" w:rsidP="00B067E2">
            <w:pPr>
              <w:pStyle w:val="Paragraphedeliste"/>
              <w:numPr>
                <w:ilvl w:val="1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color w:val="000000" w:themeColor="text1"/>
                <w:szCs w:val="20"/>
                <w:lang w:val="fr-CA"/>
              </w:rPr>
              <w:t>Économie collaborative</w:t>
            </w:r>
          </w:p>
          <w:p w14:paraId="076025D3" w14:textId="77777777" w:rsidR="00B067E2" w:rsidRPr="00B067E2" w:rsidRDefault="009A4560" w:rsidP="00B067E2">
            <w:pPr>
              <w:pStyle w:val="Paragraphedeliste"/>
              <w:numPr>
                <w:ilvl w:val="1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color w:val="000000" w:themeColor="text1"/>
                <w:szCs w:val="20"/>
                <w:lang w:val="fr-CA"/>
              </w:rPr>
              <w:t>Économie sociale</w:t>
            </w:r>
          </w:p>
          <w:p w14:paraId="004432DE" w14:textId="77777777" w:rsidR="00B067E2" w:rsidRPr="00B067E2" w:rsidRDefault="009A4560" w:rsidP="00B067E2">
            <w:pPr>
              <w:pStyle w:val="Paragraphedeliste"/>
              <w:numPr>
                <w:ilvl w:val="1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color w:val="000000" w:themeColor="text1"/>
                <w:szCs w:val="20"/>
                <w:lang w:val="fr-CA"/>
              </w:rPr>
              <w:t>Économie solidaire</w:t>
            </w:r>
          </w:p>
          <w:p w14:paraId="7F0E645F" w14:textId="77777777" w:rsidR="00B067E2" w:rsidRPr="00B067E2" w:rsidRDefault="009A4560" w:rsidP="00B067E2">
            <w:pPr>
              <w:pStyle w:val="Paragraphedeliste"/>
              <w:numPr>
                <w:ilvl w:val="1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color w:val="000000" w:themeColor="text1"/>
                <w:szCs w:val="20"/>
                <w:lang w:val="fr-CA"/>
              </w:rPr>
              <w:t>Économie féministe</w:t>
            </w:r>
          </w:p>
          <w:p w14:paraId="137B6216" w14:textId="662D9176" w:rsidR="009A4560" w:rsidRPr="00B067E2" w:rsidRDefault="009A4560" w:rsidP="00B067E2">
            <w:pPr>
              <w:pStyle w:val="Paragraphedeliste"/>
              <w:numPr>
                <w:ilvl w:val="1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067E2">
              <w:rPr>
                <w:color w:val="000000" w:themeColor="text1"/>
                <w:szCs w:val="20"/>
                <w:lang w:val="fr-CA"/>
              </w:rPr>
              <w:t>Économie verte</w:t>
            </w:r>
            <w:r w:rsidR="00B067E2">
              <w:rPr>
                <w:color w:val="000000" w:themeColor="text1"/>
                <w:szCs w:val="20"/>
                <w:lang w:val="fr-CA"/>
              </w:rPr>
              <w:br/>
            </w:r>
          </w:p>
          <w:p w14:paraId="7F6E974B" w14:textId="19CBDBCF" w:rsidR="009A4560" w:rsidRPr="004630D5" w:rsidRDefault="009A4560" w:rsidP="00B067E2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szCs w:val="20"/>
                <w:lang w:val="fr-CA"/>
              </w:rPr>
            </w:pPr>
            <w:r w:rsidRPr="004630D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Justifie pourquoi tu as indiqué que ces programmes se classifient sous les économies choisies. </w:t>
            </w:r>
            <w:r w:rsidR="008A66D1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</w:r>
          </w:p>
          <w:p w14:paraId="2F490AA6" w14:textId="6C6F178E" w:rsidR="00B067E2" w:rsidRPr="00B067E2" w:rsidRDefault="0015560F" w:rsidP="00B067E2">
            <w:pPr>
              <w:pStyle w:val="Paragraphedeliste"/>
              <w:numPr>
                <w:ilvl w:val="0"/>
                <w:numId w:val="12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15560F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>À la suite de ton apport, consulte les fils de discussion de tes collègues.</w:t>
            </w:r>
            <w: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br/>
            </w:r>
          </w:p>
          <w:p w14:paraId="355F58B1" w14:textId="77777777" w:rsidR="00EA7146" w:rsidRPr="00EA7146" w:rsidRDefault="0015560F" w:rsidP="00B067E2">
            <w:pPr>
              <w:pStyle w:val="Paragraphedeliste"/>
              <w:numPr>
                <w:ilvl w:val="0"/>
                <w:numId w:val="12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Commente sur au moins un (1) fil de discussion d’un collègue</w:t>
            </w:r>
            <w:r w:rsidR="009A4560"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pour suggérer un programme dans l’une des économies que ton collègue a choisi.</w:t>
            </w:r>
          </w:p>
          <w:p w14:paraId="428E649B" w14:textId="77777777" w:rsidR="00EA7146" w:rsidRDefault="00EA7146" w:rsidP="00EA7146">
            <w:pPr>
              <w:pStyle w:val="Paragraphedeliste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50AF1D05" w14:textId="658DF9A0" w:rsidR="009A4560" w:rsidRPr="00B067E2" w:rsidRDefault="00EA7146" w:rsidP="00EA7146">
            <w:pPr>
              <w:pStyle w:val="Paragraphedeliste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EA7146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 xml:space="preserve">Note : </w:t>
            </w:r>
            <w:r w:rsidR="009A4560"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L’économie commentée doit être </w:t>
            </w:r>
            <w:r w:rsidR="009A4560" w:rsidRPr="00EA7146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différente</w:t>
            </w:r>
            <w:r w:rsidR="009A4560"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économies que tu as choisi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es</w:t>
            </w:r>
            <w:r w:rsidR="009A4560" w:rsidRPr="00B06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pour ton commentaire.</w:t>
            </w:r>
          </w:p>
          <w:p w14:paraId="17A4E326" w14:textId="77777777" w:rsidR="00AB45B3" w:rsidRPr="004630D5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4630D5" w:rsidRDefault="00012AF9" w:rsidP="00012AF9">
      <w:pPr>
        <w:rPr>
          <w:rFonts w:cs="Arial"/>
          <w:szCs w:val="20"/>
          <w:lang w:val="fr-CA"/>
        </w:rPr>
      </w:pPr>
    </w:p>
    <w:sectPr w:rsidR="00012AF9" w:rsidRPr="004630D5" w:rsidSect="00E0390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7E5B1" w14:textId="77777777" w:rsidR="00916BB1" w:rsidRDefault="00916BB1" w:rsidP="007511F3">
      <w:r>
        <w:separator/>
      </w:r>
    </w:p>
  </w:endnote>
  <w:endnote w:type="continuationSeparator" w:id="0">
    <w:p w14:paraId="70D476D5" w14:textId="77777777" w:rsidR="00916BB1" w:rsidRDefault="00916BB1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EE899" w14:textId="77777777" w:rsidR="00CD4579" w:rsidRDefault="00CD45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E7E9" w14:textId="77777777" w:rsidR="00CD4579" w:rsidRDefault="00CD457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C76E" w14:textId="77777777" w:rsidR="00916BB1" w:rsidRDefault="00916BB1" w:rsidP="007511F3">
      <w:r>
        <w:separator/>
      </w:r>
    </w:p>
  </w:footnote>
  <w:footnote w:type="continuationSeparator" w:id="0">
    <w:p w14:paraId="75411700" w14:textId="77777777" w:rsidR="00916BB1" w:rsidRDefault="00916BB1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A303" w14:textId="77777777" w:rsidR="00CD4579" w:rsidRDefault="00CD457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28B827FD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AB0901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BDA9" w14:textId="77777777" w:rsidR="00CD4579" w:rsidRDefault="00CD45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018B"/>
    <w:multiLevelType w:val="hybridMultilevel"/>
    <w:tmpl w:val="262A70EC"/>
    <w:lvl w:ilvl="0" w:tplc="0C0C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C001B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96F59"/>
    <w:multiLevelType w:val="hybridMultilevel"/>
    <w:tmpl w:val="4E521B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E3EE1"/>
    <w:multiLevelType w:val="hybridMultilevel"/>
    <w:tmpl w:val="073C0988"/>
    <w:lvl w:ilvl="0" w:tplc="EF669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C12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480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721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C1A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449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8B9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0E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82F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27357"/>
    <w:multiLevelType w:val="hybridMultilevel"/>
    <w:tmpl w:val="3E98CC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2453EF"/>
    <w:multiLevelType w:val="hybridMultilevel"/>
    <w:tmpl w:val="82A0947A"/>
    <w:lvl w:ilvl="0" w:tplc="91700DCE">
      <w:start w:val="1"/>
      <w:numFmt w:val="decimal"/>
      <w:lvlText w:val="%1."/>
      <w:lvlJc w:val="left"/>
      <w:pPr>
        <w:ind w:left="720" w:hanging="360"/>
      </w:pPr>
    </w:lvl>
    <w:lvl w:ilvl="1" w:tplc="EFC892B0">
      <w:start w:val="1"/>
      <w:numFmt w:val="lowerLetter"/>
      <w:lvlText w:val="%2."/>
      <w:lvlJc w:val="left"/>
      <w:pPr>
        <w:ind w:left="1440" w:hanging="360"/>
      </w:pPr>
    </w:lvl>
    <w:lvl w:ilvl="2" w:tplc="E08AABAA">
      <w:start w:val="1"/>
      <w:numFmt w:val="lowerRoman"/>
      <w:lvlText w:val="%3."/>
      <w:lvlJc w:val="right"/>
      <w:pPr>
        <w:ind w:left="2160" w:hanging="180"/>
      </w:pPr>
    </w:lvl>
    <w:lvl w:ilvl="3" w:tplc="3F8ADA88">
      <w:start w:val="1"/>
      <w:numFmt w:val="decimal"/>
      <w:lvlText w:val="%4."/>
      <w:lvlJc w:val="left"/>
      <w:pPr>
        <w:ind w:left="2880" w:hanging="360"/>
      </w:pPr>
    </w:lvl>
    <w:lvl w:ilvl="4" w:tplc="47F4C648">
      <w:start w:val="1"/>
      <w:numFmt w:val="lowerLetter"/>
      <w:lvlText w:val="%5."/>
      <w:lvlJc w:val="left"/>
      <w:pPr>
        <w:ind w:left="3600" w:hanging="360"/>
      </w:pPr>
    </w:lvl>
    <w:lvl w:ilvl="5" w:tplc="5D4459C8">
      <w:start w:val="1"/>
      <w:numFmt w:val="lowerRoman"/>
      <w:lvlText w:val="%6."/>
      <w:lvlJc w:val="right"/>
      <w:pPr>
        <w:ind w:left="4320" w:hanging="180"/>
      </w:pPr>
    </w:lvl>
    <w:lvl w:ilvl="6" w:tplc="A09CEBC6">
      <w:start w:val="1"/>
      <w:numFmt w:val="decimal"/>
      <w:lvlText w:val="%7."/>
      <w:lvlJc w:val="left"/>
      <w:pPr>
        <w:ind w:left="5040" w:hanging="360"/>
      </w:pPr>
    </w:lvl>
    <w:lvl w:ilvl="7" w:tplc="AFDE6B22">
      <w:start w:val="1"/>
      <w:numFmt w:val="lowerLetter"/>
      <w:lvlText w:val="%8."/>
      <w:lvlJc w:val="left"/>
      <w:pPr>
        <w:ind w:left="5760" w:hanging="360"/>
      </w:pPr>
    </w:lvl>
    <w:lvl w:ilvl="8" w:tplc="6282792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60DAC"/>
    <w:multiLevelType w:val="hybridMultilevel"/>
    <w:tmpl w:val="6ECA99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11"/>
  </w:num>
  <w:num w:numId="12">
    <w:abstractNumId w:val="4"/>
  </w:num>
  <w:num w:numId="13">
    <w:abstractNumId w:val="14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471A3"/>
    <w:rsid w:val="00066B0D"/>
    <w:rsid w:val="00073A7C"/>
    <w:rsid w:val="00077148"/>
    <w:rsid w:val="00087AE4"/>
    <w:rsid w:val="000C1560"/>
    <w:rsid w:val="000D1145"/>
    <w:rsid w:val="000F357E"/>
    <w:rsid w:val="000F76F5"/>
    <w:rsid w:val="00112F43"/>
    <w:rsid w:val="00152AA3"/>
    <w:rsid w:val="0015560F"/>
    <w:rsid w:val="00160385"/>
    <w:rsid w:val="00186977"/>
    <w:rsid w:val="001A14F3"/>
    <w:rsid w:val="001C516F"/>
    <w:rsid w:val="001F4A6F"/>
    <w:rsid w:val="00262526"/>
    <w:rsid w:val="00266A6D"/>
    <w:rsid w:val="00276961"/>
    <w:rsid w:val="002806C0"/>
    <w:rsid w:val="0029013A"/>
    <w:rsid w:val="002A0355"/>
    <w:rsid w:val="002B7BFA"/>
    <w:rsid w:val="002D1760"/>
    <w:rsid w:val="002F74F6"/>
    <w:rsid w:val="003163AB"/>
    <w:rsid w:val="00324581"/>
    <w:rsid w:val="00332FF7"/>
    <w:rsid w:val="00346B13"/>
    <w:rsid w:val="003B1F67"/>
    <w:rsid w:val="003C7B86"/>
    <w:rsid w:val="003D03AA"/>
    <w:rsid w:val="003F1774"/>
    <w:rsid w:val="004051BD"/>
    <w:rsid w:val="004051F8"/>
    <w:rsid w:val="00414760"/>
    <w:rsid w:val="00414FBE"/>
    <w:rsid w:val="00421D00"/>
    <w:rsid w:val="00425C93"/>
    <w:rsid w:val="004508D2"/>
    <w:rsid w:val="00452D97"/>
    <w:rsid w:val="00456007"/>
    <w:rsid w:val="004630D5"/>
    <w:rsid w:val="004664AB"/>
    <w:rsid w:val="00486D5E"/>
    <w:rsid w:val="00491796"/>
    <w:rsid w:val="00495B82"/>
    <w:rsid w:val="004C4DED"/>
    <w:rsid w:val="004D2381"/>
    <w:rsid w:val="004E0821"/>
    <w:rsid w:val="005029C2"/>
    <w:rsid w:val="00503D27"/>
    <w:rsid w:val="00517B91"/>
    <w:rsid w:val="00523B13"/>
    <w:rsid w:val="00562E45"/>
    <w:rsid w:val="005E3BAB"/>
    <w:rsid w:val="005E5C8D"/>
    <w:rsid w:val="005F7CC2"/>
    <w:rsid w:val="0063500D"/>
    <w:rsid w:val="006451E4"/>
    <w:rsid w:val="006549DB"/>
    <w:rsid w:val="00670B89"/>
    <w:rsid w:val="00671C98"/>
    <w:rsid w:val="006C19BC"/>
    <w:rsid w:val="006E0805"/>
    <w:rsid w:val="006E2FDC"/>
    <w:rsid w:val="00700989"/>
    <w:rsid w:val="00712972"/>
    <w:rsid w:val="00747FE8"/>
    <w:rsid w:val="007511F3"/>
    <w:rsid w:val="00764F8C"/>
    <w:rsid w:val="00767B08"/>
    <w:rsid w:val="00797235"/>
    <w:rsid w:val="007A574C"/>
    <w:rsid w:val="007B693D"/>
    <w:rsid w:val="007C7357"/>
    <w:rsid w:val="007D1815"/>
    <w:rsid w:val="007D443C"/>
    <w:rsid w:val="007D56A6"/>
    <w:rsid w:val="007D6E26"/>
    <w:rsid w:val="0080466D"/>
    <w:rsid w:val="00813702"/>
    <w:rsid w:val="00825DEB"/>
    <w:rsid w:val="008860E3"/>
    <w:rsid w:val="00886500"/>
    <w:rsid w:val="0089222A"/>
    <w:rsid w:val="008A66D1"/>
    <w:rsid w:val="008B3251"/>
    <w:rsid w:val="00916BB1"/>
    <w:rsid w:val="009321A2"/>
    <w:rsid w:val="00963574"/>
    <w:rsid w:val="00972A79"/>
    <w:rsid w:val="00981196"/>
    <w:rsid w:val="0098533E"/>
    <w:rsid w:val="00991744"/>
    <w:rsid w:val="009947DE"/>
    <w:rsid w:val="00994836"/>
    <w:rsid w:val="009A4560"/>
    <w:rsid w:val="009A7B74"/>
    <w:rsid w:val="009D4028"/>
    <w:rsid w:val="009E577E"/>
    <w:rsid w:val="009E77AE"/>
    <w:rsid w:val="00A10FCE"/>
    <w:rsid w:val="00A13169"/>
    <w:rsid w:val="00A50E94"/>
    <w:rsid w:val="00A665DC"/>
    <w:rsid w:val="00A80808"/>
    <w:rsid w:val="00A92204"/>
    <w:rsid w:val="00AB0901"/>
    <w:rsid w:val="00AB45B3"/>
    <w:rsid w:val="00AD04CC"/>
    <w:rsid w:val="00AE603C"/>
    <w:rsid w:val="00B067E2"/>
    <w:rsid w:val="00B529FC"/>
    <w:rsid w:val="00B61097"/>
    <w:rsid w:val="00B81726"/>
    <w:rsid w:val="00C13D37"/>
    <w:rsid w:val="00C2104D"/>
    <w:rsid w:val="00C56938"/>
    <w:rsid w:val="00C7016E"/>
    <w:rsid w:val="00CA177E"/>
    <w:rsid w:val="00CC5F55"/>
    <w:rsid w:val="00CD4579"/>
    <w:rsid w:val="00CD4951"/>
    <w:rsid w:val="00CD4C84"/>
    <w:rsid w:val="00CE1E23"/>
    <w:rsid w:val="00D24CF4"/>
    <w:rsid w:val="00D443DC"/>
    <w:rsid w:val="00D645C9"/>
    <w:rsid w:val="00D76276"/>
    <w:rsid w:val="00D835CF"/>
    <w:rsid w:val="00D921C0"/>
    <w:rsid w:val="00DB0558"/>
    <w:rsid w:val="00DB4CFC"/>
    <w:rsid w:val="00DE086F"/>
    <w:rsid w:val="00DE3572"/>
    <w:rsid w:val="00DE6DC7"/>
    <w:rsid w:val="00DF5F46"/>
    <w:rsid w:val="00E0390F"/>
    <w:rsid w:val="00E239FB"/>
    <w:rsid w:val="00E333CD"/>
    <w:rsid w:val="00E61DD1"/>
    <w:rsid w:val="00E66E36"/>
    <w:rsid w:val="00E75886"/>
    <w:rsid w:val="00E84025"/>
    <w:rsid w:val="00E849C2"/>
    <w:rsid w:val="00E96EB5"/>
    <w:rsid w:val="00EA7146"/>
    <w:rsid w:val="00EE6732"/>
    <w:rsid w:val="00F05CAA"/>
    <w:rsid w:val="00F1397F"/>
    <w:rsid w:val="00F2439E"/>
    <w:rsid w:val="00F52677"/>
    <w:rsid w:val="00F52BAB"/>
    <w:rsid w:val="00F86B94"/>
    <w:rsid w:val="00FA3C71"/>
    <w:rsid w:val="00FA5B54"/>
    <w:rsid w:val="00FC1016"/>
    <w:rsid w:val="00FD3B80"/>
    <w:rsid w:val="00FD5B94"/>
    <w:rsid w:val="0160B8E8"/>
    <w:rsid w:val="01B90BBF"/>
    <w:rsid w:val="03960051"/>
    <w:rsid w:val="052E170E"/>
    <w:rsid w:val="05772192"/>
    <w:rsid w:val="06939BA1"/>
    <w:rsid w:val="07D38DF0"/>
    <w:rsid w:val="0861655C"/>
    <w:rsid w:val="09F58D89"/>
    <w:rsid w:val="0AC79EA6"/>
    <w:rsid w:val="0AEABD2A"/>
    <w:rsid w:val="0AEC0565"/>
    <w:rsid w:val="0AEEAB1D"/>
    <w:rsid w:val="0B670CC4"/>
    <w:rsid w:val="0BE710C3"/>
    <w:rsid w:val="0D55FDE8"/>
    <w:rsid w:val="0D8A1EA7"/>
    <w:rsid w:val="0E26E3C7"/>
    <w:rsid w:val="0EF1CE49"/>
    <w:rsid w:val="107481FE"/>
    <w:rsid w:val="11FB72C6"/>
    <w:rsid w:val="12977205"/>
    <w:rsid w:val="12A72651"/>
    <w:rsid w:val="13154478"/>
    <w:rsid w:val="13C53F6C"/>
    <w:rsid w:val="152C3DB6"/>
    <w:rsid w:val="15432CAB"/>
    <w:rsid w:val="1783A2BF"/>
    <w:rsid w:val="1ADEA717"/>
    <w:rsid w:val="1B770EC7"/>
    <w:rsid w:val="1D41CB8A"/>
    <w:rsid w:val="1DA2BCFA"/>
    <w:rsid w:val="1FD6BFED"/>
    <w:rsid w:val="1FFAFE4B"/>
    <w:rsid w:val="21DB373B"/>
    <w:rsid w:val="2280FDEF"/>
    <w:rsid w:val="229BBBC5"/>
    <w:rsid w:val="23365EB5"/>
    <w:rsid w:val="237E7154"/>
    <w:rsid w:val="23F166AA"/>
    <w:rsid w:val="25FCD863"/>
    <w:rsid w:val="25FE6986"/>
    <w:rsid w:val="26A7A5E4"/>
    <w:rsid w:val="273D821B"/>
    <w:rsid w:val="27C48618"/>
    <w:rsid w:val="27D191E0"/>
    <w:rsid w:val="284A78BF"/>
    <w:rsid w:val="2874C9E5"/>
    <w:rsid w:val="29D1144D"/>
    <w:rsid w:val="29E64920"/>
    <w:rsid w:val="2B962C6E"/>
    <w:rsid w:val="2F441AD0"/>
    <w:rsid w:val="2FBA47BD"/>
    <w:rsid w:val="2FF8B073"/>
    <w:rsid w:val="309CD803"/>
    <w:rsid w:val="31494D97"/>
    <w:rsid w:val="3156181E"/>
    <w:rsid w:val="32812B22"/>
    <w:rsid w:val="34CC2196"/>
    <w:rsid w:val="35D1EC63"/>
    <w:rsid w:val="3648E259"/>
    <w:rsid w:val="37BE26B3"/>
    <w:rsid w:val="37BEA69F"/>
    <w:rsid w:val="3B46A926"/>
    <w:rsid w:val="3D8401DE"/>
    <w:rsid w:val="3E04064F"/>
    <w:rsid w:val="3E314127"/>
    <w:rsid w:val="3E584A79"/>
    <w:rsid w:val="3E7AF162"/>
    <w:rsid w:val="4016C1C3"/>
    <w:rsid w:val="402D38AC"/>
    <w:rsid w:val="40B763F3"/>
    <w:rsid w:val="41498CE9"/>
    <w:rsid w:val="41BA3A8A"/>
    <w:rsid w:val="4254F590"/>
    <w:rsid w:val="42754F40"/>
    <w:rsid w:val="42F69F11"/>
    <w:rsid w:val="434E6285"/>
    <w:rsid w:val="43B4AD3E"/>
    <w:rsid w:val="447DA5E2"/>
    <w:rsid w:val="4534D9E5"/>
    <w:rsid w:val="453AAF41"/>
    <w:rsid w:val="455835E0"/>
    <w:rsid w:val="45E27F74"/>
    <w:rsid w:val="46F40641"/>
    <w:rsid w:val="48BCF4F2"/>
    <w:rsid w:val="4ACB7C66"/>
    <w:rsid w:val="4BBD91A0"/>
    <w:rsid w:val="4BD9EBC3"/>
    <w:rsid w:val="4C0397C6"/>
    <w:rsid w:val="4D792F42"/>
    <w:rsid w:val="4F067BD3"/>
    <w:rsid w:val="4FDE3D24"/>
    <w:rsid w:val="4FF2DB19"/>
    <w:rsid w:val="50028F65"/>
    <w:rsid w:val="50C61507"/>
    <w:rsid w:val="5194ED90"/>
    <w:rsid w:val="52ED990E"/>
    <w:rsid w:val="54EE62FC"/>
    <w:rsid w:val="564495FE"/>
    <w:rsid w:val="57B3AC56"/>
    <w:rsid w:val="57D357F4"/>
    <w:rsid w:val="58629714"/>
    <w:rsid w:val="58BFC4D9"/>
    <w:rsid w:val="597C5517"/>
    <w:rsid w:val="5C4FA243"/>
    <w:rsid w:val="5DC82009"/>
    <w:rsid w:val="5E4E185C"/>
    <w:rsid w:val="5E73D6B6"/>
    <w:rsid w:val="5E7E0091"/>
    <w:rsid w:val="5F05D7E0"/>
    <w:rsid w:val="6313F9EC"/>
    <w:rsid w:val="674E3355"/>
    <w:rsid w:val="682BF300"/>
    <w:rsid w:val="682DDB35"/>
    <w:rsid w:val="68CE2BF0"/>
    <w:rsid w:val="6A3CCDFC"/>
    <w:rsid w:val="6A4D27BA"/>
    <w:rsid w:val="6A8A7BBF"/>
    <w:rsid w:val="6C4BCF8B"/>
    <w:rsid w:val="6CFC2626"/>
    <w:rsid w:val="6DA495E2"/>
    <w:rsid w:val="6FB4093A"/>
    <w:rsid w:val="6FDC9436"/>
    <w:rsid w:val="7167841E"/>
    <w:rsid w:val="71C80C11"/>
    <w:rsid w:val="725EDEA8"/>
    <w:rsid w:val="726A3ED7"/>
    <w:rsid w:val="74524C74"/>
    <w:rsid w:val="760615C2"/>
    <w:rsid w:val="768EEB2F"/>
    <w:rsid w:val="76969946"/>
    <w:rsid w:val="76ABCE4F"/>
    <w:rsid w:val="783B2C1F"/>
    <w:rsid w:val="7987DBB6"/>
    <w:rsid w:val="7B2FB9DF"/>
    <w:rsid w:val="7CA1EEE1"/>
    <w:rsid w:val="7EB8BC64"/>
    <w:rsid w:val="7EFBA5C3"/>
    <w:rsid w:val="7F67603D"/>
    <w:rsid w:val="7FF1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C5693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40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4025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i.radio-canada.ca/nouvelle/1071909/six-boites-dons-vols-ottawa-charite-grands-freres-grandes-soeurs" TargetMode="External"/><Relationship Id="rId13" Type="http://schemas.openxmlformats.org/officeDocument/2006/relationships/hyperlink" Target="https://www.cooperators.ca/fr-ca/Resources/plan-ahead/charity-tax-credit.aspx" TargetMode="External"/><Relationship Id="rId18" Type="http://schemas.openxmlformats.org/officeDocument/2006/relationships/hyperlink" Target="https://www.forbes.com/lists/top-charities/?sh=1afd27e45f5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tvanouvelles.ca/2012/12/11/gros-salaires-dans-les-organismes-de-charite" TargetMode="External"/><Relationship Id="rId17" Type="http://schemas.openxmlformats.org/officeDocument/2006/relationships/hyperlink" Target="https://www.forbes.com/lists/top-charities/?sh=1afd27e45f5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croixrouge.ca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tribune.ca/2015/08/12/ou-vont-vos-dons-1ab7941fa4a9a3e6d7f2c0200889e8c4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visionmondiale.ca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journaldemontreal.com/2020/07/28/scandale-we-charity-rappel-des-evenements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esechos.fr/monde/etats-unis/trump-mis-a-lamende-pour-avoir-detourne-largent-de-sa-fondation-de-charite-1146506" TargetMode="External"/><Relationship Id="rId14" Type="http://schemas.openxmlformats.org/officeDocument/2006/relationships/hyperlink" Target="https://www.medecinssansfrontieres.ca/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29</TotalTime>
  <Pages>2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98</cp:revision>
  <cp:lastPrinted>2016-11-10T13:40:00Z</cp:lastPrinted>
  <dcterms:created xsi:type="dcterms:W3CDTF">2020-06-23T21:15:00Z</dcterms:created>
  <dcterms:modified xsi:type="dcterms:W3CDTF">2022-02-25T18:47:00Z</dcterms:modified>
</cp:coreProperties>
</file>