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0E2A41" w14:paraId="435D1C1A" w14:textId="77777777" w:rsidTr="0E6ED96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4ED49F30" w:rsidR="00F52677" w:rsidRPr="000E2A41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E2A4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0E2A41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0E2A4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9E4B5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0E2A41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0E2A41" w14:paraId="7142CD37" w14:textId="77777777" w:rsidTr="0E6ED96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7E95ADAC" w:rsidR="000024F5" w:rsidRPr="006D76B8" w:rsidRDefault="006D76B8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1</w:t>
            </w:r>
          </w:p>
        </w:tc>
      </w:tr>
      <w:tr w:rsidR="00F52677" w:rsidRPr="000E2A41" w14:paraId="4AABB92B" w14:textId="77777777" w:rsidTr="0E6ED96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5E4BAF31" w:rsidR="00F52677" w:rsidRPr="000E2A41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E2A4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0E2A4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9E4B5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0E2A41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0E2A41" w14:paraId="3EA6154A" w14:textId="77777777" w:rsidTr="0E6ED96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618B4E9D" w:rsidR="00A665DC" w:rsidRPr="006D76B8" w:rsidRDefault="006D76B8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Canevas</w:t>
            </w:r>
          </w:p>
        </w:tc>
      </w:tr>
      <w:tr w:rsidR="00495B82" w:rsidRPr="000E2A41" w14:paraId="77542F8B" w14:textId="77777777" w:rsidTr="0E6ED96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282356A1" w:rsidR="00495B82" w:rsidRPr="000E2A41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E2A4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9E4B5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0E2A41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0E2A41" w14:paraId="62AD4741" w14:textId="77777777" w:rsidTr="0E6ED96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527A4849" w:rsidR="00523B13" w:rsidRPr="000E2A41" w:rsidRDefault="006D76B8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s. o.</w:t>
            </w:r>
          </w:p>
        </w:tc>
      </w:tr>
      <w:tr w:rsidR="00523B13" w:rsidRPr="000E2A41" w14:paraId="31C9990C" w14:textId="77777777" w:rsidTr="0E6ED96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4908B011" w:rsidR="00523B13" w:rsidRPr="000E2A41" w:rsidRDefault="00523B13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E2A4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Élément de performance</w:t>
            </w:r>
            <w:r w:rsidR="009E4B5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0E2A41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0E2A41" w14:paraId="31349A98" w14:textId="77777777" w:rsidTr="0E6ED96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A249F" w14:textId="5EB399F7" w:rsidR="00B61354" w:rsidRPr="006D76B8" w:rsidRDefault="1D8389CD" w:rsidP="4975DD17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proofErr w:type="gramStart"/>
            <w:r w:rsidRPr="006D76B8">
              <w:rPr>
                <w:rFonts w:ascii="Verdana" w:hAnsi="Verdana" w:cs="Arial"/>
                <w:sz w:val="20"/>
                <w:szCs w:val="20"/>
                <w:lang w:val="fr-CA"/>
              </w:rPr>
              <w:t>déterminer</w:t>
            </w:r>
            <w:proofErr w:type="gramEnd"/>
            <w:r w:rsidR="009E4B50" w:rsidRPr="006D76B8">
              <w:rPr>
                <w:rFonts w:ascii="Verdana" w:hAnsi="Verdana" w:cs="Arial"/>
                <w:sz w:val="20"/>
                <w:szCs w:val="20"/>
                <w:lang w:val="fr-CA"/>
              </w:rPr>
              <w:t xml:space="preserve"> </w:t>
            </w:r>
            <w:r w:rsidRPr="006D76B8">
              <w:rPr>
                <w:rFonts w:ascii="Verdana" w:hAnsi="Verdana" w:cs="Arial"/>
                <w:sz w:val="20"/>
                <w:szCs w:val="20"/>
                <w:lang w:val="fr-CA"/>
              </w:rPr>
              <w:t>les mesures de rendement de la réussite des activités de l’entreprise sociale (concrétiser l’impact sur la vie des gens)</w:t>
            </w:r>
          </w:p>
          <w:p w14:paraId="1E014158" w14:textId="5929AB91" w:rsidR="00523B13" w:rsidRPr="000E2A41" w:rsidRDefault="00523B13" w:rsidP="00920505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</w:tbl>
    <w:p w14:paraId="4A1B99F3" w14:textId="1A1A8578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6D76B8" w:rsidRPr="000E2A41" w14:paraId="5D7AF881" w14:textId="77777777" w:rsidTr="000D43EF">
        <w:tc>
          <w:tcPr>
            <w:tcW w:w="1696" w:type="dxa"/>
            <w:shd w:val="clear" w:color="auto" w:fill="C1C1C1"/>
            <w:vAlign w:val="center"/>
          </w:tcPr>
          <w:p w14:paraId="5101A669" w14:textId="77777777" w:rsidR="006D76B8" w:rsidRPr="000E2A41" w:rsidRDefault="006D76B8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0E2A4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4759DCDE" w14:textId="77777777" w:rsidR="006D76B8" w:rsidRPr="000E2A41" w:rsidRDefault="006D76B8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0E2A41">
              <w:rPr>
                <w:rFonts w:ascii="Verdana" w:hAnsi="Verdana" w:cs="Arial"/>
                <w:sz w:val="20"/>
                <w:szCs w:val="20"/>
                <w:lang w:val="fr-CA"/>
              </w:rPr>
              <w:t>Activité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0E2A41">
              <w:rPr>
                <w:rFonts w:ascii="Verdana" w:hAnsi="Verdana" w:cs="Arial"/>
                <w:sz w:val="20"/>
                <w:szCs w:val="20"/>
                <w:lang w:val="fr-CA"/>
              </w:rPr>
              <w:t>: Mesures de rendement</w:t>
            </w:r>
          </w:p>
        </w:tc>
      </w:tr>
    </w:tbl>
    <w:p w14:paraId="067EFECD" w14:textId="77777777" w:rsidR="006D76B8" w:rsidRPr="000E2A41" w:rsidRDefault="006D76B8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0E2A41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0E2A41" w14:paraId="4A2EC677" w14:textId="77777777" w:rsidTr="0E6ED96D">
        <w:tc>
          <w:tcPr>
            <w:tcW w:w="8630" w:type="dxa"/>
            <w:shd w:val="clear" w:color="auto" w:fill="C1C1C1"/>
          </w:tcPr>
          <w:p w14:paraId="726C9220" w14:textId="77777777" w:rsidR="00F52677" w:rsidRPr="000E2A41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E2A4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0E2A41" w14:paraId="09C288F9" w14:textId="77777777" w:rsidTr="0E6ED96D">
        <w:tc>
          <w:tcPr>
            <w:tcW w:w="8630" w:type="dxa"/>
          </w:tcPr>
          <w:p w14:paraId="7F80B258" w14:textId="77777777" w:rsidR="00BB02BF" w:rsidRPr="000E2A41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0E2A41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0E2A41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6C27851A" w:rsidR="00BB02BF" w:rsidRPr="000E2A41" w:rsidRDefault="19DA5964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E6ED96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activité te permettra de comprendre l’importance des mesures de rendement et </w:t>
            </w:r>
            <w:r w:rsidR="009E4B50" w:rsidRPr="0E6ED96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de savoir </w:t>
            </w:r>
            <w:r w:rsidRPr="0E6ED96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comment les appliquer afin de mettre en place un processus d’amélioration continue. </w:t>
            </w:r>
          </w:p>
        </w:tc>
      </w:tr>
      <w:tr w:rsidR="002D1760" w:rsidRPr="000E2A41" w14:paraId="68EF2BA2" w14:textId="77777777" w:rsidTr="0E6ED96D">
        <w:tc>
          <w:tcPr>
            <w:tcW w:w="8630" w:type="dxa"/>
          </w:tcPr>
          <w:p w14:paraId="070D7082" w14:textId="6433F427" w:rsidR="002D1760" w:rsidRPr="000E2A41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0E2A41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9E4B50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0E2A41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9E4B50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0E2A41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0E2A41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4C44F5A1" w14:textId="4B8E2701" w:rsidR="00CB05B7" w:rsidRPr="000E2A41" w:rsidRDefault="76F39823" w:rsidP="4975DD17">
            <w:pPr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</w:pPr>
            <w:r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 xml:space="preserve">Une entreprise sociale a pour but d’offrir des biens ou des services. </w:t>
            </w:r>
            <w:r w:rsidR="009E4B50"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>L</w:t>
            </w:r>
            <w:r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>es recherches et les expériences d</w:t>
            </w:r>
            <w:r w:rsidR="009E4B50"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 xml:space="preserve">es </w:t>
            </w:r>
            <w:r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>entrepreneur</w:t>
            </w:r>
            <w:r w:rsidR="009E4B50"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>s</w:t>
            </w:r>
            <w:r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 xml:space="preserve"> </w:t>
            </w:r>
            <w:r w:rsidR="009E4B50"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 xml:space="preserve">révèlent </w:t>
            </w:r>
            <w:r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>qu’une entreprise</w:t>
            </w:r>
            <w:r w:rsidR="009E4B50"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>,</w:t>
            </w:r>
            <w:r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 xml:space="preserve"> qu’elle soit à but lucratif ou non, </w:t>
            </w:r>
            <w:r w:rsidR="009E4B50"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 xml:space="preserve">qui </w:t>
            </w:r>
            <w:r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>ne s’adapte pas à la réalité contemporaine</w:t>
            </w:r>
            <w:r w:rsidR="009E4B50"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 xml:space="preserve"> </w:t>
            </w:r>
            <w:r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>finira par décliner</w:t>
            </w:r>
            <w:r w:rsidR="009E4B50"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>,</w:t>
            </w:r>
            <w:r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 xml:space="preserve"> ce qui </w:t>
            </w:r>
            <w:r w:rsidR="009E4B50"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>entrainera,</w:t>
            </w:r>
            <w:r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 xml:space="preserve"> </w:t>
            </w:r>
            <w:r w:rsidR="009E4B50"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 xml:space="preserve">à moyen ou </w:t>
            </w:r>
            <w:r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>long terme</w:t>
            </w:r>
            <w:r w:rsidR="009E4B50"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>,</w:t>
            </w:r>
            <w:r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 xml:space="preserve"> </w:t>
            </w:r>
            <w:r w:rsidR="009E4B50"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 xml:space="preserve">l’interruption de </w:t>
            </w:r>
            <w:r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 xml:space="preserve">ses </w:t>
            </w:r>
            <w:r w:rsidR="009E4B50"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>activités</w:t>
            </w:r>
            <w:r w:rsidRPr="0E6ED96D">
              <w:rPr>
                <w:rFonts w:ascii="Verdana" w:eastAsia="Verdana" w:hAnsi="Verdana" w:cs="Verdana"/>
                <w:color w:val="333333"/>
                <w:sz w:val="20"/>
                <w:szCs w:val="20"/>
                <w:lang w:val="fr-CA"/>
              </w:rPr>
              <w:t>.</w:t>
            </w:r>
          </w:p>
          <w:p w14:paraId="764FBC22" w14:textId="3458B09E" w:rsidR="00CB05B7" w:rsidRPr="000E2A41" w:rsidRDefault="00CB05B7" w:rsidP="4975DD17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</w:p>
          <w:p w14:paraId="313DD068" w14:textId="329DCD5F" w:rsidR="00CB05B7" w:rsidRPr="000E2A41" w:rsidRDefault="76F39823" w:rsidP="4975DD17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Il est important pour une entreprise sociale d’établir des critères afin de mesurer sa performance</w:t>
            </w:r>
            <w:r w:rsidR="00FE776C" w:rsidRPr="0E6ED96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et de </w:t>
            </w:r>
            <w:r w:rsidRPr="0E6ED96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mettre en place des mesures, </w:t>
            </w:r>
            <w:r w:rsidR="009E4B50" w:rsidRPr="0E6ED96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au besoin</w:t>
            </w:r>
            <w:r w:rsidRPr="0E6ED96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, afin de redresser la situation. La performance est très souvent reliée à la notion d’amélioration ou d’excellence, ce qui implique obligatoirement une comparaison. Il est important que des critères initiaux soient établi</w:t>
            </w:r>
            <w:r w:rsidR="00FE776C" w:rsidRPr="0E6ED96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Pr="0E6ED96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et que la performa</w:t>
            </w:r>
            <w:r w:rsidR="00FE776C" w:rsidRPr="0E6ED96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nce</w:t>
            </w:r>
            <w:r w:rsidRPr="0E6ED96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de l’organisation soit mesurée </w:t>
            </w:r>
            <w:r w:rsidR="00FE776C" w:rsidRPr="0E6ED96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par rapport à ces </w:t>
            </w:r>
            <w:r w:rsidRPr="0E6ED96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critères</w:t>
            </w:r>
            <w:r w:rsidR="00FE776C" w:rsidRPr="0E6ED96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sur une base régulière</w:t>
            </w:r>
            <w:r w:rsidRPr="0E6ED96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.</w:t>
            </w:r>
          </w:p>
          <w:p w14:paraId="6BAE115B" w14:textId="21DEBC08" w:rsidR="00CB05B7" w:rsidRPr="000E2A41" w:rsidRDefault="00CB05B7" w:rsidP="4975DD17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</w:p>
          <w:p w14:paraId="6930A4B8" w14:textId="751B0FA2" w:rsidR="00CB05B7" w:rsidRPr="000E2A41" w:rsidRDefault="76F39823" w:rsidP="4975DD17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Il est important de comprendre qu’une entreprise sociale est une organisation </w:t>
            </w:r>
            <w:r w:rsidR="414D5124" w:rsidRPr="0E6ED96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à</w:t>
            </w:r>
            <w:r w:rsidRPr="0E6ED96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but non</w:t>
            </w:r>
            <w:r w:rsidR="00FE776C" w:rsidRPr="0E6ED96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Pr="0E6ED96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lucratif</w:t>
            </w:r>
            <w:r w:rsidR="00FE776C" w:rsidRPr="0E6ED96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,</w:t>
            </w:r>
            <w:r w:rsidRPr="0E6ED96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tout comme n’importe quel </w:t>
            </w:r>
            <w:r w:rsidR="00FE776C" w:rsidRPr="0E6ED96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or</w:t>
            </w:r>
            <w:r w:rsidR="00FE776C" w:rsidRPr="0E6ED96D">
              <w:rPr>
                <w:rFonts w:ascii="Verdana" w:eastAsia="Verdana" w:hAnsi="Verdana" w:cs="Verdana"/>
                <w:sz w:val="20"/>
                <w:szCs w:val="20"/>
                <w:lang w:val="fr-CA"/>
              </w:rPr>
              <w:t>dre</w:t>
            </w:r>
            <w:r w:rsidR="00FE776C" w:rsidRPr="0E6ED96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Pr="0E6ED96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de gouvernement</w:t>
            </w:r>
            <w:r w:rsidR="00FE776C" w:rsidRPr="0E6ED96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,</w:t>
            </w:r>
            <w:r w:rsidRPr="0E6ED96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tel qu’une municipalité.</w:t>
            </w:r>
          </w:p>
          <w:p w14:paraId="3A32C4BB" w14:textId="194E768D" w:rsidR="00CB05B7" w:rsidRPr="000E2A41" w:rsidRDefault="00CB05B7" w:rsidP="4975DD17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042B0AC2" w14:textId="01C6C603" w:rsidR="00CB05B7" w:rsidRPr="00FE776C" w:rsidRDefault="2C648C41" w:rsidP="7754F053">
            <w:pPr>
              <w:spacing w:after="160" w:line="259" w:lineRule="auto"/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Chaque organisation</w:t>
            </w:r>
            <w:r w:rsidR="436258E8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ou 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entreprise se doit de comparer </w:t>
            </w:r>
            <w:r w:rsidR="00FE776C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sa 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performance par rapport à </w:t>
            </w:r>
            <w:r w:rsidR="00FE776C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ell</w:t>
            </w:r>
            <w:r w:rsidR="00FE776C" w:rsidRPr="0E6ED96D">
              <w:rPr>
                <w:rFonts w:ascii="Verdana" w:eastAsia="Calibri" w:hAnsi="Verdana" w:cs="Calibri"/>
                <w:sz w:val="20"/>
                <w:szCs w:val="20"/>
                <w:lang w:val="fr-CA"/>
              </w:rPr>
              <w:t>e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-même ou à des organisations</w:t>
            </w:r>
            <w:r w:rsidR="3C578854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ou </w:t>
            </w:r>
            <w:r w:rsidR="00FE776C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à</w:t>
            </w:r>
            <w:r w:rsidR="00FE776C" w:rsidRPr="0E6ED96D">
              <w:rPr>
                <w:rFonts w:ascii="Verdana" w:eastAsia="Calibri" w:hAnsi="Verdana" w:cs="Calibri"/>
                <w:sz w:val="20"/>
                <w:szCs w:val="20"/>
                <w:lang w:val="fr-CA"/>
              </w:rPr>
              <w:t xml:space="preserve"> </w:t>
            </w:r>
            <w:r w:rsidR="3C578854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des 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entreprises comparable</w:t>
            </w:r>
            <w:r w:rsidR="027B6DE6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s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, </w:t>
            </w:r>
            <w:r w:rsidR="00FE776C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dans l</w:t>
            </w:r>
            <w:r w:rsidR="00FE776C" w:rsidRPr="0E6ED96D">
              <w:rPr>
                <w:rFonts w:ascii="Verdana" w:eastAsia="Calibri" w:hAnsi="Verdana" w:cs="Calibri"/>
                <w:sz w:val="20"/>
                <w:szCs w:val="20"/>
                <w:lang w:val="fr-CA"/>
              </w:rPr>
              <w:t xml:space="preserve">a mesure du 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possible. Il s’agit de déterminer s’il y a amélioration </w:t>
            </w:r>
            <w:r w:rsidR="00FE776C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en comparant différentes 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période</w:t>
            </w:r>
            <w:r w:rsidR="00FE776C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s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ou si l’entreprise</w:t>
            </w:r>
            <w:r w:rsidR="6D42A54B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ou l’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organisation </w:t>
            </w:r>
            <w:r w:rsidR="00FE776C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fait 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mieux ou pire que </w:t>
            </w:r>
            <w:r w:rsidR="00FE776C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le point de comparaison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.</w:t>
            </w:r>
          </w:p>
          <w:p w14:paraId="4125F9DB" w14:textId="42CFB291" w:rsidR="00CB05B7" w:rsidRPr="000E2A41" w:rsidRDefault="15184EFC" w:rsidP="7754F053">
            <w:pPr>
              <w:spacing w:after="160" w:line="259" w:lineRule="auto"/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</w:pP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Note</w:t>
            </w:r>
            <w:r w:rsidR="009E4B50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 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: Dans le domaine, les termes «</w:t>
            </w:r>
            <w:r w:rsidR="009E4B50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 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mesures de rendement</w:t>
            </w:r>
            <w:r w:rsidR="009E4B50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 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»</w:t>
            </w:r>
            <w:r w:rsidR="4B1D69F0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,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«</w:t>
            </w:r>
            <w:r w:rsidR="009E4B50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 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indicateurs de rendement</w:t>
            </w:r>
            <w:r w:rsidR="009E4B50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 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»</w:t>
            </w:r>
            <w:r w:rsidR="17C8AD3A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et «</w:t>
            </w:r>
            <w:r w:rsidR="009E4B50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 </w:t>
            </w:r>
            <w:r w:rsidR="17C8AD3A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indicateurs de performance</w:t>
            </w:r>
            <w:r w:rsidR="009E4B50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 </w:t>
            </w:r>
            <w:r w:rsidR="17C8AD3A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»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font référence au même concept.</w:t>
            </w:r>
            <w:r w:rsidRPr="0E6ED96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 xml:space="preserve"> </w:t>
            </w:r>
          </w:p>
        </w:tc>
      </w:tr>
      <w:tr w:rsidR="00DA3338" w:rsidRPr="000E2A41" w14:paraId="17EE45F8" w14:textId="77777777" w:rsidTr="0E6ED96D">
        <w:tc>
          <w:tcPr>
            <w:tcW w:w="8630" w:type="dxa"/>
          </w:tcPr>
          <w:p w14:paraId="5E33CE0D" w14:textId="54E565BE" w:rsidR="00DA3338" w:rsidRPr="00FE776C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FE776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9E4B50" w:rsidRPr="00FE776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FE776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43B95E6E" w14:textId="1B5B9F99" w:rsidR="004451A5" w:rsidRPr="00F9038F" w:rsidRDefault="52503ABC" w:rsidP="4975DD17">
            <w:pPr>
              <w:spacing w:after="160" w:line="259" w:lineRule="auto"/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  <w:r w:rsidRPr="00F9038F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Partie</w:t>
            </w:r>
            <w:r w:rsidR="009E4B50" w:rsidRPr="00F9038F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Pr="00F9038F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1</w:t>
            </w:r>
            <w:r w:rsidR="009E4B50" w:rsidRPr="00F9038F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Pr="00F9038F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: </w:t>
            </w:r>
            <w:r w:rsidR="5C4229D1" w:rsidRPr="00F9038F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Visionnement et lecture</w:t>
            </w:r>
          </w:p>
          <w:p w14:paraId="4C334C02" w14:textId="50A1E78D" w:rsidR="004451A5" w:rsidRPr="00F9038F" w:rsidRDefault="52503ABC" w:rsidP="7754F053">
            <w:pPr>
              <w:pStyle w:val="Paragraphedeliste"/>
              <w:numPr>
                <w:ilvl w:val="0"/>
                <w:numId w:val="3"/>
              </w:numPr>
              <w:spacing w:after="160" w:line="259" w:lineRule="auto"/>
              <w:rPr>
                <w:rStyle w:val="lev"/>
                <w:rFonts w:ascii="Verdana" w:eastAsiaTheme="minorEastAsia" w:hAnsi="Verdana" w:cstheme="minorBid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  <w:r w:rsidRPr="00F9038F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Visionne la vidéo </w:t>
            </w:r>
            <w:hyperlink r:id="rId11" w:history="1">
              <w:r w:rsidRPr="00EE6E00">
                <w:rPr>
                  <w:rStyle w:val="Lienhypertexte"/>
                  <w:rFonts w:ascii="Verdana" w:hAnsi="Verdana"/>
                  <w:i/>
                  <w:iCs/>
                  <w:sz w:val="20"/>
                  <w:szCs w:val="20"/>
                  <w:lang w:val="fr-CA"/>
                </w:rPr>
                <w:t>Qu’est-ce qu’un indicateur de performance?</w:t>
              </w:r>
            </w:hyperlink>
          </w:p>
          <w:p w14:paraId="6A8BA89F" w14:textId="7AAD9D66" w:rsidR="004451A5" w:rsidRPr="00F9038F" w:rsidRDefault="7189F11E" w:rsidP="4975DD17">
            <w:pPr>
              <w:pStyle w:val="Paragraphedeliste"/>
              <w:numPr>
                <w:ilvl w:val="0"/>
                <w:numId w:val="3"/>
              </w:numPr>
              <w:spacing w:after="160" w:line="259" w:lineRule="auto"/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  <w:r w:rsidRPr="00F9038F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lastRenderedPageBreak/>
              <w:t>Consulte les documents suivants</w:t>
            </w:r>
            <w:r w:rsidR="009E4B50" w:rsidRPr="00F9038F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Pr="00F9038F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: </w:t>
            </w:r>
          </w:p>
          <w:p w14:paraId="63403880" w14:textId="198B0233" w:rsidR="004451A5" w:rsidRPr="00576753" w:rsidRDefault="00EE6E00" w:rsidP="4975DD17">
            <w:pPr>
              <w:pStyle w:val="Paragraphedeliste"/>
              <w:numPr>
                <w:ilvl w:val="1"/>
                <w:numId w:val="3"/>
              </w:numPr>
              <w:spacing w:after="160" w:line="259" w:lineRule="auto"/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  <w:hyperlink r:id="rId12" w:history="1">
              <w:r w:rsidR="7189F11E" w:rsidRPr="00EE6E00">
                <w:rPr>
                  <w:rStyle w:val="Lienhypertexte"/>
                  <w:rFonts w:ascii="Verdana" w:hAnsi="Verdana"/>
                  <w:i/>
                  <w:iCs/>
                  <w:sz w:val="20"/>
                  <w:szCs w:val="20"/>
                  <w:lang w:val="fr-CA"/>
                </w:rPr>
                <w:t xml:space="preserve">Municipal Performance </w:t>
              </w:r>
              <w:proofErr w:type="spellStart"/>
              <w:r w:rsidR="7189F11E" w:rsidRPr="00EE6E00">
                <w:rPr>
                  <w:rStyle w:val="Lienhypertexte"/>
                  <w:rFonts w:ascii="Verdana" w:hAnsi="Verdana"/>
                  <w:i/>
                  <w:iCs/>
                  <w:sz w:val="20"/>
                  <w:szCs w:val="20"/>
                  <w:lang w:val="fr-CA"/>
                </w:rPr>
                <w:t>Measurement</w:t>
              </w:r>
              <w:proofErr w:type="spellEnd"/>
              <w:r w:rsidR="7189F11E" w:rsidRPr="00EE6E00">
                <w:rPr>
                  <w:rStyle w:val="Lienhypertexte"/>
                  <w:rFonts w:ascii="Verdana" w:hAnsi="Verdana"/>
                  <w:i/>
                  <w:iCs/>
                  <w:sz w:val="20"/>
                  <w:szCs w:val="20"/>
                  <w:lang w:val="fr-CA"/>
                </w:rPr>
                <w:t xml:space="preserve"> Program</w:t>
              </w:r>
            </w:hyperlink>
            <w:r w:rsidR="7189F11E" w:rsidRPr="00F9038F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(anglais seulement)</w:t>
            </w:r>
          </w:p>
          <w:p w14:paraId="7FA2D88D" w14:textId="68722E96" w:rsidR="004451A5" w:rsidRPr="00576753" w:rsidRDefault="00EE6E00" w:rsidP="4975DD17">
            <w:pPr>
              <w:pStyle w:val="Paragraphedeliste"/>
              <w:numPr>
                <w:ilvl w:val="1"/>
                <w:numId w:val="3"/>
              </w:numPr>
              <w:spacing w:after="160" w:line="259" w:lineRule="auto"/>
              <w:rPr>
                <w:rStyle w:val="lev"/>
                <w:rFonts w:ascii="Verdana" w:hAnsi="Verdana"/>
                <w:b w:val="0"/>
                <w:bCs w:val="0"/>
                <w:i/>
                <w:iCs/>
                <w:color w:val="000000" w:themeColor="text1"/>
                <w:sz w:val="20"/>
                <w:szCs w:val="20"/>
                <w:lang w:val="fr-CA"/>
              </w:rPr>
            </w:pPr>
            <w:hyperlink r:id="rId13" w:history="1">
              <w:r w:rsidR="7189F11E" w:rsidRPr="00EE6E00">
                <w:rPr>
                  <w:rStyle w:val="Lienhypertexte"/>
                  <w:rFonts w:ascii="Verdana" w:hAnsi="Verdana"/>
                  <w:i/>
                  <w:iCs/>
                  <w:sz w:val="20"/>
                  <w:szCs w:val="20"/>
                  <w:lang w:val="fr-CA"/>
                </w:rPr>
                <w:t>Indicateurs de performance pour les organismes m</w:t>
              </w:r>
              <w:r w:rsidR="1831E5BC" w:rsidRPr="00EE6E00">
                <w:rPr>
                  <w:rStyle w:val="Lienhypertexte"/>
                  <w:rFonts w:ascii="Verdana" w:hAnsi="Verdana"/>
                  <w:i/>
                  <w:iCs/>
                  <w:sz w:val="20"/>
                  <w:szCs w:val="20"/>
                  <w:lang w:val="fr-CA"/>
                </w:rPr>
                <w:t>u</w:t>
              </w:r>
              <w:r w:rsidR="7189F11E" w:rsidRPr="00EE6E00">
                <w:rPr>
                  <w:rStyle w:val="Lienhypertexte"/>
                  <w:rFonts w:ascii="Verdana" w:hAnsi="Verdana"/>
                  <w:i/>
                  <w:iCs/>
                  <w:sz w:val="20"/>
                  <w:szCs w:val="20"/>
                  <w:lang w:val="fr-CA"/>
                </w:rPr>
                <w:t>nicipaux du Québec</w:t>
              </w:r>
            </w:hyperlink>
          </w:p>
          <w:p w14:paraId="4CB3FA37" w14:textId="395DD020" w:rsidR="004451A5" w:rsidRPr="00576753" w:rsidRDefault="004451A5" w:rsidP="4975DD17">
            <w:pPr>
              <w:spacing w:after="160" w:line="259" w:lineRule="auto"/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</w:p>
          <w:p w14:paraId="556C5948" w14:textId="1C71A95C" w:rsidR="004451A5" w:rsidRPr="00576753" w:rsidRDefault="52503ABC" w:rsidP="7754F053">
            <w:pPr>
              <w:spacing w:after="160" w:line="259" w:lineRule="auto"/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  <w:r w:rsidRPr="00576753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Partie</w:t>
            </w:r>
            <w:r w:rsidR="009E4B50" w:rsidRPr="00576753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Pr="00576753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2</w:t>
            </w:r>
            <w:r w:rsidR="009E4B50" w:rsidRPr="00576753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Pr="00576753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: </w:t>
            </w:r>
            <w:r w:rsidR="3108985F" w:rsidRPr="00576753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Analyse</w:t>
            </w:r>
          </w:p>
          <w:p w14:paraId="45EBA79C" w14:textId="011E8D17" w:rsidR="004451A5" w:rsidRPr="00256940" w:rsidRDefault="47D6A624" w:rsidP="7754F053">
            <w:pPr>
              <w:spacing w:after="160" w:line="259" w:lineRule="auto"/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À partir du rapport annuel du service </w:t>
            </w:r>
            <w:r w:rsidR="00FE776C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de 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sécurité incendie de Lachute, tu dois élaborer des mesures de </w:t>
            </w:r>
            <w:r w:rsidR="38D25013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rendement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afin de vérifier </w:t>
            </w:r>
            <w:r w:rsidR="00FE776C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la 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performance des activités préventive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(prévention incendie)</w:t>
            </w:r>
            <w:r w:rsidR="7542E7C7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. </w:t>
            </w:r>
          </w:p>
          <w:p w14:paraId="3D9A7562" w14:textId="30991685" w:rsidR="004451A5" w:rsidRPr="00576753" w:rsidRDefault="001637D4" w:rsidP="0E6ED96D">
            <w:pPr>
              <w:pStyle w:val="Paragraphedeliste"/>
              <w:numPr>
                <w:ilvl w:val="0"/>
                <w:numId w:val="1"/>
              </w:numPr>
              <w:spacing w:after="160" w:line="259" w:lineRule="auto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Analyse le </w:t>
            </w:r>
            <w:hyperlink r:id="rId14" w:history="1">
              <w:r w:rsidR="47D6A624" w:rsidRPr="006444DE">
                <w:rPr>
                  <w:rStyle w:val="Lienhypertexte"/>
                  <w:rFonts w:ascii="Verdana" w:eastAsia="Calibri" w:hAnsi="Verdana" w:cs="Calibri"/>
                  <w:sz w:val="20"/>
                  <w:szCs w:val="20"/>
                  <w:lang w:val="fr-CA"/>
                </w:rPr>
                <w:t>rappo</w:t>
              </w:r>
              <w:r w:rsidR="47D6A624" w:rsidRPr="006444DE">
                <w:rPr>
                  <w:rStyle w:val="Lienhypertexte"/>
                  <w:rFonts w:ascii="Verdana" w:eastAsia="Calibri" w:hAnsi="Verdana" w:cs="Calibri"/>
                  <w:sz w:val="20"/>
                  <w:szCs w:val="20"/>
                  <w:lang w:val="fr-CA"/>
                </w:rPr>
                <w:t>r</w:t>
              </w:r>
              <w:r w:rsidR="47D6A624" w:rsidRPr="006444DE">
                <w:rPr>
                  <w:rStyle w:val="Lienhypertexte"/>
                  <w:rFonts w:ascii="Verdana" w:eastAsia="Calibri" w:hAnsi="Verdana" w:cs="Calibri"/>
                  <w:sz w:val="20"/>
                  <w:szCs w:val="20"/>
                  <w:lang w:val="fr-CA"/>
                </w:rPr>
                <w:t>t annuel du service incendie de Lachute</w:t>
              </w:r>
            </w:hyperlink>
            <w:r w:rsidR="47D6A62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.</w:t>
            </w:r>
            <w:r w:rsidR="0500D63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Porte une attention particulière 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au </w:t>
            </w:r>
            <w:r w:rsidR="0500D63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tableau de la page</w:t>
            </w:r>
            <w:r w:rsidR="009E4B50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="0500D63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6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,</w:t>
            </w:r>
            <w:r w:rsidR="0500D63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500D635" w:rsidRPr="0E6ED96D">
              <w:rPr>
                <w:rStyle w:val="lev"/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Compilation des incidents</w:t>
            </w:r>
            <w:r w:rsidRPr="0E6ED96D">
              <w:rPr>
                <w:rStyle w:val="lev"/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,</w:t>
            </w:r>
            <w:r w:rsidR="0500D635" w:rsidRPr="0E6ED96D">
              <w:rPr>
                <w:rStyle w:val="lev"/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500D63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et aux tableaux suivants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,</w:t>
            </w:r>
            <w:r w:rsidRPr="0E6ED96D">
              <w:rPr>
                <w:rStyle w:val="lev"/>
                <w:rFonts w:eastAsia="Calibri"/>
              </w:rPr>
              <w:t xml:space="preserve"> 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à la page 13</w:t>
            </w:r>
            <w:r w:rsidR="009E4B50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="0500D63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:</w:t>
            </w:r>
          </w:p>
          <w:p w14:paraId="11AB6972" w14:textId="79782670" w:rsidR="004451A5" w:rsidRPr="00256940" w:rsidRDefault="0500D635" w:rsidP="0E6ED96D">
            <w:pPr>
              <w:pStyle w:val="Paragraphedeliste"/>
              <w:numPr>
                <w:ilvl w:val="0"/>
                <w:numId w:val="2"/>
              </w:numPr>
              <w:spacing w:after="160" w:line="259" w:lineRule="auto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Programme sur l</w:t>
            </w:r>
            <w:r w:rsidR="00646E25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’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installation et la vérification du fonctionnement d</w:t>
            </w:r>
            <w:r w:rsidR="00646E25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’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avertisseurs de fumée</w:t>
            </w:r>
          </w:p>
          <w:p w14:paraId="3EDDBE62" w14:textId="39B13134" w:rsidR="004451A5" w:rsidRPr="00FE776C" w:rsidRDefault="0500D635" w:rsidP="0E6ED96D">
            <w:pPr>
              <w:pStyle w:val="Paragraphedeliste"/>
              <w:numPr>
                <w:ilvl w:val="0"/>
                <w:numId w:val="2"/>
              </w:numPr>
              <w:spacing w:after="160" w:line="259" w:lineRule="auto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Programme d</w:t>
            </w:r>
            <w:r w:rsidR="00646E25"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’</w:t>
            </w:r>
            <w:r w:rsidRPr="0E6ED96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inspection périodique des risques plus élevés</w:t>
            </w:r>
          </w:p>
          <w:p w14:paraId="303DF6C7" w14:textId="586A63EE" w:rsidR="004451A5" w:rsidRPr="00FE776C" w:rsidRDefault="004451A5" w:rsidP="4975DD17">
            <w:pPr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</w:p>
          <w:p w14:paraId="68815D5C" w14:textId="46F6C6B0" w:rsidR="004451A5" w:rsidRPr="00FE776C" w:rsidRDefault="004451A5" w:rsidP="4975DD17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62998382" w14:textId="1A021E19" w:rsidR="00AA13A0" w:rsidRPr="00C14E22" w:rsidRDefault="1AB88F8E" w:rsidP="0E6ED96D">
            <w:pPr>
              <w:pStyle w:val="Paragraphedeliste"/>
              <w:numPr>
                <w:ilvl w:val="0"/>
                <w:numId w:val="1"/>
              </w:numPr>
              <w:spacing w:after="160" w:line="259" w:lineRule="auto"/>
              <w:rPr>
                <w:rStyle w:val="lev"/>
                <w:rFonts w:ascii="Verdana" w:eastAsiaTheme="minorEastAsia" w:hAnsi="Verdana" w:cstheme="minorBid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D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étermine le nombre d’incendie</w:t>
            </w:r>
            <w:r w:rsidR="00646E2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que le service 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d</w:t>
            </w:r>
            <w:r w:rsidR="00646E2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</w:t>
            </w:r>
            <w:r w:rsidR="001637D4" w:rsidRPr="0E6ED96D">
              <w:rPr>
                <w:rStyle w:val="lev"/>
                <w:rFonts w:eastAsia="Calibri"/>
              </w:rPr>
              <w:t xml:space="preserve"> 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sécurité incendie de Lachute a combattu</w:t>
            </w:r>
            <w:r w:rsidR="00646E2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sur son territoire. Pour ce faire, tu dois additionner les catégories d’intervention de la série</w:t>
            </w:r>
            <w:r w:rsidR="009E4B50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100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,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à l’exception des catégories</w:t>
            </w:r>
            <w:r w:rsidR="009E4B50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172 et 173.</w:t>
            </w:r>
          </w:p>
          <w:p w14:paraId="4BB52AAC" w14:textId="56C7E982" w:rsidR="00AA13A0" w:rsidRPr="00400454" w:rsidRDefault="177C9DE1" w:rsidP="0E6ED96D">
            <w:pPr>
              <w:pStyle w:val="Paragraphedeliste"/>
              <w:numPr>
                <w:ilvl w:val="0"/>
                <w:numId w:val="1"/>
              </w:numPr>
              <w:spacing w:after="160" w:line="259" w:lineRule="auto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C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alcule le nombre de visites de prévention incendie que le service </w:t>
            </w:r>
            <w:r w:rsidR="00646E2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effectu</w:t>
            </w:r>
            <w:r w:rsidR="00646E2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ées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. Il s’agit de calculer le nombre de visites 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en 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2019 et 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en 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2018 pour chaque tableau et de combiner ces chiffres pour chaque année. 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T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u dois 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donc 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additionner pour chaque année le nombre de visite</w:t>
            </w:r>
            <w:r w:rsidR="00646E2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des colonnes suivantes</w:t>
            </w:r>
            <w:r w:rsidR="009E4B50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:</w:t>
            </w:r>
          </w:p>
          <w:p w14:paraId="59561AD8" w14:textId="179AFA1D" w:rsidR="00AA13A0" w:rsidRPr="00400454" w:rsidRDefault="5B18AF54" w:rsidP="0E6ED96D">
            <w:pPr>
              <w:pStyle w:val="Paragraphedeliste"/>
              <w:numPr>
                <w:ilvl w:val="0"/>
                <w:numId w:val="4"/>
              </w:numPr>
              <w:spacing w:after="160" w:line="259" w:lineRule="auto"/>
              <w:rPr>
                <w:rStyle w:val="lev"/>
                <w:rFonts w:ascii="Verdana" w:eastAsiaTheme="minorEastAsia" w:hAnsi="Verdana" w:cstheme="minorBid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Tableau 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« 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Programme sur l’installation et la vérification du fonctionnement des avertisseurs de fumées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» –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N</w:t>
            </w:r>
            <w:r w:rsidR="03FFA24F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ombre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de visites concluantes ayant répondu;</w:t>
            </w:r>
          </w:p>
          <w:p w14:paraId="32C64923" w14:textId="3957BB8F" w:rsidR="00AA13A0" w:rsidRPr="00032A05" w:rsidRDefault="5B18AF54" w:rsidP="0E6ED96D">
            <w:pPr>
              <w:pStyle w:val="Paragraphedeliste"/>
              <w:numPr>
                <w:ilvl w:val="0"/>
                <w:numId w:val="4"/>
              </w:numPr>
              <w:spacing w:after="160" w:line="259" w:lineRule="auto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Tableau 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« 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Programme d’inspection périodique des risques plus élevés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» –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N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ombre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de bâtiments inspectés.</w:t>
            </w:r>
          </w:p>
          <w:p w14:paraId="202AA9F7" w14:textId="707F6704" w:rsidR="00AA13A0" w:rsidRPr="00032A05" w:rsidRDefault="00AA13A0" w:rsidP="4975DD17">
            <w:pPr>
              <w:spacing w:after="160" w:line="259" w:lineRule="auto"/>
              <w:ind w:left="1080"/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</w:pPr>
          </w:p>
          <w:p w14:paraId="5FFABEBD" w14:textId="1D2A2964" w:rsidR="00AA13A0" w:rsidRPr="00400454" w:rsidRDefault="0AFDEDD3" w:rsidP="0E6ED96D">
            <w:pPr>
              <w:pStyle w:val="Paragraphedeliste"/>
              <w:numPr>
                <w:ilvl w:val="0"/>
                <w:numId w:val="1"/>
              </w:numPr>
              <w:spacing w:after="160" w:line="259" w:lineRule="auto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C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alcul</w:t>
            </w:r>
            <w:r w:rsidR="2DF1FA58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le 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nombre d’incendie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divisé par le nombre total d’inspection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 lors</w:t>
            </w:r>
            <w:r w:rsidR="6A3FEDE3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que tu 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aur</w:t>
            </w:r>
            <w:r w:rsidR="6A3FEDE3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as déterminé le nombre d’incendies pour les années</w:t>
            </w:r>
            <w:r w:rsidR="009E4B50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="6A3FEDE3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2019 et 2018. 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La réponse 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donne 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ce qu’on appel</w:t>
            </w:r>
            <w:r w:rsidR="073B0A32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le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le taux d’incendie par inspection</w:t>
            </w:r>
            <w:r w:rsidR="35A75DD8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.</w:t>
            </w:r>
          </w:p>
          <w:p w14:paraId="3118C46F" w14:textId="49D42277" w:rsidR="00AA13A0" w:rsidRPr="00400454" w:rsidRDefault="00AA13A0" w:rsidP="4975DD17">
            <w:pPr>
              <w:spacing w:after="160" w:line="259" w:lineRule="auto"/>
              <w:ind w:left="1440"/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</w:pPr>
          </w:p>
          <w:p w14:paraId="7623CE26" w14:textId="0AFCA86A" w:rsidR="00AA13A0" w:rsidRPr="00400454" w:rsidRDefault="5B18AF54" w:rsidP="4975DD17">
            <w:pPr>
              <w:pStyle w:val="Paragraphedeliste"/>
              <w:numPr>
                <w:ilvl w:val="0"/>
                <w:numId w:val="1"/>
              </w:numPr>
              <w:spacing w:after="160" w:line="259" w:lineRule="auto"/>
              <w:rPr>
                <w:rStyle w:val="lev"/>
                <w:rFonts w:ascii="Verdana" w:eastAsiaTheme="minorEastAsia" w:hAnsi="Verdana" w:cstheme="minorBid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  <w:r w:rsidRPr="00400454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Détermine les éléments suivants</w:t>
            </w:r>
            <w:r w:rsidR="009E4B50" w:rsidRPr="00400454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Pr="00400454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:</w:t>
            </w:r>
          </w:p>
          <w:p w14:paraId="4458FEA1" w14:textId="255AFDA1" w:rsidR="00AA13A0" w:rsidRPr="00032A05" w:rsidRDefault="001637D4" w:rsidP="0E6ED96D">
            <w:pPr>
              <w:pStyle w:val="Paragraphedeliste"/>
              <w:numPr>
                <w:ilvl w:val="1"/>
                <w:numId w:val="5"/>
              </w:numPr>
              <w:spacing w:after="160" w:line="259" w:lineRule="auto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’année</w:t>
            </w:r>
            <w:r w:rsidR="009E4B50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2019 est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-elle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pire ou mieux que l’année</w:t>
            </w:r>
            <w:r w:rsidR="009E4B50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2018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?</w:t>
            </w:r>
          </w:p>
          <w:p w14:paraId="4CFCAEBB" w14:textId="424FA53E" w:rsidR="00AA13A0" w:rsidRPr="00237639" w:rsidRDefault="001637D4" w:rsidP="0E6ED96D">
            <w:pPr>
              <w:pStyle w:val="Paragraphedeliste"/>
              <w:numPr>
                <w:ilvl w:val="1"/>
                <w:numId w:val="5"/>
              </w:numPr>
              <w:spacing w:after="160" w:line="259" w:lineRule="auto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Quelle est 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la différence d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u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taux d’incendie par </w:t>
            </w:r>
            <w:proofErr w:type="spellStart"/>
            <w:proofErr w:type="gramStart"/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inspection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?Explique</w:t>
            </w:r>
            <w:proofErr w:type="spellEnd"/>
            <w:proofErr w:type="gramEnd"/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cette différence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.</w:t>
            </w:r>
          </w:p>
          <w:p w14:paraId="13676AC0" w14:textId="385903CA" w:rsidR="00AA13A0" w:rsidRPr="00237639" w:rsidRDefault="5B18AF54" w:rsidP="0E6ED96D">
            <w:pPr>
              <w:pStyle w:val="Paragraphedeliste"/>
              <w:spacing w:after="160" w:line="259" w:lineRule="auto"/>
              <w:rPr>
                <w:color w:val="000000" w:themeColor="text1"/>
                <w:lang w:val="fr-CA"/>
              </w:rPr>
            </w:pP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Fourni</w:t>
            </w:r>
            <w:r w:rsidR="001637D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une solution afin d’améliorer</w:t>
            </w:r>
            <w:r w:rsidR="00646E2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le résultat de 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l’année</w:t>
            </w:r>
            <w:r w:rsidR="009E4B50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2020</w:t>
            </w:r>
            <w:r w:rsidR="00646E2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, s’il y a lieu.</w:t>
            </w:r>
          </w:p>
          <w:p w14:paraId="595F4E2C" w14:textId="1F041D13" w:rsidR="00AA13A0" w:rsidRPr="000E2A41" w:rsidRDefault="00AA13A0" w:rsidP="4975DD17">
            <w:pPr>
              <w:spacing w:after="160" w:line="259" w:lineRule="auto"/>
              <w:ind w:left="1440"/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</w:pPr>
          </w:p>
          <w:p w14:paraId="6BBA951E" w14:textId="71CC3DAC" w:rsidR="00AA13A0" w:rsidRPr="00237639" w:rsidRDefault="5B18AF54" w:rsidP="0E6ED96D">
            <w:pPr>
              <w:pStyle w:val="Paragraphedeliste"/>
              <w:numPr>
                <w:ilvl w:val="0"/>
                <w:numId w:val="1"/>
              </w:numPr>
              <w:spacing w:after="160" w:line="259" w:lineRule="auto"/>
              <w:rPr>
                <w:rStyle w:val="lev"/>
                <w:rFonts w:ascii="Verdana" w:eastAsiaTheme="minorEastAsia" w:hAnsi="Verdana" w:cstheme="minorBid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Détermine le co</w:t>
            </w:r>
            <w:r w:rsidR="00646E2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u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t par incendie, à partir des co</w:t>
            </w:r>
            <w:r w:rsidR="00646E2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u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ts </w:t>
            </w:r>
            <w:r w:rsidR="00646E2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opérationnels du 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service</w:t>
            </w:r>
            <w:r w:rsidR="00646E2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de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sécurité incendie</w:t>
            </w:r>
            <w:r w:rsidR="00646E25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.</w:t>
            </w:r>
          </w:p>
          <w:p w14:paraId="5FC3A454" w14:textId="3B898F1F" w:rsidR="00AA13A0" w:rsidRPr="00237639" w:rsidRDefault="00646E25" w:rsidP="0E6ED96D">
            <w:pPr>
              <w:pStyle w:val="Paragraphedeliste"/>
              <w:numPr>
                <w:ilvl w:val="1"/>
                <w:numId w:val="5"/>
              </w:numPr>
              <w:spacing w:after="160" w:line="259" w:lineRule="auto"/>
              <w:rPr>
                <w:rStyle w:val="lev"/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’année</w:t>
            </w:r>
            <w:r w:rsidR="009E4B50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2019 a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-t-elle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été meilleur</w:t>
            </w:r>
            <w:r w:rsidR="49BDEB29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</w:t>
            </w:r>
            <w:r w:rsidR="5B18AF54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que 2018</w:t>
            </w: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?</w:t>
            </w:r>
          </w:p>
          <w:p w14:paraId="2F6E128E" w14:textId="62CE6C11" w:rsidR="00AA13A0" w:rsidRPr="00237639" w:rsidRDefault="00646E25" w:rsidP="0E6ED96D">
            <w:pPr>
              <w:pStyle w:val="Paragraphedeliste"/>
              <w:numPr>
                <w:ilvl w:val="1"/>
                <w:numId w:val="5"/>
              </w:numPr>
              <w:spacing w:after="160" w:line="259" w:lineRule="auto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Explique ta réponse</w:t>
            </w:r>
            <w:r w:rsidR="1414789B" w:rsidRPr="0E6ED96D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.</w:t>
            </w:r>
          </w:p>
          <w:p w14:paraId="049309DE" w14:textId="62FD2D9E" w:rsidR="00AA13A0" w:rsidRPr="000E2A41" w:rsidRDefault="00AA13A0" w:rsidP="4975DD17">
            <w:pPr>
              <w:rPr>
                <w:rStyle w:val="lev"/>
                <w:lang w:val="fr-CA"/>
              </w:rPr>
            </w:pPr>
          </w:p>
        </w:tc>
      </w:tr>
    </w:tbl>
    <w:p w14:paraId="40B4BBD2" w14:textId="77777777" w:rsidR="00F52677" w:rsidRPr="000E2A41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0E2A41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0E2A41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0E2A41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0E2A41">
      <w:headerReference w:type="default" r:id="rId15"/>
      <w:footerReference w:type="default" r:id="rId1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4B7DA" w14:textId="77777777" w:rsidR="005E36CB" w:rsidRDefault="005E36CB" w:rsidP="007511F3">
      <w:r>
        <w:separator/>
      </w:r>
    </w:p>
  </w:endnote>
  <w:endnote w:type="continuationSeparator" w:id="0">
    <w:p w14:paraId="081FA62D" w14:textId="77777777" w:rsidR="005E36CB" w:rsidRDefault="005E36CB" w:rsidP="007511F3">
      <w:r>
        <w:continuationSeparator/>
      </w:r>
    </w:p>
  </w:endnote>
  <w:endnote w:type="continuationNotice" w:id="1">
    <w:p w14:paraId="6D7DC6E8" w14:textId="77777777" w:rsidR="005E36CB" w:rsidRDefault="005E3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E239" w14:textId="77777777" w:rsidR="005E36CB" w:rsidRDefault="005E36CB" w:rsidP="007511F3">
      <w:r>
        <w:separator/>
      </w:r>
    </w:p>
  </w:footnote>
  <w:footnote w:type="continuationSeparator" w:id="0">
    <w:p w14:paraId="6D30A535" w14:textId="77777777" w:rsidR="005E36CB" w:rsidRDefault="005E36CB" w:rsidP="007511F3">
      <w:r>
        <w:continuationSeparator/>
      </w:r>
    </w:p>
  </w:footnote>
  <w:footnote w:type="continuationNotice" w:id="1">
    <w:p w14:paraId="4D125938" w14:textId="77777777" w:rsidR="005E36CB" w:rsidRDefault="005E3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09453250" w:rsidR="007511F3" w:rsidRPr="007511F3" w:rsidRDefault="006D76B8">
    <w:pPr>
      <w:pStyle w:val="En-tte"/>
      <w:rPr>
        <w:lang w:val="fr-CA"/>
      </w:rPr>
    </w:pPr>
    <w:r w:rsidRPr="006D76B8">
      <w:rPr>
        <w:lang w:val="fr-CA"/>
      </w:rPr>
      <w:t>ESO1005 - Planification stratégique d’affaires</w:t>
    </w:r>
    <w:r w:rsidRPr="006D76B8" w:rsidDel="006D76B8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10315"/>
    <w:multiLevelType w:val="hybridMultilevel"/>
    <w:tmpl w:val="C5FA9BC6"/>
    <w:lvl w:ilvl="0" w:tplc="9A24C360">
      <w:start w:val="1"/>
      <w:numFmt w:val="decimal"/>
      <w:lvlText w:val="%1."/>
      <w:lvlJc w:val="left"/>
      <w:pPr>
        <w:ind w:left="720" w:hanging="360"/>
      </w:pPr>
    </w:lvl>
    <w:lvl w:ilvl="1" w:tplc="B162A89C">
      <w:start w:val="1"/>
      <w:numFmt w:val="lowerLetter"/>
      <w:lvlText w:val="%2."/>
      <w:lvlJc w:val="left"/>
      <w:pPr>
        <w:ind w:left="1440" w:hanging="360"/>
      </w:pPr>
    </w:lvl>
    <w:lvl w:ilvl="2" w:tplc="D2C2E6BC">
      <w:start w:val="1"/>
      <w:numFmt w:val="lowerRoman"/>
      <w:lvlText w:val="%3."/>
      <w:lvlJc w:val="right"/>
      <w:pPr>
        <w:ind w:left="2160" w:hanging="180"/>
      </w:pPr>
    </w:lvl>
    <w:lvl w:ilvl="3" w:tplc="5F64F44A">
      <w:start w:val="1"/>
      <w:numFmt w:val="decimal"/>
      <w:lvlText w:val="%4."/>
      <w:lvlJc w:val="left"/>
      <w:pPr>
        <w:ind w:left="2880" w:hanging="360"/>
      </w:pPr>
    </w:lvl>
    <w:lvl w:ilvl="4" w:tplc="4F9ED9AC">
      <w:start w:val="1"/>
      <w:numFmt w:val="lowerLetter"/>
      <w:lvlText w:val="%5."/>
      <w:lvlJc w:val="left"/>
      <w:pPr>
        <w:ind w:left="3600" w:hanging="360"/>
      </w:pPr>
    </w:lvl>
    <w:lvl w:ilvl="5" w:tplc="445007B6">
      <w:start w:val="1"/>
      <w:numFmt w:val="lowerRoman"/>
      <w:lvlText w:val="%6."/>
      <w:lvlJc w:val="right"/>
      <w:pPr>
        <w:ind w:left="4320" w:hanging="180"/>
      </w:pPr>
    </w:lvl>
    <w:lvl w:ilvl="6" w:tplc="41E8D474">
      <w:start w:val="1"/>
      <w:numFmt w:val="decimal"/>
      <w:lvlText w:val="%7."/>
      <w:lvlJc w:val="left"/>
      <w:pPr>
        <w:ind w:left="5040" w:hanging="360"/>
      </w:pPr>
    </w:lvl>
    <w:lvl w:ilvl="7" w:tplc="F7504AE4">
      <w:start w:val="1"/>
      <w:numFmt w:val="lowerLetter"/>
      <w:lvlText w:val="%8."/>
      <w:lvlJc w:val="left"/>
      <w:pPr>
        <w:ind w:left="5760" w:hanging="360"/>
      </w:pPr>
    </w:lvl>
    <w:lvl w:ilvl="8" w:tplc="8DB0FC8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22EAB"/>
    <w:multiLevelType w:val="hybridMultilevel"/>
    <w:tmpl w:val="4934CA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9E1C1086">
      <w:start w:val="1"/>
      <w:numFmt w:val="lowerLetter"/>
      <w:lvlText w:val="%2."/>
      <w:lvlJc w:val="left"/>
      <w:pPr>
        <w:ind w:left="1440" w:hanging="360"/>
      </w:pPr>
    </w:lvl>
    <w:lvl w:ilvl="2" w:tplc="3CE208E4">
      <w:start w:val="1"/>
      <w:numFmt w:val="lowerRoman"/>
      <w:lvlText w:val="%3."/>
      <w:lvlJc w:val="right"/>
      <w:pPr>
        <w:ind w:left="2160" w:hanging="180"/>
      </w:pPr>
    </w:lvl>
    <w:lvl w:ilvl="3" w:tplc="93F46C62">
      <w:start w:val="1"/>
      <w:numFmt w:val="decimal"/>
      <w:lvlText w:val="%4."/>
      <w:lvlJc w:val="left"/>
      <w:pPr>
        <w:ind w:left="2880" w:hanging="360"/>
      </w:pPr>
    </w:lvl>
    <w:lvl w:ilvl="4" w:tplc="45D090F8">
      <w:start w:val="1"/>
      <w:numFmt w:val="lowerLetter"/>
      <w:lvlText w:val="%5."/>
      <w:lvlJc w:val="left"/>
      <w:pPr>
        <w:ind w:left="3600" w:hanging="360"/>
      </w:pPr>
    </w:lvl>
    <w:lvl w:ilvl="5" w:tplc="06F0A062">
      <w:start w:val="1"/>
      <w:numFmt w:val="lowerRoman"/>
      <w:lvlText w:val="%6."/>
      <w:lvlJc w:val="right"/>
      <w:pPr>
        <w:ind w:left="4320" w:hanging="180"/>
      </w:pPr>
    </w:lvl>
    <w:lvl w:ilvl="6" w:tplc="4592560E">
      <w:start w:val="1"/>
      <w:numFmt w:val="decimal"/>
      <w:lvlText w:val="%7."/>
      <w:lvlJc w:val="left"/>
      <w:pPr>
        <w:ind w:left="5040" w:hanging="360"/>
      </w:pPr>
    </w:lvl>
    <w:lvl w:ilvl="7" w:tplc="CBF4F13E">
      <w:start w:val="1"/>
      <w:numFmt w:val="lowerLetter"/>
      <w:lvlText w:val="%8."/>
      <w:lvlJc w:val="left"/>
      <w:pPr>
        <w:ind w:left="5760" w:hanging="360"/>
      </w:pPr>
    </w:lvl>
    <w:lvl w:ilvl="8" w:tplc="8464693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B92BF4"/>
    <w:multiLevelType w:val="hybridMultilevel"/>
    <w:tmpl w:val="E0A6CF2A"/>
    <w:lvl w:ilvl="0" w:tplc="3132B2E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CEA2230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FC0A4D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22689D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AB629B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450E802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C7E7B82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AB6E14C8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7A28DE6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2E12B3"/>
    <w:multiLevelType w:val="hybridMultilevel"/>
    <w:tmpl w:val="3E74468C"/>
    <w:lvl w:ilvl="0" w:tplc="D14A8C20">
      <w:start w:val="1"/>
      <w:numFmt w:val="decimal"/>
      <w:lvlText w:val="%1."/>
      <w:lvlJc w:val="left"/>
      <w:pPr>
        <w:ind w:left="720" w:hanging="360"/>
      </w:pPr>
    </w:lvl>
    <w:lvl w:ilvl="1" w:tplc="52F60C54">
      <w:start w:val="1"/>
      <w:numFmt w:val="lowerLetter"/>
      <w:lvlText w:val="%2."/>
      <w:lvlJc w:val="left"/>
      <w:pPr>
        <w:ind w:left="1440" w:hanging="360"/>
      </w:pPr>
    </w:lvl>
    <w:lvl w:ilvl="2" w:tplc="5A54A306">
      <w:start w:val="1"/>
      <w:numFmt w:val="lowerRoman"/>
      <w:lvlText w:val="%3."/>
      <w:lvlJc w:val="right"/>
      <w:pPr>
        <w:ind w:left="2160" w:hanging="180"/>
      </w:pPr>
    </w:lvl>
    <w:lvl w:ilvl="3" w:tplc="BF7EDDDC">
      <w:start w:val="1"/>
      <w:numFmt w:val="decimal"/>
      <w:lvlText w:val="%4."/>
      <w:lvlJc w:val="left"/>
      <w:pPr>
        <w:ind w:left="2880" w:hanging="360"/>
      </w:pPr>
    </w:lvl>
    <w:lvl w:ilvl="4" w:tplc="EA1603BA">
      <w:start w:val="1"/>
      <w:numFmt w:val="lowerLetter"/>
      <w:lvlText w:val="%5."/>
      <w:lvlJc w:val="left"/>
      <w:pPr>
        <w:ind w:left="3600" w:hanging="360"/>
      </w:pPr>
    </w:lvl>
    <w:lvl w:ilvl="5" w:tplc="725819BE">
      <w:start w:val="1"/>
      <w:numFmt w:val="lowerRoman"/>
      <w:lvlText w:val="%6."/>
      <w:lvlJc w:val="right"/>
      <w:pPr>
        <w:ind w:left="4320" w:hanging="180"/>
      </w:pPr>
    </w:lvl>
    <w:lvl w:ilvl="6" w:tplc="ECBA33C0">
      <w:start w:val="1"/>
      <w:numFmt w:val="decimal"/>
      <w:lvlText w:val="%7."/>
      <w:lvlJc w:val="left"/>
      <w:pPr>
        <w:ind w:left="5040" w:hanging="360"/>
      </w:pPr>
    </w:lvl>
    <w:lvl w:ilvl="7" w:tplc="BEFA2ED8">
      <w:start w:val="1"/>
      <w:numFmt w:val="lowerLetter"/>
      <w:lvlText w:val="%8."/>
      <w:lvlJc w:val="left"/>
      <w:pPr>
        <w:ind w:left="5760" w:hanging="360"/>
      </w:pPr>
    </w:lvl>
    <w:lvl w:ilvl="8" w:tplc="75EE89D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754600"/>
    <w:multiLevelType w:val="hybridMultilevel"/>
    <w:tmpl w:val="5E46158A"/>
    <w:lvl w:ilvl="0" w:tplc="A67EC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D460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1451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DCA8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F61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6E3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52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6E79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36C3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19"/>
  </w:num>
  <w:num w:numId="4">
    <w:abstractNumId w:val="11"/>
  </w:num>
  <w:num w:numId="5">
    <w:abstractNumId w:val="3"/>
  </w:num>
  <w:num w:numId="6">
    <w:abstractNumId w:val="14"/>
  </w:num>
  <w:num w:numId="7">
    <w:abstractNumId w:val="2"/>
  </w:num>
  <w:num w:numId="8">
    <w:abstractNumId w:val="12"/>
  </w:num>
  <w:num w:numId="9">
    <w:abstractNumId w:val="8"/>
  </w:num>
  <w:num w:numId="10">
    <w:abstractNumId w:val="1"/>
  </w:num>
  <w:num w:numId="11">
    <w:abstractNumId w:val="15"/>
  </w:num>
  <w:num w:numId="12">
    <w:abstractNumId w:val="10"/>
  </w:num>
  <w:num w:numId="13">
    <w:abstractNumId w:val="4"/>
  </w:num>
  <w:num w:numId="14">
    <w:abstractNumId w:val="16"/>
  </w:num>
  <w:num w:numId="15">
    <w:abstractNumId w:val="22"/>
  </w:num>
  <w:num w:numId="16">
    <w:abstractNumId w:val="5"/>
  </w:num>
  <w:num w:numId="17">
    <w:abstractNumId w:val="20"/>
  </w:num>
  <w:num w:numId="18">
    <w:abstractNumId w:val="9"/>
  </w:num>
  <w:num w:numId="19">
    <w:abstractNumId w:val="23"/>
  </w:num>
  <w:num w:numId="20">
    <w:abstractNumId w:val="0"/>
  </w:num>
  <w:num w:numId="21">
    <w:abstractNumId w:val="18"/>
  </w:num>
  <w:num w:numId="22">
    <w:abstractNumId w:val="13"/>
  </w:num>
  <w:num w:numId="23">
    <w:abstractNumId w:val="7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2A05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D2391"/>
    <w:rsid w:val="000D7B45"/>
    <w:rsid w:val="000E2A41"/>
    <w:rsid w:val="000E41C8"/>
    <w:rsid w:val="000F2E7D"/>
    <w:rsid w:val="000F6C98"/>
    <w:rsid w:val="00106899"/>
    <w:rsid w:val="00150BD0"/>
    <w:rsid w:val="00151D12"/>
    <w:rsid w:val="00152AA3"/>
    <w:rsid w:val="001637D4"/>
    <w:rsid w:val="00183FF0"/>
    <w:rsid w:val="00184598"/>
    <w:rsid w:val="001B14BB"/>
    <w:rsid w:val="001E2E22"/>
    <w:rsid w:val="001E719B"/>
    <w:rsid w:val="0022510D"/>
    <w:rsid w:val="00225EF4"/>
    <w:rsid w:val="00232DF1"/>
    <w:rsid w:val="00237639"/>
    <w:rsid w:val="00247337"/>
    <w:rsid w:val="00247DED"/>
    <w:rsid w:val="00256940"/>
    <w:rsid w:val="00266A6D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2450"/>
    <w:rsid w:val="002F74F6"/>
    <w:rsid w:val="00324581"/>
    <w:rsid w:val="00325126"/>
    <w:rsid w:val="00327813"/>
    <w:rsid w:val="00346B13"/>
    <w:rsid w:val="00376E2B"/>
    <w:rsid w:val="00380FF4"/>
    <w:rsid w:val="00381E68"/>
    <w:rsid w:val="003B1F67"/>
    <w:rsid w:val="003D11EA"/>
    <w:rsid w:val="003F1774"/>
    <w:rsid w:val="003F4848"/>
    <w:rsid w:val="00400454"/>
    <w:rsid w:val="00421D00"/>
    <w:rsid w:val="0043452F"/>
    <w:rsid w:val="004451A5"/>
    <w:rsid w:val="0044565E"/>
    <w:rsid w:val="00452453"/>
    <w:rsid w:val="00452D97"/>
    <w:rsid w:val="004664AB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509C"/>
    <w:rsid w:val="00562E45"/>
    <w:rsid w:val="00576753"/>
    <w:rsid w:val="00586CD1"/>
    <w:rsid w:val="005923CC"/>
    <w:rsid w:val="005E36CB"/>
    <w:rsid w:val="006031B4"/>
    <w:rsid w:val="00605A7E"/>
    <w:rsid w:val="006067A2"/>
    <w:rsid w:val="00630AE4"/>
    <w:rsid w:val="006423FF"/>
    <w:rsid w:val="006444DE"/>
    <w:rsid w:val="00646E25"/>
    <w:rsid w:val="006551F3"/>
    <w:rsid w:val="00670B89"/>
    <w:rsid w:val="006C19BC"/>
    <w:rsid w:val="006D76B8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1623"/>
    <w:rsid w:val="007F6FAC"/>
    <w:rsid w:val="008048DA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B3251"/>
    <w:rsid w:val="008B5C55"/>
    <w:rsid w:val="00920505"/>
    <w:rsid w:val="009517A9"/>
    <w:rsid w:val="0095419F"/>
    <w:rsid w:val="00970B89"/>
    <w:rsid w:val="00991744"/>
    <w:rsid w:val="009947DE"/>
    <w:rsid w:val="009A534D"/>
    <w:rsid w:val="009B2351"/>
    <w:rsid w:val="009E4B50"/>
    <w:rsid w:val="009E77AE"/>
    <w:rsid w:val="009F2362"/>
    <w:rsid w:val="009F3F48"/>
    <w:rsid w:val="00A13169"/>
    <w:rsid w:val="00A13718"/>
    <w:rsid w:val="00A1A85F"/>
    <w:rsid w:val="00A2236E"/>
    <w:rsid w:val="00A50E94"/>
    <w:rsid w:val="00A665DC"/>
    <w:rsid w:val="00A70488"/>
    <w:rsid w:val="00A80808"/>
    <w:rsid w:val="00AA13A0"/>
    <w:rsid w:val="00AA3124"/>
    <w:rsid w:val="00AA4B84"/>
    <w:rsid w:val="00AD6769"/>
    <w:rsid w:val="00AE603C"/>
    <w:rsid w:val="00B1405C"/>
    <w:rsid w:val="00B35F89"/>
    <w:rsid w:val="00B37F0D"/>
    <w:rsid w:val="00B61354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F6DC1"/>
    <w:rsid w:val="00C03F78"/>
    <w:rsid w:val="00C05499"/>
    <w:rsid w:val="00C11993"/>
    <w:rsid w:val="00C13D37"/>
    <w:rsid w:val="00C14E22"/>
    <w:rsid w:val="00C2395C"/>
    <w:rsid w:val="00C57517"/>
    <w:rsid w:val="00C61D42"/>
    <w:rsid w:val="00C73904"/>
    <w:rsid w:val="00C80C03"/>
    <w:rsid w:val="00CA30AC"/>
    <w:rsid w:val="00CB05B7"/>
    <w:rsid w:val="00CB3CE5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2204F"/>
    <w:rsid w:val="00E26469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6E00"/>
    <w:rsid w:val="00EE7810"/>
    <w:rsid w:val="00F3170A"/>
    <w:rsid w:val="00F3395B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84E46"/>
    <w:rsid w:val="00F9038F"/>
    <w:rsid w:val="00F953A5"/>
    <w:rsid w:val="00FA213E"/>
    <w:rsid w:val="00FA5B54"/>
    <w:rsid w:val="00FC339E"/>
    <w:rsid w:val="00FC755F"/>
    <w:rsid w:val="00FC786A"/>
    <w:rsid w:val="00FE776C"/>
    <w:rsid w:val="00FF19AB"/>
    <w:rsid w:val="00FF227A"/>
    <w:rsid w:val="00FF44B1"/>
    <w:rsid w:val="0214B8B7"/>
    <w:rsid w:val="027B6DE6"/>
    <w:rsid w:val="0397478A"/>
    <w:rsid w:val="03FFA24F"/>
    <w:rsid w:val="0469F49A"/>
    <w:rsid w:val="0500D635"/>
    <w:rsid w:val="073B0A32"/>
    <w:rsid w:val="07A3F33C"/>
    <w:rsid w:val="08945C30"/>
    <w:rsid w:val="0AFDEDD3"/>
    <w:rsid w:val="0B0B8B4E"/>
    <w:rsid w:val="0E6ED96D"/>
    <w:rsid w:val="0FA1BA6C"/>
    <w:rsid w:val="117557F2"/>
    <w:rsid w:val="12EB396A"/>
    <w:rsid w:val="12FD8672"/>
    <w:rsid w:val="13381CE4"/>
    <w:rsid w:val="1414789B"/>
    <w:rsid w:val="15184EFC"/>
    <w:rsid w:val="177C9DE1"/>
    <w:rsid w:val="17C8AD3A"/>
    <w:rsid w:val="17F0052B"/>
    <w:rsid w:val="1831E5BC"/>
    <w:rsid w:val="198BD58C"/>
    <w:rsid w:val="19DA5964"/>
    <w:rsid w:val="1AB88F8E"/>
    <w:rsid w:val="1B394905"/>
    <w:rsid w:val="1CD51966"/>
    <w:rsid w:val="1D8389CD"/>
    <w:rsid w:val="1DEB50EF"/>
    <w:rsid w:val="1F702615"/>
    <w:rsid w:val="1F75A69E"/>
    <w:rsid w:val="20557A55"/>
    <w:rsid w:val="205C2293"/>
    <w:rsid w:val="25D8E66C"/>
    <w:rsid w:val="26533884"/>
    <w:rsid w:val="274CDFB5"/>
    <w:rsid w:val="2C648C41"/>
    <w:rsid w:val="2DF1FA58"/>
    <w:rsid w:val="3108985F"/>
    <w:rsid w:val="35A75DD8"/>
    <w:rsid w:val="38D25013"/>
    <w:rsid w:val="38EDC4DC"/>
    <w:rsid w:val="3BB932A9"/>
    <w:rsid w:val="3C578854"/>
    <w:rsid w:val="3DEC439A"/>
    <w:rsid w:val="414D5124"/>
    <w:rsid w:val="436258E8"/>
    <w:rsid w:val="44740B5C"/>
    <w:rsid w:val="4747035D"/>
    <w:rsid w:val="47D6A624"/>
    <w:rsid w:val="4975DD17"/>
    <w:rsid w:val="49BDEB29"/>
    <w:rsid w:val="4B1D69F0"/>
    <w:rsid w:val="4CEEE7F8"/>
    <w:rsid w:val="52503ABC"/>
    <w:rsid w:val="54633D58"/>
    <w:rsid w:val="55795268"/>
    <w:rsid w:val="55F96B25"/>
    <w:rsid w:val="5B18AF54"/>
    <w:rsid w:val="5C4229D1"/>
    <w:rsid w:val="5D1E4A31"/>
    <w:rsid w:val="5EA70341"/>
    <w:rsid w:val="5F7A7A9A"/>
    <w:rsid w:val="6157AB7D"/>
    <w:rsid w:val="6406FC90"/>
    <w:rsid w:val="675BFF0E"/>
    <w:rsid w:val="6823B18A"/>
    <w:rsid w:val="6A3FEDE3"/>
    <w:rsid w:val="6D42A54B"/>
    <w:rsid w:val="6F229183"/>
    <w:rsid w:val="6F861E89"/>
    <w:rsid w:val="7189F11E"/>
    <w:rsid w:val="7542E7C7"/>
    <w:rsid w:val="76A6F88C"/>
    <w:rsid w:val="76CA156A"/>
    <w:rsid w:val="76F39823"/>
    <w:rsid w:val="7754F053"/>
    <w:rsid w:val="7C5DE695"/>
    <w:rsid w:val="7F61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E4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llections.banq.qc.ca/ark:/52327/bs53423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ah.gov.on.ca/AssetFactory.aspx?did=4873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Ijx36yT_AT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ocplayer.fr/188456882-Rapport-annuel-service-de-securite-incendie-de-la-ville-de-lachut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9CFFCC-95FE-421D-97E0-9B3D5460B86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3216b7f-ccc7-4475-b013-7278345f6c59"/>
    <ds:schemaRef ds:uri="http://purl.org/dc/terms/"/>
    <ds:schemaRef ds:uri="bf01f919-3957-45d6-8c10-d40d4dfe54b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18</cp:revision>
  <cp:lastPrinted>2016-11-10T10:40:00Z</cp:lastPrinted>
  <dcterms:created xsi:type="dcterms:W3CDTF">2021-11-23T15:47:00Z</dcterms:created>
  <dcterms:modified xsi:type="dcterms:W3CDTF">2022-02-23T19:05:00Z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