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68296B" w14:paraId="2069D7FD" w14:textId="77777777" w:rsidTr="466D02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5268AE28" w:rsidR="00F52677" w:rsidRPr="0068296B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8296B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68296B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68296B">
              <w:rPr>
                <w:rFonts w:cs="Arial"/>
                <w:b/>
                <w:szCs w:val="20"/>
                <w:lang w:val="fr-CA"/>
              </w:rPr>
              <w:t>odule</w:t>
            </w:r>
            <w:r w:rsidR="007D5C8E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68296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68296B" w14:paraId="009014E8" w14:textId="77777777" w:rsidTr="466D02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87E2560" w:rsidR="000024F5" w:rsidRPr="0068296B" w:rsidRDefault="3F015872" w:rsidP="5B2B7907">
            <w:pPr>
              <w:rPr>
                <w:rFonts w:cs="Arial"/>
                <w:lang w:val="fr-CA"/>
              </w:rPr>
            </w:pPr>
            <w:r w:rsidRPr="0068296B">
              <w:rPr>
                <w:rFonts w:cs="Arial"/>
                <w:lang w:val="fr-CA"/>
              </w:rPr>
              <w:t>3</w:t>
            </w:r>
          </w:p>
        </w:tc>
      </w:tr>
      <w:tr w:rsidR="00F52677" w:rsidRPr="0068296B" w14:paraId="43602E5D" w14:textId="77777777" w:rsidTr="466D02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0A5133B5" w:rsidR="00F52677" w:rsidRPr="0068296B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8296B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68296B">
              <w:rPr>
                <w:rFonts w:cs="Arial"/>
                <w:b/>
                <w:szCs w:val="20"/>
                <w:lang w:val="fr-CA"/>
              </w:rPr>
              <w:t>odule</w:t>
            </w:r>
            <w:r w:rsidR="007D5C8E">
              <w:rPr>
                <w:rFonts w:cs="Arial"/>
                <w:b/>
                <w:szCs w:val="20"/>
                <w:lang w:val="fr-CA"/>
              </w:rPr>
              <w:t> </w:t>
            </w:r>
            <w:r w:rsidRPr="0068296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68296B" w14:paraId="29FD4A01" w14:textId="77777777" w:rsidTr="466D02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E9E8B78" w:rsidR="00A665DC" w:rsidRPr="0068296B" w:rsidRDefault="4C82F707" w:rsidP="5B2B7907">
            <w:pPr>
              <w:rPr>
                <w:rFonts w:cs="Arial"/>
                <w:lang w:val="fr-CA"/>
              </w:rPr>
            </w:pPr>
            <w:r w:rsidRPr="0068296B">
              <w:rPr>
                <w:rFonts w:cs="Arial"/>
                <w:lang w:val="fr-CA"/>
              </w:rPr>
              <w:t>Avantages et inconvénients de l’approvisionnement social</w:t>
            </w:r>
          </w:p>
        </w:tc>
      </w:tr>
      <w:tr w:rsidR="00495B82" w:rsidRPr="0068296B" w14:paraId="0854CD54" w14:textId="77777777" w:rsidTr="466D02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68296B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8296B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68296B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68296B" w14:paraId="4C90E2AB" w14:textId="77777777" w:rsidTr="466D022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111C9410" w:rsidR="00523B13" w:rsidRPr="0068296B" w:rsidRDefault="2F0F2D63" w:rsidP="5B2B7907">
            <w:pPr>
              <w:spacing w:after="200" w:line="276" w:lineRule="auto"/>
              <w:rPr>
                <w:rFonts w:ascii="Arial" w:eastAsia="Arial" w:hAnsi="Arial" w:cs="Arial"/>
                <w:szCs w:val="20"/>
                <w:lang w:val="fr-CA"/>
              </w:rPr>
            </w:pPr>
            <w:r w:rsidRPr="0068296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Examiner les avantages et</w:t>
            </w:r>
            <w:r w:rsidR="0068774F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les</w:t>
            </w:r>
            <w:r w:rsidRPr="0068296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inconvénients de l’approvisionnement social en fonction des tendances des consommateurs ainsi que les enjeux environnementaux, sociaux et économiques afin de saisir les effets et de contribuer de façon positive à l’économie locale.</w:t>
            </w:r>
          </w:p>
        </w:tc>
      </w:tr>
    </w:tbl>
    <w:p w14:paraId="10606B2C" w14:textId="77777777" w:rsidR="00F52677" w:rsidRPr="0068296B" w:rsidRDefault="00F52677" w:rsidP="004B03CC">
      <w:pPr>
        <w:spacing w:after="200"/>
        <w:rPr>
          <w:rFonts w:cs="Arial"/>
          <w:szCs w:val="20"/>
          <w:lang w:val="fr-CA"/>
        </w:rPr>
      </w:pPr>
    </w:p>
    <w:p w14:paraId="746E0840" w14:textId="77777777" w:rsidR="00F52677" w:rsidRPr="0068296B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68296B" w14:paraId="60791FCC" w14:textId="77777777" w:rsidTr="52B8BBDE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68296B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68296B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68296B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68296B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500A052C" w:rsidR="00F52677" w:rsidRPr="0068296B" w:rsidRDefault="384278F5" w:rsidP="52B8BBDE">
            <w:pPr>
              <w:rPr>
                <w:rFonts w:cs="Arial"/>
                <w:lang w:val="fr-CA"/>
              </w:rPr>
            </w:pPr>
            <w:r w:rsidRPr="0068296B">
              <w:rPr>
                <w:rFonts w:cs="Arial"/>
                <w:lang w:val="fr-CA"/>
              </w:rPr>
              <w:t>Séance de cours</w:t>
            </w:r>
            <w:r w:rsidR="0068774F">
              <w:rPr>
                <w:rFonts w:cs="Arial"/>
                <w:lang w:val="fr-CA"/>
              </w:rPr>
              <w:t> </w:t>
            </w:r>
            <w:r w:rsidRPr="0068296B">
              <w:rPr>
                <w:rFonts w:cs="Arial"/>
                <w:lang w:val="fr-CA"/>
              </w:rPr>
              <w:t>6</w:t>
            </w:r>
            <w:r w:rsidR="0068774F">
              <w:rPr>
                <w:rFonts w:cs="Arial"/>
                <w:lang w:val="fr-CA"/>
              </w:rPr>
              <w:t> </w:t>
            </w:r>
            <w:r w:rsidRPr="0068296B">
              <w:rPr>
                <w:rFonts w:cs="Arial"/>
                <w:lang w:val="fr-CA"/>
              </w:rPr>
              <w:t>: Approvisionnement social</w:t>
            </w:r>
          </w:p>
        </w:tc>
      </w:tr>
    </w:tbl>
    <w:p w14:paraId="21C5CF78" w14:textId="77777777" w:rsidR="00E26A6C" w:rsidRPr="0068296B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68296B" w14:paraId="05E0D538" w14:textId="77777777" w:rsidTr="556B6AE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68296B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68296B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68296B" w14:paraId="18A9063B" w14:textId="77777777" w:rsidTr="556B6AE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5D7B8D62" w:rsidR="00E26A6C" w:rsidRPr="0068296B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68296B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68774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68296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68296B" w14:paraId="47B35103" w14:textId="77777777" w:rsidTr="556B6AE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00356CE7" w:rsidR="00E26A6C" w:rsidRPr="0068296B" w:rsidRDefault="00E3136D" w:rsidP="00CF1430">
            <w:pPr>
              <w:rPr>
                <w:rFonts w:cs="Arial"/>
                <w:szCs w:val="20"/>
                <w:lang w:val="fr-CA"/>
              </w:rPr>
            </w:pPr>
            <w:r w:rsidRPr="0068296B">
              <w:rPr>
                <w:rFonts w:cs="Arial"/>
                <w:szCs w:val="20"/>
                <w:lang w:val="fr-CA"/>
              </w:rPr>
              <w:t>Cette séance de cours te permettra d’approfondir tes connaissances au sujet de l’approvisionnement social et de ses enjeux.</w:t>
            </w:r>
          </w:p>
        </w:tc>
      </w:tr>
      <w:tr w:rsidR="00E26A6C" w:rsidRPr="0068296B" w14:paraId="03F36783" w14:textId="77777777" w:rsidTr="556B6AE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5A21FFA3" w:rsidR="00E26A6C" w:rsidRPr="0068296B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68296B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68774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68296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68296B" w14:paraId="661D9A2B" w14:textId="77777777" w:rsidTr="556B6AE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85AFB" w14:textId="4A00FDAA" w:rsidR="00E26A6C" w:rsidRPr="0068296B" w:rsidRDefault="2DDCA5FE" w:rsidP="466D0228">
            <w:pPr>
              <w:rPr>
                <w:rFonts w:eastAsia="Verdana" w:cs="Verdana"/>
                <w:color w:val="000000" w:themeColor="text1"/>
                <w:lang w:val="fr-CA"/>
              </w:rPr>
            </w:pPr>
            <w:r w:rsidRPr="0068296B">
              <w:rPr>
                <w:rFonts w:eastAsia="Verdana" w:cs="Verdana"/>
                <w:color w:val="000000" w:themeColor="text1"/>
                <w:lang w:val="fr-CA"/>
              </w:rPr>
              <w:t xml:space="preserve">Le processus d’approvisionnement social vise à la transformation des collectivités en effectuant les achats de manière à accroitre l’incidence sociale et le bienêtre des résidents. Ce processus tient compte des tendances des consommateurs qui s’orientent de plus en plus vers des biens ou </w:t>
            </w:r>
            <w:r w:rsidR="003D63A9">
              <w:rPr>
                <w:rFonts w:eastAsia="Verdana" w:cs="Verdana"/>
                <w:color w:val="000000" w:themeColor="text1"/>
                <w:lang w:val="fr-CA"/>
              </w:rPr>
              <w:t xml:space="preserve">des </w:t>
            </w:r>
            <w:r w:rsidRPr="0068296B">
              <w:rPr>
                <w:rFonts w:eastAsia="Verdana" w:cs="Verdana"/>
                <w:color w:val="000000" w:themeColor="text1"/>
                <w:lang w:val="fr-CA"/>
              </w:rPr>
              <w:t xml:space="preserve">services durables (alimentation biologique, etc.), mais aussi des enjeux économiques (acheter au meilleur prix, excellente qualité), environnementaux (protéger la planète) et sociaux (capital communautaire). </w:t>
            </w:r>
          </w:p>
          <w:p w14:paraId="72A8F382" w14:textId="318F35AF" w:rsidR="00E26A6C" w:rsidRPr="0068296B" w:rsidRDefault="00E26A6C" w:rsidP="01E7985A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20D1339C" w14:textId="23104CC9" w:rsidR="00E26A6C" w:rsidRPr="0068296B" w:rsidRDefault="2DDCA5FE" w:rsidP="01E7985A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</w:pPr>
            <w:r w:rsidRPr="0068296B">
              <w:rPr>
                <w:rFonts w:eastAsia="Verdana" w:cs="Verdana"/>
                <w:color w:val="000000" w:themeColor="text1"/>
                <w:szCs w:val="20"/>
                <w:lang w:val="fr-CA"/>
              </w:rPr>
              <w:t>L’approvisionnement social présente beaucoup d’avantages pour les communautés, mais aussi</w:t>
            </w:r>
            <w:r w:rsidR="003D63A9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Pr="0068296B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il présente quelques inconvénients. L’entreprise d’économie sociale cherche à maximiser les avantages de l’approvisionnement social afin de </w:t>
            </w:r>
            <w:r w:rsidRPr="00330875">
              <w:rPr>
                <w:rFonts w:eastAsia="Verdana" w:cs="Verdana"/>
                <w:color w:val="000000" w:themeColor="text1"/>
                <w:szCs w:val="20"/>
                <w:lang w:val="fr-CA"/>
              </w:rPr>
              <w:t>contribuer de façon positive à l’économie locale.</w:t>
            </w:r>
          </w:p>
          <w:p w14:paraId="2BD6AFA8" w14:textId="158EFE57" w:rsidR="00E26A6C" w:rsidRPr="0068296B" w:rsidRDefault="00E26A6C" w:rsidP="01E7985A">
            <w:pPr>
              <w:rPr>
                <w:szCs w:val="20"/>
                <w:lang w:val="fr-CA"/>
              </w:rPr>
            </w:pPr>
          </w:p>
        </w:tc>
      </w:tr>
      <w:tr w:rsidR="00E26A6C" w:rsidRPr="0068296B" w14:paraId="3F26A787" w14:textId="77777777" w:rsidTr="556B6AE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1F7F681B" w:rsidR="00E26A6C" w:rsidRPr="0068296B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68296B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68774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68296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68296B" w14:paraId="154B043C" w14:textId="77777777" w:rsidTr="556B6AE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C6753" w14:textId="77777777" w:rsidR="00E26A6C" w:rsidRPr="0068296B" w:rsidRDefault="6456FB2A" w:rsidP="7B402A70">
            <w:pPr>
              <w:rPr>
                <w:rFonts w:cs="Arial"/>
                <w:b/>
                <w:bCs/>
                <w:lang w:val="fr-CA"/>
              </w:rPr>
            </w:pPr>
            <w:r w:rsidRPr="0068296B">
              <w:rPr>
                <w:rFonts w:cs="Arial"/>
                <w:b/>
                <w:bCs/>
                <w:lang w:val="fr-CA"/>
              </w:rPr>
              <w:t>Thèmes à l’étude</w:t>
            </w:r>
          </w:p>
          <w:p w14:paraId="70A6A23C" w14:textId="435E6F52" w:rsidR="006E421C" w:rsidRPr="0068296B" w:rsidRDefault="006E421C" w:rsidP="5C8B31E0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b/>
                <w:bCs/>
                <w:lang w:val="fr-CA"/>
              </w:rPr>
            </w:pPr>
            <w:r w:rsidRPr="0068296B">
              <w:rPr>
                <w:rFonts w:eastAsia="Verdana" w:cs="Verdana"/>
                <w:lang w:val="fr-CA"/>
              </w:rPr>
              <w:t>Approvisionnement social</w:t>
            </w:r>
          </w:p>
          <w:p w14:paraId="297FB3F0" w14:textId="77777777" w:rsidR="00246B6C" w:rsidRPr="0068296B" w:rsidRDefault="00903A58" w:rsidP="5C8B31E0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b/>
                <w:bCs/>
                <w:lang w:val="fr-CA"/>
              </w:rPr>
            </w:pPr>
            <w:r w:rsidRPr="0068296B">
              <w:rPr>
                <w:rFonts w:eastAsia="Verdana" w:cs="Verdana"/>
                <w:lang w:val="fr-CA"/>
              </w:rPr>
              <w:t>Avantages et inconvénients des fournisseurs locaux</w:t>
            </w:r>
          </w:p>
          <w:p w14:paraId="041EAF65" w14:textId="43B84734" w:rsidR="3E5B2F68" w:rsidRPr="0068296B" w:rsidRDefault="00D460BE" w:rsidP="000D1738">
            <w:pPr>
              <w:pStyle w:val="Paragraphedeliste"/>
              <w:numPr>
                <w:ilvl w:val="1"/>
                <w:numId w:val="12"/>
              </w:numPr>
              <w:rPr>
                <w:b/>
                <w:bCs/>
                <w:lang w:val="fr-CA"/>
              </w:rPr>
            </w:pPr>
            <w:r w:rsidRPr="0068296B">
              <w:rPr>
                <w:lang w:val="fr-CA"/>
              </w:rPr>
              <w:t>Tendances des consommateurs</w:t>
            </w:r>
          </w:p>
          <w:p w14:paraId="33350971" w14:textId="25B84034" w:rsidR="00D460BE" w:rsidRPr="0068296B" w:rsidRDefault="00D460BE" w:rsidP="000D1738">
            <w:pPr>
              <w:pStyle w:val="Paragraphedeliste"/>
              <w:numPr>
                <w:ilvl w:val="1"/>
                <w:numId w:val="12"/>
              </w:numPr>
              <w:rPr>
                <w:b/>
                <w:bCs/>
                <w:lang w:val="fr-CA"/>
              </w:rPr>
            </w:pPr>
            <w:r w:rsidRPr="0068296B">
              <w:rPr>
                <w:lang w:val="fr-CA"/>
              </w:rPr>
              <w:t>Enjeux environnementaux, sociaux, économique</w:t>
            </w:r>
            <w:r w:rsidR="009C4A1B" w:rsidRPr="0068296B">
              <w:rPr>
                <w:lang w:val="fr-CA"/>
              </w:rPr>
              <w:t>s</w:t>
            </w:r>
          </w:p>
          <w:p w14:paraId="03E75F8B" w14:textId="18E16E64" w:rsidR="6148F819" w:rsidRPr="0068296B" w:rsidRDefault="6148F819" w:rsidP="5C8B31E0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b/>
                <w:bCs/>
                <w:lang w:val="fr-CA"/>
              </w:rPr>
            </w:pPr>
            <w:r w:rsidRPr="0068296B">
              <w:rPr>
                <w:rFonts w:eastAsia="Verdana" w:cs="Verdana"/>
                <w:color w:val="000000" w:themeColor="text1"/>
                <w:szCs w:val="20"/>
                <w:lang w:val="fr-CA"/>
              </w:rPr>
              <w:t>Techniques de négociation avec fournisseurs</w:t>
            </w:r>
          </w:p>
          <w:p w14:paraId="743DB829" w14:textId="4DD5BED3" w:rsidR="00903A58" w:rsidRPr="0068296B" w:rsidRDefault="00F52D57" w:rsidP="5C8B31E0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b/>
                <w:bCs/>
                <w:lang w:val="fr-CA"/>
              </w:rPr>
            </w:pPr>
            <w:r w:rsidRPr="0068296B">
              <w:rPr>
                <w:rFonts w:eastAsia="Verdana" w:cs="Verdana"/>
                <w:lang w:val="fr-CA"/>
              </w:rPr>
              <w:t>Critères de négociations</w:t>
            </w:r>
            <w:r w:rsidR="00787723" w:rsidRPr="0068296B">
              <w:rPr>
                <w:rFonts w:eastAsia="Verdana" w:cs="Verdana"/>
                <w:lang w:val="fr-CA"/>
              </w:rPr>
              <w:t xml:space="preserve"> avec les fournisseurs</w:t>
            </w:r>
          </w:p>
          <w:p w14:paraId="0D5F4C96" w14:textId="77777777" w:rsidR="00BE3A08" w:rsidRPr="0068296B" w:rsidRDefault="00BE3A08" w:rsidP="5C8B31E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Fonts w:ascii="Verdana" w:eastAsia="Verdana" w:hAnsi="Verdana" w:cs="Verdana"/>
                <w:sz w:val="20"/>
                <w:szCs w:val="20"/>
              </w:rPr>
            </w:pPr>
            <w:r w:rsidRPr="0068296B">
              <w:rPr>
                <w:rStyle w:val="normaltextrun"/>
                <w:rFonts w:ascii="Verdana" w:eastAsia="Verdana" w:hAnsi="Verdana" w:cs="Verdana"/>
                <w:color w:val="000000" w:themeColor="text1"/>
                <w:sz w:val="20"/>
                <w:szCs w:val="20"/>
              </w:rPr>
              <w:t>Comité de travail (discussion)</w:t>
            </w:r>
            <w:r w:rsidRPr="0068296B">
              <w:rPr>
                <w:rStyle w:val="eop"/>
                <w:rFonts w:ascii="Verdana" w:eastAsia="Verdana" w:hAnsi="Verdana" w:cs="Verdana"/>
                <w:color w:val="000000" w:themeColor="text1"/>
                <w:sz w:val="20"/>
                <w:szCs w:val="20"/>
              </w:rPr>
              <w:t> </w:t>
            </w:r>
          </w:p>
          <w:p w14:paraId="1C09CCD1" w14:textId="77777777" w:rsidR="00BE3A08" w:rsidRPr="0068296B" w:rsidRDefault="00BE3A08" w:rsidP="5C8B31E0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Fonts w:ascii="Verdana" w:eastAsia="Verdana" w:hAnsi="Verdana" w:cs="Verdana"/>
                <w:sz w:val="20"/>
                <w:szCs w:val="20"/>
              </w:rPr>
            </w:pPr>
            <w:r w:rsidRPr="556B6AE6">
              <w:rPr>
                <w:rStyle w:val="normaltextrun"/>
                <w:rFonts w:ascii="Verdana" w:eastAsia="Verdana" w:hAnsi="Verdana" w:cs="Verdana"/>
                <w:color w:val="000000" w:themeColor="text1"/>
                <w:sz w:val="20"/>
                <w:szCs w:val="20"/>
              </w:rPr>
              <w:t>Période de questions</w:t>
            </w:r>
            <w:r w:rsidRPr="556B6AE6">
              <w:rPr>
                <w:rStyle w:val="eop"/>
                <w:rFonts w:ascii="Verdana" w:eastAsia="Verdana" w:hAnsi="Verdana" w:cs="Verdana"/>
                <w:color w:val="000000" w:themeColor="text1"/>
                <w:sz w:val="20"/>
                <w:szCs w:val="20"/>
              </w:rPr>
              <w:t> </w:t>
            </w:r>
          </w:p>
          <w:p w14:paraId="64A60B35" w14:textId="08898E44" w:rsidR="556B6AE6" w:rsidRDefault="556B6AE6" w:rsidP="556B6AE6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556B6AE6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Présentation des travaux à venir</w:t>
            </w:r>
          </w:p>
          <w:p w14:paraId="48F5B5C4" w14:textId="68934151" w:rsidR="00650069" w:rsidRPr="0068296B" w:rsidRDefault="00650069" w:rsidP="00BE3A08">
            <w:pPr>
              <w:pStyle w:val="Paragraphedeliste"/>
              <w:rPr>
                <w:rFonts w:cs="Arial"/>
                <w:b/>
                <w:bCs/>
                <w:lang w:val="fr-CA"/>
              </w:rPr>
            </w:pPr>
          </w:p>
        </w:tc>
      </w:tr>
    </w:tbl>
    <w:p w14:paraId="4BEB2D42" w14:textId="77777777" w:rsidR="00063FFA" w:rsidRPr="0068296B" w:rsidRDefault="00063FFA">
      <w:pPr>
        <w:rPr>
          <w:lang w:val="fr-CA"/>
        </w:rPr>
      </w:pPr>
    </w:p>
    <w:sectPr w:rsidR="00063FFA" w:rsidRPr="0068296B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B9F7" w14:textId="77777777" w:rsidR="001679A7" w:rsidRDefault="001679A7" w:rsidP="007511F3">
      <w:r>
        <w:separator/>
      </w:r>
    </w:p>
  </w:endnote>
  <w:endnote w:type="continuationSeparator" w:id="0">
    <w:p w14:paraId="76EBE381" w14:textId="77777777" w:rsidR="001679A7" w:rsidRDefault="001679A7" w:rsidP="007511F3">
      <w:r>
        <w:continuationSeparator/>
      </w:r>
    </w:p>
  </w:endnote>
  <w:endnote w:type="continuationNotice" w:id="1">
    <w:p w14:paraId="2A1C58B3" w14:textId="77777777" w:rsidR="00867DD6" w:rsidRDefault="00867D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color w:val="2B579A"/>
          <w:szCs w:val="20"/>
          <w:shd w:val="clear" w:color="auto" w:fill="E6E6E6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color w:val="2B579A"/>
            <w:szCs w:val="20"/>
            <w:shd w:val="clear" w:color="auto" w:fill="E6E6E6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color w:val="2B579A"/>
            <w:szCs w:val="20"/>
            <w:shd w:val="clear" w:color="auto" w:fill="E6E6E6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color w:val="2B579A"/>
            <w:szCs w:val="20"/>
            <w:shd w:val="clear" w:color="auto" w:fill="E6E6E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CD47" w14:textId="77777777" w:rsidR="001679A7" w:rsidRDefault="001679A7" w:rsidP="007511F3">
      <w:r>
        <w:separator/>
      </w:r>
    </w:p>
  </w:footnote>
  <w:footnote w:type="continuationSeparator" w:id="0">
    <w:p w14:paraId="1E9B63E7" w14:textId="77777777" w:rsidR="001679A7" w:rsidRDefault="001679A7" w:rsidP="007511F3">
      <w:r>
        <w:continuationSeparator/>
      </w:r>
    </w:p>
  </w:footnote>
  <w:footnote w:type="continuationNotice" w:id="1">
    <w:p w14:paraId="0D52251C" w14:textId="77777777" w:rsidR="00867DD6" w:rsidRDefault="00867D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D7EB6EF" w:rsidR="007511F3" w:rsidRPr="00204F36" w:rsidRDefault="00204F36" w:rsidP="5B2B7907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204F36">
      <w:rPr>
        <w:b/>
        <w:bCs/>
        <w:lang w:val="fr-CA"/>
      </w:rPr>
      <w:t xml:space="preserve">ESO1007 - </w:t>
    </w:r>
    <w:r w:rsidR="5B2B7907" w:rsidRPr="00204F36">
      <w:rPr>
        <w:b/>
        <w:bCs/>
        <w:lang w:val="fr-CA"/>
      </w:rPr>
      <w:t xml:space="preserve">Commercialisation et approvisionnement social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46B4F"/>
    <w:multiLevelType w:val="hybridMultilevel"/>
    <w:tmpl w:val="238051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311DC"/>
    <w:multiLevelType w:val="hybridMultilevel"/>
    <w:tmpl w:val="D2768748"/>
    <w:lvl w:ilvl="0" w:tplc="47C25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6C3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4EB5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6D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D64A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C4C6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AB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368E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305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F009B"/>
    <w:multiLevelType w:val="multilevel"/>
    <w:tmpl w:val="C97E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CE1"/>
    <w:multiLevelType w:val="hybridMultilevel"/>
    <w:tmpl w:val="4B9CF472"/>
    <w:lvl w:ilvl="0" w:tplc="6896E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E15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885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27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C72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3487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9CF9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B0D5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4C3D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7"/>
  </w:num>
  <w:num w:numId="9">
    <w:abstractNumId w:val="4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71A3"/>
    <w:rsid w:val="00063FFA"/>
    <w:rsid w:val="00066B0D"/>
    <w:rsid w:val="00073A7C"/>
    <w:rsid w:val="00077148"/>
    <w:rsid w:val="00087AE4"/>
    <w:rsid w:val="000C1560"/>
    <w:rsid w:val="000D1738"/>
    <w:rsid w:val="00152AA3"/>
    <w:rsid w:val="00160385"/>
    <w:rsid w:val="001679A7"/>
    <w:rsid w:val="001E5E77"/>
    <w:rsid w:val="00204F36"/>
    <w:rsid w:val="00246B6C"/>
    <w:rsid w:val="00266A6D"/>
    <w:rsid w:val="0029013A"/>
    <w:rsid w:val="002D1760"/>
    <w:rsid w:val="002F74F6"/>
    <w:rsid w:val="00324581"/>
    <w:rsid w:val="00330875"/>
    <w:rsid w:val="00346B13"/>
    <w:rsid w:val="003B1F67"/>
    <w:rsid w:val="003D63A9"/>
    <w:rsid w:val="003F1774"/>
    <w:rsid w:val="00421D00"/>
    <w:rsid w:val="00452D97"/>
    <w:rsid w:val="00456007"/>
    <w:rsid w:val="004664AB"/>
    <w:rsid w:val="00495B82"/>
    <w:rsid w:val="004B03CC"/>
    <w:rsid w:val="004D36AA"/>
    <w:rsid w:val="00523B13"/>
    <w:rsid w:val="00562E45"/>
    <w:rsid w:val="00595BCB"/>
    <w:rsid w:val="00650069"/>
    <w:rsid w:val="00670B89"/>
    <w:rsid w:val="0068296B"/>
    <w:rsid w:val="0068774F"/>
    <w:rsid w:val="006C19BC"/>
    <w:rsid w:val="006E421C"/>
    <w:rsid w:val="00712972"/>
    <w:rsid w:val="00731F2E"/>
    <w:rsid w:val="007511F3"/>
    <w:rsid w:val="00753BCF"/>
    <w:rsid w:val="00764F8C"/>
    <w:rsid w:val="00787723"/>
    <w:rsid w:val="007C7357"/>
    <w:rsid w:val="007D1815"/>
    <w:rsid w:val="007D443C"/>
    <w:rsid w:val="007D56A6"/>
    <w:rsid w:val="007D5C8E"/>
    <w:rsid w:val="00867DD6"/>
    <w:rsid w:val="008860E3"/>
    <w:rsid w:val="008A4AD6"/>
    <w:rsid w:val="008B3251"/>
    <w:rsid w:val="008E5775"/>
    <w:rsid w:val="00903A58"/>
    <w:rsid w:val="00972A79"/>
    <w:rsid w:val="00991744"/>
    <w:rsid w:val="009947DE"/>
    <w:rsid w:val="009A7B74"/>
    <w:rsid w:val="009C4A1B"/>
    <w:rsid w:val="009D4028"/>
    <w:rsid w:val="009E77AE"/>
    <w:rsid w:val="009F12CF"/>
    <w:rsid w:val="00A10FCE"/>
    <w:rsid w:val="00A13169"/>
    <w:rsid w:val="00A50E94"/>
    <w:rsid w:val="00A665DC"/>
    <w:rsid w:val="00A80808"/>
    <w:rsid w:val="00AB45B3"/>
    <w:rsid w:val="00AE603C"/>
    <w:rsid w:val="00BE3A08"/>
    <w:rsid w:val="00C13D37"/>
    <w:rsid w:val="00C23828"/>
    <w:rsid w:val="00CC5F55"/>
    <w:rsid w:val="00CD4951"/>
    <w:rsid w:val="00D24CF4"/>
    <w:rsid w:val="00D460BE"/>
    <w:rsid w:val="00D835CF"/>
    <w:rsid w:val="00DB4CFC"/>
    <w:rsid w:val="00DE086F"/>
    <w:rsid w:val="00DF5F46"/>
    <w:rsid w:val="00E0390F"/>
    <w:rsid w:val="00E26A6C"/>
    <w:rsid w:val="00E3136D"/>
    <w:rsid w:val="00E75886"/>
    <w:rsid w:val="00E849C2"/>
    <w:rsid w:val="00EB476B"/>
    <w:rsid w:val="00F2439E"/>
    <w:rsid w:val="00F52677"/>
    <w:rsid w:val="00F52D57"/>
    <w:rsid w:val="00FA3C71"/>
    <w:rsid w:val="00FA5B54"/>
    <w:rsid w:val="01E7985A"/>
    <w:rsid w:val="125AE8F8"/>
    <w:rsid w:val="17C4AF37"/>
    <w:rsid w:val="19FEC217"/>
    <w:rsid w:val="1D382E69"/>
    <w:rsid w:val="2DDCA5FE"/>
    <w:rsid w:val="2F0F2D63"/>
    <w:rsid w:val="384278F5"/>
    <w:rsid w:val="3E5B2F68"/>
    <w:rsid w:val="3F015872"/>
    <w:rsid w:val="409AC8CD"/>
    <w:rsid w:val="445A1352"/>
    <w:rsid w:val="466D0228"/>
    <w:rsid w:val="4C82F707"/>
    <w:rsid w:val="52B8BBDE"/>
    <w:rsid w:val="556B6AE6"/>
    <w:rsid w:val="57E1E157"/>
    <w:rsid w:val="5B2B7907"/>
    <w:rsid w:val="5C5214BD"/>
    <w:rsid w:val="5C8B31E0"/>
    <w:rsid w:val="6148F819"/>
    <w:rsid w:val="6456FB2A"/>
    <w:rsid w:val="75223DAE"/>
    <w:rsid w:val="7B40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0DE400"/>
  <w15:chartTrackingRefBased/>
  <w15:docId w15:val="{33A1669B-92D8-4CE6-AD62-5697EE1E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paragraph">
    <w:name w:val="paragraph"/>
    <w:basedOn w:val="Normal"/>
    <w:rsid w:val="00BE3A08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BE3A08"/>
  </w:style>
  <w:style w:type="character" w:customStyle="1" w:styleId="eop">
    <w:name w:val="eop"/>
    <w:basedOn w:val="Policepardfaut"/>
    <w:rsid w:val="00BE3A08"/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68774F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9/05/relationships/documenttasks" Target="documenttasks/documenttask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7E24B7CC-1F9A-44C3-BF04-071A4226D75A}">
    <t:Anchor>
      <t:Comment id="432557966"/>
    </t:Anchor>
    <t:History>
      <t:Event id="{A807B268-B5FF-4AF5-8BAE-6E08C7898997}" time="2022-01-25T19:30:16.729Z">
        <t:Attribution userId="S::300113346@collegeboreal.ca::bd59c8e9-6aed-4702-b99d-c8d7847ed51a" userProvider="AD" userName="Danny Minor"/>
        <t:Anchor>
          <t:Comment id="432557966"/>
        </t:Anchor>
        <t:Create/>
      </t:Event>
      <t:Event id="{42DF0BFF-5675-4E6C-A399-64F85CC28572}" time="2022-01-25T19:30:16.729Z">
        <t:Attribution userId="S::300113346@collegeboreal.ca::bd59c8e9-6aed-4702-b99d-c8d7847ed51a" userProvider="AD" userName="Danny Minor"/>
        <t:Anchor>
          <t:Comment id="432557966"/>
        </t:Anchor>
        <t:Assign userId="S::300128344@collegeboreal.ca::ec850587-b8f2-4883-a721-25ab4f9260db" userProvider="AD" userName="Alain Assamoi"/>
      </t:Event>
      <t:Event id="{EEC23156-2140-44EA-8EE0-2D0455308CD7}" time="2022-01-25T19:30:16.729Z">
        <t:Attribution userId="S::300113346@collegeboreal.ca::bd59c8e9-6aed-4702-b99d-c8d7847ed51a" userProvider="AD" userName="Danny Minor"/>
        <t:Anchor>
          <t:Comment id="432557966"/>
        </t:Anchor>
        <t:SetTitle title="@Alain Assamoi J'ai trouvé que la mise en contexte de la dernière activité servait bien ici!"/>
      </t:Event>
    </t:History>
  </t:Task>
  <t:Task id="{FA3C8096-C120-4C2E-97CD-47823EECF7DE}">
    <t:Anchor>
      <t:Comment id="1552325258"/>
    </t:Anchor>
    <t:History>
      <t:Event id="{9855E338-EB7B-489A-BB49-93D120187716}" time="2022-01-25T19:31:06.106Z">
        <t:Attribution userId="S::300113346@collegeboreal.ca::bd59c8e9-6aed-4702-b99d-c8d7847ed51a" userProvider="AD" userName="Danny Minor"/>
        <t:Anchor>
          <t:Comment id="1552325258"/>
        </t:Anchor>
        <t:Create/>
      </t:Event>
      <t:Event id="{FD771B15-8E50-40C9-983E-FC2C8B2F3C1E}" time="2022-01-25T19:31:06.106Z">
        <t:Attribution userId="S::300113346@collegeboreal.ca::bd59c8e9-6aed-4702-b99d-c8d7847ed51a" userProvider="AD" userName="Danny Minor"/>
        <t:Anchor>
          <t:Comment id="1552325258"/>
        </t:Anchor>
        <t:Assign userId="S::300128344@collegeboreal.ca::ec850587-b8f2-4883-a721-25ab4f9260db" userProvider="AD" userName="Alain Assamoi"/>
      </t:Event>
      <t:Event id="{D994BB2A-09F9-42B1-BC3A-F71E1CBCEF95}" time="2022-01-25T19:31:06.106Z">
        <t:Attribution userId="S::300113346@collegeboreal.ca::bd59c8e9-6aed-4702-b99d-c8d7847ed51a" userProvider="AD" userName="Danny Minor"/>
        <t:Anchor>
          <t:Comment id="1552325258"/>
        </t:Anchor>
        <t:SetTitle title="@Alain Assamoi peux-tu m'aider à comprendre? Je n'arrive pas à comprendre. Peut-être reformuler en donnant des exemples svp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12</cp:revision>
  <cp:lastPrinted>2016-11-10T13:40:00Z</cp:lastPrinted>
  <dcterms:created xsi:type="dcterms:W3CDTF">2022-02-14T15:51:00Z</dcterms:created>
  <dcterms:modified xsi:type="dcterms:W3CDTF">2022-02-24T16:18:00Z</dcterms:modified>
</cp:coreProperties>
</file>