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3E5F78" w14:paraId="435D1C1A" w14:textId="77777777" w:rsidTr="026BB04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42E23F37" w:rsidR="00F52677" w:rsidRPr="003E5F78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3E5F78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3E5F78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3E5F78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8071F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3E5F78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3E5F78" w14:paraId="7142CD37" w14:textId="77777777" w:rsidTr="026BB04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20957A0A" w:rsidR="000024F5" w:rsidRPr="00173981" w:rsidRDefault="00173981" w:rsidP="026BB04D">
            <w:pPr>
              <w:tabs>
                <w:tab w:val="left" w:pos="972"/>
              </w:tabs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173981">
              <w:rPr>
                <w:rFonts w:ascii="Verdana" w:hAnsi="Verdana" w:cs="Arial"/>
                <w:sz w:val="20"/>
                <w:szCs w:val="20"/>
                <w:lang w:val="fr-CA"/>
              </w:rPr>
              <w:t>1</w:t>
            </w:r>
          </w:p>
        </w:tc>
      </w:tr>
      <w:tr w:rsidR="00F52677" w:rsidRPr="003E5F78" w14:paraId="4AABB92B" w14:textId="77777777" w:rsidTr="026BB04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1DB43B00" w:rsidR="00F52677" w:rsidRPr="003E5F78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3E5F78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3E5F78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8071F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3E5F78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3E5F78" w14:paraId="3EA6154A" w14:textId="77777777" w:rsidTr="026BB04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65D21F71" w:rsidR="00A665DC" w:rsidRPr="00173981" w:rsidRDefault="00173981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173981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Canevas</w:t>
            </w:r>
          </w:p>
        </w:tc>
      </w:tr>
      <w:tr w:rsidR="00495B82" w:rsidRPr="003E5F78" w14:paraId="77542F8B" w14:textId="77777777" w:rsidTr="026BB04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3CD1C0C8" w:rsidR="00495B82" w:rsidRPr="003E5F78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3E5F78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8071F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3E5F78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3E5F78" w14:paraId="62AD4741" w14:textId="77777777" w:rsidTr="026BB04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51FD4681" w:rsidR="00523B13" w:rsidRPr="003E5F78" w:rsidRDefault="00173981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 xml:space="preserve">s. o. </w:t>
            </w:r>
          </w:p>
        </w:tc>
      </w:tr>
      <w:tr w:rsidR="00523B13" w:rsidRPr="003E5F78" w14:paraId="31C9990C" w14:textId="77777777" w:rsidTr="026BB04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2E2500FA" w:rsidR="00523B13" w:rsidRPr="003E5F78" w:rsidRDefault="00523B13" w:rsidP="026BB04D">
            <w:pPr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</w:pPr>
            <w:r w:rsidRPr="026BB04D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Élément</w:t>
            </w:r>
            <w:r w:rsidR="1D04EA5C" w:rsidRPr="026BB04D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s</w:t>
            </w:r>
            <w:r w:rsidRPr="026BB04D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de performance</w:t>
            </w:r>
            <w:r w:rsidR="008071F1" w:rsidRPr="026BB04D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 </w:t>
            </w:r>
            <w:r w:rsidRPr="026BB04D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3E5F78" w14:paraId="31349A98" w14:textId="77777777" w:rsidTr="026BB04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12DADF" w14:textId="577786D1" w:rsidR="00B61354" w:rsidRPr="00217274" w:rsidRDefault="4A35EC50" w:rsidP="17D9B283">
            <w:pPr>
              <w:pStyle w:val="Paragraphedeliste"/>
              <w:numPr>
                <w:ilvl w:val="0"/>
                <w:numId w:val="2"/>
              </w:numPr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17D9B283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identifier</w:t>
            </w:r>
            <w:proofErr w:type="gramEnd"/>
            <w:r w:rsidRPr="17D9B283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les concurrents potentiels </w:t>
            </w:r>
            <w:r w:rsidR="002D74FC" w:rsidRPr="17D9B283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</w:t>
            </w:r>
            <w:r w:rsidR="002D74FC" w:rsidRPr="17D9B283">
              <w:rPr>
                <w:rFonts w:ascii="Verdana" w:eastAsia="Verdana" w:hAnsi="Verdana" w:cs="Verdana"/>
                <w:sz w:val="20"/>
                <w:szCs w:val="20"/>
              </w:rPr>
              <w:t xml:space="preserve">ans </w:t>
            </w:r>
            <w:r w:rsidRPr="17D9B283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la communauté </w:t>
            </w:r>
          </w:p>
          <w:p w14:paraId="24263149" w14:textId="251BA107" w:rsidR="00B61354" w:rsidRPr="00217274" w:rsidRDefault="67D67CFE" w:rsidP="14915B37">
            <w:pPr>
              <w:pStyle w:val="Paragraphedeliste"/>
              <w:numPr>
                <w:ilvl w:val="0"/>
                <w:numId w:val="2"/>
              </w:numPr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217274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expliquer</w:t>
            </w:r>
            <w:proofErr w:type="gramEnd"/>
            <w:r w:rsidRPr="00217274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les bases du positionnement d’une entreprise social</w:t>
            </w:r>
            <w:r w:rsidR="223E998F" w:rsidRPr="00217274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e</w:t>
            </w:r>
          </w:p>
          <w:p w14:paraId="5FD03BD2" w14:textId="7164A31A" w:rsidR="00B61354" w:rsidRPr="00217274" w:rsidRDefault="4A35EC50" w:rsidP="382C75BC">
            <w:pPr>
              <w:pStyle w:val="Paragraphedeliste"/>
              <w:numPr>
                <w:ilvl w:val="0"/>
                <w:numId w:val="2"/>
              </w:numPr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217274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cibler</w:t>
            </w:r>
            <w:proofErr w:type="gramEnd"/>
            <w:r w:rsidRPr="00217274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les partenariats stratégiques et les concurrents</w:t>
            </w:r>
          </w:p>
          <w:p w14:paraId="5F5F64A1" w14:textId="316C8012" w:rsidR="00B61354" w:rsidRPr="00217274" w:rsidRDefault="4A35EC50" w:rsidP="382C75BC">
            <w:pPr>
              <w:pStyle w:val="Paragraphedeliste"/>
              <w:numPr>
                <w:ilvl w:val="0"/>
                <w:numId w:val="2"/>
              </w:numPr>
              <w:rPr>
                <w:rFonts w:ascii="Verdana" w:eastAsiaTheme="minorEastAsia" w:hAnsi="Verdana" w:cstheme="minorBidi"/>
                <w:b/>
                <w:bCs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0439F1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déterminer</w:t>
            </w:r>
            <w:proofErr w:type="gramEnd"/>
            <w:r w:rsidR="003E5F78" w:rsidRPr="000439F1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Pr="000439F1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les postes budgétaires les plus importants et les couts annuels approximatifs</w:t>
            </w:r>
          </w:p>
          <w:p w14:paraId="357F41C9" w14:textId="2584CA92" w:rsidR="00B61354" w:rsidRPr="00217274" w:rsidRDefault="4A35EC50" w:rsidP="382C75BC">
            <w:pPr>
              <w:pStyle w:val="Paragraphedeliste"/>
              <w:numPr>
                <w:ilvl w:val="0"/>
                <w:numId w:val="2"/>
              </w:numPr>
              <w:rPr>
                <w:rFonts w:ascii="Verdana" w:eastAsiaTheme="minorEastAsia" w:hAnsi="Verdana" w:cstheme="minorBidi"/>
                <w:b/>
                <w:bCs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0439F1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déterminer</w:t>
            </w:r>
            <w:proofErr w:type="gramEnd"/>
            <w:r w:rsidR="003E5F78" w:rsidRPr="000439F1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Pr="000439F1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les mesures de rendements de la réussite des activités de l’entreprise sociale (concrétiser l’impact sur la vie des gens)</w:t>
            </w:r>
          </w:p>
          <w:p w14:paraId="038BC5D7" w14:textId="25E918C5" w:rsidR="00B61354" w:rsidRPr="00217274" w:rsidRDefault="0FA9E12A" w:rsidP="17D9B283">
            <w:pPr>
              <w:pStyle w:val="Paragraphedeliste"/>
              <w:numPr>
                <w:ilvl w:val="0"/>
                <w:numId w:val="2"/>
              </w:numPr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17D9B283"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  <w:t>faire</w:t>
            </w:r>
            <w:proofErr w:type="gramEnd"/>
            <w:r w:rsidRPr="17D9B283"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  <w:t xml:space="preserve"> preuve de leadership et d’esprit d’équipe en effectuant les tâches assignées</w:t>
            </w:r>
            <w:r w:rsidR="00004F2A" w:rsidRPr="17D9B283"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  <w:t>,</w:t>
            </w:r>
            <w:r w:rsidRPr="17D9B283"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  <w:t xml:space="preserve"> et en contribuant à la qualité du travail et au respect des délais prescrits</w:t>
            </w:r>
          </w:p>
          <w:p w14:paraId="43BA249F" w14:textId="075B1AC1" w:rsidR="00B61354" w:rsidRPr="003E5F78" w:rsidRDefault="00B61354" w:rsidP="382C75BC">
            <w:pPr>
              <w:rPr>
                <w:b/>
                <w:bCs/>
                <w:lang w:val="fr-CA"/>
              </w:rPr>
            </w:pPr>
          </w:p>
          <w:p w14:paraId="1E014158" w14:textId="5929AB91" w:rsidR="00523B13" w:rsidRPr="003E5F78" w:rsidRDefault="00523B13" w:rsidP="00920505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</w:p>
        </w:tc>
      </w:tr>
    </w:tbl>
    <w:p w14:paraId="4A1B99F3" w14:textId="5566FEE8" w:rsidR="00F5267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173981" w:rsidRPr="003E5F78" w14:paraId="2D425E83" w14:textId="77777777" w:rsidTr="000D43EF">
        <w:tc>
          <w:tcPr>
            <w:tcW w:w="1696" w:type="dxa"/>
            <w:shd w:val="clear" w:color="auto" w:fill="C1C1C1"/>
            <w:vAlign w:val="center"/>
          </w:tcPr>
          <w:p w14:paraId="27717CB6" w14:textId="77777777" w:rsidR="00173981" w:rsidRPr="003E5F78" w:rsidRDefault="00173981" w:rsidP="000D43EF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3E5F78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47CA0C30" w14:textId="77777777" w:rsidR="00173981" w:rsidRPr="003E5F78" w:rsidRDefault="00173981" w:rsidP="000D43EF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3E5F78">
              <w:rPr>
                <w:rFonts w:ascii="Verdana" w:hAnsi="Verdana" w:cs="Arial"/>
                <w:sz w:val="20"/>
                <w:szCs w:val="20"/>
                <w:lang w:val="fr-CA"/>
              </w:rPr>
              <w:t>Séance de cours</w:t>
            </w:r>
            <w:r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03E5F78">
              <w:rPr>
                <w:rFonts w:ascii="Verdana" w:hAnsi="Verdana" w:cs="Arial"/>
                <w:sz w:val="20"/>
                <w:szCs w:val="20"/>
                <w:lang w:val="fr-CA"/>
              </w:rPr>
              <w:t>2</w:t>
            </w:r>
            <w:r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03E5F78">
              <w:rPr>
                <w:rFonts w:ascii="Verdana" w:hAnsi="Verdana" w:cs="Arial"/>
                <w:sz w:val="20"/>
                <w:szCs w:val="20"/>
                <w:lang w:val="fr-CA"/>
              </w:rPr>
              <w:t>: Budget et mesures de rendement</w:t>
            </w:r>
          </w:p>
        </w:tc>
      </w:tr>
    </w:tbl>
    <w:p w14:paraId="6B4DEC5C" w14:textId="77777777" w:rsidR="00173981" w:rsidRPr="003E5F78" w:rsidRDefault="00173981" w:rsidP="00F52677">
      <w:pPr>
        <w:rPr>
          <w:rFonts w:ascii="Verdana" w:hAnsi="Verdana" w:cs="Arial"/>
          <w:sz w:val="20"/>
          <w:szCs w:val="20"/>
          <w:lang w:val="fr-CA"/>
        </w:rPr>
      </w:pPr>
    </w:p>
    <w:p w14:paraId="223A94E2" w14:textId="77777777" w:rsidR="00F52677" w:rsidRPr="003E5F78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3E5F78" w14:paraId="4A2EC677" w14:textId="77777777" w:rsidTr="17D9B283">
        <w:tc>
          <w:tcPr>
            <w:tcW w:w="8630" w:type="dxa"/>
            <w:shd w:val="clear" w:color="auto" w:fill="C1C1C1"/>
          </w:tcPr>
          <w:p w14:paraId="726C9220" w14:textId="77777777" w:rsidR="00F52677" w:rsidRPr="003E5F78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3E5F78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3E5F78" w14:paraId="09C288F9" w14:textId="77777777" w:rsidTr="17D9B283">
        <w:tc>
          <w:tcPr>
            <w:tcW w:w="8630" w:type="dxa"/>
          </w:tcPr>
          <w:p w14:paraId="7F80B258" w14:textId="77777777" w:rsidR="00BB02BF" w:rsidRPr="003E5F78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3E5F78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3E5F78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07DFFB97" w:rsidR="00BB02BF" w:rsidRPr="003E5F78" w:rsidRDefault="22550CDE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3E5F7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Cette séance de cours te permettra de discuter des concepts liés aux partenariats et aux budgets. </w:t>
            </w:r>
          </w:p>
        </w:tc>
      </w:tr>
      <w:tr w:rsidR="002D1760" w:rsidRPr="003E5F78" w14:paraId="68EF2BA2" w14:textId="77777777" w:rsidTr="17D9B283">
        <w:tc>
          <w:tcPr>
            <w:tcW w:w="8630" w:type="dxa"/>
          </w:tcPr>
          <w:p w14:paraId="070D7082" w14:textId="23BE24F7" w:rsidR="002D1760" w:rsidRPr="003E5F78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3E5F78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3E5F78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3E5F78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8071F1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3E5F78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Pr="003E5F78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4125F9DB" w14:textId="38F49A69" w:rsidR="00CB05B7" w:rsidRPr="003E5F78" w:rsidRDefault="79767DE3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17D9B28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Il arrive parfois qu’une entreprise sociale soit considérée à la fois comme un partenaire stratégique </w:t>
            </w:r>
            <w:r w:rsidR="00400C53" w:rsidRPr="17D9B28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et </w:t>
            </w:r>
            <w:r w:rsidRPr="17D9B28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un concurrent dans un même marché ou une même région. </w:t>
            </w:r>
            <w:r w:rsidR="5758F3EC" w:rsidRPr="17D9B28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Il est donc nécessaire de faire cette analyse afin de bien cibler les avantages et les désavantages de ce type de relation, tout en gardant à l’esprit l’importance du budget et des </w:t>
            </w:r>
            <w:r w:rsidR="7483F260" w:rsidRPr="17D9B28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mesures (indicateurs)</w:t>
            </w:r>
            <w:r w:rsidR="5758F3EC" w:rsidRPr="17D9B28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de rendement. </w:t>
            </w:r>
          </w:p>
        </w:tc>
      </w:tr>
      <w:tr w:rsidR="00DA3338" w:rsidRPr="003E5F78" w14:paraId="17EE45F8" w14:textId="77777777" w:rsidTr="17D9B283">
        <w:tc>
          <w:tcPr>
            <w:tcW w:w="8630" w:type="dxa"/>
          </w:tcPr>
          <w:p w14:paraId="5E33CE0D" w14:textId="5FA6ED06" w:rsidR="00DA3338" w:rsidRPr="003E5F78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3E5F78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="003E5F78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3E5F78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3DBA0484" w14:textId="0AEFA1AD" w:rsidR="00AA13A0" w:rsidRPr="00217274" w:rsidRDefault="00AA13A0" w:rsidP="382C75BC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5643DD74" w14:textId="2C8DE683" w:rsidR="00AA13A0" w:rsidRPr="00771A2E" w:rsidRDefault="674906F4" w:rsidP="1268F2E1">
            <w:pPr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fr-CA"/>
              </w:rPr>
            </w:pPr>
            <w:r w:rsidRPr="00771A2E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Thèmes</w:t>
            </w:r>
            <w:r w:rsidR="008071F1" w:rsidRPr="00771A2E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Pr="00771A2E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: </w:t>
            </w:r>
          </w:p>
          <w:p w14:paraId="3FFF20E2" w14:textId="50901462" w:rsidR="00AA13A0" w:rsidRPr="00771A2E" w:rsidRDefault="3C9C03E1" w:rsidP="382C75BC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771A2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Concurrents potentiels</w:t>
            </w:r>
          </w:p>
          <w:p w14:paraId="2F6CAC32" w14:textId="57E48B65" w:rsidR="00AA13A0" w:rsidRPr="00771A2E" w:rsidRDefault="3C9C03E1" w:rsidP="382C75BC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771A2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Partenariats stratégiques </w:t>
            </w:r>
          </w:p>
          <w:p w14:paraId="331AC1F2" w14:textId="33569483" w:rsidR="00AA13A0" w:rsidRPr="00771A2E" w:rsidRDefault="3C9C03E1" w:rsidP="382C75BC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771A2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Bases du positionnement</w:t>
            </w:r>
          </w:p>
          <w:p w14:paraId="32068778" w14:textId="1EE4F49A" w:rsidR="00AA13A0" w:rsidRPr="00771A2E" w:rsidRDefault="3C9C03E1" w:rsidP="382C75BC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771A2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Postes budgétaires et couts annuels</w:t>
            </w:r>
          </w:p>
          <w:p w14:paraId="24F2BC06" w14:textId="10971123" w:rsidR="00AA13A0" w:rsidRPr="00771A2E" w:rsidRDefault="3C9C03E1" w:rsidP="382C75BC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771A2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Mesures de rendement de la réussite</w:t>
            </w:r>
            <w:r w:rsidR="1C06DED6" w:rsidRPr="00771A2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(indicateurs)</w:t>
            </w:r>
          </w:p>
          <w:p w14:paraId="1479D387" w14:textId="576A4CC6" w:rsidR="4FB709E4" w:rsidRPr="00771A2E" w:rsidRDefault="4FB709E4" w:rsidP="4226FEA1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771A2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Période de questions</w:t>
            </w:r>
          </w:p>
          <w:p w14:paraId="049309DE" w14:textId="118E93BC" w:rsidR="00AA13A0" w:rsidRPr="003E5F78" w:rsidRDefault="4FB709E4" w:rsidP="4226FEA1">
            <w:pPr>
              <w:pStyle w:val="Paragraphedeliste"/>
              <w:numPr>
                <w:ilvl w:val="0"/>
                <w:numId w:val="1"/>
              </w:numPr>
              <w:rPr>
                <w:rStyle w:val="lev"/>
                <w:lang w:val="fr-CA"/>
              </w:rPr>
            </w:pPr>
            <w:r w:rsidRPr="00771A2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Présentation des travaux à venir</w:t>
            </w:r>
          </w:p>
        </w:tc>
      </w:tr>
    </w:tbl>
    <w:p w14:paraId="40B4BBD2" w14:textId="77777777" w:rsidR="00F52677" w:rsidRPr="003E5F78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54C40D1B" w14:textId="2513398E" w:rsidR="55795268" w:rsidRPr="003E5F78" w:rsidRDefault="55795268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24596E94" w14:textId="77777777" w:rsidR="00012AF9" w:rsidRPr="003E5F78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p w14:paraId="7AB12A08" w14:textId="77777777" w:rsidR="00012AF9" w:rsidRPr="003E5F78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3E5F78">
      <w:headerReference w:type="default" r:id="rId11"/>
      <w:foot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4B7DA" w14:textId="77777777" w:rsidR="005E36CB" w:rsidRDefault="005E36CB" w:rsidP="007511F3">
      <w:r>
        <w:separator/>
      </w:r>
    </w:p>
  </w:endnote>
  <w:endnote w:type="continuationSeparator" w:id="0">
    <w:p w14:paraId="081FA62D" w14:textId="77777777" w:rsidR="005E36CB" w:rsidRDefault="005E36CB" w:rsidP="007511F3">
      <w:r>
        <w:continuationSeparator/>
      </w:r>
    </w:p>
  </w:endnote>
  <w:endnote w:type="continuationNotice" w:id="1">
    <w:p w14:paraId="6D7DC6E8" w14:textId="77777777" w:rsidR="005E36CB" w:rsidRDefault="005E36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EE239" w14:textId="77777777" w:rsidR="005E36CB" w:rsidRDefault="005E36CB" w:rsidP="007511F3">
      <w:r>
        <w:separator/>
      </w:r>
    </w:p>
  </w:footnote>
  <w:footnote w:type="continuationSeparator" w:id="0">
    <w:p w14:paraId="6D30A535" w14:textId="77777777" w:rsidR="005E36CB" w:rsidRDefault="005E36CB" w:rsidP="007511F3">
      <w:r>
        <w:continuationSeparator/>
      </w:r>
    </w:p>
  </w:footnote>
  <w:footnote w:type="continuationNotice" w:id="1">
    <w:p w14:paraId="4D125938" w14:textId="77777777" w:rsidR="005E36CB" w:rsidRDefault="005E36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70E03F70" w:rsidR="007511F3" w:rsidRPr="007511F3" w:rsidRDefault="00173981">
    <w:pPr>
      <w:pStyle w:val="En-tte"/>
      <w:rPr>
        <w:lang w:val="fr-CA"/>
      </w:rPr>
    </w:pPr>
    <w:r w:rsidRPr="00173981">
      <w:rPr>
        <w:lang w:val="fr-CA"/>
      </w:rPr>
      <w:t>ESO1005 - Planification stratégique d’affaires</w:t>
    </w:r>
    <w:r w:rsidRPr="00173981" w:rsidDel="00173981">
      <w:rPr>
        <w:lang w:val="fr-C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800BF"/>
    <w:multiLevelType w:val="hybridMultilevel"/>
    <w:tmpl w:val="BFCED644"/>
    <w:lvl w:ilvl="0" w:tplc="6F3475D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488E6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E03B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0C57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1048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D268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8B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CACB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5486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91138A"/>
    <w:multiLevelType w:val="hybridMultilevel"/>
    <w:tmpl w:val="ACE43BD6"/>
    <w:lvl w:ilvl="0" w:tplc="D1FAF8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523E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388E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7828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E72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001C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B82C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4D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C89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2"/>
  </w:num>
  <w:num w:numId="5">
    <w:abstractNumId w:val="10"/>
  </w:num>
  <w:num w:numId="6">
    <w:abstractNumId w:val="7"/>
  </w:num>
  <w:num w:numId="7">
    <w:abstractNumId w:val="1"/>
  </w:num>
  <w:num w:numId="8">
    <w:abstractNumId w:val="13"/>
  </w:num>
  <w:num w:numId="9">
    <w:abstractNumId w:val="9"/>
  </w:num>
  <w:num w:numId="10">
    <w:abstractNumId w:val="3"/>
  </w:num>
  <w:num w:numId="11">
    <w:abstractNumId w:val="14"/>
  </w:num>
  <w:num w:numId="12">
    <w:abstractNumId w:val="19"/>
  </w:num>
  <w:num w:numId="13">
    <w:abstractNumId w:val="4"/>
  </w:num>
  <w:num w:numId="14">
    <w:abstractNumId w:val="17"/>
  </w:num>
  <w:num w:numId="15">
    <w:abstractNumId w:val="8"/>
  </w:num>
  <w:num w:numId="16">
    <w:abstractNumId w:val="20"/>
  </w:num>
  <w:num w:numId="17">
    <w:abstractNumId w:val="0"/>
  </w:num>
  <w:num w:numId="18">
    <w:abstractNumId w:val="16"/>
  </w:num>
  <w:num w:numId="19">
    <w:abstractNumId w:val="11"/>
  </w:num>
  <w:num w:numId="20">
    <w:abstractNumId w:val="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04F2A"/>
    <w:rsid w:val="00012AF9"/>
    <w:rsid w:val="00014470"/>
    <w:rsid w:val="00024EF7"/>
    <w:rsid w:val="00035812"/>
    <w:rsid w:val="000439F1"/>
    <w:rsid w:val="000471A3"/>
    <w:rsid w:val="00050D75"/>
    <w:rsid w:val="00060F82"/>
    <w:rsid w:val="000669D2"/>
    <w:rsid w:val="00066B0D"/>
    <w:rsid w:val="00073A7C"/>
    <w:rsid w:val="00087AE4"/>
    <w:rsid w:val="000A7C59"/>
    <w:rsid w:val="000D2391"/>
    <w:rsid w:val="000D7B45"/>
    <w:rsid w:val="000E41C8"/>
    <w:rsid w:val="000F2E7D"/>
    <w:rsid w:val="000F6C98"/>
    <w:rsid w:val="00106899"/>
    <w:rsid w:val="00150BD0"/>
    <w:rsid w:val="00151D12"/>
    <w:rsid w:val="00152AA3"/>
    <w:rsid w:val="00173981"/>
    <w:rsid w:val="00183FF0"/>
    <w:rsid w:val="00184598"/>
    <w:rsid w:val="001B14BB"/>
    <w:rsid w:val="001E2E22"/>
    <w:rsid w:val="001E719B"/>
    <w:rsid w:val="00217274"/>
    <w:rsid w:val="0022510D"/>
    <w:rsid w:val="00225EF4"/>
    <w:rsid w:val="00232DF1"/>
    <w:rsid w:val="00235DB1"/>
    <w:rsid w:val="00247337"/>
    <w:rsid w:val="00247DED"/>
    <w:rsid w:val="0025705A"/>
    <w:rsid w:val="00266A6D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D74FC"/>
    <w:rsid w:val="002F2450"/>
    <w:rsid w:val="002F74F6"/>
    <w:rsid w:val="00324581"/>
    <w:rsid w:val="00325126"/>
    <w:rsid w:val="00327813"/>
    <w:rsid w:val="00346B13"/>
    <w:rsid w:val="00376E2B"/>
    <w:rsid w:val="00380FF4"/>
    <w:rsid w:val="00381E68"/>
    <w:rsid w:val="003B1F67"/>
    <w:rsid w:val="003D11EA"/>
    <w:rsid w:val="003E5F78"/>
    <w:rsid w:val="003F1774"/>
    <w:rsid w:val="003F4848"/>
    <w:rsid w:val="00400C53"/>
    <w:rsid w:val="00421D00"/>
    <w:rsid w:val="0043452F"/>
    <w:rsid w:val="004451A5"/>
    <w:rsid w:val="0044565E"/>
    <w:rsid w:val="00452453"/>
    <w:rsid w:val="00452D97"/>
    <w:rsid w:val="004664AB"/>
    <w:rsid w:val="00472E0C"/>
    <w:rsid w:val="00484C76"/>
    <w:rsid w:val="00495B82"/>
    <w:rsid w:val="004A3A0C"/>
    <w:rsid w:val="004B1192"/>
    <w:rsid w:val="004B2AE6"/>
    <w:rsid w:val="004C4E5C"/>
    <w:rsid w:val="004D7B90"/>
    <w:rsid w:val="004E14A0"/>
    <w:rsid w:val="004F4927"/>
    <w:rsid w:val="00523B13"/>
    <w:rsid w:val="0055509C"/>
    <w:rsid w:val="00562E45"/>
    <w:rsid w:val="00586CD1"/>
    <w:rsid w:val="005923CC"/>
    <w:rsid w:val="005E36CB"/>
    <w:rsid w:val="006031B4"/>
    <w:rsid w:val="00605A7E"/>
    <w:rsid w:val="006067A2"/>
    <w:rsid w:val="00630AE4"/>
    <w:rsid w:val="006423FF"/>
    <w:rsid w:val="006551F3"/>
    <w:rsid w:val="00670B89"/>
    <w:rsid w:val="006C19BC"/>
    <w:rsid w:val="006F5906"/>
    <w:rsid w:val="00712972"/>
    <w:rsid w:val="007511F3"/>
    <w:rsid w:val="00753DE0"/>
    <w:rsid w:val="00757FB0"/>
    <w:rsid w:val="00764F8C"/>
    <w:rsid w:val="00771A2E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071F1"/>
    <w:rsid w:val="00824FA4"/>
    <w:rsid w:val="00830BBF"/>
    <w:rsid w:val="00832070"/>
    <w:rsid w:val="00832926"/>
    <w:rsid w:val="008331E0"/>
    <w:rsid w:val="00833441"/>
    <w:rsid w:val="008519BA"/>
    <w:rsid w:val="00872A34"/>
    <w:rsid w:val="008801C8"/>
    <w:rsid w:val="0089676E"/>
    <w:rsid w:val="00896BF1"/>
    <w:rsid w:val="008B3251"/>
    <w:rsid w:val="008B5C55"/>
    <w:rsid w:val="008C6347"/>
    <w:rsid w:val="00920505"/>
    <w:rsid w:val="009517A9"/>
    <w:rsid w:val="0095419F"/>
    <w:rsid w:val="00991744"/>
    <w:rsid w:val="009947DE"/>
    <w:rsid w:val="00994F75"/>
    <w:rsid w:val="009A534D"/>
    <w:rsid w:val="009B2351"/>
    <w:rsid w:val="009E77AE"/>
    <w:rsid w:val="009F2362"/>
    <w:rsid w:val="009F3F48"/>
    <w:rsid w:val="00A13169"/>
    <w:rsid w:val="00A13718"/>
    <w:rsid w:val="00A2236E"/>
    <w:rsid w:val="00A50E94"/>
    <w:rsid w:val="00A665DC"/>
    <w:rsid w:val="00A70488"/>
    <w:rsid w:val="00A80808"/>
    <w:rsid w:val="00AA13A0"/>
    <w:rsid w:val="00AA3124"/>
    <w:rsid w:val="00AA4B84"/>
    <w:rsid w:val="00AD6769"/>
    <w:rsid w:val="00AE603C"/>
    <w:rsid w:val="00B1405C"/>
    <w:rsid w:val="00B35F89"/>
    <w:rsid w:val="00B37F0D"/>
    <w:rsid w:val="00B61354"/>
    <w:rsid w:val="00B84A26"/>
    <w:rsid w:val="00B86009"/>
    <w:rsid w:val="00B9085C"/>
    <w:rsid w:val="00B90F4B"/>
    <w:rsid w:val="00BA0107"/>
    <w:rsid w:val="00BA0557"/>
    <w:rsid w:val="00BB02BF"/>
    <w:rsid w:val="00BD093C"/>
    <w:rsid w:val="00BD51A3"/>
    <w:rsid w:val="00BF6DC1"/>
    <w:rsid w:val="00C03F78"/>
    <w:rsid w:val="00C05499"/>
    <w:rsid w:val="00C11993"/>
    <w:rsid w:val="00C13D37"/>
    <w:rsid w:val="00C2395C"/>
    <w:rsid w:val="00C57517"/>
    <w:rsid w:val="00C61D42"/>
    <w:rsid w:val="00C73904"/>
    <w:rsid w:val="00C80C03"/>
    <w:rsid w:val="00CA30AC"/>
    <w:rsid w:val="00CB05B7"/>
    <w:rsid w:val="00CC311D"/>
    <w:rsid w:val="00CC3EEF"/>
    <w:rsid w:val="00CC5F55"/>
    <w:rsid w:val="00CD4951"/>
    <w:rsid w:val="00CE03B1"/>
    <w:rsid w:val="00CF0D68"/>
    <w:rsid w:val="00D00249"/>
    <w:rsid w:val="00D24CF4"/>
    <w:rsid w:val="00D25FC1"/>
    <w:rsid w:val="00D56E14"/>
    <w:rsid w:val="00D64A9F"/>
    <w:rsid w:val="00D745DC"/>
    <w:rsid w:val="00D835CF"/>
    <w:rsid w:val="00D87E90"/>
    <w:rsid w:val="00DA3338"/>
    <w:rsid w:val="00DA5958"/>
    <w:rsid w:val="00DE086F"/>
    <w:rsid w:val="00DE1263"/>
    <w:rsid w:val="00DE32A3"/>
    <w:rsid w:val="00DF414F"/>
    <w:rsid w:val="00DF5F46"/>
    <w:rsid w:val="00E2204F"/>
    <w:rsid w:val="00E26469"/>
    <w:rsid w:val="00E30C95"/>
    <w:rsid w:val="00E4704E"/>
    <w:rsid w:val="00E81C81"/>
    <w:rsid w:val="00E849C2"/>
    <w:rsid w:val="00EA03E2"/>
    <w:rsid w:val="00EC21EC"/>
    <w:rsid w:val="00ED4A6F"/>
    <w:rsid w:val="00ED63BA"/>
    <w:rsid w:val="00ED70D0"/>
    <w:rsid w:val="00EE2E1F"/>
    <w:rsid w:val="00EE7810"/>
    <w:rsid w:val="00F3170A"/>
    <w:rsid w:val="00F3395B"/>
    <w:rsid w:val="00F476B2"/>
    <w:rsid w:val="00F52677"/>
    <w:rsid w:val="00F662DD"/>
    <w:rsid w:val="00F73CAC"/>
    <w:rsid w:val="00F75709"/>
    <w:rsid w:val="00F80B02"/>
    <w:rsid w:val="00F825B6"/>
    <w:rsid w:val="00F82DDF"/>
    <w:rsid w:val="00F844AC"/>
    <w:rsid w:val="00F902B9"/>
    <w:rsid w:val="00F953A5"/>
    <w:rsid w:val="00FA213E"/>
    <w:rsid w:val="00FA5B54"/>
    <w:rsid w:val="00FC339E"/>
    <w:rsid w:val="00FC755F"/>
    <w:rsid w:val="00FC786A"/>
    <w:rsid w:val="00FF19AB"/>
    <w:rsid w:val="00FF227A"/>
    <w:rsid w:val="00FF44B1"/>
    <w:rsid w:val="0214B8B7"/>
    <w:rsid w:val="026BB04D"/>
    <w:rsid w:val="08E88522"/>
    <w:rsid w:val="09B111A9"/>
    <w:rsid w:val="0FA9E12A"/>
    <w:rsid w:val="1268F2E1"/>
    <w:rsid w:val="14915B37"/>
    <w:rsid w:val="157E5D76"/>
    <w:rsid w:val="1742E9D4"/>
    <w:rsid w:val="17D9B283"/>
    <w:rsid w:val="1C06DED6"/>
    <w:rsid w:val="1D04EA5C"/>
    <w:rsid w:val="1DCD375A"/>
    <w:rsid w:val="1FBC4742"/>
    <w:rsid w:val="223E998F"/>
    <w:rsid w:val="22550CDE"/>
    <w:rsid w:val="2A2CA65A"/>
    <w:rsid w:val="2C7E8D3A"/>
    <w:rsid w:val="2E6E9952"/>
    <w:rsid w:val="382C75BC"/>
    <w:rsid w:val="3A38A6F7"/>
    <w:rsid w:val="3C9C03E1"/>
    <w:rsid w:val="4226FEA1"/>
    <w:rsid w:val="4A35EC50"/>
    <w:rsid w:val="4FB709E4"/>
    <w:rsid w:val="55795268"/>
    <w:rsid w:val="5758F3EC"/>
    <w:rsid w:val="61CFE088"/>
    <w:rsid w:val="64EE58ED"/>
    <w:rsid w:val="668A294E"/>
    <w:rsid w:val="67177BC3"/>
    <w:rsid w:val="674906F4"/>
    <w:rsid w:val="6775FEBB"/>
    <w:rsid w:val="67D67CFE"/>
    <w:rsid w:val="7210A3F4"/>
    <w:rsid w:val="7483F260"/>
    <w:rsid w:val="76E97B55"/>
    <w:rsid w:val="79767DE3"/>
    <w:rsid w:val="7AE6BCCF"/>
    <w:rsid w:val="7B34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8C6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9CFFCC-95FE-421D-97E0-9B3D5460B86A}">
  <ds:schemaRefs>
    <ds:schemaRef ds:uri="http://schemas.microsoft.com/office/2006/documentManagement/types"/>
    <ds:schemaRef ds:uri="bf01f919-3957-45d6-8c10-d40d4dfe54bd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43216b7f-ccc7-4475-b013-7278345f6c5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17</cp:revision>
  <cp:lastPrinted>2016-11-10T10:40:00Z</cp:lastPrinted>
  <dcterms:created xsi:type="dcterms:W3CDTF">2021-11-23T16:09:00Z</dcterms:created>
  <dcterms:modified xsi:type="dcterms:W3CDTF">2022-02-23T19:18:00Z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