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72AAB70" w14:textId="77777777" w:rsidTr="0066771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CAE7C7"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30C728AE" w14:textId="77777777" w:rsidTr="0066771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AFFC221" w14:textId="1620E036" w:rsidR="000024F5" w:rsidRPr="009A7B74" w:rsidRDefault="00540C0C" w:rsidP="00A665DC">
            <w:pPr>
              <w:rPr>
                <w:rFonts w:cs="Arial"/>
                <w:szCs w:val="20"/>
                <w:lang w:val="fr-CA"/>
              </w:rPr>
            </w:pPr>
            <w:r>
              <w:rPr>
                <w:rFonts w:cs="Arial"/>
                <w:szCs w:val="20"/>
                <w:lang w:val="fr-CA"/>
              </w:rPr>
              <w:t>1</w:t>
            </w:r>
          </w:p>
        </w:tc>
      </w:tr>
      <w:tr w:rsidR="00F52677" w:rsidRPr="00073A7C" w14:paraId="6D04FCDB" w14:textId="77777777" w:rsidTr="0066771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37079FE"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12355A51" w14:textId="77777777" w:rsidTr="0066771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736559DD" w14:textId="6094CDCA" w:rsidR="0066771E" w:rsidRPr="009A7B74" w:rsidRDefault="0066771E" w:rsidP="00A665DC">
            <w:pPr>
              <w:rPr>
                <w:rFonts w:cs="Arial"/>
                <w:szCs w:val="20"/>
                <w:lang w:val="fr-CA"/>
              </w:rPr>
            </w:pPr>
            <w:r>
              <w:rPr>
                <w:rFonts w:cs="Arial"/>
                <w:bCs/>
                <w:szCs w:val="20"/>
                <w:lang w:val="fr-CA"/>
              </w:rPr>
              <w:t>Plan de diversification financière</w:t>
            </w:r>
          </w:p>
        </w:tc>
      </w:tr>
      <w:tr w:rsidR="00495B82" w:rsidRPr="00073A7C" w14:paraId="76EA67A0" w14:textId="77777777" w:rsidTr="0066771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D67F9D"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66771E" w:rsidRPr="00073A7C" w14:paraId="35C0870B" w14:textId="77777777" w:rsidTr="0066771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9964ACE" w14:textId="37ED6092" w:rsidR="0066771E" w:rsidRPr="0066771E" w:rsidRDefault="00C024E0" w:rsidP="0066771E">
            <w:proofErr w:type="spellStart"/>
            <w:r>
              <w:t>s.o</w:t>
            </w:r>
            <w:proofErr w:type="spellEnd"/>
            <w:r>
              <w:t>.</w:t>
            </w:r>
          </w:p>
        </w:tc>
      </w:tr>
      <w:tr w:rsidR="0066771E" w:rsidRPr="00073A7C" w14:paraId="2842585B" w14:textId="77777777" w:rsidTr="0066771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099267" w14:textId="126C8361" w:rsidR="0066771E" w:rsidRPr="00073A7C" w:rsidRDefault="0066771E" w:rsidP="0066771E">
            <w:pPr>
              <w:rPr>
                <w:rFonts w:cs="Arial"/>
                <w:b/>
                <w:szCs w:val="20"/>
                <w:lang w:val="fr-CA"/>
              </w:rPr>
            </w:pPr>
            <w:r w:rsidRPr="00073A7C">
              <w:rPr>
                <w:rFonts w:cs="Arial"/>
                <w:b/>
                <w:szCs w:val="20"/>
                <w:lang w:val="fr-CA"/>
              </w:rPr>
              <w:t>Élément</w:t>
            </w:r>
            <w:r w:rsidR="00C024E0">
              <w:rPr>
                <w:rFonts w:cs="Arial"/>
                <w:b/>
                <w:szCs w:val="20"/>
                <w:lang w:val="fr-CA"/>
              </w:rPr>
              <w:t>s</w:t>
            </w:r>
            <w:r w:rsidRPr="00073A7C">
              <w:rPr>
                <w:rFonts w:cs="Arial"/>
                <w:b/>
                <w:szCs w:val="20"/>
                <w:lang w:val="fr-CA"/>
              </w:rPr>
              <w:t xml:space="preserve"> de performance : </w:t>
            </w:r>
          </w:p>
        </w:tc>
      </w:tr>
      <w:tr w:rsidR="0066771E" w:rsidRPr="00073A7C" w14:paraId="1C51C643" w14:textId="77777777" w:rsidTr="0066771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3E2F975" w14:textId="1CC5579E" w:rsidR="002054D0" w:rsidRDefault="002054D0" w:rsidP="002054D0">
            <w:pPr>
              <w:pStyle w:val="Paragraphedeliste"/>
              <w:numPr>
                <w:ilvl w:val="0"/>
                <w:numId w:val="12"/>
              </w:numPr>
              <w:ind w:left="182" w:hanging="142"/>
              <w:rPr>
                <w:bCs/>
              </w:rPr>
            </w:pPr>
            <w:proofErr w:type="gramStart"/>
            <w:r w:rsidRPr="00F75E7C">
              <w:rPr>
                <w:bCs/>
              </w:rPr>
              <w:t>distinguer</w:t>
            </w:r>
            <w:proofErr w:type="gramEnd"/>
            <w:r w:rsidRPr="00F75E7C">
              <w:rPr>
                <w:bCs/>
              </w:rPr>
              <w:t xml:space="preserve"> les caractéristiques de stratégies</w:t>
            </w:r>
            <w:r>
              <w:rPr>
                <w:bCs/>
              </w:rPr>
              <w:t xml:space="preserve"> innovantes de mobilisation de fonds telles que l'</w:t>
            </w:r>
            <w:r w:rsidRPr="00F75E7C">
              <w:rPr>
                <w:bCs/>
              </w:rPr>
              <w:t xml:space="preserve">obligation communautaire, </w:t>
            </w:r>
            <w:r>
              <w:rPr>
                <w:bCs/>
              </w:rPr>
              <w:t xml:space="preserve">le </w:t>
            </w:r>
            <w:r w:rsidRPr="00F75E7C">
              <w:rPr>
                <w:bCs/>
              </w:rPr>
              <w:t xml:space="preserve">sociofinancement, </w:t>
            </w:r>
            <w:r>
              <w:rPr>
                <w:bCs/>
              </w:rPr>
              <w:t xml:space="preserve">le </w:t>
            </w:r>
            <w:r w:rsidRPr="00F75E7C">
              <w:rPr>
                <w:bCs/>
              </w:rPr>
              <w:t xml:space="preserve">microcrédit, </w:t>
            </w:r>
            <w:r>
              <w:rPr>
                <w:bCs/>
              </w:rPr>
              <w:t xml:space="preserve">la </w:t>
            </w:r>
            <w:r w:rsidRPr="00F75E7C">
              <w:rPr>
                <w:bCs/>
              </w:rPr>
              <w:t xml:space="preserve">franchise sociale </w:t>
            </w:r>
          </w:p>
          <w:p w14:paraId="0588C849" w14:textId="4AC1CCB2" w:rsidR="002054D0" w:rsidRPr="00063CE6" w:rsidRDefault="002054D0" w:rsidP="002054D0">
            <w:pPr>
              <w:pStyle w:val="Paragraphedeliste"/>
              <w:numPr>
                <w:ilvl w:val="0"/>
                <w:numId w:val="12"/>
              </w:numPr>
              <w:ind w:left="182" w:hanging="142"/>
              <w:rPr>
                <w:bCs/>
              </w:rPr>
            </w:pPr>
            <w:proofErr w:type="gramStart"/>
            <w:r>
              <w:rPr>
                <w:bCs/>
              </w:rPr>
              <w:t>faire</w:t>
            </w:r>
            <w:proofErr w:type="gramEnd"/>
            <w:r>
              <w:rPr>
                <w:bCs/>
              </w:rPr>
              <w:t xml:space="preserve"> preuve d’</w:t>
            </w:r>
            <w:r w:rsidRPr="00F75E7C">
              <w:rPr>
                <w:bCs/>
              </w:rPr>
              <w:t>initiative et d’innovation lors de l’exploration et la proposition de stratégies novatrices de mobilisation de fonds pour une entreprise sociale ou un organisme</w:t>
            </w:r>
          </w:p>
          <w:p w14:paraId="6641DADD" w14:textId="521EE9C6" w:rsidR="0066771E" w:rsidRPr="002054D0" w:rsidRDefault="002054D0" w:rsidP="0066771E">
            <w:pPr>
              <w:pStyle w:val="Paragraphedeliste"/>
              <w:numPr>
                <w:ilvl w:val="0"/>
                <w:numId w:val="12"/>
              </w:numPr>
              <w:ind w:left="175" w:hanging="142"/>
              <w:rPr>
                <w:bCs/>
              </w:rPr>
            </w:pPr>
            <w:proofErr w:type="gramStart"/>
            <w:r>
              <w:rPr>
                <w:bCs/>
              </w:rPr>
              <w:t>définir</w:t>
            </w:r>
            <w:proofErr w:type="gramEnd"/>
            <w:r>
              <w:rPr>
                <w:bCs/>
              </w:rPr>
              <w:t xml:space="preserve"> diverses actions à entreprendre pour mobiliser des fonds autres que publics, privés et philanthropiques </w:t>
            </w:r>
            <w:r w:rsidRPr="008D08FB">
              <w:rPr>
                <w:bCs/>
              </w:rPr>
              <w:t xml:space="preserve"> </w:t>
            </w:r>
          </w:p>
          <w:p w14:paraId="144453DB" w14:textId="71C3740A" w:rsidR="0066771E" w:rsidRPr="009A7B74" w:rsidRDefault="0066771E" w:rsidP="0066771E">
            <w:pPr>
              <w:rPr>
                <w:rFonts w:cs="Arial"/>
                <w:szCs w:val="20"/>
                <w:lang w:val="fr-CA"/>
              </w:rPr>
            </w:pPr>
            <w:r>
              <w:rPr>
                <w:rFonts w:cs="Arial"/>
                <w:szCs w:val="20"/>
                <w:lang w:val="fr-CA"/>
              </w:rPr>
              <w:t xml:space="preserve">  </w:t>
            </w:r>
          </w:p>
        </w:tc>
      </w:tr>
    </w:tbl>
    <w:p w14:paraId="082FB9AE" w14:textId="77777777" w:rsidR="00F52677" w:rsidRDefault="00F52677" w:rsidP="004B03CC">
      <w:pPr>
        <w:spacing w:after="200"/>
        <w:rPr>
          <w:rFonts w:cs="Arial"/>
          <w:szCs w:val="20"/>
          <w:lang w:val="fr-CA"/>
        </w:rPr>
      </w:pPr>
    </w:p>
    <w:p w14:paraId="0975166F"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056BA75F" w14:textId="77777777" w:rsidTr="79445880">
        <w:trPr>
          <w:jc w:val="center"/>
        </w:trPr>
        <w:tc>
          <w:tcPr>
            <w:tcW w:w="2006" w:type="dxa"/>
            <w:shd w:val="clear" w:color="auto" w:fill="C1C1C1"/>
            <w:vAlign w:val="center"/>
          </w:tcPr>
          <w:p w14:paraId="6BEA675B"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1A8BEF65" w14:textId="23D74EC7" w:rsidR="00F52677" w:rsidRPr="00073A7C" w:rsidRDefault="00590218" w:rsidP="79445880">
            <w:pPr>
              <w:rPr>
                <w:rFonts w:cs="Arial"/>
                <w:lang w:val="fr-CA"/>
              </w:rPr>
            </w:pPr>
            <w:r>
              <w:rPr>
                <w:rFonts w:cs="Arial"/>
                <w:lang w:val="fr-CA"/>
              </w:rPr>
              <w:t>Activité : F</w:t>
            </w:r>
            <w:r w:rsidR="002054D0">
              <w:rPr>
                <w:rFonts w:cs="Arial"/>
                <w:lang w:val="fr-CA"/>
              </w:rPr>
              <w:t>ranchises sociales</w:t>
            </w:r>
          </w:p>
        </w:tc>
      </w:tr>
    </w:tbl>
    <w:p w14:paraId="0E00AB66"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30BA9C93" w14:textId="77777777" w:rsidTr="51CE4D4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BC3142" w14:textId="77777777" w:rsidR="00E26A6C" w:rsidRPr="00073A7C" w:rsidRDefault="00E26A6C" w:rsidP="009F64EC">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0EE6E010" w14:textId="77777777" w:rsidTr="51CE4D4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021586F4" w14:textId="77777777" w:rsidR="00E26A6C" w:rsidRPr="00E26A6C" w:rsidRDefault="00E26A6C" w:rsidP="009F64EC">
            <w:pPr>
              <w:rPr>
                <w:rFonts w:cs="Arial"/>
                <w:b/>
                <w:bCs/>
                <w:szCs w:val="20"/>
                <w:lang w:val="fr-CA"/>
              </w:rPr>
            </w:pPr>
            <w:r w:rsidRPr="00E26A6C">
              <w:rPr>
                <w:rFonts w:cs="Arial"/>
                <w:b/>
                <w:bCs/>
                <w:szCs w:val="20"/>
                <w:lang w:val="fr-CA"/>
              </w:rPr>
              <w:t>Résumé (1-2 phrases) :</w:t>
            </w:r>
          </w:p>
        </w:tc>
      </w:tr>
      <w:tr w:rsidR="00E26A6C" w:rsidRPr="00073A7C" w14:paraId="740133C7" w14:textId="77777777" w:rsidTr="51CE4D45">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5484235" w14:textId="5F28FEC2" w:rsidR="00E26A6C" w:rsidRDefault="00590218" w:rsidP="009F64EC">
            <w:pPr>
              <w:rPr>
                <w:rFonts w:cs="Arial"/>
                <w:szCs w:val="20"/>
                <w:lang w:val="fr-CA"/>
              </w:rPr>
            </w:pPr>
            <w:r>
              <w:rPr>
                <w:rFonts w:cs="Arial"/>
                <w:szCs w:val="20"/>
                <w:lang w:val="fr-CA"/>
              </w:rPr>
              <w:t xml:space="preserve">Cette </w:t>
            </w:r>
            <w:r w:rsidR="002054D0">
              <w:rPr>
                <w:rFonts w:cs="Arial"/>
                <w:szCs w:val="20"/>
                <w:lang w:val="fr-CA"/>
              </w:rPr>
              <w:t>activité</w:t>
            </w:r>
            <w:r>
              <w:rPr>
                <w:rFonts w:cs="Arial"/>
                <w:szCs w:val="20"/>
                <w:lang w:val="fr-CA"/>
              </w:rPr>
              <w:t xml:space="preserve"> te permettra de t’</w:t>
            </w:r>
            <w:r w:rsidR="002054D0">
              <w:rPr>
                <w:rFonts w:cs="Arial"/>
                <w:szCs w:val="20"/>
                <w:lang w:val="fr-CA"/>
              </w:rPr>
              <w:t>initier à la franchise sociale.</w:t>
            </w:r>
          </w:p>
          <w:p w14:paraId="4A2E79BD" w14:textId="2A894C6F" w:rsidR="00EC2672" w:rsidRPr="009A7B74" w:rsidRDefault="00EC2672" w:rsidP="005E3837">
            <w:pPr>
              <w:rPr>
                <w:rFonts w:cs="Arial"/>
                <w:szCs w:val="20"/>
                <w:lang w:val="fr-CA"/>
              </w:rPr>
            </w:pPr>
          </w:p>
        </w:tc>
      </w:tr>
      <w:tr w:rsidR="00E26A6C" w:rsidRPr="00E26A6C" w14:paraId="5A1047D8" w14:textId="77777777" w:rsidTr="51CE4D4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6D2C5D9D" w14:textId="77777777" w:rsidR="00E26A6C" w:rsidRPr="00E26A6C" w:rsidRDefault="00E26A6C" w:rsidP="009F64EC">
            <w:pPr>
              <w:rPr>
                <w:rFonts w:cs="Arial"/>
                <w:b/>
                <w:bCs/>
                <w:szCs w:val="20"/>
                <w:lang w:val="fr-CA"/>
              </w:rPr>
            </w:pPr>
            <w:r w:rsidRPr="00E26A6C">
              <w:rPr>
                <w:rFonts w:cs="Arial"/>
                <w:b/>
                <w:bCs/>
                <w:szCs w:val="20"/>
                <w:lang w:val="fr-CA"/>
              </w:rPr>
              <w:t>Mise en contexte / Mise en situation :</w:t>
            </w:r>
          </w:p>
        </w:tc>
      </w:tr>
      <w:tr w:rsidR="00E26A6C" w:rsidRPr="00073A7C" w14:paraId="679821E2" w14:textId="77777777" w:rsidTr="51CE4D45">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0957337" w14:textId="14B51BD2" w:rsidR="002054D0" w:rsidRDefault="002054D0" w:rsidP="0BD89A30">
            <w:pPr>
              <w:rPr>
                <w:rFonts w:cs="Arial"/>
                <w:lang w:val="fr-CA"/>
              </w:rPr>
            </w:pPr>
            <w:r w:rsidRPr="604B540E">
              <w:rPr>
                <w:rFonts w:cs="Arial"/>
                <w:lang w:val="fr-CA"/>
              </w:rPr>
              <w:t xml:space="preserve">La franchise sociale est méconnue au Canada toutefois elle a tout un potentiel et peut être un formidable levier et un outil efficace pour changer d’échelle </w:t>
            </w:r>
            <w:r w:rsidR="30A2061D" w:rsidRPr="604B540E">
              <w:rPr>
                <w:rFonts w:cs="Arial"/>
                <w:lang w:val="fr-CA"/>
              </w:rPr>
              <w:t>(</w:t>
            </w:r>
            <w:proofErr w:type="spellStart"/>
            <w:r w:rsidR="30A2061D" w:rsidRPr="604B540E">
              <w:rPr>
                <w:rFonts w:cs="Arial"/>
                <w:i/>
                <w:iCs/>
                <w:lang w:val="fr-CA"/>
              </w:rPr>
              <w:t>scale</w:t>
            </w:r>
            <w:proofErr w:type="spellEnd"/>
            <w:r w:rsidR="30A2061D" w:rsidRPr="604B540E">
              <w:rPr>
                <w:rFonts w:cs="Arial"/>
                <w:i/>
                <w:iCs/>
                <w:lang w:val="fr-CA"/>
              </w:rPr>
              <w:t xml:space="preserve"> up</w:t>
            </w:r>
            <w:r w:rsidR="30A2061D" w:rsidRPr="604B540E">
              <w:rPr>
                <w:rFonts w:cs="Arial"/>
                <w:lang w:val="fr-CA"/>
              </w:rPr>
              <w:t xml:space="preserve">) </w:t>
            </w:r>
            <w:r w:rsidRPr="604B540E">
              <w:rPr>
                <w:rFonts w:cs="Arial"/>
                <w:lang w:val="fr-CA"/>
              </w:rPr>
              <w:t>et déployer les innovations sociales d’organismes ou d’entreprises sociales dans plus d’une communauté.</w:t>
            </w:r>
          </w:p>
          <w:p w14:paraId="23D539DC" w14:textId="4619621F" w:rsidR="002054D0" w:rsidRDefault="002054D0" w:rsidP="009F64EC">
            <w:pPr>
              <w:rPr>
                <w:rFonts w:cs="Arial"/>
                <w:szCs w:val="20"/>
                <w:lang w:val="fr-CA"/>
              </w:rPr>
            </w:pPr>
          </w:p>
          <w:p w14:paraId="2556CB91" w14:textId="42FB1B40" w:rsidR="004F3C5D" w:rsidRDefault="002054D0" w:rsidP="005E3837">
            <w:pPr>
              <w:rPr>
                <w:rFonts w:cs="Arial"/>
                <w:szCs w:val="20"/>
                <w:lang w:val="fr-CA"/>
              </w:rPr>
            </w:pPr>
            <w:r w:rsidRPr="002054D0">
              <w:rPr>
                <w:rFonts w:cs="Arial"/>
                <w:szCs w:val="20"/>
                <w:lang w:val="fr-CA"/>
              </w:rPr>
              <w:t>Bien</w:t>
            </w:r>
            <w:r w:rsidR="00AE0CE9">
              <w:rPr>
                <w:rFonts w:cs="Arial"/>
                <w:szCs w:val="20"/>
                <w:lang w:val="fr-CA"/>
              </w:rPr>
              <w:t xml:space="preserve"> </w:t>
            </w:r>
            <w:r w:rsidRPr="002054D0">
              <w:rPr>
                <w:rFonts w:cs="Arial"/>
                <w:szCs w:val="20"/>
                <w:lang w:val="fr-CA"/>
              </w:rPr>
              <w:t>que la franchise commerciale soit une approche bien établie dans le secteur à but lucratif dans le monde, la franchise sociale en est encore à ses débuts.</w:t>
            </w:r>
            <w:r w:rsidR="002013F1">
              <w:rPr>
                <w:rFonts w:cs="Arial"/>
                <w:szCs w:val="20"/>
                <w:lang w:val="fr-CA"/>
              </w:rPr>
              <w:t xml:space="preserve"> </w:t>
            </w:r>
            <w:r w:rsidR="004F3C5D">
              <w:rPr>
                <w:rFonts w:cs="Arial"/>
                <w:szCs w:val="20"/>
                <w:lang w:val="fr-CA"/>
              </w:rPr>
              <w:t>Voici certaines franchises commerciales</w:t>
            </w:r>
            <w:r w:rsidR="004F3C5D" w:rsidRPr="004F3C5D">
              <w:rPr>
                <w:rFonts w:cs="Arial"/>
                <w:szCs w:val="20"/>
                <w:lang w:val="fr-CA"/>
              </w:rPr>
              <w:t xml:space="preserve"> sont connues internationalement : Holiday Inn, Body Shop, Yves Rocher, Subway, 7 Eleven, etc.</w:t>
            </w:r>
          </w:p>
          <w:p w14:paraId="6F1AA9BF" w14:textId="77777777" w:rsidR="002013F1" w:rsidRDefault="002013F1" w:rsidP="005E3837">
            <w:pPr>
              <w:rPr>
                <w:rFonts w:cs="Arial"/>
                <w:szCs w:val="20"/>
                <w:lang w:val="fr-CA"/>
              </w:rPr>
            </w:pPr>
          </w:p>
          <w:p w14:paraId="7087ADED" w14:textId="6DAE3F9B" w:rsidR="002013F1" w:rsidRDefault="002013F1" w:rsidP="0BD89A30">
            <w:pPr>
              <w:rPr>
                <w:rFonts w:cs="Arial"/>
                <w:lang w:val="fr-CA"/>
              </w:rPr>
            </w:pPr>
            <w:r w:rsidRPr="0BD89A30">
              <w:rPr>
                <w:rFonts w:cs="Arial"/>
                <w:lang w:val="fr-CA"/>
              </w:rPr>
              <w:t xml:space="preserve">En raison du récent intérêt qui lui est porté, il existe encore plusieurs interprétations de ce qu’est une franchise sociale. La signification de ce terme varie par exemple d’un pays à l’autre : « </w:t>
            </w:r>
            <w:proofErr w:type="gramStart"/>
            <w:r w:rsidR="00F84EE8">
              <w:rPr>
                <w:rFonts w:cs="Arial"/>
                <w:lang w:val="fr-CA"/>
              </w:rPr>
              <w:t>‘</w:t>
            </w:r>
            <w:r w:rsidRPr="0BD89A30">
              <w:rPr>
                <w:rFonts w:cs="Arial"/>
                <w:lang w:val="fr-CA"/>
              </w:rPr>
              <w:t>[</w:t>
            </w:r>
            <w:proofErr w:type="gramEnd"/>
            <w:r w:rsidRPr="0BD89A30">
              <w:rPr>
                <w:rFonts w:cs="Arial"/>
                <w:lang w:val="fr-CA"/>
              </w:rPr>
              <w:t xml:space="preserve">…] en France, une franchise sociale est une sorte de mesure fiscale alors qu’aux États-Unis, cette terminologie s’applique généralement lorsqu’une organisation à but non lucratif est propriétaire d’une entreprise franchisée privée (Ben &amp; </w:t>
            </w:r>
            <w:proofErr w:type="spellStart"/>
            <w:r w:rsidRPr="0BD89A30">
              <w:rPr>
                <w:rFonts w:cs="Arial"/>
                <w:lang w:val="fr-CA"/>
              </w:rPr>
              <w:t>Jerry’s</w:t>
            </w:r>
            <w:proofErr w:type="spellEnd"/>
            <w:r w:rsidRPr="0BD89A30">
              <w:rPr>
                <w:rFonts w:cs="Arial"/>
                <w:lang w:val="fr-CA"/>
              </w:rPr>
              <w:t xml:space="preserve">, </w:t>
            </w:r>
            <w:proofErr w:type="spellStart"/>
            <w:r w:rsidRPr="0BD89A30">
              <w:rPr>
                <w:rFonts w:cs="Arial"/>
                <w:lang w:val="fr-CA"/>
              </w:rPr>
              <w:t>Dunkin</w:t>
            </w:r>
            <w:proofErr w:type="spellEnd"/>
            <w:r w:rsidRPr="0BD89A30">
              <w:rPr>
                <w:rFonts w:cs="Arial"/>
                <w:lang w:val="fr-CA"/>
              </w:rPr>
              <w:t>’ Donuts, McDonald’s, etc.)</w:t>
            </w:r>
            <w:r w:rsidR="00F84EE8">
              <w:rPr>
                <w:rFonts w:cs="Arial"/>
                <w:lang w:val="fr-CA"/>
              </w:rPr>
              <w:t>’</w:t>
            </w:r>
            <w:r w:rsidRPr="0BD89A30">
              <w:rPr>
                <w:rFonts w:cs="Arial"/>
                <w:lang w:val="fr-CA"/>
              </w:rPr>
              <w:t xml:space="preserve">. Dans le cadre de ce document de synthèse, ce concept fera référence au principe selon lequel une entreprise d’économie sociale réplique un modèle ou une formule dont le succès est avéré, afin de diffuser une solution innovante à un problème sociétal. </w:t>
            </w:r>
          </w:p>
          <w:p w14:paraId="177A251E" w14:textId="77777777" w:rsidR="0056037E" w:rsidRDefault="0056037E" w:rsidP="005E3837">
            <w:pPr>
              <w:rPr>
                <w:rFonts w:cs="Arial"/>
                <w:szCs w:val="20"/>
                <w:lang w:val="fr-CA"/>
              </w:rPr>
            </w:pPr>
          </w:p>
          <w:p w14:paraId="358E2515" w14:textId="0248E255" w:rsidR="002013F1" w:rsidRDefault="002013F1" w:rsidP="0BD89A30">
            <w:pPr>
              <w:rPr>
                <w:rFonts w:cs="Arial"/>
                <w:lang w:val="fr-CA"/>
              </w:rPr>
            </w:pPr>
            <w:r w:rsidRPr="0BD89A30">
              <w:rPr>
                <w:rFonts w:cs="Arial"/>
                <w:lang w:val="fr-CA"/>
              </w:rPr>
              <w:t>Le modèle de la franchise sociale permet au franchisé de limiter les coûts liés à la recherche et au développement, tout en permettant au franchiseur de décupler son impact social et de répondre encore plus largement à sa mission. On peut aller jusqu’à parler d’une co-construction de l’impact entre le franchiseur et le franchisé. Et puis, pourquoi un projet ayant fonctionné à Montréal ne pourrait-il pas avoir le même succès à Québec, à Sherbrooke ou à Ottawa?</w:t>
            </w:r>
            <w:r w:rsidR="002873F0">
              <w:rPr>
                <w:rFonts w:cs="Arial"/>
                <w:lang w:val="fr-CA"/>
              </w:rPr>
              <w:t xml:space="preserve"> »</w:t>
            </w:r>
            <w:r w:rsidRPr="0BD89A30">
              <w:rPr>
                <w:rFonts w:cs="Arial"/>
                <w:lang w:val="fr-CA"/>
              </w:rPr>
              <w:t xml:space="preserve"> </w:t>
            </w:r>
            <w:r w:rsidR="002873F0">
              <w:rPr>
                <w:rFonts w:cs="Arial"/>
                <w:lang w:val="fr-CA"/>
              </w:rPr>
              <w:t xml:space="preserve">(Source : </w:t>
            </w:r>
            <w:hyperlink r:id="rId8" w:history="1">
              <w:r w:rsidR="00D0645D" w:rsidRPr="00D0645D">
                <w:rPr>
                  <w:rStyle w:val="Lienhypertexte"/>
                  <w:rFonts w:cs="Arial"/>
                  <w:lang w:val="fr-CA"/>
                </w:rPr>
                <w:t>La franchise sociale comme stratégie de changement d’échelle</w:t>
              </w:r>
            </w:hyperlink>
            <w:r w:rsidR="00D0645D">
              <w:rPr>
                <w:rFonts w:cs="Arial"/>
                <w:lang w:val="fr-CA"/>
              </w:rPr>
              <w:t>, p. 28)</w:t>
            </w:r>
          </w:p>
          <w:p w14:paraId="3DA11464" w14:textId="43EEA71F" w:rsidR="0056037E" w:rsidRPr="009A7B74" w:rsidRDefault="0056037E" w:rsidP="005E3837">
            <w:pPr>
              <w:rPr>
                <w:rFonts w:cs="Arial"/>
                <w:szCs w:val="20"/>
                <w:lang w:val="fr-CA"/>
              </w:rPr>
            </w:pPr>
          </w:p>
        </w:tc>
      </w:tr>
      <w:tr w:rsidR="00E26A6C" w:rsidRPr="00E26A6C" w14:paraId="32FC7260" w14:textId="77777777" w:rsidTr="51CE4D45">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258C7F9" w14:textId="77777777" w:rsidR="00E26A6C" w:rsidRPr="00E26A6C" w:rsidRDefault="00E26A6C" w:rsidP="009F64EC">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739F9FCF" w14:textId="77777777" w:rsidTr="51CE4D45">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8485BDB" w14:textId="7C65B55D" w:rsidR="0002627F" w:rsidRDefault="0002627F" w:rsidP="009F64EC">
            <w:pPr>
              <w:rPr>
                <w:rFonts w:cs="Arial"/>
                <w:szCs w:val="20"/>
                <w:lang w:val="fr-CA"/>
              </w:rPr>
            </w:pPr>
          </w:p>
          <w:p w14:paraId="4900E28F" w14:textId="39D0CF0B" w:rsidR="00807358" w:rsidRDefault="00807358" w:rsidP="0002627F">
            <w:pPr>
              <w:pStyle w:val="Paragraphedeliste"/>
              <w:numPr>
                <w:ilvl w:val="0"/>
                <w:numId w:val="13"/>
              </w:numPr>
              <w:rPr>
                <w:rFonts w:cs="Arial"/>
                <w:szCs w:val="20"/>
                <w:lang w:val="fr-CA"/>
              </w:rPr>
            </w:pPr>
            <w:r>
              <w:rPr>
                <w:rFonts w:cs="Arial"/>
                <w:szCs w:val="20"/>
                <w:lang w:val="fr-CA"/>
              </w:rPr>
              <w:t xml:space="preserve">Lis les ressources suivantes : </w:t>
            </w:r>
          </w:p>
          <w:p w14:paraId="1AA39A30" w14:textId="3B4DE778" w:rsidR="00807358" w:rsidRDefault="00F84EE8" w:rsidP="00807358">
            <w:pPr>
              <w:pStyle w:val="Paragraphedeliste"/>
              <w:numPr>
                <w:ilvl w:val="1"/>
                <w:numId w:val="13"/>
              </w:numPr>
              <w:rPr>
                <w:rFonts w:cs="Arial"/>
                <w:szCs w:val="20"/>
                <w:lang w:val="fr-CA"/>
              </w:rPr>
            </w:pPr>
            <w:hyperlink r:id="rId9" w:history="1">
              <w:r w:rsidR="00371835" w:rsidRPr="00F84EE8">
                <w:rPr>
                  <w:rStyle w:val="Lienhypertexte"/>
                  <w:rFonts w:cs="Arial"/>
                  <w:szCs w:val="20"/>
                  <w:lang w:val="fr-CA"/>
                </w:rPr>
                <w:t>Tour d’horizon sur la franchise sociale</w:t>
              </w:r>
            </w:hyperlink>
          </w:p>
          <w:p w14:paraId="149AA4A1" w14:textId="43BCA0D3" w:rsidR="00371835" w:rsidRPr="007579C7" w:rsidRDefault="00F84EE8" w:rsidP="00807358">
            <w:pPr>
              <w:pStyle w:val="Paragraphedeliste"/>
              <w:numPr>
                <w:ilvl w:val="1"/>
                <w:numId w:val="13"/>
              </w:numPr>
              <w:rPr>
                <w:rFonts w:cs="Arial"/>
                <w:i/>
                <w:iCs/>
                <w:szCs w:val="20"/>
                <w:lang w:val="fr-CA"/>
              </w:rPr>
            </w:pPr>
            <w:hyperlink r:id="rId10" w:history="1">
              <w:r w:rsidR="007579C7" w:rsidRPr="00F84EE8">
                <w:rPr>
                  <w:rStyle w:val="Lienhypertexte"/>
                  <w:rFonts w:cs="Arial"/>
                  <w:i/>
                  <w:iCs/>
                  <w:szCs w:val="20"/>
                  <w:lang w:val="fr-CA"/>
                </w:rPr>
                <w:t xml:space="preserve">Cahier de la </w:t>
              </w:r>
              <w:proofErr w:type="spellStart"/>
              <w:r w:rsidR="007579C7" w:rsidRPr="00F84EE8">
                <w:rPr>
                  <w:rStyle w:val="Lienhypertexte"/>
                  <w:rFonts w:cs="Arial"/>
                  <w:i/>
                  <w:iCs/>
                  <w:szCs w:val="20"/>
                  <w:lang w:val="fr-CA"/>
                </w:rPr>
                <w:t>Frachise</w:t>
              </w:r>
              <w:proofErr w:type="spellEnd"/>
              <w:r w:rsidR="007579C7" w:rsidRPr="00F84EE8">
                <w:rPr>
                  <w:rStyle w:val="Lienhypertexte"/>
                  <w:rFonts w:cs="Arial"/>
                  <w:i/>
                  <w:iCs/>
                  <w:szCs w:val="20"/>
                  <w:lang w:val="fr-CA"/>
                </w:rPr>
                <w:t xml:space="preserve"> Sociale</w:t>
              </w:r>
            </w:hyperlink>
          </w:p>
          <w:p w14:paraId="64EBAB71" w14:textId="5E3C1462" w:rsidR="0002627F" w:rsidRDefault="000E126E" w:rsidP="0002627F">
            <w:pPr>
              <w:pStyle w:val="Paragraphedeliste"/>
              <w:numPr>
                <w:ilvl w:val="0"/>
                <w:numId w:val="13"/>
              </w:numPr>
              <w:rPr>
                <w:rFonts w:cs="Arial"/>
                <w:szCs w:val="20"/>
                <w:lang w:val="fr-CA"/>
              </w:rPr>
            </w:pPr>
            <w:r>
              <w:rPr>
                <w:rFonts w:cs="Arial"/>
                <w:szCs w:val="20"/>
                <w:lang w:val="fr-CA"/>
              </w:rPr>
              <w:t xml:space="preserve">À partir du document </w:t>
            </w:r>
            <w:hyperlink r:id="rId11" w:history="1">
              <w:r w:rsidRPr="00F84EE8">
                <w:rPr>
                  <w:rStyle w:val="Lienhypertexte"/>
                  <w:rFonts w:cs="Arial"/>
                  <w:i/>
                  <w:iCs/>
                  <w:szCs w:val="20"/>
                  <w:lang w:val="fr-CA"/>
                </w:rPr>
                <w:t xml:space="preserve">Quand la franchise devient sociale : Manuel de </w:t>
              </w:r>
              <w:proofErr w:type="spellStart"/>
              <w:r w:rsidRPr="00F84EE8">
                <w:rPr>
                  <w:rStyle w:val="Lienhypertexte"/>
                  <w:rFonts w:cs="Arial"/>
                  <w:i/>
                  <w:iCs/>
                  <w:szCs w:val="20"/>
                  <w:lang w:val="fr-CA"/>
                </w:rPr>
                <w:t>fabribation</w:t>
              </w:r>
              <w:proofErr w:type="spellEnd"/>
            </w:hyperlink>
            <w:r>
              <w:rPr>
                <w:rFonts w:cs="Arial"/>
                <w:szCs w:val="20"/>
                <w:lang w:val="fr-CA"/>
              </w:rPr>
              <w:t xml:space="preserve">, </w:t>
            </w:r>
            <w:r w:rsidR="00EE5CF2">
              <w:rPr>
                <w:rFonts w:cs="Arial"/>
                <w:szCs w:val="20"/>
                <w:lang w:val="fr-CA"/>
              </w:rPr>
              <w:t>choisis une des</w:t>
            </w:r>
            <w:r>
              <w:rPr>
                <w:rFonts w:cs="Arial"/>
                <w:szCs w:val="20"/>
                <w:lang w:val="fr-CA"/>
              </w:rPr>
              <w:t xml:space="preserve"> études de cas suivantes : </w:t>
            </w:r>
          </w:p>
          <w:p w14:paraId="34D621B1" w14:textId="16CD3E88" w:rsidR="000E126E" w:rsidRDefault="00B002F6" w:rsidP="000E126E">
            <w:pPr>
              <w:pStyle w:val="Paragraphedeliste"/>
              <w:numPr>
                <w:ilvl w:val="1"/>
                <w:numId w:val="13"/>
              </w:numPr>
              <w:rPr>
                <w:rFonts w:cs="Arial"/>
                <w:szCs w:val="20"/>
                <w:lang w:val="fr-CA"/>
              </w:rPr>
            </w:pPr>
            <w:proofErr w:type="spellStart"/>
            <w:r>
              <w:rPr>
                <w:rFonts w:cs="Arial"/>
                <w:szCs w:val="20"/>
                <w:lang w:val="fr-CA"/>
              </w:rPr>
              <w:t>Arizmendi</w:t>
            </w:r>
            <w:proofErr w:type="spellEnd"/>
            <w:r>
              <w:rPr>
                <w:rFonts w:cs="Arial"/>
                <w:szCs w:val="20"/>
                <w:lang w:val="fr-CA"/>
              </w:rPr>
              <w:t xml:space="preserve"> </w:t>
            </w:r>
            <w:proofErr w:type="spellStart"/>
            <w:r>
              <w:rPr>
                <w:rFonts w:cs="Arial"/>
                <w:szCs w:val="20"/>
                <w:lang w:val="fr-CA"/>
              </w:rPr>
              <w:t>Bakery</w:t>
            </w:r>
            <w:proofErr w:type="spellEnd"/>
          </w:p>
          <w:p w14:paraId="5AE4A871" w14:textId="55DF4F28" w:rsidR="00B002F6" w:rsidRDefault="00BE3FF5" w:rsidP="000E126E">
            <w:pPr>
              <w:pStyle w:val="Paragraphedeliste"/>
              <w:numPr>
                <w:ilvl w:val="1"/>
                <w:numId w:val="13"/>
              </w:numPr>
              <w:rPr>
                <w:rFonts w:cs="Arial"/>
                <w:szCs w:val="20"/>
                <w:lang w:val="fr-CA"/>
              </w:rPr>
            </w:pPr>
            <w:r>
              <w:rPr>
                <w:rFonts w:cs="Arial"/>
                <w:szCs w:val="20"/>
                <w:lang w:val="fr-CA"/>
              </w:rPr>
              <w:t xml:space="preserve">Le réseau </w:t>
            </w:r>
            <w:proofErr w:type="spellStart"/>
            <w:r>
              <w:rPr>
                <w:rFonts w:cs="Arial"/>
                <w:szCs w:val="20"/>
                <w:lang w:val="fr-CA"/>
              </w:rPr>
              <w:t>Bou’Sol</w:t>
            </w:r>
            <w:proofErr w:type="spellEnd"/>
          </w:p>
          <w:p w14:paraId="72EC9F73" w14:textId="115888DF" w:rsidR="009A7F7B" w:rsidRPr="0002627F" w:rsidRDefault="00EE5CF2" w:rsidP="009A7F7B">
            <w:pPr>
              <w:pStyle w:val="Paragraphedeliste"/>
              <w:numPr>
                <w:ilvl w:val="0"/>
                <w:numId w:val="13"/>
              </w:numPr>
              <w:rPr>
                <w:rFonts w:cs="Arial"/>
                <w:szCs w:val="20"/>
                <w:lang w:val="fr-CA"/>
              </w:rPr>
            </w:pPr>
            <w:r>
              <w:rPr>
                <w:rFonts w:cs="Arial"/>
                <w:szCs w:val="20"/>
                <w:lang w:val="fr-CA"/>
              </w:rPr>
              <w:t xml:space="preserve">Pour l’étude de cas choisie, </w:t>
            </w:r>
            <w:r w:rsidR="00EF735D">
              <w:rPr>
                <w:rFonts w:cs="Arial"/>
                <w:szCs w:val="20"/>
                <w:lang w:val="fr-CA"/>
              </w:rPr>
              <w:t>effectu</w:t>
            </w:r>
            <w:r w:rsidR="00742DBC">
              <w:rPr>
                <w:rFonts w:cs="Arial"/>
                <w:szCs w:val="20"/>
                <w:lang w:val="fr-CA"/>
              </w:rPr>
              <w:t xml:space="preserve">e le travail à partir du document </w:t>
            </w:r>
            <w:r w:rsidR="0013004B" w:rsidRPr="0013004B">
              <w:rPr>
                <w:rFonts w:cs="Arial"/>
                <w:i/>
                <w:iCs/>
                <w:szCs w:val="20"/>
                <w:lang w:val="fr-CA"/>
              </w:rPr>
              <w:t>Stratégie innovante : Franchise sociale.</w:t>
            </w:r>
            <w:r w:rsidR="0013004B">
              <w:rPr>
                <w:rFonts w:cs="Arial"/>
                <w:szCs w:val="20"/>
                <w:lang w:val="fr-CA"/>
              </w:rPr>
              <w:t xml:space="preserve"> </w:t>
            </w:r>
          </w:p>
          <w:p w14:paraId="360190B4" w14:textId="77777777" w:rsidR="0002627F" w:rsidRDefault="0002627F" w:rsidP="009F64EC">
            <w:pPr>
              <w:rPr>
                <w:rFonts w:cs="Arial"/>
                <w:szCs w:val="20"/>
                <w:lang w:val="fr-CA"/>
              </w:rPr>
            </w:pPr>
          </w:p>
          <w:p w14:paraId="6F74C9DB" w14:textId="6E70C560" w:rsidR="00E5625A" w:rsidRDefault="00E5625A" w:rsidP="009F64EC">
            <w:pPr>
              <w:rPr>
                <w:rFonts w:cs="Arial"/>
                <w:szCs w:val="20"/>
                <w:lang w:val="fr-CA"/>
              </w:rPr>
            </w:pPr>
          </w:p>
          <w:p w14:paraId="19BC9B54" w14:textId="56C3DA3B" w:rsidR="002013F1" w:rsidRPr="009A7B74" w:rsidRDefault="002013F1" w:rsidP="00804780">
            <w:pPr>
              <w:rPr>
                <w:rFonts w:cs="Arial"/>
                <w:szCs w:val="20"/>
                <w:lang w:val="fr-CA"/>
              </w:rPr>
            </w:pPr>
          </w:p>
        </w:tc>
      </w:tr>
    </w:tbl>
    <w:p w14:paraId="596B5C75" w14:textId="7B9C9B90" w:rsidR="00E26A6C" w:rsidRDefault="00E26A6C" w:rsidP="00E26A6C"/>
    <w:p w14:paraId="78F209DF" w14:textId="77777777" w:rsidR="00E5625A" w:rsidRDefault="00E5625A" w:rsidP="00E26A6C"/>
    <w:p w14:paraId="36982B3C" w14:textId="5BAA16D2" w:rsidR="002E0E2A" w:rsidRDefault="002E0E2A" w:rsidP="00E26A6C"/>
    <w:p w14:paraId="327C7359" w14:textId="513F899A" w:rsidR="001A02C5" w:rsidRPr="00056714" w:rsidRDefault="00E5625A" w:rsidP="00056714">
      <w:pPr>
        <w:spacing w:after="160" w:line="259" w:lineRule="auto"/>
        <w:rPr>
          <w:b/>
          <w:bCs/>
        </w:rPr>
      </w:pPr>
      <w:r>
        <w:rPr>
          <w:b/>
          <w:bCs/>
        </w:rPr>
        <w:br w:type="page"/>
      </w:r>
    </w:p>
    <w:p w14:paraId="247D10E3" w14:textId="77777777" w:rsidR="001A02C5" w:rsidRDefault="001A02C5" w:rsidP="00E26A6C"/>
    <w:p w14:paraId="34060DD1" w14:textId="26FBBA2F" w:rsidR="00DA579D" w:rsidRDefault="00DA579D">
      <w:pPr>
        <w:spacing w:after="160" w:line="259" w:lineRule="auto"/>
        <w:rPr>
          <w:b/>
          <w:bCs/>
        </w:rPr>
      </w:pPr>
    </w:p>
    <w:sectPr w:rsidR="00DA579D" w:rsidSect="004B03CC">
      <w:headerReference w:type="default" r:id="rId12"/>
      <w:footerReference w:type="default" r:id="rId13"/>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60949" w14:textId="77777777" w:rsidR="008E7963" w:rsidRDefault="008E7963" w:rsidP="007511F3">
      <w:r>
        <w:separator/>
      </w:r>
    </w:p>
  </w:endnote>
  <w:endnote w:type="continuationSeparator" w:id="0">
    <w:p w14:paraId="3FA0707F" w14:textId="77777777" w:rsidR="008E7963" w:rsidRDefault="008E7963"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BFED"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00B72" w14:textId="77777777" w:rsidR="008E7963" w:rsidRDefault="008E7963" w:rsidP="007511F3">
      <w:r>
        <w:separator/>
      </w:r>
    </w:p>
  </w:footnote>
  <w:footnote w:type="continuationSeparator" w:id="0">
    <w:p w14:paraId="3E14435D" w14:textId="77777777" w:rsidR="008E7963" w:rsidRDefault="008E7963"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DA69" w14:textId="6191A20A" w:rsidR="007511F3" w:rsidRPr="00C23828" w:rsidRDefault="0066771E" w:rsidP="00E26A6C">
    <w:pPr>
      <w:pStyle w:val="En-tte"/>
      <w:tabs>
        <w:tab w:val="clear" w:pos="8640"/>
        <w:tab w:val="right" w:pos="10065"/>
      </w:tabs>
      <w:spacing w:after="360"/>
      <w:rPr>
        <w:szCs w:val="20"/>
        <w:lang w:val="fr-CA"/>
      </w:rPr>
    </w:pPr>
    <w:r w:rsidRPr="0007282A">
      <w:rPr>
        <w:b/>
      </w:rPr>
      <w:t>Innovation dans la mobilisation des fonds</w:t>
    </w:r>
    <w:r w:rsidR="00C23828" w:rsidRPr="009A7B74">
      <w:rPr>
        <w:szCs w:val="20"/>
        <w:lang w:val="fr-CA"/>
      </w:rPr>
      <w:tab/>
    </w:r>
    <w:r w:rsidR="00C024E0">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86B75E5"/>
    <w:multiLevelType w:val="hybridMultilevel"/>
    <w:tmpl w:val="4B64AB3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6DC74B0D"/>
    <w:multiLevelType w:val="hybridMultilevel"/>
    <w:tmpl w:val="1A56D716"/>
    <w:lvl w:ilvl="0" w:tplc="0C0C000F">
      <w:start w:val="1"/>
      <w:numFmt w:val="decimal"/>
      <w:lvlText w:val="%1."/>
      <w:lvlJc w:val="left"/>
      <w:pPr>
        <w:ind w:left="720" w:hanging="36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72464261"/>
    <w:multiLevelType w:val="hybridMultilevel"/>
    <w:tmpl w:val="8DD256F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6"/>
  </w:num>
  <w:num w:numId="4">
    <w:abstractNumId w:val="3"/>
  </w:num>
  <w:num w:numId="5">
    <w:abstractNumId w:val="0"/>
  </w:num>
  <w:num w:numId="6">
    <w:abstractNumId w:val="9"/>
  </w:num>
  <w:num w:numId="7">
    <w:abstractNumId w:val="5"/>
  </w:num>
  <w:num w:numId="8">
    <w:abstractNumId w:val="2"/>
  </w:num>
  <w:num w:numId="9">
    <w:abstractNumId w:val="10"/>
  </w:num>
  <w:num w:numId="10">
    <w:abstractNumId w:val="4"/>
  </w:num>
  <w:num w:numId="11">
    <w:abstractNumId w:val="12"/>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68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42A"/>
    <w:rsid w:val="000024F5"/>
    <w:rsid w:val="00012AF9"/>
    <w:rsid w:val="0002627F"/>
    <w:rsid w:val="000471A3"/>
    <w:rsid w:val="000502FD"/>
    <w:rsid w:val="00056714"/>
    <w:rsid w:val="00066B0D"/>
    <w:rsid w:val="00073A7C"/>
    <w:rsid w:val="00077148"/>
    <w:rsid w:val="00087AE4"/>
    <w:rsid w:val="000C1560"/>
    <w:rsid w:val="000E126E"/>
    <w:rsid w:val="000F042A"/>
    <w:rsid w:val="0013004B"/>
    <w:rsid w:val="00152AA3"/>
    <w:rsid w:val="00160385"/>
    <w:rsid w:val="001A02C5"/>
    <w:rsid w:val="001E5E77"/>
    <w:rsid w:val="001F3AA2"/>
    <w:rsid w:val="002013F1"/>
    <w:rsid w:val="002054D0"/>
    <w:rsid w:val="00254E95"/>
    <w:rsid w:val="00266A6D"/>
    <w:rsid w:val="002873F0"/>
    <w:rsid w:val="0029013A"/>
    <w:rsid w:val="002D1735"/>
    <w:rsid w:val="002D1760"/>
    <w:rsid w:val="002E0E2A"/>
    <w:rsid w:val="002F74F6"/>
    <w:rsid w:val="00324581"/>
    <w:rsid w:val="00346B13"/>
    <w:rsid w:val="00371835"/>
    <w:rsid w:val="003B1F67"/>
    <w:rsid w:val="003F1774"/>
    <w:rsid w:val="00421D00"/>
    <w:rsid w:val="00452D97"/>
    <w:rsid w:val="00456007"/>
    <w:rsid w:val="004664AB"/>
    <w:rsid w:val="00467A65"/>
    <w:rsid w:val="00495B82"/>
    <w:rsid w:val="004B03CC"/>
    <w:rsid w:val="004B7EBC"/>
    <w:rsid w:val="004F3C5D"/>
    <w:rsid w:val="00523B13"/>
    <w:rsid w:val="00540C0C"/>
    <w:rsid w:val="00543EA0"/>
    <w:rsid w:val="0056037E"/>
    <w:rsid w:val="00562E45"/>
    <w:rsid w:val="00590218"/>
    <w:rsid w:val="005E3837"/>
    <w:rsid w:val="00622EFD"/>
    <w:rsid w:val="00640DE2"/>
    <w:rsid w:val="0066771E"/>
    <w:rsid w:val="00670B89"/>
    <w:rsid w:val="00675D66"/>
    <w:rsid w:val="006C19BC"/>
    <w:rsid w:val="0071031A"/>
    <w:rsid w:val="00712972"/>
    <w:rsid w:val="00731F2E"/>
    <w:rsid w:val="00742DBC"/>
    <w:rsid w:val="007511F3"/>
    <w:rsid w:val="00753BCF"/>
    <w:rsid w:val="007579C7"/>
    <w:rsid w:val="00764F8C"/>
    <w:rsid w:val="007C7357"/>
    <w:rsid w:val="007C7C31"/>
    <w:rsid w:val="007D1815"/>
    <w:rsid w:val="007D443C"/>
    <w:rsid w:val="007D56A6"/>
    <w:rsid w:val="00804780"/>
    <w:rsid w:val="00807358"/>
    <w:rsid w:val="008860E3"/>
    <w:rsid w:val="00893518"/>
    <w:rsid w:val="008B3251"/>
    <w:rsid w:val="008E7963"/>
    <w:rsid w:val="008F3829"/>
    <w:rsid w:val="00956D54"/>
    <w:rsid w:val="00972A79"/>
    <w:rsid w:val="00991744"/>
    <w:rsid w:val="009947DE"/>
    <w:rsid w:val="009A59A7"/>
    <w:rsid w:val="009A7B74"/>
    <w:rsid w:val="009A7F7B"/>
    <w:rsid w:val="009D4028"/>
    <w:rsid w:val="009E77AE"/>
    <w:rsid w:val="009F12CF"/>
    <w:rsid w:val="009F64EC"/>
    <w:rsid w:val="00A10FCE"/>
    <w:rsid w:val="00A13169"/>
    <w:rsid w:val="00A1319C"/>
    <w:rsid w:val="00A50E94"/>
    <w:rsid w:val="00A665DC"/>
    <w:rsid w:val="00A715AC"/>
    <w:rsid w:val="00A80808"/>
    <w:rsid w:val="00AB45B3"/>
    <w:rsid w:val="00AE0CE9"/>
    <w:rsid w:val="00AE603C"/>
    <w:rsid w:val="00B002F6"/>
    <w:rsid w:val="00BD6104"/>
    <w:rsid w:val="00BE3FF5"/>
    <w:rsid w:val="00C024E0"/>
    <w:rsid w:val="00C04915"/>
    <w:rsid w:val="00C13D37"/>
    <w:rsid w:val="00C23828"/>
    <w:rsid w:val="00C25986"/>
    <w:rsid w:val="00CC3BC7"/>
    <w:rsid w:val="00CC5F55"/>
    <w:rsid w:val="00CD4951"/>
    <w:rsid w:val="00D0645D"/>
    <w:rsid w:val="00D152F7"/>
    <w:rsid w:val="00D24CF4"/>
    <w:rsid w:val="00D52910"/>
    <w:rsid w:val="00D835CF"/>
    <w:rsid w:val="00DA579D"/>
    <w:rsid w:val="00DB4CFC"/>
    <w:rsid w:val="00DE086F"/>
    <w:rsid w:val="00DF5F46"/>
    <w:rsid w:val="00E0390F"/>
    <w:rsid w:val="00E26A6C"/>
    <w:rsid w:val="00E5625A"/>
    <w:rsid w:val="00E75886"/>
    <w:rsid w:val="00E849C2"/>
    <w:rsid w:val="00EC2672"/>
    <w:rsid w:val="00EE5CF2"/>
    <w:rsid w:val="00EF735D"/>
    <w:rsid w:val="00F2439E"/>
    <w:rsid w:val="00F52677"/>
    <w:rsid w:val="00F84EE8"/>
    <w:rsid w:val="00FA3C71"/>
    <w:rsid w:val="00FA5B54"/>
    <w:rsid w:val="09463A19"/>
    <w:rsid w:val="0BD89A30"/>
    <w:rsid w:val="202ECC11"/>
    <w:rsid w:val="2BCFC447"/>
    <w:rsid w:val="30A2061D"/>
    <w:rsid w:val="51CE4D45"/>
    <w:rsid w:val="5821469E"/>
    <w:rsid w:val="604B540E"/>
    <w:rsid w:val="7944588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01D56E"/>
  <w15:docId w15:val="{3AC6A663-9835-E744-AC06-32C0740A7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paragraph" w:styleId="Notedebasdepage">
    <w:name w:val="footnote text"/>
    <w:basedOn w:val="Normal"/>
    <w:link w:val="NotedebasdepageCar"/>
    <w:uiPriority w:val="99"/>
    <w:semiHidden/>
    <w:unhideWhenUsed/>
    <w:rsid w:val="002013F1"/>
    <w:rPr>
      <w:szCs w:val="20"/>
    </w:rPr>
  </w:style>
  <w:style w:type="character" w:customStyle="1" w:styleId="NotedebasdepageCar">
    <w:name w:val="Note de bas de page Car"/>
    <w:basedOn w:val="Policepardfaut"/>
    <w:link w:val="Notedebasdepage"/>
    <w:uiPriority w:val="99"/>
    <w:semiHidden/>
    <w:rsid w:val="002013F1"/>
    <w:rPr>
      <w:rFonts w:ascii="Verdana" w:eastAsia="Times New Roman" w:hAnsi="Verdana" w:cs="Times New Roman"/>
      <w:sz w:val="20"/>
      <w:szCs w:val="20"/>
      <w:lang w:val="fr-FR"/>
    </w:rPr>
  </w:style>
  <w:style w:type="character" w:styleId="Appelnotedebasdep">
    <w:name w:val="footnote reference"/>
    <w:basedOn w:val="Policepardfaut"/>
    <w:uiPriority w:val="99"/>
    <w:semiHidden/>
    <w:unhideWhenUsed/>
    <w:rsid w:val="002013F1"/>
    <w:rPr>
      <w:vertAlign w:val="superscript"/>
    </w:rPr>
  </w:style>
  <w:style w:type="character" w:styleId="Mentionnonrsolue">
    <w:name w:val="Unresolved Mention"/>
    <w:basedOn w:val="Policepardfaut"/>
    <w:uiPriority w:val="99"/>
    <w:semiHidden/>
    <w:unhideWhenUsed/>
    <w:rsid w:val="002013F1"/>
    <w:rPr>
      <w:color w:val="605E5C"/>
      <w:shd w:val="clear" w:color="auto" w:fill="E1DFDD"/>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B002F6"/>
    <w:rPr>
      <w:b/>
      <w:bCs/>
    </w:rPr>
  </w:style>
  <w:style w:type="character" w:customStyle="1" w:styleId="ObjetducommentaireCar">
    <w:name w:val="Objet du commentaire Car"/>
    <w:basedOn w:val="CommentaireCar"/>
    <w:link w:val="Objetducommentaire"/>
    <w:uiPriority w:val="99"/>
    <w:semiHidden/>
    <w:rsid w:val="00B002F6"/>
    <w:rPr>
      <w:rFonts w:ascii="Verdana" w:eastAsia="Times New Roman" w:hAnsi="Verdana" w:cs="Times New Roman"/>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tiess.ca/wp-content/uploads/2016/06/Franchises-sociales_TIESS_Juin2016.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iess.ca/wp-content/uploads/2019/04/Manuel_Quand_la_franchise.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passerelles.quebec/system/files/upload/documents/posts/cahier-franchise-sociale-scalechanger.pdf" TargetMode="External"/><Relationship Id="rId4" Type="http://schemas.openxmlformats.org/officeDocument/2006/relationships/settings" Target="settings.xml"/><Relationship Id="rId9" Type="http://schemas.openxmlformats.org/officeDocument/2006/relationships/hyperlink" Target="https://tiess.ca/tour-dhorizon-sur-la-franchise-social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541</Words>
  <Characters>2980</Characters>
  <Application>Microsoft Office Word</Application>
  <DocSecurity>0</DocSecurity>
  <Lines>24</Lines>
  <Paragraphs>7</Paragraphs>
  <ScaleCrop>false</ScaleCrop>
  <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Thibeault-Keegan</dc:creator>
  <cp:keywords/>
  <dc:description/>
  <cp:lastModifiedBy>Anne Thibeault-Keegan</cp:lastModifiedBy>
  <cp:revision>30</cp:revision>
  <cp:lastPrinted>2016-11-10T13:40:00Z</cp:lastPrinted>
  <dcterms:created xsi:type="dcterms:W3CDTF">2022-01-18T10:44:00Z</dcterms:created>
  <dcterms:modified xsi:type="dcterms:W3CDTF">2022-02-25T13:13:00Z</dcterms:modified>
</cp:coreProperties>
</file>