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4487" w:rsidP="00776B10" w:rsidRDefault="00826BEB" w14:paraId="4C16A125" w14:textId="77777777">
      <w:pPr>
        <w:pStyle w:val="Titre"/>
        <w:spacing w:after="120"/>
      </w:pPr>
      <w:r>
        <w:t>Médiagraphie</w:t>
      </w:r>
    </w:p>
    <w:p w:rsidR="00244487" w:rsidP="00244487" w:rsidRDefault="00244487" w14:paraId="1B30DF36" w14:textId="77777777">
      <w:r>
        <w:t>Les sources suivantes sont en vigueur en date du 24 février, 2022.</w:t>
      </w:r>
    </w:p>
    <w:p w:rsidRPr="00660319" w:rsidR="00160634" w:rsidP="00660319" w:rsidRDefault="00826BEB" w14:paraId="4EFD92E3" w14:textId="01B41A83">
      <w:pPr>
        <w:pStyle w:val="Sous-titre"/>
        <w:spacing w:after="60"/>
        <w:rPr>
          <w:color w:val="2E74B5" w:themeColor="accent1" w:themeShade="BF"/>
        </w:rPr>
      </w:pPr>
      <w:r w:rsidRPr="00660319">
        <w:rPr>
          <w:color w:val="2E74B5" w:themeColor="accent1" w:themeShade="BF"/>
        </w:rPr>
        <w:t>Module 1</w:t>
      </w:r>
    </w:p>
    <w:p w:rsidR="00942AC5" w:rsidP="00660319" w:rsidRDefault="00942AC5" w14:paraId="2A2E2CE5" w14:textId="13B3FC8F">
      <w:pPr>
        <w:ind w:left="709" w:hanging="709"/>
      </w:pPr>
      <w:r>
        <w:t xml:space="preserve">ACFO Régionale Hamilton. (s. d.). Accueil. </w:t>
      </w:r>
      <w:hyperlink w:history="1" r:id="rId8">
        <w:r w:rsidRPr="00F21D1E">
          <w:rPr>
            <w:rStyle w:val="Lienhypertexte"/>
          </w:rPr>
          <w:t>http://www.acfohamilton.org/</w:t>
        </w:r>
      </w:hyperlink>
    </w:p>
    <w:p w:rsidR="008D7FD8" w:rsidP="00660319" w:rsidRDefault="008D7FD8" w14:paraId="286C7F4E" w14:textId="637515B6">
      <w:pPr>
        <w:ind w:left="709" w:hanging="709"/>
      </w:pPr>
      <w:r>
        <w:t>Agirtôt.org. (s.</w:t>
      </w:r>
      <w:r w:rsidR="00942AC5">
        <w:t xml:space="preserve"> </w:t>
      </w:r>
      <w:r>
        <w:t xml:space="preserve">d.). Comment évaluer? </w:t>
      </w:r>
      <w:hyperlink w:history="1" r:id="rId9">
        <w:r w:rsidRPr="00F21D1E">
          <w:rPr>
            <w:rStyle w:val="Lienhypertexte"/>
          </w:rPr>
          <w:t>https://agirtot.org/thematiques/evaluation-participative/comment-evaluer/</w:t>
        </w:r>
      </w:hyperlink>
      <w:r>
        <w:t xml:space="preserve"> </w:t>
      </w:r>
    </w:p>
    <w:p w:rsidR="008D7FD8" w:rsidP="00660319" w:rsidRDefault="008D7FD8" w14:paraId="6AECEAB7" w14:textId="1DCEC4A1">
      <w:pPr>
        <w:ind w:left="709" w:hanging="709"/>
      </w:pPr>
      <w:r>
        <w:t>Agirtôt.org. (s.</w:t>
      </w:r>
      <w:r w:rsidR="00942AC5">
        <w:t xml:space="preserve"> </w:t>
      </w:r>
      <w:r>
        <w:t xml:space="preserve">d.). Mener une démarche d’évaluation. </w:t>
      </w:r>
      <w:hyperlink w:history="1" r:id="rId10">
        <w:r w:rsidRPr="00F21D1E">
          <w:rPr>
            <w:rStyle w:val="Lienhypertexte"/>
          </w:rPr>
          <w:t>https://agirtot.org/thematiques/evaluation-participative/mener-une-demarche-d-evaluation/</w:t>
        </w:r>
      </w:hyperlink>
      <w:r>
        <w:t xml:space="preserve"> </w:t>
      </w:r>
    </w:p>
    <w:p w:rsidR="00F427F7" w:rsidP="00660319" w:rsidRDefault="00F427F7" w14:paraId="2C2D1781" w14:textId="205A2257">
      <w:pPr>
        <w:ind w:left="709" w:hanging="709"/>
      </w:pPr>
      <w:r>
        <w:t>Agirtôt.org. (s.</w:t>
      </w:r>
      <w:r w:rsidR="00942AC5">
        <w:t xml:space="preserve"> </w:t>
      </w:r>
      <w:r>
        <w:t xml:space="preserve">d.). Partager et utiliser les résultats de l’évaluation. </w:t>
      </w:r>
      <w:hyperlink w:history="1" r:id="rId11">
        <w:r w:rsidRPr="00F21D1E">
          <w:rPr>
            <w:rStyle w:val="Lienhypertexte"/>
          </w:rPr>
          <w:t>https://agirtot.org/thematiques/evaluation-participative/partager-et-utiliser-les-resultats-de-l-evaluation/</w:t>
        </w:r>
      </w:hyperlink>
      <w:r>
        <w:t xml:space="preserve"> </w:t>
      </w:r>
    </w:p>
    <w:p w:rsidR="00942AC5" w:rsidP="00660319" w:rsidRDefault="00942AC5" w14:paraId="16BC1F8A" w14:textId="3CE432E1">
      <w:pPr>
        <w:ind w:left="709" w:hanging="709"/>
      </w:pPr>
      <w:r>
        <w:t xml:space="preserve">Agirtôt.org. (s. d.). Qu’est-ce que l’évaluation participative? </w:t>
      </w:r>
      <w:hyperlink w:history="1" r:id="rId12">
        <w:r w:rsidRPr="00F21D1E">
          <w:rPr>
            <w:rStyle w:val="Lienhypertexte"/>
          </w:rPr>
          <w:t>https://agirtot.org/thematiques/evaluation-participative/evaluation-participativeen-savoir-plus/</w:t>
        </w:r>
      </w:hyperlink>
      <w:r>
        <w:t xml:space="preserve"> </w:t>
      </w:r>
    </w:p>
    <w:p w:rsidR="008D7FD8" w:rsidP="00660319" w:rsidRDefault="008D7FD8" w14:paraId="1DF567B8" w14:textId="1980C253">
      <w:pPr>
        <w:ind w:left="709" w:hanging="709"/>
      </w:pPr>
      <w:r>
        <w:t>Agirtôt.org. (s.</w:t>
      </w:r>
      <w:r w:rsidR="00942AC5">
        <w:t xml:space="preserve"> </w:t>
      </w:r>
      <w:r>
        <w:t xml:space="preserve">d.). Quoi évaluer? </w:t>
      </w:r>
      <w:hyperlink w:history="1" r:id="rId13">
        <w:r w:rsidRPr="00F21D1E">
          <w:rPr>
            <w:rStyle w:val="Lienhypertexte"/>
          </w:rPr>
          <w:t>https://agirtot.org/thematiques/evaluation-participative/quoi-evaluer/</w:t>
        </w:r>
      </w:hyperlink>
      <w:r>
        <w:t xml:space="preserve"> </w:t>
      </w:r>
    </w:p>
    <w:p w:rsidR="00942AC5" w:rsidP="00660319" w:rsidRDefault="00942AC5" w14:paraId="1AABF9B4" w14:textId="77777777">
      <w:pPr>
        <w:ind w:left="709" w:hanging="709"/>
      </w:pPr>
      <w:r>
        <w:t xml:space="preserve">Anin, A. (2016, 7 novembre). Le comité d’évaluation : un espace de participation et d’apprentissage collectif. </w:t>
      </w:r>
      <w:r w:rsidRPr="004612C6">
        <w:rPr>
          <w:i/>
          <w:iCs/>
        </w:rPr>
        <w:t>Évalpop</w:t>
      </w:r>
      <w:r>
        <w:t xml:space="preserve">. </w:t>
      </w:r>
      <w:hyperlink w:history="1" r:id="rId14">
        <w:r w:rsidRPr="00F21D1E">
          <w:rPr>
            <w:rStyle w:val="Lienhypertexte"/>
          </w:rPr>
          <w:t>https://evalpop.com/2016/11/07/le-comite-devaluation-un-espace-de-participation-et-dapprentissage-collectif/</w:t>
        </w:r>
      </w:hyperlink>
      <w:r>
        <w:t xml:space="preserve">  </w:t>
      </w:r>
    </w:p>
    <w:p w:rsidR="00942AC5" w:rsidP="00660319" w:rsidRDefault="00942AC5" w14:paraId="583F9C7E" w14:textId="7BABA2CB">
      <w:pPr>
        <w:ind w:left="709" w:hanging="709"/>
      </w:pPr>
      <w:r>
        <w:t xml:space="preserve">Centre canadien pour l’unité de la famille. (s. d.). Accueil. </w:t>
      </w:r>
      <w:hyperlink w:history="1" r:id="rId15">
        <w:r w:rsidRPr="00F21D1E">
          <w:rPr>
            <w:rStyle w:val="Lienhypertexte"/>
          </w:rPr>
          <w:t>https://centrecanadiendelafamille.ca/en/?playlist=4f24e01&amp;video=0a81fae</w:t>
        </w:r>
      </w:hyperlink>
      <w:r>
        <w:t xml:space="preserve"> </w:t>
      </w:r>
    </w:p>
    <w:p w:rsidR="00942AC5" w:rsidP="00660319" w:rsidRDefault="00942AC5" w14:paraId="1B636358" w14:textId="0291523E">
      <w:pPr>
        <w:ind w:left="709" w:hanging="709"/>
      </w:pPr>
      <w:r>
        <w:t xml:space="preserve">Centre canadien pour l’unité de la famille. (s. d.). Développement économique : Entreprenariat &amp; employabilité. </w:t>
      </w:r>
      <w:hyperlink w:history="1" r:id="rId16">
        <w:r w:rsidRPr="00F21D1E">
          <w:rPr>
            <w:rStyle w:val="Lienhypertexte"/>
          </w:rPr>
          <w:t>https://centrecanadiendelafamille.ca/en/developpement-economique-entreprenariat-employabilite/</w:t>
        </w:r>
      </w:hyperlink>
      <w:r>
        <w:t xml:space="preserve"> </w:t>
      </w:r>
    </w:p>
    <w:p w:rsidRPr="00A869DD" w:rsidR="00942AC5" w:rsidP="00660319" w:rsidRDefault="00942AC5" w14:paraId="130872A7" w14:textId="1C0CB7D1">
      <w:pPr>
        <w:ind w:left="709" w:hanging="709"/>
      </w:pPr>
      <w:r>
        <w:t xml:space="preserve">Fédération des aînés et des retraités francophones de l’Ontario (FARFO). </w:t>
      </w:r>
      <w:r w:rsidRPr="00942AC5">
        <w:t>(s.</w:t>
      </w:r>
      <w:r>
        <w:t xml:space="preserve"> </w:t>
      </w:r>
      <w:r w:rsidRPr="00942AC5">
        <w:t xml:space="preserve">d.). Accueil. </w:t>
      </w:r>
      <w:hyperlink w:history="1" r:id="rId17">
        <w:r w:rsidRPr="00A869DD">
          <w:rPr>
            <w:rStyle w:val="Lienhypertexte"/>
          </w:rPr>
          <w:t>https://farfo.ca/</w:t>
        </w:r>
      </w:hyperlink>
      <w:r w:rsidRPr="00A869DD">
        <w:t xml:space="preserve"> </w:t>
      </w:r>
    </w:p>
    <w:p w:rsidR="00942AC5" w:rsidP="00660319" w:rsidRDefault="00942AC5" w14:paraId="5DA45668" w14:textId="77777777">
      <w:pPr>
        <w:ind w:left="709" w:hanging="709"/>
      </w:pPr>
      <w:r>
        <w:t xml:space="preserve">Jacob, S. (2011, hiver). L’évaluation face aux défis de la professionnalisation et de l’éthique. </w:t>
      </w:r>
      <w:r w:rsidRPr="00052629">
        <w:rPr>
          <w:i/>
          <w:iCs/>
        </w:rPr>
        <w:t>Cahiers de la performance et de l’évaluation</w:t>
      </w:r>
      <w:r>
        <w:t xml:space="preserve"> (3). </w:t>
      </w:r>
      <w:hyperlink w:history="1" r:id="rId18">
        <w:r w:rsidRPr="00F21D1E">
          <w:rPr>
            <w:rStyle w:val="Lienhypertexte"/>
          </w:rPr>
          <w:t>https://www.perfeval.pol.ulaval.ca/sites/perfeval.pol.ulaval.ca/files/2011__cahiers_perfeval_3_profession_ethique.pdf</w:t>
        </w:r>
      </w:hyperlink>
    </w:p>
    <w:p w:rsidR="00942AC5" w:rsidP="00660319" w:rsidRDefault="00942AC5" w14:paraId="4B1C7EE7" w14:textId="77777777">
      <w:pPr>
        <w:ind w:left="709" w:hanging="709"/>
      </w:pPr>
      <w:r>
        <w:t xml:space="preserve">Kranias, G. [Nexus Santé]. (2017, mars). Trousse d’évaluation participative. </w:t>
      </w:r>
      <w:r w:rsidRPr="00717E3C">
        <w:rPr>
          <w:i/>
          <w:iCs/>
        </w:rPr>
        <w:t>Trousse d’outil : Une ressource de réseau CS</w:t>
      </w:r>
      <w:r>
        <w:t xml:space="preserve">. </w:t>
      </w:r>
      <w:hyperlink w:history="1" r:id="rId19">
        <w:r w:rsidRPr="00F21D1E">
          <w:rPr>
            <w:rStyle w:val="Lienhypertexte"/>
          </w:rPr>
          <w:t>https://fr.nexussante.ca/sites/fr.nexussante.ca/files/resources/evaluationparticipative.pdf</w:t>
        </w:r>
      </w:hyperlink>
      <w:r>
        <w:t xml:space="preserve"> </w:t>
      </w:r>
    </w:p>
    <w:p w:rsidR="00942AC5" w:rsidP="00660319" w:rsidRDefault="00942AC5" w14:paraId="50CD8565" w14:textId="29E552C0">
      <w:pPr>
        <w:ind w:left="709" w:hanging="709"/>
      </w:pPr>
      <w:r w:rsidRPr="00D8095E">
        <w:t>Ministère des Services aux a</w:t>
      </w:r>
      <w:r>
        <w:t xml:space="preserve">înés et de l’Accessibilité [Gouvernement de l’Ontario]. (2022, 6 janvier). Accueil. Ontario : Imprimeur de la Reine. </w:t>
      </w:r>
      <w:hyperlink w:history="1" r:id="rId20">
        <w:r w:rsidRPr="00F21D1E">
          <w:rPr>
            <w:rStyle w:val="Lienhypertexte"/>
          </w:rPr>
          <w:t>https://www.ontario.ca/fr/page/ministere-des-services-aux-aines-et-de-laccessibilite</w:t>
        </w:r>
      </w:hyperlink>
      <w:r>
        <w:t xml:space="preserve"> </w:t>
      </w:r>
    </w:p>
    <w:p w:rsidR="00F77F39" w:rsidP="00660319" w:rsidRDefault="00892968" w14:paraId="7569CB8F" w14:textId="2EF4959C">
      <w:pPr>
        <w:ind w:left="709" w:hanging="709"/>
      </w:pPr>
      <w:r>
        <w:t>Point Ancrage Jeunesse. (s.</w:t>
      </w:r>
      <w:r w:rsidR="00942AC5">
        <w:t xml:space="preserve"> </w:t>
      </w:r>
      <w:r>
        <w:t xml:space="preserve">d.). Accueil. </w:t>
      </w:r>
      <w:hyperlink w:history="1" r:id="rId21">
        <w:r w:rsidRPr="00F21D1E" w:rsidR="00E97F43">
          <w:rPr>
            <w:rStyle w:val="Lienhypertexte"/>
          </w:rPr>
          <w:t>https://www.pointancragejeunesse.org/</w:t>
        </w:r>
      </w:hyperlink>
      <w:r w:rsidR="00E97F43">
        <w:t xml:space="preserve"> </w:t>
      </w:r>
    </w:p>
    <w:p w:rsidR="00F427F7" w:rsidP="00660319" w:rsidRDefault="00F427F7" w14:paraId="55FC2D94" w14:textId="77777777">
      <w:pPr>
        <w:ind w:left="709" w:hanging="709"/>
      </w:pPr>
      <w:r>
        <w:lastRenderedPageBreak/>
        <w:t xml:space="preserve">Poissant, C. (2011, novembre). </w:t>
      </w:r>
      <w:r w:rsidRPr="00942AC5">
        <w:rPr>
          <w:i/>
          <w:iCs/>
        </w:rPr>
        <w:t>Une démarche participative et négociée pour l’exercice de l’évaluation : Cadre de référence à la Direction de santé publique et d’évaluation de l’Agence de la santé et des services sociaux de Lanaudière</w:t>
      </w:r>
      <w:r>
        <w:t xml:space="preserve">. </w:t>
      </w:r>
      <w:hyperlink w:history="1" r:id="rId22">
        <w:r w:rsidRPr="00F21D1E">
          <w:rPr>
            <w:rStyle w:val="Lienhypertexte"/>
          </w:rPr>
          <w:t>https://www.cisss-lanaudiere.gouv.qc.ca/fileadmin/internet/cisss_lanaudiere/Documentation/Sante_publique/Themes/Evaluation/Cadre_reference-Eval_2011-VF.pdf</w:t>
        </w:r>
      </w:hyperlink>
      <w:r>
        <w:t xml:space="preserve"> </w:t>
      </w:r>
    </w:p>
    <w:p w:rsidR="00F427F7" w:rsidP="00660319" w:rsidRDefault="00F427F7" w14:paraId="0190457B" w14:textId="77777777">
      <w:pPr>
        <w:ind w:left="709" w:hanging="709"/>
      </w:pPr>
      <w:r>
        <w:t xml:space="preserve">Simard, P. (2009). </w:t>
      </w:r>
      <w:r w:rsidRPr="00942AC5">
        <w:rPr>
          <w:i/>
          <w:iCs/>
        </w:rPr>
        <w:t>Sait-on bien travailler ensemble? Petit guide d’évaluation participative à l’intention des initiatives de développement des communautés</w:t>
      </w:r>
      <w:r>
        <w:t xml:space="preserve">. </w:t>
      </w:r>
      <w:hyperlink w:history="1" r:id="rId23">
        <w:r w:rsidRPr="00F21D1E">
          <w:rPr>
            <w:rStyle w:val="Lienhypertexte"/>
          </w:rPr>
          <w:t>https://www.passerelles.quebec/system/files/upload/documents/posts/guideevaluationparticipative2.pdf</w:t>
        </w:r>
      </w:hyperlink>
      <w:r>
        <w:t xml:space="preserve"> </w:t>
      </w:r>
    </w:p>
    <w:p w:rsidRPr="00D8095E" w:rsidR="00942AC5" w:rsidP="00660319" w:rsidRDefault="00942AC5" w14:paraId="3FCF6DCC" w14:textId="77777777">
      <w:pPr>
        <w:ind w:left="709" w:hanging="709"/>
      </w:pPr>
      <w:r>
        <w:t xml:space="preserve">St-Germain, L. (2000, juin). </w:t>
      </w:r>
      <w:r w:rsidRPr="00942AC5">
        <w:rPr>
          <w:i/>
          <w:iCs/>
        </w:rPr>
        <w:t>Pratiques d’évaluation participative : Démarches réalisées avec des personnes analphabètes</w:t>
      </w:r>
      <w:r>
        <w:t xml:space="preserve">. </w:t>
      </w:r>
      <w:hyperlink w:history="1" r:id="rId24">
        <w:r w:rsidRPr="00F21D1E">
          <w:rPr>
            <w:rStyle w:val="Lienhypertexte"/>
          </w:rPr>
          <w:t>http://www.comsep.qc.ca/htm/Publications/2000_pratique%20d%27eval%20participative_COMSEP.pdf</w:t>
        </w:r>
      </w:hyperlink>
      <w:r>
        <w:t xml:space="preserve"> </w:t>
      </w:r>
    </w:p>
    <w:p w:rsidR="00123CAB" w:rsidP="00660319" w:rsidRDefault="001609BD" w14:paraId="59C11A81" w14:textId="781C537E">
      <w:pPr>
        <w:ind w:left="709" w:hanging="709"/>
      </w:pPr>
      <w:r w:rsidRPr="005B662B">
        <w:rPr>
          <w:lang w:val="en-CA"/>
        </w:rPr>
        <w:t>Taibu</w:t>
      </w:r>
      <w:r w:rsidRPr="005B662B" w:rsidR="005B662B">
        <w:rPr>
          <w:lang w:val="en-CA"/>
        </w:rPr>
        <w:t xml:space="preserve"> Community Health Centre. </w:t>
      </w:r>
      <w:r w:rsidRPr="00942AC5" w:rsidR="005B662B">
        <w:rPr>
          <w:lang w:val="en-CA"/>
        </w:rPr>
        <w:t>(s.</w:t>
      </w:r>
      <w:r w:rsidRPr="00942AC5" w:rsidR="00942AC5">
        <w:rPr>
          <w:lang w:val="en-CA"/>
        </w:rPr>
        <w:t xml:space="preserve"> </w:t>
      </w:r>
      <w:r w:rsidRPr="00942AC5" w:rsidR="005B662B">
        <w:rPr>
          <w:lang w:val="en-CA"/>
        </w:rPr>
        <w:t xml:space="preserve">d.). </w:t>
      </w:r>
      <w:r w:rsidRPr="005B662B" w:rsidR="005B662B">
        <w:t xml:space="preserve">Accueil. </w:t>
      </w:r>
      <w:hyperlink w:history="1" r:id="rId25">
        <w:r w:rsidRPr="00F21D1E" w:rsidR="005B662B">
          <w:rPr>
            <w:rStyle w:val="Lienhypertexte"/>
          </w:rPr>
          <w:t>https://www.taibuchc.ca/fr/</w:t>
        </w:r>
      </w:hyperlink>
      <w:r w:rsidR="005B662B">
        <w:t xml:space="preserve"> </w:t>
      </w:r>
    </w:p>
    <w:p w:rsidRPr="00A869DD" w:rsidR="005B662B" w:rsidP="00660319" w:rsidRDefault="000D5FB9" w14:paraId="6430DD48" w14:textId="70DF6691">
      <w:pPr>
        <w:ind w:left="709" w:hanging="709"/>
      </w:pPr>
      <w:r w:rsidRPr="0014526A">
        <w:rPr>
          <w:lang w:val="en-CA"/>
        </w:rPr>
        <w:t>Taibu Community Health Centre. (</w:t>
      </w:r>
      <w:r w:rsidRPr="0014526A" w:rsidR="0014526A">
        <w:rPr>
          <w:lang w:val="en-CA"/>
        </w:rPr>
        <w:t xml:space="preserve">2020-2021). </w:t>
      </w:r>
      <w:r w:rsidRPr="00942AC5" w:rsidR="0014526A">
        <w:rPr>
          <w:i/>
          <w:iCs/>
          <w:lang w:val="en-CA"/>
        </w:rPr>
        <w:t>Annual Report 2020-2021 : A stronger Future…</w:t>
      </w:r>
      <w:r w:rsidR="0014526A">
        <w:rPr>
          <w:lang w:val="en-CA"/>
        </w:rPr>
        <w:t xml:space="preserve"> </w:t>
      </w:r>
      <w:hyperlink w:history="1" r:id="rId26">
        <w:r w:rsidRPr="00A869DD" w:rsidR="0014526A">
          <w:rPr>
            <w:rStyle w:val="Lienhypertexte"/>
          </w:rPr>
          <w:t>https://www.taibuchc.ca/wp-content/uploads/2021/11/TAIBU-Annual-Report-2021-Web-version.pdf</w:t>
        </w:r>
      </w:hyperlink>
      <w:r w:rsidRPr="00A869DD" w:rsidR="0014526A">
        <w:t xml:space="preserve"> </w:t>
      </w:r>
    </w:p>
    <w:p w:rsidRPr="00A869DD" w:rsidR="00F427F7" w:rsidP="00660319" w:rsidRDefault="00F427F7" w14:paraId="5821CEAA" w14:textId="71BBF019">
      <w:pPr>
        <w:ind w:left="709" w:hanging="709"/>
        <w:rPr>
          <w:lang w:val="en-CA"/>
        </w:rPr>
      </w:pPr>
      <w:r w:rsidRPr="0014526A">
        <w:rPr>
          <w:lang w:val="en-CA"/>
        </w:rPr>
        <w:t>Taibu Community Health Centre.</w:t>
      </w:r>
      <w:r>
        <w:rPr>
          <w:lang w:val="en-CA"/>
        </w:rPr>
        <w:t xml:space="preserve"> </w:t>
      </w:r>
      <w:r w:rsidRPr="00942AC5">
        <w:rPr>
          <w:lang w:val="en-CA"/>
        </w:rPr>
        <w:t>(s.</w:t>
      </w:r>
      <w:r w:rsidRPr="00942AC5" w:rsidR="00942AC5">
        <w:rPr>
          <w:lang w:val="en-CA"/>
        </w:rPr>
        <w:t xml:space="preserve"> </w:t>
      </w:r>
      <w:r w:rsidRPr="00942AC5">
        <w:rPr>
          <w:lang w:val="en-CA"/>
        </w:rPr>
        <w:t xml:space="preserve">d.). </w:t>
      </w:r>
      <w:r w:rsidRPr="00945520">
        <w:t>La Coal</w:t>
      </w:r>
      <w:r>
        <w:t xml:space="preserve">ition : Coalition pour des communautés francophones en santé de Scarborough (CCFSS)). </w:t>
      </w:r>
      <w:hyperlink w:history="1" r:id="rId27">
        <w:r w:rsidRPr="00A869DD">
          <w:rPr>
            <w:rStyle w:val="Lienhypertexte"/>
            <w:lang w:val="en-CA"/>
          </w:rPr>
          <w:t>https://www.taibuchc.ca/fr/ccfss/</w:t>
        </w:r>
      </w:hyperlink>
      <w:r w:rsidRPr="00A869DD">
        <w:rPr>
          <w:lang w:val="en-CA"/>
        </w:rPr>
        <w:t xml:space="preserve"> </w:t>
      </w:r>
    </w:p>
    <w:p w:rsidR="0014526A" w:rsidP="00660319" w:rsidRDefault="0014526A" w14:paraId="456EB3D3" w14:textId="51F6DB81">
      <w:pPr>
        <w:ind w:left="709" w:hanging="709"/>
      </w:pPr>
      <w:r w:rsidRPr="0014526A">
        <w:rPr>
          <w:lang w:val="en-CA"/>
        </w:rPr>
        <w:t>Taibu Community Health Centre.</w:t>
      </w:r>
      <w:r>
        <w:rPr>
          <w:lang w:val="en-CA"/>
        </w:rPr>
        <w:t xml:space="preserve"> </w:t>
      </w:r>
      <w:r w:rsidRPr="00A869DD">
        <w:t>(s.</w:t>
      </w:r>
      <w:r w:rsidRPr="00A869DD" w:rsidR="00942AC5">
        <w:t xml:space="preserve"> </w:t>
      </w:r>
      <w:r w:rsidRPr="00A869DD">
        <w:t xml:space="preserve">d.). </w:t>
      </w:r>
      <w:r w:rsidRPr="0014526A">
        <w:t>Programmes et s</w:t>
      </w:r>
      <w:r>
        <w:t xml:space="preserve">ervices : Soins de santé primaires. </w:t>
      </w:r>
      <w:hyperlink w:history="1" r:id="rId28">
        <w:r w:rsidRPr="00F21D1E" w:rsidR="00945520">
          <w:rPr>
            <w:rStyle w:val="Lienhypertexte"/>
          </w:rPr>
          <w:t>https://www.taibuchc.ca/fr/servicesdesante/</w:t>
        </w:r>
      </w:hyperlink>
      <w:r w:rsidR="00945520">
        <w:t xml:space="preserve"> </w:t>
      </w:r>
    </w:p>
    <w:p w:rsidR="00942AC5" w:rsidP="00660319" w:rsidRDefault="00942AC5" w14:paraId="518CC9D0" w14:textId="064FB76A">
      <w:pPr>
        <w:ind w:left="709" w:hanging="709"/>
      </w:pPr>
      <w:r>
        <w:t xml:space="preserve">Vanier, C. (s. d.). Méthodologie de l’évaluation participative (fascicule 2). </w:t>
      </w:r>
      <w:r w:rsidRPr="00942AC5">
        <w:rPr>
          <w:i/>
          <w:iCs/>
        </w:rPr>
        <w:t>Guide d’évaluation participative et de l’évaluation</w:t>
      </w:r>
      <w:r>
        <w:t xml:space="preserve">. </w:t>
      </w:r>
      <w:hyperlink w:history="1" r:id="rId29">
        <w:r w:rsidRPr="00F21D1E">
          <w:rPr>
            <w:rStyle w:val="Lienhypertexte"/>
          </w:rPr>
          <w:t>http://labos.ulg.ac.be/apes/wp-content/uploads/sites/4/2014/07/fasicule2_evalpartucam.pdf</w:t>
        </w:r>
      </w:hyperlink>
      <w:r>
        <w:t xml:space="preserve"> </w:t>
      </w:r>
    </w:p>
    <w:p w:rsidRPr="00035C4F" w:rsidR="00035C4F" w:rsidP="00660319" w:rsidRDefault="00E0003C" w14:paraId="1A052955" w14:textId="0598614C">
      <w:pPr>
        <w:ind w:left="709" w:hanging="709"/>
      </w:pPr>
      <w:r>
        <w:t xml:space="preserve">Zarinpoush, F. (2006). Guide d’évaluation de projet à l’intention des organismes sans but lucratif. </w:t>
      </w:r>
      <w:hyperlink w:history="1" r:id="rId30">
        <w:r w:rsidRPr="00F21D1E" w:rsidR="00A56307">
          <w:rPr>
            <w:rStyle w:val="Lienhypertexte"/>
          </w:rPr>
          <w:t>http://sourceosbl.ca/sites/default/files/resources/files/guidedevaluation.pdf</w:t>
        </w:r>
      </w:hyperlink>
    </w:p>
    <w:sectPr w:rsidRPr="00035C4F" w:rsidR="00035C4F" w:rsidSect="00FF4B4C">
      <w:footerReference w:type="default" r:id="rId31"/>
      <w:pgSz w:w="12240" w:h="15840" w:orient="portrait" w:code="1"/>
      <w:pgMar w:top="1440" w:right="1080" w:bottom="1440" w:left="1080" w:header="708" w:footer="708" w:gutter="0"/>
      <w:cols w:space="708"/>
      <w:docGrid w:linePitch="360"/>
      <w:headerReference w:type="default" r:id="Rb3bcb1664e0b4df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32D8C" w:rsidP="00C25739" w:rsidRDefault="00232D8C" w14:paraId="19E32A51" w14:textId="77777777">
      <w:pPr>
        <w:spacing w:after="0" w:line="240" w:lineRule="auto"/>
      </w:pPr>
      <w:r>
        <w:separator/>
      </w:r>
    </w:p>
  </w:endnote>
  <w:endnote w:type="continuationSeparator" w:id="0">
    <w:p w:rsidR="00232D8C" w:rsidP="00C25739" w:rsidRDefault="00232D8C" w14:paraId="06C0D4C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47D18" w:rsidP="00B47D18" w:rsidRDefault="00826BEB" w14:paraId="283DC1AF" w14:textId="4E7CE47E">
    <w:pPr>
      <w:pStyle w:val="Pieddepage"/>
      <w:pBdr>
        <w:top w:val="single" w:color="5B9BD5" w:themeColor="accent1" w:sz="4" w:space="1"/>
      </w:pBdr>
    </w:pPr>
    <w:r>
      <w:t>Évaluation participative</w:t>
    </w:r>
    <w:r w:rsidR="00FF4B4C">
      <w:t xml:space="preserve"> — Collège Boréal</w:t>
    </w:r>
    <w:r w:rsidR="00FF4B4C">
      <w:ptab w:alignment="center" w:relativeTo="margin" w:leader="none"/>
    </w:r>
    <w:r w:rsidR="00FF4B4C">
      <w:ptab w:alignment="right" w:relativeTo="margin" w:leader="none"/>
    </w:r>
    <w:r w:rsidR="00FF4B4C">
      <w:rPr>
        <w:noProof/>
      </w:rPr>
      <w:fldChar w:fldCharType="begin"/>
    </w:r>
    <w:r w:rsidR="00FF4B4C">
      <w:rPr>
        <w:noProof/>
      </w:rPr>
      <w:instrText xml:space="preserve"> PAGE  \* Arabic  \* MERGEFORMAT </w:instrText>
    </w:r>
    <w:r w:rsidR="00FF4B4C">
      <w:rPr>
        <w:noProof/>
      </w:rPr>
      <w:fldChar w:fldCharType="separate"/>
    </w:r>
    <w:r w:rsidR="00160634">
      <w:rPr>
        <w:noProof/>
      </w:rPr>
      <w:t>1</w:t>
    </w:r>
    <w:r w:rsidR="00FF4B4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32D8C" w:rsidP="00C25739" w:rsidRDefault="00232D8C" w14:paraId="21D074B6" w14:textId="77777777">
      <w:pPr>
        <w:spacing w:after="0" w:line="240" w:lineRule="auto"/>
      </w:pPr>
      <w:r>
        <w:separator/>
      </w:r>
    </w:p>
  </w:footnote>
  <w:footnote w:type="continuationSeparator" w:id="0">
    <w:p w:rsidR="00232D8C" w:rsidP="00C25739" w:rsidRDefault="00232D8C" w14:paraId="66867B09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02F93E10" w:rsidTr="02F93E10" w14:paraId="011AEAC4">
      <w:tc>
        <w:tcPr>
          <w:tcW w:w="3360" w:type="dxa"/>
          <w:tcMar/>
        </w:tcPr>
        <w:p w:rsidR="02F93E10" w:rsidP="02F93E10" w:rsidRDefault="02F93E10" w14:paraId="5EDE1421" w14:textId="3A9CECCB">
          <w:pPr>
            <w:pStyle w:val="En-tte"/>
            <w:bidi w:val="0"/>
            <w:ind w:left="-115"/>
            <w:jc w:val="left"/>
            <w:rPr>
              <w:rFonts w:ascii="Verdana" w:hAnsi="Verdana" w:eastAsia="Trebuchet MS" w:cs=""/>
              <w:sz w:val="20"/>
              <w:szCs w:val="20"/>
            </w:rPr>
          </w:pPr>
        </w:p>
      </w:tc>
      <w:tc>
        <w:tcPr>
          <w:tcW w:w="3360" w:type="dxa"/>
          <w:tcMar/>
        </w:tcPr>
        <w:p w:rsidR="02F93E10" w:rsidP="02F93E10" w:rsidRDefault="02F93E10" w14:paraId="58238FD4" w14:textId="5FEB0719">
          <w:pPr>
            <w:pStyle w:val="En-tte"/>
            <w:bidi w:val="0"/>
            <w:jc w:val="center"/>
            <w:rPr>
              <w:rFonts w:ascii="Verdana" w:hAnsi="Verdana" w:eastAsia="Trebuchet MS" w:cs=""/>
              <w:sz w:val="20"/>
              <w:szCs w:val="20"/>
            </w:rPr>
          </w:pPr>
        </w:p>
      </w:tc>
      <w:tc>
        <w:tcPr>
          <w:tcW w:w="3360" w:type="dxa"/>
          <w:tcMar/>
        </w:tcPr>
        <w:p w:rsidR="02F93E10" w:rsidP="02F93E10" w:rsidRDefault="02F93E10" w14:paraId="273382E9" w14:textId="5800B7E7">
          <w:pPr>
            <w:pStyle w:val="En-tte"/>
            <w:bidi w:val="0"/>
            <w:ind w:right="-115"/>
            <w:jc w:val="right"/>
            <w:rPr>
              <w:rFonts w:ascii="Verdana" w:hAnsi="Verdana" w:eastAsia="Trebuchet MS" w:cs=""/>
              <w:sz w:val="20"/>
              <w:szCs w:val="20"/>
            </w:rPr>
          </w:pPr>
        </w:p>
      </w:tc>
    </w:tr>
  </w:tbl>
  <w:p w:rsidR="02F93E10" w:rsidP="02F93E10" w:rsidRDefault="02F93E10" w14:paraId="4910DA2D" w14:textId="7831076C">
    <w:pPr>
      <w:pStyle w:val="En-tte"/>
      <w:bidi w:val="0"/>
      <w:rPr>
        <w:rFonts w:ascii="Verdana" w:hAnsi="Verdana" w:eastAsia="Trebuchet MS" w:cs="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hint="default" w:ascii="Wingdings" w:hAnsi="Wingdings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03DE7CB7"/>
    <w:multiLevelType w:val="hybridMultilevel"/>
    <w:tmpl w:val="44B094FE"/>
    <w:lvl w:ilvl="0" w:tplc="CE8203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0D814DAC"/>
    <w:multiLevelType w:val="hybridMultilevel"/>
    <w:tmpl w:val="F1640D4A"/>
    <w:lvl w:ilvl="0" w:tplc="F0849508">
      <w:start w:val="1"/>
      <w:numFmt w:val="lowerLetter"/>
      <w:lvlText w:val="%1."/>
      <w:lvlJc w:val="left"/>
      <w:pPr>
        <w:ind w:left="1428" w:hanging="360"/>
      </w:pPr>
    </w:lvl>
    <w:lvl w:ilvl="1" w:tplc="0C0C0019" w:tentative="1">
      <w:start w:val="1"/>
      <w:numFmt w:val="lowerLetter"/>
      <w:lvlText w:val="%2."/>
      <w:lvlJc w:val="left"/>
      <w:pPr>
        <w:ind w:left="2148" w:hanging="360"/>
      </w:pPr>
    </w:lvl>
    <w:lvl w:ilvl="2" w:tplc="0C0C001B" w:tentative="1">
      <w:start w:val="1"/>
      <w:numFmt w:val="lowerRoman"/>
      <w:lvlText w:val="%3."/>
      <w:lvlJc w:val="right"/>
      <w:pPr>
        <w:ind w:left="2868" w:hanging="180"/>
      </w:pPr>
    </w:lvl>
    <w:lvl w:ilvl="3" w:tplc="0C0C000F" w:tentative="1">
      <w:start w:val="1"/>
      <w:numFmt w:val="decimal"/>
      <w:lvlText w:val="%4."/>
      <w:lvlJc w:val="left"/>
      <w:pPr>
        <w:ind w:left="3588" w:hanging="360"/>
      </w:pPr>
    </w:lvl>
    <w:lvl w:ilvl="4" w:tplc="0C0C0019" w:tentative="1">
      <w:start w:val="1"/>
      <w:numFmt w:val="lowerLetter"/>
      <w:lvlText w:val="%5."/>
      <w:lvlJc w:val="left"/>
      <w:pPr>
        <w:ind w:left="4308" w:hanging="360"/>
      </w:pPr>
    </w:lvl>
    <w:lvl w:ilvl="5" w:tplc="0C0C001B" w:tentative="1">
      <w:start w:val="1"/>
      <w:numFmt w:val="lowerRoman"/>
      <w:lvlText w:val="%6."/>
      <w:lvlJc w:val="right"/>
      <w:pPr>
        <w:ind w:left="5028" w:hanging="180"/>
      </w:pPr>
    </w:lvl>
    <w:lvl w:ilvl="6" w:tplc="0C0C000F" w:tentative="1">
      <w:start w:val="1"/>
      <w:numFmt w:val="decimal"/>
      <w:lvlText w:val="%7."/>
      <w:lvlJc w:val="left"/>
      <w:pPr>
        <w:ind w:left="5748" w:hanging="360"/>
      </w:pPr>
    </w:lvl>
    <w:lvl w:ilvl="7" w:tplc="0C0C0019" w:tentative="1">
      <w:start w:val="1"/>
      <w:numFmt w:val="lowerLetter"/>
      <w:lvlText w:val="%8."/>
      <w:lvlJc w:val="left"/>
      <w:pPr>
        <w:ind w:left="6468" w:hanging="360"/>
      </w:pPr>
    </w:lvl>
    <w:lvl w:ilvl="8" w:tplc="0C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Verdana" w:hAnsi="Verdana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918609F"/>
    <w:multiLevelType w:val="hybridMultilevel"/>
    <w:tmpl w:val="ECEE11AA"/>
    <w:lvl w:ilvl="0" w:tplc="75C481BE">
      <w:start w:val="1"/>
      <w:numFmt w:val="decimal"/>
      <w:lvlText w:val="%1."/>
      <w:lvlJc w:val="left"/>
      <w:pPr>
        <w:ind w:left="790" w:hanging="360"/>
      </w:pPr>
      <w:rPr>
        <w:rFonts w:hint="default" w:ascii="Verdana" w:hAnsi="Verdana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510" w:hanging="360"/>
      </w:pPr>
    </w:lvl>
    <w:lvl w:ilvl="2" w:tplc="0C0C001B" w:tentative="1">
      <w:start w:val="1"/>
      <w:numFmt w:val="lowerRoman"/>
      <w:lvlText w:val="%3."/>
      <w:lvlJc w:val="right"/>
      <w:pPr>
        <w:ind w:left="2230" w:hanging="180"/>
      </w:pPr>
    </w:lvl>
    <w:lvl w:ilvl="3" w:tplc="0C0C000F" w:tentative="1">
      <w:start w:val="1"/>
      <w:numFmt w:val="decimal"/>
      <w:lvlText w:val="%4."/>
      <w:lvlJc w:val="left"/>
      <w:pPr>
        <w:ind w:left="2950" w:hanging="360"/>
      </w:pPr>
    </w:lvl>
    <w:lvl w:ilvl="4" w:tplc="0C0C0019" w:tentative="1">
      <w:start w:val="1"/>
      <w:numFmt w:val="lowerLetter"/>
      <w:lvlText w:val="%5."/>
      <w:lvlJc w:val="left"/>
      <w:pPr>
        <w:ind w:left="3670" w:hanging="360"/>
      </w:pPr>
    </w:lvl>
    <w:lvl w:ilvl="5" w:tplc="0C0C001B" w:tentative="1">
      <w:start w:val="1"/>
      <w:numFmt w:val="lowerRoman"/>
      <w:lvlText w:val="%6."/>
      <w:lvlJc w:val="right"/>
      <w:pPr>
        <w:ind w:left="4390" w:hanging="180"/>
      </w:pPr>
    </w:lvl>
    <w:lvl w:ilvl="6" w:tplc="0C0C000F" w:tentative="1">
      <w:start w:val="1"/>
      <w:numFmt w:val="decimal"/>
      <w:lvlText w:val="%7."/>
      <w:lvlJc w:val="left"/>
      <w:pPr>
        <w:ind w:left="5110" w:hanging="360"/>
      </w:pPr>
    </w:lvl>
    <w:lvl w:ilvl="7" w:tplc="0C0C0019" w:tentative="1">
      <w:start w:val="1"/>
      <w:numFmt w:val="lowerLetter"/>
      <w:lvlText w:val="%8."/>
      <w:lvlJc w:val="left"/>
      <w:pPr>
        <w:ind w:left="5830" w:hanging="360"/>
      </w:pPr>
    </w:lvl>
    <w:lvl w:ilvl="8" w:tplc="0C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6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Verdana" w:hAnsi="Verdana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ACC28C3"/>
    <w:multiLevelType w:val="hybridMultilevel"/>
    <w:tmpl w:val="09F8D67A"/>
    <w:lvl w:ilvl="0" w:tplc="1380788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hint="default" w:ascii="Courier New" w:hAnsi="Courier New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8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5A02CB5"/>
    <w:multiLevelType w:val="hybridMultilevel"/>
    <w:tmpl w:val="B394C3FA"/>
    <w:lvl w:ilvl="0" w:tplc="75C481BE">
      <w:start w:val="1"/>
      <w:numFmt w:val="decimal"/>
      <w:lvlText w:val="%1."/>
      <w:lvlJc w:val="left"/>
      <w:pPr>
        <w:ind w:left="360" w:hanging="360"/>
      </w:pPr>
      <w:rPr>
        <w:rFonts w:hint="default" w:ascii="Verdana" w:hAnsi="Verdana"/>
        <w:b w:val="0"/>
        <w:i w:val="0"/>
        <w:sz w:val="20"/>
      </w:rPr>
    </w:lvl>
    <w:lvl w:ilvl="1" w:tplc="F0849508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hint="default" w:ascii="Courier New" w:hAnsi="Courier New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hint="default" w:ascii="Verdana" w:hAnsi="Verdana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6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Verdana" w:hAnsi="Verdana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i w:val="0"/>
        <w:color w:val="5B9BD5" w:themeColor="accent1"/>
        <w:sz w:val="20"/>
      </w:rPr>
    </w:lvl>
  </w:abstractNum>
  <w:abstractNum w:abstractNumId="38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684F7814"/>
    <w:multiLevelType w:val="hybridMultilevel"/>
    <w:tmpl w:val="C5909AC8"/>
    <w:lvl w:ilvl="0" w:tplc="75C481BE">
      <w:start w:val="1"/>
      <w:numFmt w:val="decimal"/>
      <w:lvlText w:val="%1."/>
      <w:lvlJc w:val="left"/>
      <w:pPr>
        <w:ind w:left="360" w:hanging="360"/>
      </w:pPr>
      <w:rPr>
        <w:rFonts w:hint="default" w:ascii="Verdana" w:hAnsi="Verdana"/>
        <w:b w:val="0"/>
        <w:i w:val="0"/>
        <w:sz w:val="20"/>
      </w:rPr>
    </w:lvl>
    <w:lvl w:ilvl="1" w:tplc="75C481BE">
      <w:start w:val="1"/>
      <w:numFmt w:val="decimal"/>
      <w:lvlText w:val="%2."/>
      <w:lvlJc w:val="left"/>
      <w:pPr>
        <w:ind w:left="1080" w:hanging="360"/>
      </w:pPr>
      <w:rPr>
        <w:rFonts w:hint="default" w:ascii="Verdana" w:hAnsi="Verdana"/>
        <w:b w:val="0"/>
        <w:i w:val="0"/>
        <w:sz w:val="20"/>
      </w:r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hint="default" w:ascii="Wingdings" w:hAnsi="Wingdings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hint="default" w:ascii="Symbol" w:hAnsi="Symbol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hint="default" w:ascii="Wingdings" w:hAnsi="Wingdings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hint="default" w:ascii="Symbol" w:hAnsi="Symbol"/>
      </w:rPr>
    </w:lvl>
  </w:abstractNum>
  <w:abstractNum w:abstractNumId="43" w15:restartNumberingAfterBreak="0">
    <w:nsid w:val="6F513CC3"/>
    <w:multiLevelType w:val="hybridMultilevel"/>
    <w:tmpl w:val="8FD695A0"/>
    <w:lvl w:ilvl="0" w:tplc="138078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17143D3"/>
    <w:multiLevelType w:val="hybridMultilevel"/>
    <w:tmpl w:val="883615FA"/>
    <w:lvl w:ilvl="0" w:tplc="75C481BE">
      <w:start w:val="1"/>
      <w:numFmt w:val="decimal"/>
      <w:lvlText w:val="%1."/>
      <w:lvlJc w:val="left"/>
      <w:pPr>
        <w:ind w:left="360" w:hanging="360"/>
      </w:pPr>
      <w:rPr>
        <w:rFonts w:hint="default" w:ascii="Verdana" w:hAnsi="Verdana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7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hint="default" w:ascii="Wingdings 2" w:hAnsi="Wingdings 2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8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2"/>
  </w:num>
  <w:num w:numId="2">
    <w:abstractNumId w:val="7"/>
  </w:num>
  <w:num w:numId="3">
    <w:abstractNumId w:val="10"/>
  </w:num>
  <w:num w:numId="4">
    <w:abstractNumId w:val="47"/>
  </w:num>
  <w:num w:numId="5">
    <w:abstractNumId w:val="34"/>
  </w:num>
  <w:num w:numId="6">
    <w:abstractNumId w:val="37"/>
  </w:num>
  <w:num w:numId="7">
    <w:abstractNumId w:val="36"/>
  </w:num>
  <w:num w:numId="8">
    <w:abstractNumId w:val="28"/>
  </w:num>
  <w:num w:numId="9">
    <w:abstractNumId w:val="14"/>
  </w:num>
  <w:num w:numId="10">
    <w:abstractNumId w:val="16"/>
  </w:num>
  <w:num w:numId="11">
    <w:abstractNumId w:val="38"/>
  </w:num>
  <w:num w:numId="12">
    <w:abstractNumId w:val="31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33"/>
  </w:num>
  <w:num w:numId="23">
    <w:abstractNumId w:val="18"/>
  </w:num>
  <w:num w:numId="24">
    <w:abstractNumId w:val="29"/>
  </w:num>
  <w:num w:numId="25">
    <w:abstractNumId w:val="32"/>
  </w:num>
  <w:num w:numId="26">
    <w:abstractNumId w:val="19"/>
  </w:num>
  <w:num w:numId="27">
    <w:abstractNumId w:val="21"/>
  </w:num>
  <w:num w:numId="28">
    <w:abstractNumId w:val="44"/>
  </w:num>
  <w:num w:numId="29">
    <w:abstractNumId w:val="27"/>
  </w:num>
  <w:num w:numId="30">
    <w:abstractNumId w:val="26"/>
  </w:num>
  <w:num w:numId="31">
    <w:abstractNumId w:val="46"/>
  </w:num>
  <w:num w:numId="32">
    <w:abstractNumId w:val="22"/>
  </w:num>
  <w:num w:numId="33">
    <w:abstractNumId w:val="23"/>
  </w:num>
  <w:num w:numId="34">
    <w:abstractNumId w:val="12"/>
  </w:num>
  <w:num w:numId="35">
    <w:abstractNumId w:val="25"/>
  </w:num>
  <w:num w:numId="36">
    <w:abstractNumId w:val="40"/>
  </w:num>
  <w:num w:numId="37">
    <w:abstractNumId w:val="20"/>
  </w:num>
  <w:num w:numId="38">
    <w:abstractNumId w:val="35"/>
  </w:num>
  <w:num w:numId="39">
    <w:abstractNumId w:val="48"/>
  </w:num>
  <w:num w:numId="40">
    <w:abstractNumId w:val="24"/>
  </w:num>
  <w:num w:numId="41">
    <w:abstractNumId w:val="41"/>
  </w:num>
  <w:num w:numId="42">
    <w:abstractNumId w:val="15"/>
  </w:num>
  <w:num w:numId="43">
    <w:abstractNumId w:val="30"/>
  </w:num>
  <w:num w:numId="44">
    <w:abstractNumId w:val="45"/>
  </w:num>
  <w:num w:numId="45">
    <w:abstractNumId w:val="13"/>
  </w:num>
  <w:num w:numId="46">
    <w:abstractNumId w:val="11"/>
  </w:num>
  <w:num w:numId="47">
    <w:abstractNumId w:val="39"/>
  </w:num>
  <w:num w:numId="48">
    <w:abstractNumId w:val="17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 w:val="false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A42"/>
    <w:rsid w:val="00004E5A"/>
    <w:rsid w:val="0003206B"/>
    <w:rsid w:val="00035C4F"/>
    <w:rsid w:val="000453C5"/>
    <w:rsid w:val="0004671C"/>
    <w:rsid w:val="00052629"/>
    <w:rsid w:val="00065B84"/>
    <w:rsid w:val="0008065A"/>
    <w:rsid w:val="00091BC2"/>
    <w:rsid w:val="00094D02"/>
    <w:rsid w:val="000A7358"/>
    <w:rsid w:val="000D07F6"/>
    <w:rsid w:val="000D4E8E"/>
    <w:rsid w:val="000D5FB9"/>
    <w:rsid w:val="000F107B"/>
    <w:rsid w:val="000F1B94"/>
    <w:rsid w:val="000F209E"/>
    <w:rsid w:val="000F3CEF"/>
    <w:rsid w:val="00115F2A"/>
    <w:rsid w:val="00122BEF"/>
    <w:rsid w:val="00123CAB"/>
    <w:rsid w:val="00133DEE"/>
    <w:rsid w:val="0014526A"/>
    <w:rsid w:val="00160634"/>
    <w:rsid w:val="001609BD"/>
    <w:rsid w:val="00185596"/>
    <w:rsid w:val="001B26E6"/>
    <w:rsid w:val="001B4EA9"/>
    <w:rsid w:val="001C4F45"/>
    <w:rsid w:val="001E1FBC"/>
    <w:rsid w:val="001E23BA"/>
    <w:rsid w:val="00216E72"/>
    <w:rsid w:val="002317E4"/>
    <w:rsid w:val="00232D8C"/>
    <w:rsid w:val="0023592A"/>
    <w:rsid w:val="00242A0B"/>
    <w:rsid w:val="00244487"/>
    <w:rsid w:val="00250FC7"/>
    <w:rsid w:val="00256DF0"/>
    <w:rsid w:val="00282AFC"/>
    <w:rsid w:val="00296B2E"/>
    <w:rsid w:val="002A3BE0"/>
    <w:rsid w:val="002D38B3"/>
    <w:rsid w:val="002F5971"/>
    <w:rsid w:val="00302C22"/>
    <w:rsid w:val="00304B7B"/>
    <w:rsid w:val="003225F9"/>
    <w:rsid w:val="00322C24"/>
    <w:rsid w:val="00327644"/>
    <w:rsid w:val="00332790"/>
    <w:rsid w:val="003357F6"/>
    <w:rsid w:val="0034619F"/>
    <w:rsid w:val="00347347"/>
    <w:rsid w:val="003A2621"/>
    <w:rsid w:val="003A2759"/>
    <w:rsid w:val="003C32EA"/>
    <w:rsid w:val="003C6FB9"/>
    <w:rsid w:val="003F5CCF"/>
    <w:rsid w:val="003F62BC"/>
    <w:rsid w:val="00406C0F"/>
    <w:rsid w:val="004219F4"/>
    <w:rsid w:val="00433943"/>
    <w:rsid w:val="00450146"/>
    <w:rsid w:val="004604E8"/>
    <w:rsid w:val="004612C6"/>
    <w:rsid w:val="00466683"/>
    <w:rsid w:val="00476A27"/>
    <w:rsid w:val="004813B1"/>
    <w:rsid w:val="004957DE"/>
    <w:rsid w:val="004C7308"/>
    <w:rsid w:val="004D6E1D"/>
    <w:rsid w:val="004D7706"/>
    <w:rsid w:val="004E0E82"/>
    <w:rsid w:val="004E48A0"/>
    <w:rsid w:val="004F68D3"/>
    <w:rsid w:val="004F7939"/>
    <w:rsid w:val="00523F35"/>
    <w:rsid w:val="00525183"/>
    <w:rsid w:val="00527ED2"/>
    <w:rsid w:val="005526F5"/>
    <w:rsid w:val="00554951"/>
    <w:rsid w:val="005677D0"/>
    <w:rsid w:val="00586C69"/>
    <w:rsid w:val="00590D7D"/>
    <w:rsid w:val="0059470C"/>
    <w:rsid w:val="005A7B38"/>
    <w:rsid w:val="005B14D3"/>
    <w:rsid w:val="005B2143"/>
    <w:rsid w:val="005B662B"/>
    <w:rsid w:val="005D3737"/>
    <w:rsid w:val="005E0BC8"/>
    <w:rsid w:val="005E6F06"/>
    <w:rsid w:val="005F4CDD"/>
    <w:rsid w:val="00614BF3"/>
    <w:rsid w:val="006151B6"/>
    <w:rsid w:val="00620BA9"/>
    <w:rsid w:val="006232A3"/>
    <w:rsid w:val="00626050"/>
    <w:rsid w:val="00633829"/>
    <w:rsid w:val="006547C6"/>
    <w:rsid w:val="0065644C"/>
    <w:rsid w:val="00660319"/>
    <w:rsid w:val="006B0F72"/>
    <w:rsid w:val="00717E3C"/>
    <w:rsid w:val="00740272"/>
    <w:rsid w:val="00742414"/>
    <w:rsid w:val="00764BF7"/>
    <w:rsid w:val="00776B10"/>
    <w:rsid w:val="007D3581"/>
    <w:rsid w:val="007E537D"/>
    <w:rsid w:val="007F3109"/>
    <w:rsid w:val="007F3E9B"/>
    <w:rsid w:val="00826BEB"/>
    <w:rsid w:val="00827A2E"/>
    <w:rsid w:val="00833A15"/>
    <w:rsid w:val="0088532D"/>
    <w:rsid w:val="00892968"/>
    <w:rsid w:val="008A7286"/>
    <w:rsid w:val="008C6B4E"/>
    <w:rsid w:val="008D5ED1"/>
    <w:rsid w:val="008D6908"/>
    <w:rsid w:val="008D7FD8"/>
    <w:rsid w:val="008E309F"/>
    <w:rsid w:val="00913153"/>
    <w:rsid w:val="00931D79"/>
    <w:rsid w:val="00933AA1"/>
    <w:rsid w:val="00933B62"/>
    <w:rsid w:val="00942AC5"/>
    <w:rsid w:val="00945029"/>
    <w:rsid w:val="00945520"/>
    <w:rsid w:val="0094672F"/>
    <w:rsid w:val="00957585"/>
    <w:rsid w:val="00967656"/>
    <w:rsid w:val="0097396E"/>
    <w:rsid w:val="00980E35"/>
    <w:rsid w:val="009840BE"/>
    <w:rsid w:val="009A3AA8"/>
    <w:rsid w:val="009A6F6E"/>
    <w:rsid w:val="009C1CB6"/>
    <w:rsid w:val="009E60E3"/>
    <w:rsid w:val="009F1DF5"/>
    <w:rsid w:val="00A02D07"/>
    <w:rsid w:val="00A0575A"/>
    <w:rsid w:val="00A276F1"/>
    <w:rsid w:val="00A56307"/>
    <w:rsid w:val="00A57275"/>
    <w:rsid w:val="00A63AE2"/>
    <w:rsid w:val="00A64D05"/>
    <w:rsid w:val="00A66C69"/>
    <w:rsid w:val="00A869DD"/>
    <w:rsid w:val="00AA48C0"/>
    <w:rsid w:val="00AB3EE1"/>
    <w:rsid w:val="00AB786D"/>
    <w:rsid w:val="00AE3CB5"/>
    <w:rsid w:val="00B04B46"/>
    <w:rsid w:val="00B13823"/>
    <w:rsid w:val="00B174AE"/>
    <w:rsid w:val="00B2041E"/>
    <w:rsid w:val="00B27F2D"/>
    <w:rsid w:val="00B31A68"/>
    <w:rsid w:val="00B36C4C"/>
    <w:rsid w:val="00B47D18"/>
    <w:rsid w:val="00B51EE0"/>
    <w:rsid w:val="00B54945"/>
    <w:rsid w:val="00B6013D"/>
    <w:rsid w:val="00B77F6E"/>
    <w:rsid w:val="00B83BB1"/>
    <w:rsid w:val="00B87803"/>
    <w:rsid w:val="00B90435"/>
    <w:rsid w:val="00BC1F3A"/>
    <w:rsid w:val="00BC574B"/>
    <w:rsid w:val="00BE1428"/>
    <w:rsid w:val="00BE3993"/>
    <w:rsid w:val="00BE40D6"/>
    <w:rsid w:val="00C11000"/>
    <w:rsid w:val="00C12CB4"/>
    <w:rsid w:val="00C14A42"/>
    <w:rsid w:val="00C253C0"/>
    <w:rsid w:val="00C25739"/>
    <w:rsid w:val="00C47DEF"/>
    <w:rsid w:val="00C604D8"/>
    <w:rsid w:val="00C61DDF"/>
    <w:rsid w:val="00C62E7C"/>
    <w:rsid w:val="00C64656"/>
    <w:rsid w:val="00C750B3"/>
    <w:rsid w:val="00C76268"/>
    <w:rsid w:val="00C91C35"/>
    <w:rsid w:val="00CC0C9F"/>
    <w:rsid w:val="00CC3072"/>
    <w:rsid w:val="00CD7205"/>
    <w:rsid w:val="00CF4968"/>
    <w:rsid w:val="00D12BD0"/>
    <w:rsid w:val="00D13578"/>
    <w:rsid w:val="00D13AF0"/>
    <w:rsid w:val="00D21DFC"/>
    <w:rsid w:val="00D41103"/>
    <w:rsid w:val="00D53888"/>
    <w:rsid w:val="00D669DF"/>
    <w:rsid w:val="00D67B49"/>
    <w:rsid w:val="00D71339"/>
    <w:rsid w:val="00D74060"/>
    <w:rsid w:val="00D8095E"/>
    <w:rsid w:val="00D86188"/>
    <w:rsid w:val="00D913C6"/>
    <w:rsid w:val="00D9544F"/>
    <w:rsid w:val="00DA7550"/>
    <w:rsid w:val="00DB6C02"/>
    <w:rsid w:val="00DC402B"/>
    <w:rsid w:val="00DE6EE3"/>
    <w:rsid w:val="00E0003C"/>
    <w:rsid w:val="00E110DB"/>
    <w:rsid w:val="00E25A62"/>
    <w:rsid w:val="00E338BB"/>
    <w:rsid w:val="00E35FF7"/>
    <w:rsid w:val="00E36CE3"/>
    <w:rsid w:val="00E47D52"/>
    <w:rsid w:val="00E51520"/>
    <w:rsid w:val="00E97F43"/>
    <w:rsid w:val="00EA2E4A"/>
    <w:rsid w:val="00EB03C8"/>
    <w:rsid w:val="00EB169F"/>
    <w:rsid w:val="00EC2B19"/>
    <w:rsid w:val="00EE7F8F"/>
    <w:rsid w:val="00EF021E"/>
    <w:rsid w:val="00F3027B"/>
    <w:rsid w:val="00F427F7"/>
    <w:rsid w:val="00F61AC7"/>
    <w:rsid w:val="00F653CE"/>
    <w:rsid w:val="00F77F39"/>
    <w:rsid w:val="00F908C7"/>
    <w:rsid w:val="00F967EC"/>
    <w:rsid w:val="00FA2769"/>
    <w:rsid w:val="00FA6923"/>
    <w:rsid w:val="00FB1C82"/>
    <w:rsid w:val="00FB703B"/>
    <w:rsid w:val="00FD12F6"/>
    <w:rsid w:val="00FF4B4C"/>
    <w:rsid w:val="02F9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42616A"/>
  <w15:chartTrackingRefBased/>
  <w15:docId w15:val="{315A1817-DFD5-495A-B9D5-F14C1DD1C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qFormat="1"/>
    <w:lsdException w:name="heading 6" w:uiPriority="9" w:semiHidden="1" w:qFormat="1"/>
    <w:lsdException w:name="heading 7" w:uiPriority="9" w:semiHidden="1" w:qFormat="1"/>
    <w:lsdException w:name="heading 8" w:uiPriority="9" w:semiHidden="1" w:qFormat="1"/>
    <w:lsdException w:name="heading 9" w:uiPriority="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7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semiHidden="1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qFormat="1"/>
    <w:lsdException w:name="Intense Reference" w:uiPriority="32" w:qFormat="1"/>
    <w:lsdException w:name="Book Title" w:uiPriority="33" w:semiHidden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rsid w:val="00F3027B"/>
    <w:pPr>
      <w:keepNext/>
      <w:keepLines/>
      <w:numPr>
        <w:numId w:val="26"/>
      </w:numPr>
      <w:pBdr>
        <w:bottom w:val="single" w:color="1F4E79" w:themeColor="accent1" w:themeShade="80" w:sz="4" w:space="1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hAnsiTheme="majorHAnsi"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hAnsiTheme="majorHAnsi" w:eastAsiaTheme="majorEastAsia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F3027B"/>
    <w:rPr>
      <w:rFonts w:ascii="Verdana" w:hAnsi="Verdana" w:eastAsiaTheme="majorEastAsia" w:cstheme="majorBidi"/>
      <w:b/>
      <w:color w:val="1F4E79" w:themeColor="accent1" w:themeShade="80"/>
      <w:sz w:val="24"/>
      <w:szCs w:val="32"/>
    </w:rPr>
  </w:style>
  <w:style w:type="character" w:styleId="Titre2Car" w:customStyle="1">
    <w:name w:val="Titre 2 Car"/>
    <w:basedOn w:val="Policepardfaut"/>
    <w:link w:val="Titre2"/>
    <w:uiPriority w:val="9"/>
    <w:semiHidden/>
    <w:rsid w:val="00F3027B"/>
    <w:rPr>
      <w:rFonts w:ascii="Verdana" w:hAnsi="Verdana" w:eastAsiaTheme="majorEastAsia" w:cstheme="majorBidi"/>
      <w:b/>
      <w:color w:val="1F4E79" w:themeColor="accent1" w:themeShade="80"/>
      <w:sz w:val="20"/>
      <w:szCs w:val="26"/>
    </w:rPr>
  </w:style>
  <w:style w:type="character" w:styleId="Titre3Car" w:customStyle="1">
    <w:name w:val="Titre 3 Car"/>
    <w:basedOn w:val="Policepardfaut"/>
    <w:link w:val="Titre3"/>
    <w:uiPriority w:val="9"/>
    <w:semiHidden/>
    <w:rsid w:val="00F3027B"/>
    <w:rPr>
      <w:rFonts w:ascii="Verdana" w:hAnsi="Verdana" w:eastAsiaTheme="majorEastAsia" w:cstheme="majorBidi"/>
      <w:b/>
      <w:caps/>
      <w:color w:val="5B9BD5" w:themeColor="accent1"/>
      <w:sz w:val="16"/>
      <w:szCs w:val="24"/>
    </w:rPr>
  </w:style>
  <w:style w:type="character" w:styleId="Titre4Car" w:customStyle="1">
    <w:name w:val="Titre 4 Car"/>
    <w:basedOn w:val="Policepardfaut"/>
    <w:link w:val="Titre4"/>
    <w:uiPriority w:val="9"/>
    <w:semiHidden/>
    <w:rsid w:val="0003206B"/>
    <w:rPr>
      <w:rFonts w:asciiTheme="majorHAnsi" w:hAnsiTheme="majorHAnsi" w:eastAsiaTheme="majorEastAsia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edelespacerserv" w:customStyle="1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color="1F4E79" w:themeColor="accent1" w:themeShade="80" w:sz="4" w:space="1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styleId="TitreCar" w:customStyle="1">
    <w:name w:val="Titre Car"/>
    <w:basedOn w:val="Policepardfaut"/>
    <w:link w:val="Titre"/>
    <w:uiPriority w:val="10"/>
    <w:rsid w:val="00216E72"/>
    <w:rPr>
      <w:rFonts w:ascii="Verdana" w:hAnsi="Verdana" w:eastAsiaTheme="majorEastAsi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styleId="Sous-titreCar" w:customStyle="1">
    <w:name w:val="Sous-titre Car"/>
    <w:basedOn w:val="Policepardfaut"/>
    <w:link w:val="Sous-titre"/>
    <w:uiPriority w:val="11"/>
    <w:rsid w:val="00742414"/>
    <w:rPr>
      <w:rFonts w:ascii="Verdana" w:hAnsi="Verdana" w:eastAsiaTheme="minorEastAsia"/>
      <w:b/>
      <w:color w:val="5B9BD5" w:themeColor="accent1"/>
      <w:sz w:val="20"/>
    </w:rPr>
  </w:style>
  <w:style w:type="paragraph" w:styleId="Sous-sous-titre" w:customStyle="1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styleId="Termeanglais" w:customStyle="1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styleId="Sous-sous-titreCar" w:customStyle="1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styleId="Titreinline" w:customStyle="1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styleId="Titrederfrence" w:customStyle="1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</w:pPr>
    <w:rPr>
      <w:i/>
      <w:iCs/>
      <w:color w:val="5B9BD5" w:themeColor="accent1"/>
    </w:rPr>
  </w:style>
  <w:style w:type="character" w:styleId="CitationintenseCar" w:customStyle="1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styleId="Titre5Car" w:customStyle="1">
    <w:name w:val="Titre 5 Car"/>
    <w:basedOn w:val="Policepardfaut"/>
    <w:link w:val="Titre5"/>
    <w:uiPriority w:val="9"/>
    <w:semiHidden/>
    <w:rsid w:val="00F3027B"/>
    <w:rPr>
      <w:rFonts w:asciiTheme="majorHAnsi" w:hAnsiTheme="majorHAnsi" w:eastAsiaTheme="majorEastAsia" w:cstheme="majorBidi"/>
      <w:color w:val="2E74B5" w:themeColor="accent1" w:themeShade="BF"/>
      <w:sz w:val="20"/>
    </w:rPr>
  </w:style>
  <w:style w:type="character" w:styleId="Titre6Car" w:customStyle="1">
    <w:name w:val="Titre 6 Car"/>
    <w:basedOn w:val="Policepardfaut"/>
    <w:link w:val="Titre6"/>
    <w:uiPriority w:val="9"/>
    <w:semiHidden/>
    <w:rsid w:val="00F3027B"/>
    <w:rPr>
      <w:rFonts w:asciiTheme="majorHAnsi" w:hAnsiTheme="majorHAnsi" w:eastAsiaTheme="majorEastAsia" w:cstheme="majorBidi"/>
      <w:color w:val="1F4D78" w:themeColor="accent1" w:themeShade="7F"/>
      <w:sz w:val="20"/>
    </w:rPr>
  </w:style>
  <w:style w:type="character" w:styleId="Titre7Car" w:customStyle="1">
    <w:name w:val="Titre 7 Car"/>
    <w:basedOn w:val="Policepardfaut"/>
    <w:link w:val="Titre7"/>
    <w:uiPriority w:val="9"/>
    <w:semiHidden/>
    <w:rsid w:val="00F3027B"/>
    <w:rPr>
      <w:rFonts w:asciiTheme="majorHAnsi" w:hAnsiTheme="majorHAnsi" w:eastAsiaTheme="majorEastAsia" w:cstheme="majorBidi"/>
      <w:i/>
      <w:iCs/>
      <w:color w:val="1F4D78" w:themeColor="accent1" w:themeShade="7F"/>
      <w:sz w:val="20"/>
    </w:rPr>
  </w:style>
  <w:style w:type="character" w:styleId="Titre8Car" w:customStyle="1">
    <w:name w:val="Titre 8 Car"/>
    <w:basedOn w:val="Policepardfaut"/>
    <w:link w:val="Titre8"/>
    <w:uiPriority w:val="9"/>
    <w:semiHidden/>
    <w:rsid w:val="00F3027B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re9Car" w:customStyle="1">
    <w:name w:val="Titre 9 Car"/>
    <w:basedOn w:val="Policepardfaut"/>
    <w:link w:val="Titre9"/>
    <w:uiPriority w:val="9"/>
    <w:semiHidden/>
    <w:rsid w:val="00F3027B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Titrededocument" w:customStyle="1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styleId="ParagraphedelisteCar" w:customStyle="1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styleId="TableauListe3-Accentuation11" w:customStyle="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color="5B9BD5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tblPr/>
      <w:tcPr>
        <w:tcBorders>
          <w:top w:val="single" w:color="5B9BD5" w:themeColor="accent1" w:sz="4" w:space="0"/>
          <w:bottom w:val="single" w:color="5B9BD5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5B9BD5" w:themeColor="accent1" w:sz="4" w:space="0"/>
          <w:left w:val="nil"/>
        </w:tcBorders>
      </w:tcPr>
    </w:tblStylePr>
    <w:tblStylePr w:type="swCell">
      <w:tblPr/>
      <w:tcPr>
        <w:tcBorders>
          <w:top w:val="double" w:color="5B9BD5" w:themeColor="accent1" w:sz="4" w:space="0"/>
          <w:right w:val="nil"/>
        </w:tcBorders>
      </w:tcPr>
    </w:tblStylePr>
  </w:style>
  <w:style w:type="table" w:styleId="Rubrique" w:customStyle="1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</w:tblPr>
    <w:tblStylePr w:type="firstRow">
      <w:pPr>
        <w:wordWrap/>
        <w:spacing w:before="60" w:beforeLines="0" w:beforeAutospacing="0" w:after="60" w:afterLines="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styleId="Bonnerponse" w:customStyle="1">
    <w:name w:val="Bonne réponse"/>
    <w:basedOn w:val="Policepardfaut"/>
    <w:uiPriority w:val="1"/>
    <w:qFormat/>
    <w:rsid w:val="005B2143"/>
    <w:rPr>
      <w:b/>
      <w:color w:val="1F4E79" w:themeColor="accent1" w:themeShade="80"/>
    </w:rPr>
  </w:style>
  <w:style w:type="paragraph" w:styleId="Questionnaire-Bonnerponse" w:customStyle="1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styleId="Questionnaire-BonnerponseCar" w:customStyle="1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color="5B9BD5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tblPr/>
      <w:tcPr>
        <w:tcBorders>
          <w:top w:val="single" w:color="5B9BD5" w:themeColor="accent1" w:sz="4" w:space="0"/>
          <w:bottom w:val="single" w:color="5B9BD5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5B9BD5" w:themeColor="accent1" w:sz="4" w:space="0"/>
          <w:left w:val="nil"/>
        </w:tcBorders>
      </w:tcPr>
    </w:tblStylePr>
    <w:tblStylePr w:type="swCell">
      <w:tblPr/>
      <w:tcPr>
        <w:tcBorders>
          <w:top w:val="double" w:color="5B9BD5" w:themeColor="accent1" w:sz="4" w:space="0"/>
          <w:right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225F9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3225F9"/>
    <w:rPr>
      <w:rFonts w:ascii="Verdana" w:hAnsi="Verdana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4813B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r-CA"/>
    </w:rPr>
  </w:style>
  <w:style w:type="character" w:styleId="Lienhypertextesuivivisit">
    <w:name w:val="FollowedHyperlink"/>
    <w:basedOn w:val="Policepardfaut"/>
    <w:uiPriority w:val="99"/>
    <w:semiHidden/>
    <w:unhideWhenUsed/>
    <w:rsid w:val="00F77F39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97F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acfohamilton.org/" TargetMode="External" Id="rId8" /><Relationship Type="http://schemas.openxmlformats.org/officeDocument/2006/relationships/hyperlink" Target="https://agirtot.org/thematiques/evaluation-participative/quoi-evaluer/" TargetMode="External" Id="rId13" /><Relationship Type="http://schemas.openxmlformats.org/officeDocument/2006/relationships/hyperlink" Target="https://www.perfeval.pol.ulaval.ca/sites/perfeval.pol.ulaval.ca/files/2011__cahiers_perfeval_3_profession_ethique.pdf" TargetMode="External" Id="rId18" /><Relationship Type="http://schemas.openxmlformats.org/officeDocument/2006/relationships/hyperlink" Target="https://www.taibuchc.ca/wp-content/uploads/2021/11/TAIBU-Annual-Report-2021-Web-version.pdf" TargetMode="External" Id="rId26" /><Relationship Type="http://schemas.openxmlformats.org/officeDocument/2006/relationships/styles" Target="styles.xml" Id="rId3" /><Relationship Type="http://schemas.openxmlformats.org/officeDocument/2006/relationships/hyperlink" Target="https://www.pointancragejeunesse.org/" TargetMode="External" Id="rId21" /><Relationship Type="http://schemas.openxmlformats.org/officeDocument/2006/relationships/endnotes" Target="endnotes.xml" Id="rId7" /><Relationship Type="http://schemas.openxmlformats.org/officeDocument/2006/relationships/hyperlink" Target="https://agirtot.org/thematiques/evaluation-participative/evaluation-participativeen-savoir-plus/" TargetMode="External" Id="rId12" /><Relationship Type="http://schemas.openxmlformats.org/officeDocument/2006/relationships/hyperlink" Target="https://farfo.ca/" TargetMode="External" Id="rId17" /><Relationship Type="http://schemas.openxmlformats.org/officeDocument/2006/relationships/hyperlink" Target="https://www.taibuchc.ca/fr/" TargetMode="External" Id="rId25" /><Relationship Type="http://schemas.openxmlformats.org/officeDocument/2006/relationships/theme" Target="theme/theme1.xml" Id="rId33" /><Relationship Type="http://schemas.openxmlformats.org/officeDocument/2006/relationships/numbering" Target="numbering.xml" Id="rId2" /><Relationship Type="http://schemas.openxmlformats.org/officeDocument/2006/relationships/hyperlink" Target="https://centrecanadiendelafamille.ca/en/developpement-economique-entreprenariat-employabilite/" TargetMode="External" Id="rId16" /><Relationship Type="http://schemas.openxmlformats.org/officeDocument/2006/relationships/hyperlink" Target="https://www.ontario.ca/fr/page/ministere-des-services-aux-aines-et-de-laccessibilite" TargetMode="External" Id="rId20" /><Relationship Type="http://schemas.openxmlformats.org/officeDocument/2006/relationships/hyperlink" Target="http://labos.ulg.ac.be/apes/wp-content/uploads/sites/4/2014/07/fasicule2_evalpartucam.pdf" TargetMode="External" Id="rId29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https://agirtot.org/thematiques/evaluation-participative/partager-et-utiliser-les-resultats-de-l-evaluation/" TargetMode="External" Id="rId11" /><Relationship Type="http://schemas.openxmlformats.org/officeDocument/2006/relationships/hyperlink" Target="http://www.comsep.qc.ca/htm/Publications/2000_pratique%20d%27eval%20participative_COMSEP.pdf" TargetMode="External" Id="rId24" /><Relationship Type="http://schemas.openxmlformats.org/officeDocument/2006/relationships/fontTable" Target="fontTable.xml" Id="rId32" /><Relationship Type="http://schemas.openxmlformats.org/officeDocument/2006/relationships/webSettings" Target="webSettings.xml" Id="rId5" /><Relationship Type="http://schemas.openxmlformats.org/officeDocument/2006/relationships/hyperlink" Target="https://centrecanadiendelafamille.ca/en/?playlist=4f24e01&amp;video=0a81fae" TargetMode="External" Id="rId15" /><Relationship Type="http://schemas.openxmlformats.org/officeDocument/2006/relationships/hyperlink" Target="https://www.passerelles.quebec/system/files/upload/documents/posts/guideevaluationparticipative2.pdf" TargetMode="External" Id="rId23" /><Relationship Type="http://schemas.openxmlformats.org/officeDocument/2006/relationships/hyperlink" Target="https://www.taibuchc.ca/fr/servicesdesante/" TargetMode="External" Id="rId28" /><Relationship Type="http://schemas.openxmlformats.org/officeDocument/2006/relationships/hyperlink" Target="https://agirtot.org/thematiques/evaluation-participative/mener-une-demarche-d-evaluation/" TargetMode="External" Id="rId10" /><Relationship Type="http://schemas.openxmlformats.org/officeDocument/2006/relationships/hyperlink" Target="https://fr.nexussante.ca/sites/fr.nexussante.ca/files/resources/evaluationparticipative.pdf" TargetMode="External" Id="rId19" /><Relationship Type="http://schemas.openxmlformats.org/officeDocument/2006/relationships/footer" Target="footer1.xml" Id="rId31" /><Relationship Type="http://schemas.openxmlformats.org/officeDocument/2006/relationships/settings" Target="settings.xml" Id="rId4" /><Relationship Type="http://schemas.openxmlformats.org/officeDocument/2006/relationships/hyperlink" Target="https://agirtot.org/thematiques/evaluation-participative/comment-evaluer/" TargetMode="External" Id="rId9" /><Relationship Type="http://schemas.openxmlformats.org/officeDocument/2006/relationships/hyperlink" Target="https://evalpop.com/2016/11/07/le-comite-devaluation-un-espace-de-participation-et-dapprentissage-collectif/" TargetMode="External" Id="rId14" /><Relationship Type="http://schemas.openxmlformats.org/officeDocument/2006/relationships/hyperlink" Target="https://www.cisss-lanaudiere.gouv.qc.ca/fileadmin/internet/cisss_lanaudiere/Documentation/Sante_publique/Themes/Evaluation/Cadre_reference-Eval_2011-VF.pdf" TargetMode="External" Id="rId22" /><Relationship Type="http://schemas.openxmlformats.org/officeDocument/2006/relationships/hyperlink" Target="https://www.taibuchc.ca/fr/ccfss/" TargetMode="External" Id="rId27" /><Relationship Type="http://schemas.openxmlformats.org/officeDocument/2006/relationships/hyperlink" Target="http://sourceosbl.ca/sites/default/files/resources/files/guidedevaluation.pdf" TargetMode="External" Id="rId30" /><Relationship Type="http://schemas.openxmlformats.org/officeDocument/2006/relationships/header" Target="header.xml" Id="Rb3bcb1664e0b4df9" 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1745D-E501-4709-9A53-96592CF5BFC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Danielle Lanteigne</lastModifiedBy>
  <revision>58</revision>
  <dcterms:created xsi:type="dcterms:W3CDTF">2022-02-24T23:23:00.0000000Z</dcterms:created>
  <dcterms:modified xsi:type="dcterms:W3CDTF">2022-02-28T18:43:47.6645207Z</dcterms:modified>
</coreProperties>
</file>