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8630"/>
      </w:tblGrid>
      <w:tr w:rsidR="00F52677" w:rsidRPr="00E5671A" w14:paraId="435D1C1A" w14:textId="77777777" w:rsidTr="63139904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855010" w14:textId="2DE8C75E" w:rsidR="00F52677" w:rsidRPr="00E5671A" w:rsidRDefault="00562E45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E5671A">
              <w:rPr>
                <w:rFonts w:ascii="Verdana" w:hAnsi="Verdana" w:cs="Arial"/>
                <w:b/>
                <w:sz w:val="20"/>
                <w:szCs w:val="20"/>
                <w:lang w:val="fr-CA"/>
              </w:rPr>
              <w:t>Numéro du</w:t>
            </w:r>
            <w:r w:rsidR="000024F5" w:rsidRPr="00E5671A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 m</w:t>
            </w:r>
            <w:r w:rsidR="00F52677" w:rsidRPr="00E5671A">
              <w:rPr>
                <w:rFonts w:ascii="Verdana" w:hAnsi="Verdana" w:cs="Arial"/>
                <w:b/>
                <w:sz w:val="20"/>
                <w:szCs w:val="20"/>
                <w:lang w:val="fr-CA"/>
              </w:rPr>
              <w:t>odule</w:t>
            </w:r>
            <w:r w:rsidR="00AF0AE5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="000024F5" w:rsidRPr="00E5671A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0024F5" w:rsidRPr="00E5671A" w14:paraId="7142CD37" w14:textId="77777777" w:rsidTr="63139904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BE450" w14:textId="3782D315" w:rsidR="000024F5" w:rsidRPr="007A01C6" w:rsidRDefault="2CC33E66" w:rsidP="5841C8C7">
            <w:pPr>
              <w:tabs>
                <w:tab w:val="left" w:pos="972"/>
              </w:tabs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007A01C6">
              <w:rPr>
                <w:rFonts w:ascii="Verdana" w:hAnsi="Verdana" w:cs="Arial"/>
                <w:sz w:val="20"/>
                <w:szCs w:val="20"/>
                <w:lang w:val="fr-CA"/>
              </w:rPr>
              <w:t>1</w:t>
            </w:r>
          </w:p>
        </w:tc>
      </w:tr>
      <w:tr w:rsidR="00F52677" w:rsidRPr="00E5671A" w14:paraId="4AABB92B" w14:textId="77777777" w:rsidTr="63139904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C7B65C" w14:textId="4F886B10" w:rsidR="00F52677" w:rsidRPr="00E5671A" w:rsidRDefault="00A665DC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E5671A">
              <w:rPr>
                <w:rFonts w:ascii="Verdana" w:hAnsi="Verdana" w:cs="Arial"/>
                <w:b/>
                <w:sz w:val="20"/>
                <w:szCs w:val="20"/>
                <w:lang w:val="fr-CA"/>
              </w:rPr>
              <w:t>Titre du m</w:t>
            </w:r>
            <w:r w:rsidR="00F52677" w:rsidRPr="00E5671A">
              <w:rPr>
                <w:rFonts w:ascii="Verdana" w:hAnsi="Verdana" w:cs="Arial"/>
                <w:b/>
                <w:sz w:val="20"/>
                <w:szCs w:val="20"/>
                <w:lang w:val="fr-CA"/>
              </w:rPr>
              <w:t>odule</w:t>
            </w:r>
            <w:r w:rsidR="00AF0AE5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Pr="00E5671A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A665DC" w:rsidRPr="00E5671A" w14:paraId="3EA6154A" w14:textId="77777777" w:rsidTr="63139904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B86FB" w14:textId="075BA861" w:rsidR="00A665DC" w:rsidRPr="007A01C6" w:rsidRDefault="007A01C6" w:rsidP="00A665DC">
            <w:pPr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  <w:r w:rsidRPr="007A01C6">
              <w:rPr>
                <w:rFonts w:ascii="Verdana" w:hAnsi="Verdana" w:cs="Arial"/>
                <w:bCs/>
                <w:sz w:val="20"/>
                <w:szCs w:val="20"/>
                <w:lang w:val="fr-CA"/>
              </w:rPr>
              <w:t>Canevas</w:t>
            </w:r>
          </w:p>
        </w:tc>
      </w:tr>
      <w:tr w:rsidR="00495B82" w:rsidRPr="00E5671A" w14:paraId="77542F8B" w14:textId="77777777" w:rsidTr="63139904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8B8404" w14:textId="14814856" w:rsidR="00495B82" w:rsidRPr="00E5671A" w:rsidRDefault="00DF5F46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E5671A">
              <w:rPr>
                <w:rFonts w:ascii="Verdana" w:hAnsi="Verdana" w:cs="Arial"/>
                <w:b/>
                <w:sz w:val="20"/>
                <w:szCs w:val="20"/>
                <w:lang w:val="fr-CA"/>
              </w:rPr>
              <w:t>Résultat d’apprentissage</w:t>
            </w:r>
            <w:r w:rsidR="00AF0AE5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="00495B82" w:rsidRPr="00E5671A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523B13" w:rsidRPr="00E5671A" w14:paraId="62AD4741" w14:textId="77777777" w:rsidTr="63139904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0DA22" w14:textId="2CF5E33A" w:rsidR="00523B13" w:rsidRPr="00E5671A" w:rsidRDefault="00523B13" w:rsidP="00A665DC">
            <w:pPr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</w:p>
        </w:tc>
      </w:tr>
      <w:tr w:rsidR="00523B13" w:rsidRPr="00E5671A" w14:paraId="31C9990C" w14:textId="77777777" w:rsidTr="63139904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938106" w14:textId="17D673C9" w:rsidR="00523B13" w:rsidRPr="00E5671A" w:rsidRDefault="00523B13" w:rsidP="5841C8C7">
            <w:pPr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</w:pPr>
            <w:r w:rsidRPr="00E5671A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Élément</w:t>
            </w:r>
            <w:r w:rsidR="4C2F0B6A" w:rsidRPr="00E5671A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s</w:t>
            </w:r>
            <w:r w:rsidRPr="00E5671A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 xml:space="preserve"> de performance</w:t>
            </w:r>
            <w:r w:rsidR="00AF0AE5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 </w:t>
            </w:r>
            <w:r w:rsidRPr="00E5671A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 xml:space="preserve">: </w:t>
            </w:r>
          </w:p>
        </w:tc>
      </w:tr>
      <w:tr w:rsidR="00523B13" w:rsidRPr="00E5671A" w14:paraId="31349A98" w14:textId="77777777" w:rsidTr="63139904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885D10" w14:textId="245427B4" w:rsidR="00B61354" w:rsidRPr="00E5671A" w:rsidRDefault="322F8B93" w:rsidP="63139904">
            <w:pPr>
              <w:pStyle w:val="Paragraphedeliste"/>
              <w:numPr>
                <w:ilvl w:val="0"/>
                <w:numId w:val="1"/>
              </w:numPr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val="fr-CA"/>
              </w:rPr>
            </w:pPr>
            <w:proofErr w:type="gramStart"/>
            <w:r w:rsidRPr="63139904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expliquer</w:t>
            </w:r>
            <w:proofErr w:type="gramEnd"/>
            <w:r w:rsidR="00AF0AE5" w:rsidRPr="63139904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 xml:space="preserve"> </w:t>
            </w:r>
            <w:r w:rsidRPr="63139904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 xml:space="preserve">l’importance de concrétiser les principes </w:t>
            </w:r>
            <w:r w:rsidR="00AF0AE5" w:rsidRPr="63139904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d’</w:t>
            </w:r>
            <w:r w:rsidRPr="63139904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EDI au sein d’une entreprise sociale</w:t>
            </w:r>
            <w:r w:rsidR="00AF0AE5" w:rsidRPr="63139904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 xml:space="preserve"> </w:t>
            </w:r>
          </w:p>
          <w:p w14:paraId="43BA249F" w14:textId="1DAD42FB" w:rsidR="00B61354" w:rsidRPr="00E5671A" w:rsidRDefault="322F8B93" w:rsidP="410BB51F">
            <w:pPr>
              <w:pStyle w:val="Paragraphedeliste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  <w:lang w:val="fr-CA"/>
              </w:rPr>
            </w:pPr>
            <w:proofErr w:type="gramStart"/>
            <w:r w:rsidRPr="63139904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formuler</w:t>
            </w:r>
            <w:proofErr w:type="gramEnd"/>
            <w:r w:rsidR="00AF0AE5" w:rsidRPr="63139904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 xml:space="preserve"> </w:t>
            </w:r>
            <w:r w:rsidRPr="63139904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l’énoncé de la mission, de la vision et des valeurs</w:t>
            </w:r>
            <w:r w:rsidR="00AF0AE5" w:rsidRPr="63139904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 xml:space="preserve"> </w:t>
            </w:r>
            <w:r w:rsidRPr="63139904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 xml:space="preserve">tout en tenant compte des principes </w:t>
            </w:r>
            <w:r w:rsidR="00AF0AE5" w:rsidRPr="63139904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d’</w:t>
            </w:r>
            <w:r w:rsidRPr="63139904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EDI</w:t>
            </w:r>
          </w:p>
          <w:p w14:paraId="1E014158" w14:textId="5929AB91" w:rsidR="00523B13" w:rsidRPr="00E5671A" w:rsidRDefault="00523B13" w:rsidP="00920505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</w:p>
        </w:tc>
      </w:tr>
    </w:tbl>
    <w:p w14:paraId="4A1B99F3" w14:textId="188DF046" w:rsidR="00F52677" w:rsidRDefault="00F52677" w:rsidP="00F52677">
      <w:pPr>
        <w:rPr>
          <w:rFonts w:ascii="Verdana" w:hAnsi="Verdana" w:cs="Arial"/>
          <w:sz w:val="20"/>
          <w:szCs w:val="20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6934"/>
      </w:tblGrid>
      <w:tr w:rsidR="007A01C6" w:rsidRPr="00E5671A" w14:paraId="1269C3CE" w14:textId="77777777" w:rsidTr="000D43EF">
        <w:tc>
          <w:tcPr>
            <w:tcW w:w="1696" w:type="dxa"/>
            <w:shd w:val="clear" w:color="auto" w:fill="C1C1C1"/>
            <w:vAlign w:val="center"/>
          </w:tcPr>
          <w:p w14:paraId="0674496A" w14:textId="77777777" w:rsidR="007A01C6" w:rsidRPr="00E5671A" w:rsidRDefault="007A01C6" w:rsidP="000D43EF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00E5671A">
              <w:rPr>
                <w:rFonts w:ascii="Verdana" w:hAnsi="Verdana" w:cs="Arial"/>
                <w:b/>
                <w:sz w:val="20"/>
                <w:szCs w:val="20"/>
                <w:lang w:val="fr-CA"/>
              </w:rPr>
              <w:t>Titre de l’activité</w:t>
            </w:r>
          </w:p>
        </w:tc>
        <w:tc>
          <w:tcPr>
            <w:tcW w:w="6934" w:type="dxa"/>
          </w:tcPr>
          <w:p w14:paraId="36310A6D" w14:textId="77777777" w:rsidR="007A01C6" w:rsidRPr="00E5671A" w:rsidRDefault="007A01C6" w:rsidP="000D43EF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63139904">
              <w:rPr>
                <w:rFonts w:ascii="Verdana" w:hAnsi="Verdana" w:cs="Arial"/>
                <w:sz w:val="20"/>
                <w:szCs w:val="20"/>
                <w:lang w:val="fr-CA"/>
              </w:rPr>
              <w:t>Activité : Politiques d’EDI</w:t>
            </w:r>
          </w:p>
        </w:tc>
      </w:tr>
    </w:tbl>
    <w:p w14:paraId="1847682D" w14:textId="77777777" w:rsidR="007A01C6" w:rsidRPr="00E5671A" w:rsidRDefault="007A01C6" w:rsidP="00F52677">
      <w:pPr>
        <w:rPr>
          <w:rFonts w:ascii="Verdana" w:hAnsi="Verdana" w:cs="Arial"/>
          <w:sz w:val="20"/>
          <w:szCs w:val="20"/>
          <w:lang w:val="fr-CA"/>
        </w:rPr>
      </w:pPr>
    </w:p>
    <w:p w14:paraId="223A94E2" w14:textId="77777777" w:rsidR="00F52677" w:rsidRPr="00E5671A" w:rsidRDefault="00F52677" w:rsidP="00F52677">
      <w:pPr>
        <w:rPr>
          <w:rFonts w:ascii="Verdana" w:hAnsi="Verdana" w:cs="Arial"/>
          <w:sz w:val="20"/>
          <w:szCs w:val="20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30"/>
      </w:tblGrid>
      <w:tr w:rsidR="00F52677" w:rsidRPr="00E5671A" w14:paraId="4A2EC677" w14:textId="77777777" w:rsidTr="25DD8E00">
        <w:tc>
          <w:tcPr>
            <w:tcW w:w="8630" w:type="dxa"/>
            <w:shd w:val="clear" w:color="auto" w:fill="C1C1C1"/>
          </w:tcPr>
          <w:p w14:paraId="726C9220" w14:textId="77777777" w:rsidR="00F52677" w:rsidRPr="00E5671A" w:rsidRDefault="00712972" w:rsidP="00764F8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E5671A">
              <w:rPr>
                <w:rFonts w:ascii="Verdana" w:hAnsi="Verdana" w:cs="Arial"/>
                <w:b/>
                <w:sz w:val="20"/>
                <w:szCs w:val="20"/>
                <w:lang w:val="fr-CA"/>
              </w:rPr>
              <w:t>Description</w:t>
            </w:r>
          </w:p>
        </w:tc>
      </w:tr>
      <w:tr w:rsidR="00BB02BF" w:rsidRPr="00E5671A" w14:paraId="09C288F9" w14:textId="77777777" w:rsidTr="25DD8E00">
        <w:tc>
          <w:tcPr>
            <w:tcW w:w="8630" w:type="dxa"/>
          </w:tcPr>
          <w:p w14:paraId="7F80B258" w14:textId="77777777" w:rsidR="00BB02BF" w:rsidRPr="00E5671A" w:rsidRDefault="00BB02BF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E5671A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Description du contenu de D2L (résumé)</w:t>
            </w:r>
          </w:p>
          <w:p w14:paraId="0746E87C" w14:textId="77777777" w:rsidR="00BB02BF" w:rsidRPr="00E5671A" w:rsidRDefault="00BB02BF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  <w:p w14:paraId="44EB1647" w14:textId="5FB86095" w:rsidR="00BB02BF" w:rsidRPr="00E5671A" w:rsidRDefault="3229900C" w:rsidP="00F75709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63139904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Cette activité te permettra de comprendre l’importance de l’équité, de la diversité et de l’inclusion</w:t>
            </w:r>
            <w:r w:rsidR="00AF0AE5" w:rsidRPr="63139904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(EDI)</w:t>
            </w:r>
            <w:r w:rsidRPr="63139904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au sein d’un</w:t>
            </w:r>
            <w:r w:rsidR="003031E8" w:rsidRPr="63139904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e</w:t>
            </w:r>
            <w:r w:rsidRPr="63139904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organisation. Tu seras en mesure d’analyser des politiques et </w:t>
            </w:r>
            <w:r w:rsidR="00AF0AE5" w:rsidRPr="63139904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de </w:t>
            </w:r>
            <w:r w:rsidRPr="63139904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déterminer les éléments manquants afin d’optimiser les objectifs de l’EDI.</w:t>
            </w:r>
          </w:p>
        </w:tc>
      </w:tr>
      <w:tr w:rsidR="002D1760" w:rsidRPr="00E5671A" w14:paraId="68EF2BA2" w14:textId="77777777" w:rsidTr="25DD8E00">
        <w:tc>
          <w:tcPr>
            <w:tcW w:w="8630" w:type="dxa"/>
          </w:tcPr>
          <w:p w14:paraId="070D7082" w14:textId="7D8502C0" w:rsidR="002D1760" w:rsidRPr="00E5671A" w:rsidRDefault="002D1760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E5671A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Mise en contexte</w:t>
            </w:r>
            <w:r w:rsidR="00AF0AE5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 </w:t>
            </w:r>
            <w:r w:rsidRPr="00E5671A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/ Mise en situation</w:t>
            </w:r>
            <w:r w:rsidR="00AF0AE5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 </w:t>
            </w:r>
            <w:r w:rsidRPr="00E5671A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:</w:t>
            </w:r>
          </w:p>
          <w:p w14:paraId="29A1D99C" w14:textId="433FB220" w:rsidR="002D1760" w:rsidRPr="00E5671A" w:rsidRDefault="002D1760" w:rsidP="00712972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</w:p>
          <w:p w14:paraId="3E522547" w14:textId="3DA8EB56" w:rsidR="00CB05B7" w:rsidRPr="00E5671A" w:rsidRDefault="52C951AD" w:rsidP="27D04631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63139904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Les milieux communautaires, sociaux et institutionnels ne sont pas différents des autres milieux de travail. L’</w:t>
            </w:r>
            <w:r w:rsidR="00AF0AE5" w:rsidRPr="63139904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EDI (</w:t>
            </w:r>
            <w:r w:rsidRPr="63139904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équité, diversité et inclusion) dans ces milieux est donc déterminante quant à la capacité d’intégration, d’épanouissement et de développement des membres des groupes sous-représentés</w:t>
            </w:r>
            <w:r w:rsidR="003031E8" w:rsidRPr="63139904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,</w:t>
            </w:r>
            <w:r w:rsidRPr="63139904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considérés </w:t>
            </w:r>
            <w:r w:rsidR="005D3DFB" w:rsidRPr="63139904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comme </w:t>
            </w:r>
            <w:r w:rsidRPr="63139904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plus vulnérables</w:t>
            </w:r>
            <w:r w:rsidR="005D3DFB" w:rsidRPr="63139904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socialement</w:t>
            </w:r>
            <w:r w:rsidRPr="63139904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.</w:t>
            </w:r>
          </w:p>
          <w:p w14:paraId="15E14A9F" w14:textId="2211861A" w:rsidR="00CB05B7" w:rsidRPr="00E5671A" w:rsidRDefault="52C951AD" w:rsidP="27D04631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E5671A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</w:t>
            </w:r>
          </w:p>
          <w:p w14:paraId="032B33EB" w14:textId="7DE6A28A" w:rsidR="00CB05B7" w:rsidRPr="00E5671A" w:rsidRDefault="52C951AD" w:rsidP="27D04631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25DD8E00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Les gens ont tous droit à un milieu de travail sain et sécuritaire </w:t>
            </w:r>
            <w:r w:rsidR="005D3DFB" w:rsidRPr="25DD8E00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pour </w:t>
            </w:r>
            <w:r w:rsidRPr="25DD8E00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s’épanouir, </w:t>
            </w:r>
            <w:r w:rsidR="005D3DFB" w:rsidRPr="25DD8E00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évoluer </w:t>
            </w:r>
            <w:r w:rsidRPr="25DD8E00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et progresser. Les bonnes pratiques en matière d’équité, de diversité et d’inclusion permet</w:t>
            </w:r>
            <w:r w:rsidR="003031E8" w:rsidRPr="25DD8E00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tent</w:t>
            </w:r>
            <w:r w:rsidRPr="25DD8E00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à tous d’être respecté</w:t>
            </w:r>
            <w:r w:rsidR="005D3DFB" w:rsidRPr="25DD8E00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s</w:t>
            </w:r>
            <w:r w:rsidRPr="25DD8E00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. De plus, de bonnes pratiques </w:t>
            </w:r>
            <w:r w:rsidR="005D3DFB" w:rsidRPr="25DD8E00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d</w:t>
            </w:r>
            <w:r w:rsidR="005D3DFB" w:rsidRPr="25DD8E00">
              <w:rPr>
                <w:rStyle w:val="lev"/>
                <w:rFonts w:ascii="Verdana" w:hAnsi="Verdana"/>
                <w:sz w:val="20"/>
                <w:szCs w:val="20"/>
              </w:rPr>
              <w:t>’</w:t>
            </w:r>
            <w:r w:rsidRPr="25DD8E00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EDI ont des effets positifs sur </w:t>
            </w:r>
            <w:r w:rsidR="005D3DFB" w:rsidRPr="25DD8E00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le rendement </w:t>
            </w:r>
            <w:r w:rsidRPr="25DD8E00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de l’organisation</w:t>
            </w:r>
            <w:r w:rsidR="005D3DFB" w:rsidRPr="25DD8E00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,</w:t>
            </w:r>
            <w:r w:rsidRPr="25DD8E00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que ce soit par un milieu de travail sain et sécuritaire qui réduit le taux de roulement de la main-d’œuvre, </w:t>
            </w:r>
            <w:r w:rsidR="005D3DFB" w:rsidRPr="25DD8E00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par </w:t>
            </w:r>
            <w:r w:rsidRPr="25DD8E00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l</w:t>
            </w:r>
            <w:r w:rsidR="005D3DFB" w:rsidRPr="25DD8E00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e sentiment d</w:t>
            </w:r>
            <w:r w:rsidRPr="25DD8E00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’appartenance </w:t>
            </w:r>
            <w:r w:rsidR="005D3DFB" w:rsidRPr="25DD8E00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à</w:t>
            </w:r>
            <w:r w:rsidR="005A4A88" w:rsidRPr="25DD8E00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l’égard de</w:t>
            </w:r>
            <w:r w:rsidR="005D3DFB" w:rsidRPr="25DD8E00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</w:t>
            </w:r>
            <w:r w:rsidRPr="25DD8E00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la clientèle ou par la </w:t>
            </w:r>
            <w:r w:rsidR="005D3DFB" w:rsidRPr="25DD8E00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diminution </w:t>
            </w:r>
            <w:r w:rsidRPr="25DD8E00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du taux d’absentéisme des employés.</w:t>
            </w:r>
          </w:p>
          <w:p w14:paraId="4125F9DB" w14:textId="10D33141" w:rsidR="00CB05B7" w:rsidRPr="00E5671A" w:rsidRDefault="00CB05B7" w:rsidP="27D04631">
            <w:pPr>
              <w:rPr>
                <w:rStyle w:val="lev"/>
                <w:b w:val="0"/>
                <w:bCs w:val="0"/>
                <w:lang w:val="fr-CA"/>
              </w:rPr>
            </w:pPr>
          </w:p>
        </w:tc>
      </w:tr>
      <w:tr w:rsidR="00DA3338" w:rsidRPr="00E5671A" w14:paraId="17EE45F8" w14:textId="77777777" w:rsidTr="25DD8E00">
        <w:tc>
          <w:tcPr>
            <w:tcW w:w="8630" w:type="dxa"/>
          </w:tcPr>
          <w:p w14:paraId="5E33CE0D" w14:textId="68057ECC" w:rsidR="00DA3338" w:rsidRPr="00E5671A" w:rsidRDefault="00DA3338" w:rsidP="00DA3338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E5671A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Détails de l’activité</w:t>
            </w:r>
            <w:r w:rsidR="00AF0AE5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 </w:t>
            </w:r>
            <w:r w:rsidRPr="00E5671A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(production attendue ou déroulement)</w:t>
            </w:r>
          </w:p>
          <w:p w14:paraId="68815D5C" w14:textId="77777777" w:rsidR="004451A5" w:rsidRPr="00E5671A" w:rsidRDefault="004451A5" w:rsidP="00AA13A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  <w:p w14:paraId="70F92224" w14:textId="1F56F24C" w:rsidR="00AA13A0" w:rsidRPr="00E5671A" w:rsidRDefault="2E805FA3" w:rsidP="00586CD1">
            <w:pPr>
              <w:pStyle w:val="Paragraphedeliste"/>
              <w:numPr>
                <w:ilvl w:val="0"/>
                <w:numId w:val="21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E5671A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Visionne les vidéos suivantes</w:t>
            </w:r>
            <w:r w:rsidR="00AF0AE5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 </w:t>
            </w:r>
            <w:r w:rsidRPr="00E5671A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: </w:t>
            </w:r>
          </w:p>
          <w:p w14:paraId="23E6C25A" w14:textId="47568075" w:rsidR="00AA13A0" w:rsidRPr="00E5671A" w:rsidRDefault="00813B34" w:rsidP="25DD8E00">
            <w:pPr>
              <w:pStyle w:val="Paragraphedeliste"/>
              <w:numPr>
                <w:ilvl w:val="1"/>
                <w:numId w:val="21"/>
              </w:numPr>
              <w:rPr>
                <w:rStyle w:val="lev"/>
                <w:rFonts w:asciiTheme="minorHAnsi" w:eastAsiaTheme="minorEastAsia" w:hAnsiTheme="minorHAnsi" w:cstheme="minorBidi"/>
                <w:b w:val="0"/>
                <w:bCs w:val="0"/>
                <w:i/>
                <w:iCs/>
                <w:lang w:val="fr-CA"/>
              </w:rPr>
            </w:pPr>
            <w:hyperlink r:id="rId11" w:history="1">
              <w:r w:rsidR="4613559C" w:rsidRPr="00813B34">
                <w:rPr>
                  <w:rStyle w:val="Lienhypertexte"/>
                  <w:i/>
                  <w:iCs/>
                  <w:lang w:val="fr-CA"/>
                </w:rPr>
                <w:t>Pourquoi la diversité et l</w:t>
              </w:r>
              <w:r w:rsidR="003031E8" w:rsidRPr="00813B34">
                <w:rPr>
                  <w:rStyle w:val="Lienhypertexte"/>
                  <w:i/>
                  <w:iCs/>
                  <w:lang w:val="fr-CA"/>
                </w:rPr>
                <w:t>’</w:t>
              </w:r>
              <w:r w:rsidR="4613559C" w:rsidRPr="00813B34">
                <w:rPr>
                  <w:rStyle w:val="Lienhypertexte"/>
                  <w:i/>
                  <w:iCs/>
                  <w:lang w:val="fr-CA"/>
                </w:rPr>
                <w:t>inclusion sont</w:t>
              </w:r>
              <w:r w:rsidR="005D3DFB" w:rsidRPr="00813B34">
                <w:rPr>
                  <w:rStyle w:val="Lienhypertexte"/>
                  <w:i/>
                  <w:iCs/>
                  <w:lang w:val="fr-CA"/>
                </w:rPr>
                <w:t>-</w:t>
              </w:r>
              <w:r w:rsidR="4613559C" w:rsidRPr="00813B34">
                <w:rPr>
                  <w:rStyle w:val="Lienhypertexte"/>
                  <w:i/>
                  <w:iCs/>
                  <w:lang w:val="fr-CA"/>
                </w:rPr>
                <w:t>elles importantes aujourd</w:t>
              </w:r>
              <w:r w:rsidR="003031E8" w:rsidRPr="00813B34">
                <w:rPr>
                  <w:rStyle w:val="Lienhypertexte"/>
                  <w:i/>
                  <w:iCs/>
                  <w:lang w:val="fr-CA"/>
                </w:rPr>
                <w:t>’</w:t>
              </w:r>
              <w:r w:rsidR="4613559C" w:rsidRPr="00813B34">
                <w:rPr>
                  <w:rStyle w:val="Lienhypertexte"/>
                  <w:i/>
                  <w:iCs/>
                  <w:lang w:val="fr-CA"/>
                </w:rPr>
                <w:t>hui?</w:t>
              </w:r>
            </w:hyperlink>
          </w:p>
          <w:p w14:paraId="465B4B23" w14:textId="10F44ECC" w:rsidR="00AA13A0" w:rsidRPr="00E5671A" w:rsidRDefault="00813B34" w:rsidP="410BB51F">
            <w:pPr>
              <w:pStyle w:val="Paragraphedeliste"/>
              <w:numPr>
                <w:ilvl w:val="1"/>
                <w:numId w:val="21"/>
              </w:numPr>
              <w:rPr>
                <w:rStyle w:val="lev"/>
                <w:rFonts w:asciiTheme="minorHAnsi" w:eastAsiaTheme="minorEastAsia" w:hAnsiTheme="minorHAnsi" w:cstheme="minorBidi"/>
                <w:b w:val="0"/>
                <w:bCs w:val="0"/>
                <w:i/>
                <w:iCs/>
                <w:lang w:val="fr-CA"/>
              </w:rPr>
            </w:pPr>
            <w:hyperlink r:id="rId12" w:history="1">
              <w:r w:rsidR="4613559C" w:rsidRPr="00813B34">
                <w:rPr>
                  <w:rStyle w:val="Lienhypertexte"/>
                  <w:i/>
                  <w:iCs/>
                  <w:lang w:val="fr-CA"/>
                </w:rPr>
                <w:t>Les organisations inclusives</w:t>
              </w:r>
            </w:hyperlink>
          </w:p>
          <w:p w14:paraId="4C108C20" w14:textId="1BB3705E" w:rsidR="00AA13A0" w:rsidRPr="00E5671A" w:rsidRDefault="2E805FA3" w:rsidP="27D04631">
            <w:pPr>
              <w:pStyle w:val="Paragraphedeliste"/>
              <w:numPr>
                <w:ilvl w:val="0"/>
                <w:numId w:val="21"/>
              </w:numPr>
              <w:rPr>
                <w:rStyle w:val="lev"/>
                <w:b w:val="0"/>
                <w:bCs w:val="0"/>
                <w:sz w:val="20"/>
                <w:szCs w:val="20"/>
                <w:lang w:val="fr-CA"/>
              </w:rPr>
            </w:pPr>
            <w:r w:rsidRPr="25DD8E00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Lis les politiques </w:t>
            </w:r>
            <w:r w:rsidR="003031E8" w:rsidRPr="25DD8E00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d</w:t>
            </w:r>
            <w:r w:rsidR="003031E8" w:rsidRPr="25DD8E00">
              <w:rPr>
                <w:rStyle w:val="lev"/>
                <w:rFonts w:ascii="Verdana" w:hAnsi="Verdana"/>
                <w:sz w:val="20"/>
                <w:szCs w:val="20"/>
              </w:rPr>
              <w:t>’</w:t>
            </w:r>
            <w:r w:rsidRPr="25DD8E00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EDI des institutions suivantes</w:t>
            </w:r>
            <w:r w:rsidR="00AF0AE5" w:rsidRPr="25DD8E00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 </w:t>
            </w:r>
            <w:r w:rsidRPr="25DD8E00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: </w:t>
            </w:r>
          </w:p>
          <w:p w14:paraId="53137A7A" w14:textId="56101764" w:rsidR="00AA13A0" w:rsidRPr="00E5671A" w:rsidRDefault="008C3932" w:rsidP="27D04631">
            <w:pPr>
              <w:pStyle w:val="Paragraphedeliste"/>
              <w:numPr>
                <w:ilvl w:val="1"/>
                <w:numId w:val="21"/>
              </w:numPr>
              <w:rPr>
                <w:rStyle w:val="lev"/>
                <w:b w:val="0"/>
                <w:bCs w:val="0"/>
                <w:sz w:val="20"/>
                <w:szCs w:val="20"/>
                <w:lang w:val="fr-CA"/>
              </w:rPr>
            </w:pPr>
            <w:hyperlink r:id="rId13" w:history="1">
              <w:r w:rsidR="2E805FA3" w:rsidRPr="008C3932">
                <w:rPr>
                  <w:rStyle w:val="Lienhypertexte"/>
                  <w:lang w:val="fr-CA"/>
                </w:rPr>
                <w:t>Association des étudiantes et étudiants de Laval inscrits aux études supérieures</w:t>
              </w:r>
            </w:hyperlink>
          </w:p>
          <w:p w14:paraId="2D90B163" w14:textId="057BD27F" w:rsidR="00AA13A0" w:rsidRPr="00E5671A" w:rsidRDefault="008C3932" w:rsidP="27D04631">
            <w:pPr>
              <w:pStyle w:val="Paragraphedeliste"/>
              <w:numPr>
                <w:ilvl w:val="1"/>
                <w:numId w:val="21"/>
              </w:numPr>
              <w:rPr>
                <w:rStyle w:val="lev"/>
                <w:b w:val="0"/>
                <w:bCs w:val="0"/>
                <w:sz w:val="20"/>
                <w:szCs w:val="20"/>
                <w:lang w:val="fr-CA"/>
              </w:rPr>
            </w:pPr>
            <w:hyperlink r:id="rId14" w:history="1">
              <w:r w:rsidR="1A0D93C8" w:rsidRPr="008C3932">
                <w:rPr>
                  <w:rStyle w:val="Lienhypertexte"/>
                  <w:lang w:val="fr-CA"/>
                </w:rPr>
                <w:t>HEC Montréal</w:t>
              </w:r>
            </w:hyperlink>
          </w:p>
          <w:p w14:paraId="049309DE" w14:textId="74467887" w:rsidR="00AA13A0" w:rsidRPr="00E5671A" w:rsidRDefault="132F48C1" w:rsidP="27D04631">
            <w:pPr>
              <w:pStyle w:val="Paragraphedeliste"/>
              <w:numPr>
                <w:ilvl w:val="0"/>
                <w:numId w:val="21"/>
              </w:numPr>
              <w:rPr>
                <w:rStyle w:val="lev"/>
                <w:b w:val="0"/>
                <w:bCs w:val="0"/>
                <w:sz w:val="20"/>
                <w:szCs w:val="20"/>
                <w:lang w:val="fr-CA"/>
              </w:rPr>
            </w:pPr>
            <w:r w:rsidRPr="25DD8E00">
              <w:rPr>
                <w:rStyle w:val="lev"/>
                <w:b w:val="0"/>
                <w:bCs w:val="0"/>
                <w:lang w:val="fr-CA"/>
              </w:rPr>
              <w:t xml:space="preserve">Pour chacune des politiques, </w:t>
            </w:r>
            <w:proofErr w:type="gramStart"/>
            <w:r w:rsidRPr="25DD8E00">
              <w:rPr>
                <w:rStyle w:val="lev"/>
                <w:b w:val="0"/>
                <w:bCs w:val="0"/>
                <w:lang w:val="fr-CA"/>
              </w:rPr>
              <w:t>détermine la</w:t>
            </w:r>
            <w:proofErr w:type="gramEnd"/>
            <w:r w:rsidRPr="25DD8E00">
              <w:rPr>
                <w:rStyle w:val="lev"/>
                <w:b w:val="0"/>
                <w:bCs w:val="0"/>
                <w:lang w:val="fr-CA"/>
              </w:rPr>
              <w:t xml:space="preserve"> ou les conséquences possibles pour une personne </w:t>
            </w:r>
            <w:r w:rsidR="003031E8" w:rsidRPr="25DD8E00">
              <w:rPr>
                <w:rStyle w:val="lev"/>
                <w:b w:val="0"/>
                <w:bCs w:val="0"/>
                <w:lang w:val="fr-CA"/>
              </w:rPr>
              <w:t xml:space="preserve">touchée </w:t>
            </w:r>
            <w:r w:rsidRPr="25DD8E00">
              <w:rPr>
                <w:rStyle w:val="lev"/>
                <w:b w:val="0"/>
                <w:bCs w:val="0"/>
                <w:lang w:val="fr-CA"/>
              </w:rPr>
              <w:t xml:space="preserve">par la politique </w:t>
            </w:r>
            <w:r w:rsidR="003031E8" w:rsidRPr="25DD8E00">
              <w:rPr>
                <w:rStyle w:val="lev"/>
                <w:b w:val="0"/>
                <w:bCs w:val="0"/>
                <w:lang w:val="fr-CA"/>
              </w:rPr>
              <w:t>d’</w:t>
            </w:r>
            <w:r w:rsidRPr="25DD8E00">
              <w:rPr>
                <w:rStyle w:val="lev"/>
                <w:b w:val="0"/>
                <w:bCs w:val="0"/>
                <w:lang w:val="fr-CA"/>
              </w:rPr>
              <w:t xml:space="preserve">EDI en place. </w:t>
            </w:r>
          </w:p>
        </w:tc>
      </w:tr>
    </w:tbl>
    <w:p w14:paraId="7AB12A08" w14:textId="32796C88" w:rsidR="00012AF9" w:rsidRPr="00E5671A" w:rsidRDefault="00012AF9" w:rsidP="25DD8E00">
      <w:pPr>
        <w:rPr>
          <w:b/>
          <w:bCs/>
          <w:lang w:val="fr-CA"/>
        </w:rPr>
      </w:pPr>
    </w:p>
    <w:sectPr w:rsidR="00012AF9" w:rsidRPr="00E5671A">
      <w:headerReference w:type="default" r:id="rId15"/>
      <w:footerReference w:type="default" r:id="rId16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4B7DA" w14:textId="77777777" w:rsidR="005E36CB" w:rsidRDefault="005E36CB" w:rsidP="007511F3">
      <w:r>
        <w:separator/>
      </w:r>
    </w:p>
  </w:endnote>
  <w:endnote w:type="continuationSeparator" w:id="0">
    <w:p w14:paraId="081FA62D" w14:textId="77777777" w:rsidR="005E36CB" w:rsidRDefault="005E36CB" w:rsidP="007511F3">
      <w:r>
        <w:continuationSeparator/>
      </w:r>
    </w:p>
  </w:endnote>
  <w:endnote w:type="continuationNotice" w:id="1">
    <w:p w14:paraId="6D7DC6E8" w14:textId="77777777" w:rsidR="005E36CB" w:rsidRDefault="005E36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5788" w14:textId="6FB2D287" w:rsidR="007511F3" w:rsidRDefault="007511F3" w:rsidP="007511F3">
    <w:pPr>
      <w:pStyle w:val="Pieddepage"/>
    </w:pPr>
    <w:r>
      <w:t xml:space="preserve">Collège Boréal </w:t>
    </w:r>
    <w:r>
      <w:tab/>
    </w:r>
    <w:r>
      <w:tab/>
    </w:r>
    <w:sdt>
      <w:sdtPr>
        <w:id w:val="18132670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25126">
          <w:rPr>
            <w:noProof/>
          </w:rPr>
          <w:t>1</w:t>
        </w:r>
        <w:r>
          <w:fldChar w:fldCharType="end"/>
        </w:r>
      </w:sdtContent>
    </w:sdt>
  </w:p>
  <w:p w14:paraId="26A2B1D5" w14:textId="77777777" w:rsidR="007511F3" w:rsidRPr="007511F3" w:rsidRDefault="007511F3">
    <w:pPr>
      <w:pStyle w:val="Pieddepage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EE239" w14:textId="77777777" w:rsidR="005E36CB" w:rsidRDefault="005E36CB" w:rsidP="007511F3">
      <w:r>
        <w:separator/>
      </w:r>
    </w:p>
  </w:footnote>
  <w:footnote w:type="continuationSeparator" w:id="0">
    <w:p w14:paraId="6D30A535" w14:textId="77777777" w:rsidR="005E36CB" w:rsidRDefault="005E36CB" w:rsidP="007511F3">
      <w:r>
        <w:continuationSeparator/>
      </w:r>
    </w:p>
  </w:footnote>
  <w:footnote w:type="continuationNotice" w:id="1">
    <w:p w14:paraId="4D125938" w14:textId="77777777" w:rsidR="005E36CB" w:rsidRDefault="005E36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5C188" w14:textId="19AEF91C" w:rsidR="007511F3" w:rsidRPr="007A01C6" w:rsidRDefault="007A01C6" w:rsidP="007A01C6">
    <w:pPr>
      <w:pStyle w:val="En-tte"/>
    </w:pPr>
    <w:r w:rsidRPr="007A01C6">
      <w:rPr>
        <w:lang w:val="fr-CA"/>
      </w:rPr>
      <w:t>ESO1005 - Planification stratégique d’affaires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6ECE"/>
    <w:multiLevelType w:val="hybridMultilevel"/>
    <w:tmpl w:val="9EFCD73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B7CA0"/>
    <w:multiLevelType w:val="hybridMultilevel"/>
    <w:tmpl w:val="AD16B1DA"/>
    <w:lvl w:ilvl="0" w:tplc="90BC100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99860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5C44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F0B3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96AB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D801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9CA8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76CC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0E93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E29CE"/>
    <w:multiLevelType w:val="hybridMultilevel"/>
    <w:tmpl w:val="8E609B9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F5425D"/>
    <w:multiLevelType w:val="hybridMultilevel"/>
    <w:tmpl w:val="37AC1594"/>
    <w:lvl w:ilvl="0" w:tplc="4088EE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6A6B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CEC6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24B1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A6DF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520F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ECF4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226F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3CEC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5A0C42"/>
    <w:multiLevelType w:val="hybridMultilevel"/>
    <w:tmpl w:val="9A5A13B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75F02"/>
    <w:multiLevelType w:val="hybridMultilevel"/>
    <w:tmpl w:val="ECE4964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9043CC"/>
    <w:multiLevelType w:val="multilevel"/>
    <w:tmpl w:val="6C4C0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560F2F"/>
    <w:multiLevelType w:val="hybridMultilevel"/>
    <w:tmpl w:val="88049D0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1B374C"/>
    <w:multiLevelType w:val="hybridMultilevel"/>
    <w:tmpl w:val="A04E7100"/>
    <w:lvl w:ilvl="0" w:tplc="B0A8C4E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7E5192"/>
    <w:multiLevelType w:val="multilevel"/>
    <w:tmpl w:val="357E9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1F33994"/>
    <w:multiLevelType w:val="hybridMultilevel"/>
    <w:tmpl w:val="695C655A"/>
    <w:lvl w:ilvl="0" w:tplc="74CC458C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3C2464"/>
    <w:multiLevelType w:val="hybridMultilevel"/>
    <w:tmpl w:val="898E9D4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3"/>
  </w:num>
  <w:num w:numId="5">
    <w:abstractNumId w:val="11"/>
  </w:num>
  <w:num w:numId="6">
    <w:abstractNumId w:val="8"/>
  </w:num>
  <w:num w:numId="7">
    <w:abstractNumId w:val="2"/>
  </w:num>
  <w:num w:numId="8">
    <w:abstractNumId w:val="14"/>
  </w:num>
  <w:num w:numId="9">
    <w:abstractNumId w:val="10"/>
  </w:num>
  <w:num w:numId="10">
    <w:abstractNumId w:val="4"/>
  </w:num>
  <w:num w:numId="11">
    <w:abstractNumId w:val="15"/>
  </w:num>
  <w:num w:numId="12">
    <w:abstractNumId w:val="19"/>
  </w:num>
  <w:num w:numId="13">
    <w:abstractNumId w:val="5"/>
  </w:num>
  <w:num w:numId="14">
    <w:abstractNumId w:val="18"/>
  </w:num>
  <w:num w:numId="15">
    <w:abstractNumId w:val="9"/>
  </w:num>
  <w:num w:numId="16">
    <w:abstractNumId w:val="20"/>
  </w:num>
  <w:num w:numId="17">
    <w:abstractNumId w:val="0"/>
  </w:num>
  <w:num w:numId="18">
    <w:abstractNumId w:val="17"/>
  </w:num>
  <w:num w:numId="19">
    <w:abstractNumId w:val="12"/>
  </w:num>
  <w:num w:numId="20">
    <w:abstractNumId w:val="7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677"/>
    <w:rsid w:val="00000CC1"/>
    <w:rsid w:val="000024F5"/>
    <w:rsid w:val="00012AF9"/>
    <w:rsid w:val="00014470"/>
    <w:rsid w:val="00024EF7"/>
    <w:rsid w:val="00035812"/>
    <w:rsid w:val="000471A3"/>
    <w:rsid w:val="00050D75"/>
    <w:rsid w:val="00060F82"/>
    <w:rsid w:val="000669D2"/>
    <w:rsid w:val="00066B0D"/>
    <w:rsid w:val="00073A7C"/>
    <w:rsid w:val="00087AE4"/>
    <w:rsid w:val="000A7C59"/>
    <w:rsid w:val="000D2391"/>
    <w:rsid w:val="000D7B45"/>
    <w:rsid w:val="000E41C8"/>
    <w:rsid w:val="000F2E7D"/>
    <w:rsid w:val="000F6C98"/>
    <w:rsid w:val="0010543D"/>
    <w:rsid w:val="00106899"/>
    <w:rsid w:val="00150BD0"/>
    <w:rsid w:val="00151D12"/>
    <w:rsid w:val="00152AA3"/>
    <w:rsid w:val="00183FF0"/>
    <w:rsid w:val="00184598"/>
    <w:rsid w:val="001B14BB"/>
    <w:rsid w:val="001E2E22"/>
    <w:rsid w:val="001E719B"/>
    <w:rsid w:val="0022510D"/>
    <w:rsid w:val="00225EF4"/>
    <w:rsid w:val="00232DF1"/>
    <w:rsid w:val="00247337"/>
    <w:rsid w:val="00247DED"/>
    <w:rsid w:val="00266A6D"/>
    <w:rsid w:val="00271CBF"/>
    <w:rsid w:val="002771B8"/>
    <w:rsid w:val="0027793F"/>
    <w:rsid w:val="00283AE3"/>
    <w:rsid w:val="0029013A"/>
    <w:rsid w:val="002A677F"/>
    <w:rsid w:val="002B7DAF"/>
    <w:rsid w:val="002C2B1F"/>
    <w:rsid w:val="002D1760"/>
    <w:rsid w:val="002F2450"/>
    <w:rsid w:val="002F74F6"/>
    <w:rsid w:val="003031E8"/>
    <w:rsid w:val="00324581"/>
    <w:rsid w:val="00325126"/>
    <w:rsid w:val="00327813"/>
    <w:rsid w:val="00346B13"/>
    <w:rsid w:val="00376E2B"/>
    <w:rsid w:val="00380FF4"/>
    <w:rsid w:val="00381E68"/>
    <w:rsid w:val="003B1F67"/>
    <w:rsid w:val="003D11EA"/>
    <w:rsid w:val="003F1774"/>
    <w:rsid w:val="003F4848"/>
    <w:rsid w:val="00421D00"/>
    <w:rsid w:val="0043452F"/>
    <w:rsid w:val="004451A5"/>
    <w:rsid w:val="0044565E"/>
    <w:rsid w:val="00452453"/>
    <w:rsid w:val="00452D97"/>
    <w:rsid w:val="004664AB"/>
    <w:rsid w:val="00472E0C"/>
    <w:rsid w:val="00484C76"/>
    <w:rsid w:val="00495B82"/>
    <w:rsid w:val="004A3A0C"/>
    <w:rsid w:val="004B1192"/>
    <w:rsid w:val="004B2AE6"/>
    <w:rsid w:val="004D7B90"/>
    <w:rsid w:val="004E14A0"/>
    <w:rsid w:val="004F4927"/>
    <w:rsid w:val="00523B13"/>
    <w:rsid w:val="0055509C"/>
    <w:rsid w:val="00562E45"/>
    <w:rsid w:val="00586CD1"/>
    <w:rsid w:val="005923CC"/>
    <w:rsid w:val="005A4A88"/>
    <w:rsid w:val="005D3DFB"/>
    <w:rsid w:val="005E36CB"/>
    <w:rsid w:val="006031B4"/>
    <w:rsid w:val="00605A7E"/>
    <w:rsid w:val="006067A2"/>
    <w:rsid w:val="00630AE4"/>
    <w:rsid w:val="006423FF"/>
    <w:rsid w:val="006551F3"/>
    <w:rsid w:val="00670B89"/>
    <w:rsid w:val="006C19BC"/>
    <w:rsid w:val="006F5906"/>
    <w:rsid w:val="00712972"/>
    <w:rsid w:val="007438F4"/>
    <w:rsid w:val="007511F3"/>
    <w:rsid w:val="00753DE0"/>
    <w:rsid w:val="00757FB0"/>
    <w:rsid w:val="00764F8C"/>
    <w:rsid w:val="00772C7B"/>
    <w:rsid w:val="007945FC"/>
    <w:rsid w:val="007A01C6"/>
    <w:rsid w:val="007A0335"/>
    <w:rsid w:val="007B47A5"/>
    <w:rsid w:val="007C101B"/>
    <w:rsid w:val="007C27F3"/>
    <w:rsid w:val="007C445F"/>
    <w:rsid w:val="007C7357"/>
    <w:rsid w:val="007D135D"/>
    <w:rsid w:val="007D1815"/>
    <w:rsid w:val="007D443C"/>
    <w:rsid w:val="007D56A6"/>
    <w:rsid w:val="007F030E"/>
    <w:rsid w:val="007F6FAC"/>
    <w:rsid w:val="00813B34"/>
    <w:rsid w:val="00824FA4"/>
    <w:rsid w:val="00830BBF"/>
    <w:rsid w:val="00832070"/>
    <w:rsid w:val="00832926"/>
    <w:rsid w:val="008331E0"/>
    <w:rsid w:val="00833441"/>
    <w:rsid w:val="008519BA"/>
    <w:rsid w:val="00872A34"/>
    <w:rsid w:val="008801C8"/>
    <w:rsid w:val="0089676E"/>
    <w:rsid w:val="00896BF1"/>
    <w:rsid w:val="008B3251"/>
    <w:rsid w:val="008B5C55"/>
    <w:rsid w:val="008C3932"/>
    <w:rsid w:val="00920505"/>
    <w:rsid w:val="009517A9"/>
    <w:rsid w:val="0095419F"/>
    <w:rsid w:val="00991744"/>
    <w:rsid w:val="009947DE"/>
    <w:rsid w:val="009A534D"/>
    <w:rsid w:val="009B2351"/>
    <w:rsid w:val="009E77AE"/>
    <w:rsid w:val="009F2362"/>
    <w:rsid w:val="009F3F48"/>
    <w:rsid w:val="00A13169"/>
    <w:rsid w:val="00A13718"/>
    <w:rsid w:val="00A2236E"/>
    <w:rsid w:val="00A50E94"/>
    <w:rsid w:val="00A665DC"/>
    <w:rsid w:val="00A70488"/>
    <w:rsid w:val="00A80808"/>
    <w:rsid w:val="00AA13A0"/>
    <w:rsid w:val="00AA3124"/>
    <w:rsid w:val="00AA4B84"/>
    <w:rsid w:val="00AD6769"/>
    <w:rsid w:val="00AE603C"/>
    <w:rsid w:val="00AF0AE5"/>
    <w:rsid w:val="00B1405C"/>
    <w:rsid w:val="00B35F89"/>
    <w:rsid w:val="00B37F0D"/>
    <w:rsid w:val="00B61354"/>
    <w:rsid w:val="00B844EB"/>
    <w:rsid w:val="00B84A26"/>
    <w:rsid w:val="00B86009"/>
    <w:rsid w:val="00B9085C"/>
    <w:rsid w:val="00B90F4B"/>
    <w:rsid w:val="00BA0107"/>
    <w:rsid w:val="00BA0557"/>
    <w:rsid w:val="00BB02BF"/>
    <w:rsid w:val="00BD093C"/>
    <w:rsid w:val="00BD51A3"/>
    <w:rsid w:val="00BF6DC1"/>
    <w:rsid w:val="00C03F78"/>
    <w:rsid w:val="00C05499"/>
    <w:rsid w:val="00C11993"/>
    <w:rsid w:val="00C13D37"/>
    <w:rsid w:val="00C2395C"/>
    <w:rsid w:val="00C57517"/>
    <w:rsid w:val="00C61D42"/>
    <w:rsid w:val="00C73904"/>
    <w:rsid w:val="00C80C03"/>
    <w:rsid w:val="00CA30AC"/>
    <w:rsid w:val="00CB05B7"/>
    <w:rsid w:val="00CC311D"/>
    <w:rsid w:val="00CC3EEF"/>
    <w:rsid w:val="00CC5F55"/>
    <w:rsid w:val="00CD4951"/>
    <w:rsid w:val="00CE03B1"/>
    <w:rsid w:val="00CF0D68"/>
    <w:rsid w:val="00D00249"/>
    <w:rsid w:val="00D24CF4"/>
    <w:rsid w:val="00D25FC1"/>
    <w:rsid w:val="00D56E14"/>
    <w:rsid w:val="00D64A9F"/>
    <w:rsid w:val="00D745DC"/>
    <w:rsid w:val="00D835CF"/>
    <w:rsid w:val="00D87E90"/>
    <w:rsid w:val="00DA3338"/>
    <w:rsid w:val="00DA5958"/>
    <w:rsid w:val="00DE086F"/>
    <w:rsid w:val="00DE1263"/>
    <w:rsid w:val="00DE32A3"/>
    <w:rsid w:val="00DF414F"/>
    <w:rsid w:val="00DF5F46"/>
    <w:rsid w:val="00E2204F"/>
    <w:rsid w:val="00E26469"/>
    <w:rsid w:val="00E30C95"/>
    <w:rsid w:val="00E4704E"/>
    <w:rsid w:val="00E5671A"/>
    <w:rsid w:val="00E81C81"/>
    <w:rsid w:val="00E849C2"/>
    <w:rsid w:val="00EA03E2"/>
    <w:rsid w:val="00EC21EC"/>
    <w:rsid w:val="00ED4A6F"/>
    <w:rsid w:val="00ED63BA"/>
    <w:rsid w:val="00ED70D0"/>
    <w:rsid w:val="00EE2E1F"/>
    <w:rsid w:val="00EE7810"/>
    <w:rsid w:val="00F3170A"/>
    <w:rsid w:val="00F3395B"/>
    <w:rsid w:val="00F476B2"/>
    <w:rsid w:val="00F52677"/>
    <w:rsid w:val="00F662DD"/>
    <w:rsid w:val="00F73CAC"/>
    <w:rsid w:val="00F75709"/>
    <w:rsid w:val="00F80B02"/>
    <w:rsid w:val="00F825B6"/>
    <w:rsid w:val="00F82DDF"/>
    <w:rsid w:val="00F844AC"/>
    <w:rsid w:val="00F953A5"/>
    <w:rsid w:val="00FA213E"/>
    <w:rsid w:val="00FA5B54"/>
    <w:rsid w:val="00FC339E"/>
    <w:rsid w:val="00FC755F"/>
    <w:rsid w:val="00FC786A"/>
    <w:rsid w:val="00FF19AB"/>
    <w:rsid w:val="00FF227A"/>
    <w:rsid w:val="00FF44B1"/>
    <w:rsid w:val="0214B8B7"/>
    <w:rsid w:val="03B26B43"/>
    <w:rsid w:val="053BA74F"/>
    <w:rsid w:val="132F48C1"/>
    <w:rsid w:val="17E15E6D"/>
    <w:rsid w:val="1A0D93C8"/>
    <w:rsid w:val="1EF1584C"/>
    <w:rsid w:val="23CB58C8"/>
    <w:rsid w:val="25CF9A4F"/>
    <w:rsid w:val="25DD8E00"/>
    <w:rsid w:val="27C8900B"/>
    <w:rsid w:val="27D04631"/>
    <w:rsid w:val="2A2329E1"/>
    <w:rsid w:val="2B15FA9C"/>
    <w:rsid w:val="2CC33E66"/>
    <w:rsid w:val="2E805FA3"/>
    <w:rsid w:val="3229900C"/>
    <w:rsid w:val="322F8B93"/>
    <w:rsid w:val="390DE202"/>
    <w:rsid w:val="410BB51F"/>
    <w:rsid w:val="445CCA5C"/>
    <w:rsid w:val="4613559C"/>
    <w:rsid w:val="461F5A23"/>
    <w:rsid w:val="4B756B5F"/>
    <w:rsid w:val="4C2F0B6A"/>
    <w:rsid w:val="51656548"/>
    <w:rsid w:val="52C951AD"/>
    <w:rsid w:val="55795268"/>
    <w:rsid w:val="560F7491"/>
    <w:rsid w:val="57677CF3"/>
    <w:rsid w:val="5841C8C7"/>
    <w:rsid w:val="5AD4D20B"/>
    <w:rsid w:val="5AE2E5B4"/>
    <w:rsid w:val="5CB5CADF"/>
    <w:rsid w:val="5E57C73F"/>
    <w:rsid w:val="606651CB"/>
    <w:rsid w:val="63139904"/>
    <w:rsid w:val="696526A3"/>
    <w:rsid w:val="6CA152ED"/>
    <w:rsid w:val="6E25F189"/>
    <w:rsid w:val="7643A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FB3CC"/>
  <w15:chartTrackingRefBased/>
  <w15:docId w15:val="{9E6520C5-36E3-4018-B9DD-0C6DD949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87E9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054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0549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05499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54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05499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character" w:styleId="Mention">
    <w:name w:val="Mention"/>
    <w:basedOn w:val="Policepardfaut"/>
    <w:uiPriority w:val="99"/>
    <w:semiHidden/>
    <w:unhideWhenUsed/>
    <w:rsid w:val="00C11993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6F5906"/>
    <w:pPr>
      <w:spacing w:before="100" w:beforeAutospacing="1" w:after="100" w:afterAutospacing="1"/>
    </w:pPr>
    <w:rPr>
      <w:lang w:val="fr-CA" w:eastAsia="fr-CA"/>
    </w:rPr>
  </w:style>
  <w:style w:type="character" w:customStyle="1" w:styleId="normaltextrun">
    <w:name w:val="normaltextrun"/>
    <w:basedOn w:val="Policepardfaut"/>
    <w:rsid w:val="006F5906"/>
  </w:style>
  <w:style w:type="character" w:customStyle="1" w:styleId="scxw248789400">
    <w:name w:val="scxw248789400"/>
    <w:basedOn w:val="Policepardfaut"/>
    <w:rsid w:val="006F5906"/>
  </w:style>
  <w:style w:type="character" w:customStyle="1" w:styleId="eop">
    <w:name w:val="eop"/>
    <w:basedOn w:val="Policepardfaut"/>
    <w:rsid w:val="006F5906"/>
  </w:style>
  <w:style w:type="character" w:styleId="Accentuation">
    <w:name w:val="Emphasis"/>
    <w:basedOn w:val="Policepardfaut"/>
    <w:uiPriority w:val="20"/>
    <w:qFormat/>
    <w:rsid w:val="00F662DD"/>
    <w:rPr>
      <w:i/>
      <w:iCs/>
    </w:rPr>
  </w:style>
  <w:style w:type="character" w:customStyle="1" w:styleId="Titre4Car">
    <w:name w:val="Titre 4 Car"/>
    <w:basedOn w:val="Policepardfaut"/>
    <w:link w:val="Titre4"/>
    <w:uiPriority w:val="9"/>
    <w:semiHidden/>
    <w:rsid w:val="00D87E9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7F030E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AF0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90131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elies.ulaval.ca/assets/medias/documents/politiques-EDI.pdf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youtube.com/watch?app=desktop&amp;v=-qIBnRhA-5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youtube.com/watch?app=desktop&amp;v=DnswX11VjEk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hec.ca/direction_services/secretariat_general/juridique/reglements_politiques/documents/politique-equite-diversite-inclusio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2" ma:contentTypeDescription="Create a new document." ma:contentTypeScope="" ma:versionID="080cc80851729e86e333a94215c8f073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b6d4d81e8dad38e39188bd0a061c8bea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1B034-9E14-4566-AB0C-5EFA5A349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9CFFCC-95FE-421D-97E0-9B3D5460B86A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43216b7f-ccc7-4475-b013-7278345f6c59"/>
    <ds:schemaRef ds:uri="bf01f919-3957-45d6-8c10-d40d4dfe54b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3E82D63-79E7-4EF9-961F-B4CEFBB812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E0F947-C593-4846-B799-02581855B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380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11</cp:revision>
  <cp:lastPrinted>2016-11-10T10:40:00Z</cp:lastPrinted>
  <dcterms:created xsi:type="dcterms:W3CDTF">2021-11-22T15:50:00Z</dcterms:created>
  <dcterms:modified xsi:type="dcterms:W3CDTF">2022-02-23T19:17:00Z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