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A2B78" w14:textId="35E5DE68" w:rsidR="00E3772A" w:rsidRPr="00E3772A" w:rsidRDefault="00E3772A" w:rsidP="00E3772A">
      <w:pPr>
        <w:rPr>
          <w:rFonts w:ascii="Times New Roman" w:eastAsia="Times New Roman" w:hAnsi="Times New Roman" w:cs="Times New Roman"/>
        </w:rPr>
      </w:pPr>
      <w:r w:rsidRPr="00E3772A">
        <w:rPr>
          <w:rFonts w:ascii="Times New Roman" w:eastAsia="Times New Roman" w:hAnsi="Times New Roman" w:cs="Times New Roman"/>
          <w:b/>
          <w:bCs/>
          <w:kern w:val="36"/>
          <w:sz w:val="48"/>
          <w:szCs w:val="48"/>
        </w:rPr>
        <w:t>Module 4: Facilitating for inclusivity</w:t>
      </w:r>
    </w:p>
    <w:p w14:paraId="512F9627" w14:textId="41884A06" w:rsidR="00E3772A" w:rsidRDefault="00E3772A" w:rsidP="00E3772A">
      <w:pPr>
        <w:spacing w:before="100" w:beforeAutospacing="1" w:after="100" w:afterAutospacing="1"/>
        <w:outlineLvl w:val="1"/>
        <w:rPr>
          <w:rFonts w:ascii="Times New Roman" w:eastAsia="Times New Roman" w:hAnsi="Times New Roman" w:cs="Times New Roman"/>
          <w:b/>
          <w:bCs/>
          <w:sz w:val="36"/>
          <w:szCs w:val="36"/>
        </w:rPr>
      </w:pPr>
      <w:r w:rsidRPr="00E3772A">
        <w:rPr>
          <w:rFonts w:ascii="Times New Roman" w:eastAsia="Times New Roman" w:hAnsi="Times New Roman" w:cs="Times New Roman"/>
          <w:b/>
          <w:bCs/>
          <w:sz w:val="36"/>
          <w:szCs w:val="36"/>
        </w:rPr>
        <w:drawing>
          <wp:inline distT="0" distB="0" distL="0" distR="0" wp14:anchorId="248C900A" wp14:editId="10AAAF39">
            <wp:extent cx="5943600" cy="2339340"/>
            <wp:effectExtent l="0" t="0" r="0" b="0"/>
            <wp:docPr id="1" name="Picture 1"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low confidence"/>
                    <pic:cNvPicPr/>
                  </pic:nvPicPr>
                  <pic:blipFill>
                    <a:blip r:embed="rId5"/>
                    <a:stretch>
                      <a:fillRect/>
                    </a:stretch>
                  </pic:blipFill>
                  <pic:spPr>
                    <a:xfrm>
                      <a:off x="0" y="0"/>
                      <a:ext cx="5943600" cy="2339340"/>
                    </a:xfrm>
                    <a:prstGeom prst="rect">
                      <a:avLst/>
                    </a:prstGeom>
                  </pic:spPr>
                </pic:pic>
              </a:graphicData>
            </a:graphic>
          </wp:inline>
        </w:drawing>
      </w:r>
    </w:p>
    <w:p w14:paraId="46E23C63" w14:textId="4E91F9F9" w:rsidR="00E3772A" w:rsidRPr="00E3772A" w:rsidRDefault="00E3772A" w:rsidP="00E3772A">
      <w:pPr>
        <w:spacing w:before="100" w:beforeAutospacing="1" w:after="100" w:afterAutospacing="1"/>
        <w:outlineLvl w:val="1"/>
        <w:rPr>
          <w:rFonts w:ascii="Times New Roman" w:eastAsia="Times New Roman" w:hAnsi="Times New Roman" w:cs="Times New Roman"/>
          <w:b/>
          <w:bCs/>
          <w:sz w:val="36"/>
          <w:szCs w:val="36"/>
        </w:rPr>
      </w:pPr>
      <w:r w:rsidRPr="00E3772A">
        <w:rPr>
          <w:rFonts w:ascii="Times New Roman" w:eastAsia="Times New Roman" w:hAnsi="Times New Roman" w:cs="Times New Roman"/>
          <w:b/>
          <w:bCs/>
          <w:sz w:val="36"/>
          <w:szCs w:val="36"/>
        </w:rPr>
        <w:t>Introduction and what you can take away from this module</w:t>
      </w:r>
    </w:p>
    <w:p w14:paraId="703378BB" w14:textId="77777777" w:rsidR="00E3772A" w:rsidRPr="00E3772A" w:rsidRDefault="00E3772A" w:rsidP="00E3772A">
      <w:p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rPr>
        <w:t>Welcome to Module 4! This module sets out key principles and applicable strategies for facilitating an inclusive learning environment to help learners feel respected and connected to each other and engaged in course concepts/content, activities, and assessments as they learn during the term. Whether you are the designer and author of the virtual course you are teaching or not, this module will provide you with facilitation strategies that help to build an inclusive learning environment throughout the term, which do not require you to change the content or design of your course. Concepts covered in this module include equity, diversity, decolonization, inclusion (EDDI) and sensitive (trauma-informed) strategies that set an example for learners and the tone for your course.</w:t>
      </w:r>
    </w:p>
    <w:p w14:paraId="01AB9047" w14:textId="77777777" w:rsidR="00E3772A" w:rsidRPr="00E3772A" w:rsidRDefault="00E3772A" w:rsidP="00E3772A">
      <w:p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rPr>
        <w:t>What you can take away from this module</w:t>
      </w:r>
    </w:p>
    <w:p w14:paraId="2DCAAE77" w14:textId="77777777" w:rsidR="00E3772A" w:rsidRPr="00E3772A" w:rsidRDefault="00E3772A" w:rsidP="00E3772A">
      <w:pPr>
        <w:numPr>
          <w:ilvl w:val="0"/>
          <w:numId w:val="1"/>
        </w:num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rPr>
        <w:t>The ability to </w:t>
      </w:r>
      <w:r w:rsidRPr="00E3772A">
        <w:rPr>
          <w:rFonts w:ascii="Times New Roman" w:eastAsia="Times New Roman" w:hAnsi="Times New Roman" w:cs="Times New Roman"/>
          <w:b/>
          <w:bCs/>
        </w:rPr>
        <w:t>identify</w:t>
      </w:r>
      <w:r w:rsidRPr="00E3772A">
        <w:rPr>
          <w:rFonts w:ascii="Times New Roman" w:eastAsia="Times New Roman" w:hAnsi="Times New Roman" w:cs="Times New Roman"/>
        </w:rPr>
        <w:t> and </w:t>
      </w:r>
      <w:r w:rsidRPr="00E3772A">
        <w:rPr>
          <w:rFonts w:ascii="Times New Roman" w:eastAsia="Times New Roman" w:hAnsi="Times New Roman" w:cs="Times New Roman"/>
          <w:b/>
          <w:bCs/>
        </w:rPr>
        <w:t>apply</w:t>
      </w:r>
      <w:r w:rsidRPr="00E3772A">
        <w:rPr>
          <w:rFonts w:ascii="Times New Roman" w:eastAsia="Times New Roman" w:hAnsi="Times New Roman" w:cs="Times New Roman"/>
        </w:rPr>
        <w:t> principles of </w:t>
      </w:r>
      <w:r w:rsidRPr="00E3772A">
        <w:rPr>
          <w:rFonts w:ascii="Times New Roman" w:eastAsia="Times New Roman" w:hAnsi="Times New Roman" w:cs="Times New Roman"/>
          <w:b/>
          <w:bCs/>
        </w:rPr>
        <w:t>inclusivity</w:t>
      </w:r>
      <w:r w:rsidRPr="00E3772A">
        <w:rPr>
          <w:rFonts w:ascii="Times New Roman" w:eastAsia="Times New Roman" w:hAnsi="Times New Roman" w:cs="Times New Roman"/>
        </w:rPr>
        <w:t>, </w:t>
      </w:r>
      <w:r w:rsidRPr="00E3772A">
        <w:rPr>
          <w:rFonts w:ascii="Times New Roman" w:eastAsia="Times New Roman" w:hAnsi="Times New Roman" w:cs="Times New Roman"/>
          <w:b/>
          <w:bCs/>
        </w:rPr>
        <w:t>diversity</w:t>
      </w:r>
      <w:r w:rsidRPr="00E3772A">
        <w:rPr>
          <w:rFonts w:ascii="Times New Roman" w:eastAsia="Times New Roman" w:hAnsi="Times New Roman" w:cs="Times New Roman"/>
        </w:rPr>
        <w:t>, </w:t>
      </w:r>
      <w:r w:rsidRPr="00E3772A">
        <w:rPr>
          <w:rFonts w:ascii="Times New Roman" w:eastAsia="Times New Roman" w:hAnsi="Times New Roman" w:cs="Times New Roman"/>
          <w:b/>
          <w:bCs/>
        </w:rPr>
        <w:t>and/or equity</w:t>
      </w:r>
      <w:r w:rsidRPr="00E3772A">
        <w:rPr>
          <w:rFonts w:ascii="Times New Roman" w:eastAsia="Times New Roman" w:hAnsi="Times New Roman" w:cs="Times New Roman"/>
        </w:rPr>
        <w:t> to humanize how you facilitate your course.</w:t>
      </w:r>
    </w:p>
    <w:p w14:paraId="5393C753" w14:textId="77777777" w:rsidR="00E3772A" w:rsidRPr="00E3772A" w:rsidRDefault="00E3772A" w:rsidP="00E3772A">
      <w:pPr>
        <w:numPr>
          <w:ilvl w:val="0"/>
          <w:numId w:val="1"/>
        </w:num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rPr>
        <w:t>Confidence in how to </w:t>
      </w:r>
      <w:r w:rsidRPr="00E3772A">
        <w:rPr>
          <w:rFonts w:ascii="Times New Roman" w:eastAsia="Times New Roman" w:hAnsi="Times New Roman" w:cs="Times New Roman"/>
          <w:b/>
          <w:bCs/>
        </w:rPr>
        <w:t>navigate sensitive topics</w:t>
      </w:r>
      <w:r w:rsidRPr="00E3772A">
        <w:rPr>
          <w:rFonts w:ascii="Times New Roman" w:eastAsia="Times New Roman" w:hAnsi="Times New Roman" w:cs="Times New Roman"/>
        </w:rPr>
        <w:t> and </w:t>
      </w:r>
      <w:r w:rsidRPr="00E3772A">
        <w:rPr>
          <w:rFonts w:ascii="Times New Roman" w:eastAsia="Times New Roman" w:hAnsi="Times New Roman" w:cs="Times New Roman"/>
          <w:b/>
          <w:bCs/>
        </w:rPr>
        <w:t>create safe and brave spaces</w:t>
      </w:r>
      <w:r w:rsidRPr="00E3772A">
        <w:rPr>
          <w:rFonts w:ascii="Times New Roman" w:eastAsia="Times New Roman" w:hAnsi="Times New Roman" w:cs="Times New Roman"/>
        </w:rPr>
        <w:t> in online discussion with </w:t>
      </w:r>
      <w:r w:rsidRPr="00E3772A">
        <w:rPr>
          <w:rFonts w:ascii="Times New Roman" w:eastAsia="Times New Roman" w:hAnsi="Times New Roman" w:cs="Times New Roman"/>
          <w:b/>
          <w:bCs/>
        </w:rPr>
        <w:t>trauma-informed communication strategies</w:t>
      </w:r>
      <w:r w:rsidRPr="00E3772A">
        <w:rPr>
          <w:rFonts w:ascii="Times New Roman" w:eastAsia="Times New Roman" w:hAnsi="Times New Roman" w:cs="Times New Roman"/>
        </w:rPr>
        <w:t>.</w:t>
      </w:r>
    </w:p>
    <w:p w14:paraId="67529F8E" w14:textId="77777777" w:rsidR="00E3772A" w:rsidRPr="00E3772A" w:rsidRDefault="00E3772A" w:rsidP="00E3772A">
      <w:pPr>
        <w:spacing w:before="100" w:beforeAutospacing="1" w:after="100" w:afterAutospacing="1"/>
        <w:outlineLvl w:val="1"/>
        <w:rPr>
          <w:rFonts w:ascii="Times New Roman" w:eastAsia="Times New Roman" w:hAnsi="Times New Roman" w:cs="Times New Roman"/>
          <w:b/>
          <w:bCs/>
          <w:sz w:val="36"/>
          <w:szCs w:val="36"/>
        </w:rPr>
      </w:pPr>
      <w:r w:rsidRPr="00E3772A">
        <w:rPr>
          <w:rFonts w:ascii="Times New Roman" w:eastAsia="Times New Roman" w:hAnsi="Times New Roman" w:cs="Times New Roman"/>
          <w:b/>
          <w:bCs/>
          <w:sz w:val="36"/>
          <w:szCs w:val="36"/>
        </w:rPr>
        <w:t>Content</w:t>
      </w:r>
    </w:p>
    <w:p w14:paraId="67BFF3B5" w14:textId="77777777" w:rsidR="00E3772A" w:rsidRPr="00E3772A" w:rsidRDefault="00E3772A" w:rsidP="00E3772A">
      <w:pPr>
        <w:spacing w:before="100" w:beforeAutospacing="1" w:after="100" w:afterAutospacing="1"/>
        <w:rPr>
          <w:rFonts w:ascii="Times New Roman" w:eastAsia="Times New Roman" w:hAnsi="Times New Roman" w:cs="Times New Roman"/>
        </w:rPr>
      </w:pPr>
      <w:proofErr w:type="gramStart"/>
      <w:r w:rsidRPr="00E3772A">
        <w:rPr>
          <w:rFonts w:ascii="Times New Roman" w:eastAsia="Times New Roman" w:hAnsi="Times New Roman" w:cs="Times New Roman"/>
        </w:rPr>
        <w:t>All of</w:t>
      </w:r>
      <w:proofErr w:type="gramEnd"/>
      <w:r w:rsidRPr="00E3772A">
        <w:rPr>
          <w:rFonts w:ascii="Times New Roman" w:eastAsia="Times New Roman" w:hAnsi="Times New Roman" w:cs="Times New Roman"/>
        </w:rPr>
        <w:t xml:space="preserve"> the content for Module 4 can be found on the Module 4 overview page of the Humanizing Virtual Learning Course Pressbook:</w:t>
      </w:r>
    </w:p>
    <w:p w14:paraId="49F560E3" w14:textId="77777777" w:rsidR="00E3772A" w:rsidRPr="00E3772A" w:rsidRDefault="00E3772A" w:rsidP="00E3772A">
      <w:pPr>
        <w:numPr>
          <w:ilvl w:val="0"/>
          <w:numId w:val="2"/>
        </w:numPr>
        <w:spacing w:before="100" w:beforeAutospacing="1" w:after="100" w:afterAutospacing="1"/>
        <w:rPr>
          <w:rFonts w:ascii="Times New Roman" w:eastAsia="Times New Roman" w:hAnsi="Times New Roman" w:cs="Times New Roman"/>
        </w:rPr>
      </w:pPr>
      <w:hyperlink r:id="rId6" w:tgtFrame="_blank" w:history="1">
        <w:r w:rsidRPr="00E3772A">
          <w:rPr>
            <w:rFonts w:ascii="Times New Roman" w:eastAsia="Times New Roman" w:hAnsi="Times New Roman" w:cs="Times New Roman"/>
            <w:color w:val="0000FF"/>
            <w:u w:val="single"/>
          </w:rPr>
          <w:t>4.1 Module overview</w:t>
        </w:r>
      </w:hyperlink>
    </w:p>
    <w:p w14:paraId="6592C126" w14:textId="77777777" w:rsidR="00E3772A" w:rsidRPr="00E3772A" w:rsidRDefault="00E3772A" w:rsidP="00E3772A">
      <w:pPr>
        <w:spacing w:before="100" w:beforeAutospacing="1" w:after="100" w:afterAutospacing="1"/>
        <w:outlineLvl w:val="1"/>
        <w:rPr>
          <w:rFonts w:ascii="Times New Roman" w:eastAsia="Times New Roman" w:hAnsi="Times New Roman" w:cs="Times New Roman"/>
          <w:b/>
          <w:bCs/>
          <w:sz w:val="36"/>
          <w:szCs w:val="36"/>
        </w:rPr>
      </w:pPr>
      <w:r w:rsidRPr="00E3772A">
        <w:rPr>
          <w:rFonts w:ascii="Times New Roman" w:eastAsia="Times New Roman" w:hAnsi="Times New Roman" w:cs="Times New Roman"/>
          <w:b/>
          <w:bCs/>
          <w:sz w:val="36"/>
          <w:szCs w:val="36"/>
        </w:rPr>
        <w:t>Required activities for certificate of completion</w:t>
      </w:r>
    </w:p>
    <w:p w14:paraId="4A08C318" w14:textId="77777777" w:rsidR="00E3772A" w:rsidRPr="00E3772A" w:rsidRDefault="00E3772A" w:rsidP="00E3772A">
      <w:p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rPr>
        <w:lastRenderedPageBreak/>
        <w:t xml:space="preserve">Throughout the module, you will encounter activities that will help you actively build your own online course. </w:t>
      </w:r>
      <w:r w:rsidRPr="00E3772A">
        <w:rPr>
          <w:rFonts w:ascii="Times New Roman" w:eastAsia="Times New Roman" w:hAnsi="Times New Roman" w:cs="Times New Roman"/>
          <w:b/>
          <w:bCs/>
        </w:rPr>
        <w:t>If you are working towards a credential</w:t>
      </w:r>
      <w:r w:rsidRPr="00E3772A">
        <w:rPr>
          <w:rFonts w:ascii="Times New Roman" w:eastAsia="Times New Roman" w:hAnsi="Times New Roman" w:cs="Times New Roman"/>
        </w:rPr>
        <w:t xml:space="preserve">, you are required to complete </w:t>
      </w:r>
      <w:r w:rsidRPr="00E3772A">
        <w:rPr>
          <w:rFonts w:ascii="Times New Roman" w:eastAsia="Times New Roman" w:hAnsi="Times New Roman" w:cs="Times New Roman"/>
          <w:b/>
          <w:bCs/>
        </w:rPr>
        <w:t>three</w:t>
      </w:r>
      <w:r w:rsidRPr="00E3772A">
        <w:rPr>
          <w:rFonts w:ascii="Times New Roman" w:eastAsia="Times New Roman" w:hAnsi="Times New Roman" w:cs="Times New Roman"/>
        </w:rPr>
        <w:t xml:space="preserve"> of these activities as evidence of your learning in the course, according to the recommended deadlines outlined in the Course schedule.</w:t>
      </w:r>
    </w:p>
    <w:p w14:paraId="4D3145F6" w14:textId="77777777" w:rsidR="00E3772A" w:rsidRPr="00E3772A" w:rsidRDefault="00E3772A" w:rsidP="00E3772A">
      <w:p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rPr>
        <w:t xml:space="preserve">This is your course and your learning experience – choose 3 of the </w:t>
      </w:r>
      <w:r w:rsidRPr="00E3772A">
        <w:rPr>
          <w:rFonts w:ascii="Times New Roman" w:eastAsia="Times New Roman" w:hAnsi="Times New Roman" w:cs="Times New Roman"/>
          <w:b/>
          <w:bCs/>
        </w:rPr>
        <w:t>“Reflect and apply”</w:t>
      </w:r>
      <w:r w:rsidRPr="00E3772A">
        <w:rPr>
          <w:rFonts w:ascii="Times New Roman" w:eastAsia="Times New Roman" w:hAnsi="Times New Roman" w:cs="Times New Roman"/>
        </w:rPr>
        <w:t xml:space="preserve"> activities to complete that will be most useful to you, your professional development, and your course. The links below will take you directly to the activity description and instructions in the </w:t>
      </w:r>
      <w:hyperlink r:id="rId7" w:tgtFrame="_blank" w:history="1">
        <w:r w:rsidRPr="00E3772A">
          <w:rPr>
            <w:rFonts w:ascii="Times New Roman" w:eastAsia="Times New Roman" w:hAnsi="Times New Roman" w:cs="Times New Roman"/>
            <w:color w:val="0000FF"/>
            <w:u w:val="single"/>
          </w:rPr>
          <w:t>Humanizing Virtual Learning</w:t>
        </w:r>
      </w:hyperlink>
      <w:r w:rsidRPr="00E3772A">
        <w:rPr>
          <w:rFonts w:ascii="Times New Roman" w:eastAsia="Times New Roman" w:hAnsi="Times New Roman" w:cs="Times New Roman"/>
        </w:rPr>
        <w:t xml:space="preserve"> Pressbook where the course content resides.</w:t>
      </w:r>
    </w:p>
    <w:p w14:paraId="7655CAD3" w14:textId="77777777" w:rsidR="00E3772A" w:rsidRPr="00E3772A" w:rsidRDefault="00E3772A" w:rsidP="00E3772A">
      <w:p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rPr>
        <w:t xml:space="preserve">Complete at </w:t>
      </w:r>
      <w:r w:rsidRPr="00E3772A">
        <w:rPr>
          <w:rFonts w:ascii="Times New Roman" w:eastAsia="Times New Roman" w:hAnsi="Times New Roman" w:cs="Times New Roman"/>
          <w:b/>
          <w:bCs/>
        </w:rPr>
        <w:t>least 3</w:t>
      </w:r>
      <w:r w:rsidRPr="00E3772A">
        <w:rPr>
          <w:rFonts w:ascii="Times New Roman" w:eastAsia="Times New Roman" w:hAnsi="Times New Roman" w:cs="Times New Roman"/>
        </w:rPr>
        <w:t xml:space="preserve"> of the Module 4 </w:t>
      </w:r>
      <w:r w:rsidRPr="00E3772A">
        <w:rPr>
          <w:rFonts w:ascii="Times New Roman" w:eastAsia="Times New Roman" w:hAnsi="Times New Roman" w:cs="Times New Roman"/>
          <w:b/>
          <w:bCs/>
        </w:rPr>
        <w:t>Reflect and apply</w:t>
      </w:r>
      <w:r w:rsidRPr="00E3772A">
        <w:rPr>
          <w:rFonts w:ascii="Times New Roman" w:eastAsia="Times New Roman" w:hAnsi="Times New Roman" w:cs="Times New Roman"/>
        </w:rPr>
        <w:t xml:space="preserve"> activities outlined below:</w:t>
      </w:r>
    </w:p>
    <w:p w14:paraId="54530666" w14:textId="77777777" w:rsidR="00E3772A" w:rsidRPr="00E3772A" w:rsidRDefault="00E3772A" w:rsidP="00E3772A">
      <w:pPr>
        <w:numPr>
          <w:ilvl w:val="0"/>
          <w:numId w:val="3"/>
        </w:numPr>
        <w:spacing w:before="100" w:beforeAutospacing="1" w:after="100" w:afterAutospacing="1"/>
        <w:rPr>
          <w:rFonts w:ascii="Times New Roman" w:eastAsia="Times New Roman" w:hAnsi="Times New Roman" w:cs="Times New Roman"/>
        </w:rPr>
      </w:pPr>
      <w:hyperlink r:id="rId8" w:anchor="Reflect-and-apply-Do-academic-conventions-serve-your-learning-outcomes" w:tgtFrame="_blank" w:history="1">
        <w:r w:rsidRPr="00E3772A">
          <w:rPr>
            <w:rFonts w:ascii="Times New Roman" w:eastAsia="Times New Roman" w:hAnsi="Times New Roman" w:cs="Times New Roman"/>
            <w:color w:val="0000FF"/>
            <w:u w:val="single"/>
          </w:rPr>
          <w:t>Do academic conventions serve your learning outcomes?</w:t>
        </w:r>
      </w:hyperlink>
    </w:p>
    <w:p w14:paraId="102959BD" w14:textId="77777777" w:rsidR="00E3772A" w:rsidRPr="00E3772A" w:rsidRDefault="00E3772A" w:rsidP="00E3772A">
      <w:pPr>
        <w:numPr>
          <w:ilvl w:val="0"/>
          <w:numId w:val="3"/>
        </w:numPr>
        <w:spacing w:before="100" w:beforeAutospacing="1" w:after="100" w:afterAutospacing="1"/>
        <w:rPr>
          <w:rFonts w:ascii="Times New Roman" w:eastAsia="Times New Roman" w:hAnsi="Times New Roman" w:cs="Times New Roman"/>
        </w:rPr>
      </w:pPr>
      <w:hyperlink r:id="rId9" w:anchor="Reflect-and-apply-Course-accessibility-checklist-and-plan" w:tgtFrame="_blank" w:history="1">
        <w:r w:rsidRPr="00E3772A">
          <w:rPr>
            <w:rFonts w:ascii="Times New Roman" w:eastAsia="Times New Roman" w:hAnsi="Times New Roman" w:cs="Times New Roman"/>
            <w:color w:val="0000FF"/>
            <w:u w:val="single"/>
          </w:rPr>
          <w:t>Course accessibility checklist and plan</w:t>
        </w:r>
      </w:hyperlink>
    </w:p>
    <w:p w14:paraId="1D64639B" w14:textId="77777777" w:rsidR="00E3772A" w:rsidRPr="00E3772A" w:rsidRDefault="00E3772A" w:rsidP="00E3772A">
      <w:pPr>
        <w:numPr>
          <w:ilvl w:val="0"/>
          <w:numId w:val="3"/>
        </w:numPr>
        <w:spacing w:before="100" w:beforeAutospacing="1" w:after="100" w:afterAutospacing="1"/>
        <w:rPr>
          <w:rFonts w:ascii="Times New Roman" w:eastAsia="Times New Roman" w:hAnsi="Times New Roman" w:cs="Times New Roman"/>
        </w:rPr>
      </w:pPr>
      <w:hyperlink r:id="rId10" w:anchor="Reflect-and-apply-Extending-your-own-power-flower" w:tgtFrame="_blank" w:history="1">
        <w:r w:rsidRPr="00E3772A">
          <w:rPr>
            <w:rFonts w:ascii="Times New Roman" w:eastAsia="Times New Roman" w:hAnsi="Times New Roman" w:cs="Times New Roman"/>
            <w:color w:val="0000FF"/>
            <w:u w:val="single"/>
          </w:rPr>
          <w:t>Extending your own power flower</w:t>
        </w:r>
      </w:hyperlink>
    </w:p>
    <w:p w14:paraId="2F4DF0C6" w14:textId="77777777" w:rsidR="00E3772A" w:rsidRPr="00E3772A" w:rsidRDefault="00E3772A" w:rsidP="00E3772A">
      <w:pPr>
        <w:numPr>
          <w:ilvl w:val="0"/>
          <w:numId w:val="3"/>
        </w:numPr>
        <w:spacing w:before="100" w:beforeAutospacing="1" w:after="100" w:afterAutospacing="1"/>
        <w:rPr>
          <w:rFonts w:ascii="Times New Roman" w:eastAsia="Times New Roman" w:hAnsi="Times New Roman" w:cs="Times New Roman"/>
        </w:rPr>
      </w:pPr>
      <w:hyperlink r:id="rId11" w:anchor="Reflect-and-apply-Responding-to-microaggressions-in-your-own-virtual-learning-environments" w:tgtFrame="_blank" w:history="1">
        <w:r w:rsidRPr="00E3772A">
          <w:rPr>
            <w:rFonts w:ascii="Times New Roman" w:eastAsia="Times New Roman" w:hAnsi="Times New Roman" w:cs="Times New Roman"/>
            <w:color w:val="0000FF"/>
            <w:u w:val="single"/>
          </w:rPr>
          <w:t>Responding to microaggressions in your own virtual learning environments</w:t>
        </w:r>
      </w:hyperlink>
    </w:p>
    <w:p w14:paraId="5C1AAFFF" w14:textId="77777777" w:rsidR="00E3772A" w:rsidRPr="00E3772A" w:rsidRDefault="00E3772A" w:rsidP="00E3772A">
      <w:p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rPr>
        <w:t xml:space="preserve">Once you have completed three or more activities of your choice, </w:t>
      </w:r>
      <w:r w:rsidRPr="00E3772A">
        <w:rPr>
          <w:rFonts w:ascii="Times New Roman" w:eastAsia="Times New Roman" w:hAnsi="Times New Roman" w:cs="Times New Roman"/>
          <w:b/>
          <w:bCs/>
        </w:rPr>
        <w:t>complete the Module 4 Quiz</w:t>
      </w:r>
      <w:r w:rsidRPr="00E3772A">
        <w:rPr>
          <w:rFonts w:ascii="Times New Roman" w:eastAsia="Times New Roman" w:hAnsi="Times New Roman" w:cs="Times New Roman"/>
        </w:rPr>
        <w:t>, indicating which activities you have completed. You will receive a score of 1 for each selection in the quiz.</w:t>
      </w:r>
    </w:p>
    <w:p w14:paraId="06DEC233" w14:textId="77777777" w:rsidR="00E3772A" w:rsidRPr="00E3772A" w:rsidRDefault="00E3772A" w:rsidP="00E3772A">
      <w:p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rPr>
        <w:t xml:space="preserve">Modules quizzes are due by the deadline that appears in the Course schedule (if applicable). Quizzes will be available to complete for the duration of the course. You can submit the quiz multiple times, but only your final submission will be graded. Quizzes will be automatically </w:t>
      </w:r>
      <w:proofErr w:type="gramStart"/>
      <w:r w:rsidRPr="00E3772A">
        <w:rPr>
          <w:rFonts w:ascii="Times New Roman" w:eastAsia="Times New Roman" w:hAnsi="Times New Roman" w:cs="Times New Roman"/>
        </w:rPr>
        <w:t>graded</w:t>
      </w:r>
      <w:proofErr w:type="gramEnd"/>
      <w:r w:rsidRPr="00E3772A">
        <w:rPr>
          <w:rFonts w:ascii="Times New Roman" w:eastAsia="Times New Roman" w:hAnsi="Times New Roman" w:cs="Times New Roman"/>
        </w:rPr>
        <w:t xml:space="preserve"> and you will see your score when you submit.</w:t>
      </w:r>
    </w:p>
    <w:p w14:paraId="2ACCDBF8" w14:textId="77777777" w:rsidR="00E3772A" w:rsidRPr="00E3772A" w:rsidRDefault="00E3772A" w:rsidP="00E3772A">
      <w:pPr>
        <w:numPr>
          <w:ilvl w:val="0"/>
          <w:numId w:val="4"/>
        </w:num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b/>
          <w:bCs/>
        </w:rPr>
        <w:t>Module 4 quiz in the LMS</w:t>
      </w:r>
    </w:p>
    <w:p w14:paraId="101F90D7" w14:textId="77777777" w:rsidR="00E3772A" w:rsidRPr="00E3772A" w:rsidRDefault="00E3772A" w:rsidP="00E3772A">
      <w:pPr>
        <w:spacing w:before="100" w:beforeAutospacing="1" w:after="100" w:afterAutospacing="1"/>
        <w:rPr>
          <w:rFonts w:ascii="Times New Roman" w:eastAsia="Times New Roman" w:hAnsi="Times New Roman" w:cs="Times New Roman"/>
        </w:rPr>
      </w:pPr>
      <w:r w:rsidRPr="00E3772A">
        <w:rPr>
          <w:rFonts w:ascii="Times New Roman" w:eastAsia="Times New Roman" w:hAnsi="Times New Roman" w:cs="Times New Roman"/>
          <w:b/>
          <w:bCs/>
        </w:rPr>
        <w:t xml:space="preserve">Important note: </w:t>
      </w:r>
      <w:proofErr w:type="gramStart"/>
      <w:r w:rsidRPr="00E3772A">
        <w:rPr>
          <w:rFonts w:ascii="Times New Roman" w:eastAsia="Times New Roman" w:hAnsi="Times New Roman" w:cs="Times New Roman"/>
          <w:b/>
          <w:bCs/>
        </w:rPr>
        <w:t>In order to</w:t>
      </w:r>
      <w:proofErr w:type="gramEnd"/>
      <w:r w:rsidRPr="00E3772A">
        <w:rPr>
          <w:rFonts w:ascii="Times New Roman" w:eastAsia="Times New Roman" w:hAnsi="Times New Roman" w:cs="Times New Roman"/>
          <w:b/>
          <w:bCs/>
        </w:rPr>
        <w:t xml:space="preserve"> obtain a certificate of completion for this course, you must self-score 3 in each of the 4 module quizzes.</w:t>
      </w:r>
    </w:p>
    <w:p w14:paraId="09B6C897" w14:textId="7BF0A870" w:rsidR="00E3772A" w:rsidRPr="00E3772A" w:rsidRDefault="00E3772A" w:rsidP="00E3772A">
      <w:pPr>
        <w:spacing w:before="100" w:beforeAutospacing="1" w:after="100" w:afterAutospacing="1"/>
        <w:outlineLvl w:val="1"/>
        <w:rPr>
          <w:rFonts w:ascii="Times New Roman" w:eastAsia="Times New Roman" w:hAnsi="Times New Roman" w:cs="Times New Roman"/>
          <w:b/>
          <w:bCs/>
          <w:sz w:val="36"/>
          <w:szCs w:val="36"/>
        </w:rPr>
      </w:pPr>
      <w:r w:rsidRPr="00E3772A">
        <w:rPr>
          <w:rFonts w:ascii="Times New Roman" w:eastAsia="Times New Roman" w:hAnsi="Times New Roman" w:cs="Times New Roman"/>
          <w:b/>
          <w:bCs/>
          <w:sz w:val="36"/>
          <w:szCs w:val="36"/>
        </w:rPr>
        <w:t>License</w:t>
      </w:r>
    </w:p>
    <w:p w14:paraId="443A0C97" w14:textId="77777777" w:rsidR="00E3772A" w:rsidRPr="00E3772A" w:rsidRDefault="00E3772A" w:rsidP="00E3772A">
      <w:pPr>
        <w:spacing w:before="100" w:beforeAutospacing="1" w:after="100" w:afterAutospacing="1"/>
        <w:rPr>
          <w:rFonts w:ascii="Times New Roman" w:eastAsia="Times New Roman" w:hAnsi="Times New Roman" w:cs="Times New Roman"/>
        </w:rPr>
      </w:pPr>
      <w:hyperlink r:id="rId12" w:tgtFrame="_blank" w:history="1">
        <w:r w:rsidRPr="00E3772A">
          <w:rPr>
            <w:rFonts w:ascii="Times New Roman" w:eastAsia="Times New Roman" w:hAnsi="Times New Roman" w:cs="Times New Roman"/>
            <w:color w:val="0000FF"/>
            <w:u w:val="single"/>
          </w:rPr>
          <w:t>Humanizing Virtual Learning</w:t>
        </w:r>
      </w:hyperlink>
      <w:r w:rsidRPr="00E3772A">
        <w:rPr>
          <w:rFonts w:ascii="Times New Roman" w:eastAsia="Times New Roman" w:hAnsi="Times New Roman" w:cs="Times New Roman"/>
        </w:rPr>
        <w:t xml:space="preserve"> by University of Waterloo; Trent University; and Conestoga College is licensed under a </w:t>
      </w:r>
      <w:hyperlink r:id="rId13" w:tgtFrame="_blank" w:history="1">
        <w:r w:rsidRPr="00E3772A">
          <w:rPr>
            <w:rFonts w:ascii="Times New Roman" w:eastAsia="Times New Roman" w:hAnsi="Times New Roman" w:cs="Times New Roman"/>
            <w:color w:val="0000FF"/>
            <w:u w:val="single"/>
          </w:rPr>
          <w:t>Creative Commons Attribution-</w:t>
        </w:r>
        <w:proofErr w:type="spellStart"/>
        <w:r w:rsidRPr="00E3772A">
          <w:rPr>
            <w:rFonts w:ascii="Times New Roman" w:eastAsia="Times New Roman" w:hAnsi="Times New Roman" w:cs="Times New Roman"/>
            <w:color w:val="0000FF"/>
            <w:u w:val="single"/>
          </w:rPr>
          <w:t>NonCommercial</w:t>
        </w:r>
        <w:proofErr w:type="spellEnd"/>
        <w:r w:rsidRPr="00E3772A">
          <w:rPr>
            <w:rFonts w:ascii="Times New Roman" w:eastAsia="Times New Roman" w:hAnsi="Times New Roman" w:cs="Times New Roman"/>
            <w:color w:val="0000FF"/>
            <w:u w:val="single"/>
          </w:rPr>
          <w:t>-</w:t>
        </w:r>
        <w:proofErr w:type="spellStart"/>
        <w:r w:rsidRPr="00E3772A">
          <w:rPr>
            <w:rFonts w:ascii="Times New Roman" w:eastAsia="Times New Roman" w:hAnsi="Times New Roman" w:cs="Times New Roman"/>
            <w:color w:val="0000FF"/>
            <w:u w:val="single"/>
          </w:rPr>
          <w:t>ShareAlike</w:t>
        </w:r>
        <w:proofErr w:type="spellEnd"/>
        <w:r w:rsidRPr="00E3772A">
          <w:rPr>
            <w:rFonts w:ascii="Times New Roman" w:eastAsia="Times New Roman" w:hAnsi="Times New Roman" w:cs="Times New Roman"/>
            <w:color w:val="0000FF"/>
            <w:u w:val="single"/>
          </w:rPr>
          <w:t xml:space="preserve"> 4.0 International License</w:t>
        </w:r>
      </w:hyperlink>
      <w:r w:rsidRPr="00E3772A">
        <w:rPr>
          <w:rFonts w:ascii="Times New Roman" w:eastAsia="Times New Roman" w:hAnsi="Times New Roman" w:cs="Times New Roman"/>
        </w:rPr>
        <w:t>, except where otherwise noted.</w:t>
      </w:r>
    </w:p>
    <w:p w14:paraId="4A8A198E" w14:textId="77777777" w:rsidR="006D4751" w:rsidRDefault="006D4751"/>
    <w:sectPr w:rsidR="006D47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AE4F0B"/>
    <w:multiLevelType w:val="multilevel"/>
    <w:tmpl w:val="53D22C4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C95ACE"/>
    <w:multiLevelType w:val="multilevel"/>
    <w:tmpl w:val="A59E0F5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8764DC"/>
    <w:multiLevelType w:val="multilevel"/>
    <w:tmpl w:val="24FC2AE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590CE0"/>
    <w:multiLevelType w:val="multilevel"/>
    <w:tmpl w:val="5BA6582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33627328">
    <w:abstractNumId w:val="2"/>
  </w:num>
  <w:num w:numId="2" w16cid:durableId="976253863">
    <w:abstractNumId w:val="0"/>
  </w:num>
  <w:num w:numId="3" w16cid:durableId="356538801">
    <w:abstractNumId w:val="1"/>
  </w:num>
  <w:num w:numId="4" w16cid:durableId="8705305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72A"/>
    <w:rsid w:val="006D4751"/>
    <w:rsid w:val="00E3772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843512B"/>
  <w15:chartTrackingRefBased/>
  <w15:docId w15:val="{0F80CE77-6A3C-4C43-8334-A30AA7B7E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377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3772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772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3772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3772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E3772A"/>
    <w:rPr>
      <w:b/>
      <w:bCs/>
    </w:rPr>
  </w:style>
  <w:style w:type="character" w:styleId="Hyperlink">
    <w:name w:val="Hyperlink"/>
    <w:basedOn w:val="DefaultParagraphFont"/>
    <w:uiPriority w:val="99"/>
    <w:semiHidden/>
    <w:unhideWhenUsed/>
    <w:rsid w:val="00E377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323600">
      <w:bodyDiv w:val="1"/>
      <w:marLeft w:val="0"/>
      <w:marRight w:val="0"/>
      <w:marTop w:val="0"/>
      <w:marBottom w:val="0"/>
      <w:divBdr>
        <w:top w:val="none" w:sz="0" w:space="0" w:color="auto"/>
        <w:left w:val="none" w:sz="0" w:space="0" w:color="auto"/>
        <w:bottom w:val="none" w:sz="0" w:space="0" w:color="auto"/>
        <w:right w:val="none" w:sz="0" w:space="0" w:color="auto"/>
      </w:divBdr>
      <w:divsChild>
        <w:div w:id="95831266">
          <w:marLeft w:val="0"/>
          <w:marRight w:val="0"/>
          <w:marTop w:val="0"/>
          <w:marBottom w:val="0"/>
          <w:divBdr>
            <w:top w:val="none" w:sz="0" w:space="0" w:color="auto"/>
            <w:left w:val="none" w:sz="0" w:space="0" w:color="auto"/>
            <w:bottom w:val="none" w:sz="0" w:space="0" w:color="auto"/>
            <w:right w:val="none" w:sz="0" w:space="0" w:color="auto"/>
          </w:divBdr>
          <w:divsChild>
            <w:div w:id="657155491">
              <w:marLeft w:val="0"/>
              <w:marRight w:val="0"/>
              <w:marTop w:val="0"/>
              <w:marBottom w:val="0"/>
              <w:divBdr>
                <w:top w:val="none" w:sz="0" w:space="0" w:color="auto"/>
                <w:left w:val="none" w:sz="0" w:space="0" w:color="auto"/>
                <w:bottom w:val="none" w:sz="0" w:space="0" w:color="auto"/>
                <w:right w:val="none" w:sz="0" w:space="0" w:color="auto"/>
              </w:divBdr>
            </w:div>
          </w:divsChild>
        </w:div>
        <w:div w:id="1608007019">
          <w:marLeft w:val="0"/>
          <w:marRight w:val="0"/>
          <w:marTop w:val="0"/>
          <w:marBottom w:val="0"/>
          <w:divBdr>
            <w:top w:val="none" w:sz="0" w:space="0" w:color="auto"/>
            <w:left w:val="none" w:sz="0" w:space="0" w:color="auto"/>
            <w:bottom w:val="none" w:sz="0" w:space="0" w:color="auto"/>
            <w:right w:val="none" w:sz="0" w:space="0" w:color="auto"/>
          </w:divBdr>
          <w:divsChild>
            <w:div w:id="1117875417">
              <w:marLeft w:val="0"/>
              <w:marRight w:val="0"/>
              <w:marTop w:val="0"/>
              <w:marBottom w:val="0"/>
              <w:divBdr>
                <w:top w:val="none" w:sz="0" w:space="0" w:color="auto"/>
                <w:left w:val="none" w:sz="0" w:space="0" w:color="auto"/>
                <w:bottom w:val="none" w:sz="0" w:space="0" w:color="auto"/>
                <w:right w:val="none" w:sz="0" w:space="0" w:color="auto"/>
              </w:divBdr>
              <w:divsChild>
                <w:div w:id="823276983">
                  <w:marLeft w:val="0"/>
                  <w:marRight w:val="0"/>
                  <w:marTop w:val="0"/>
                  <w:marBottom w:val="0"/>
                  <w:divBdr>
                    <w:top w:val="none" w:sz="0" w:space="0" w:color="auto"/>
                    <w:left w:val="none" w:sz="0" w:space="0" w:color="auto"/>
                    <w:bottom w:val="none" w:sz="0" w:space="0" w:color="auto"/>
                    <w:right w:val="none" w:sz="0" w:space="0" w:color="auto"/>
                  </w:divBdr>
                  <w:divsChild>
                    <w:div w:id="103542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ampusontario.pressbooks.pub/humanizinglearningonline/chapter/4-2-modelling-inclusive-behaviours-during-term" TargetMode="External"/><Relationship Id="rId13" Type="http://schemas.openxmlformats.org/officeDocument/2006/relationships/hyperlink" Target="https://creativecommons.org/licenses/by-nc-sa/4.0/" TargetMode="External"/><Relationship Id="rId3" Type="http://schemas.openxmlformats.org/officeDocument/2006/relationships/settings" Target="settings.xml"/><Relationship Id="rId7" Type="http://schemas.openxmlformats.org/officeDocument/2006/relationships/hyperlink" Target="https://ecampusontario.pressbooks.pub/humanizinglearningonline/" TargetMode="External"/><Relationship Id="rId12" Type="http://schemas.openxmlformats.org/officeDocument/2006/relationships/hyperlink" Target="https://ecampusontario.pressbooks.pub/humanizinglearning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ampusontario.pressbooks.pub/humanizinglearningonline/chapter/module-4-overview/" TargetMode="External"/><Relationship Id="rId11" Type="http://schemas.openxmlformats.org/officeDocument/2006/relationships/hyperlink" Target="https://ecampusontario.pressbooks.pub/humanizinglearningonline/chapter/4-5-addressing-microaggressions-in-virtual-learning-contexts"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ecampusontario.pressbooks.pub/humanizinglearningonline/chapter/4-5-addressing-microaggressions-in-virtual-learning-contexts" TargetMode="External"/><Relationship Id="rId4" Type="http://schemas.openxmlformats.org/officeDocument/2006/relationships/webSettings" Target="webSettings.xml"/><Relationship Id="rId9" Type="http://schemas.openxmlformats.org/officeDocument/2006/relationships/hyperlink" Target="https://ecampusontario.pressbooks.pub/humanizinglearningonline/chapter/4-2-modelling-inclusive-behaviours-during-ter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3892</Characters>
  <Application>Microsoft Office Word</Application>
  <DocSecurity>0</DocSecurity>
  <Lines>32</Lines>
  <Paragraphs>9</Paragraphs>
  <ScaleCrop>false</ScaleCrop>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Wilson</dc:creator>
  <cp:keywords/>
  <dc:description/>
  <cp:lastModifiedBy>Kristin Wilson</cp:lastModifiedBy>
  <cp:revision>1</cp:revision>
  <dcterms:created xsi:type="dcterms:W3CDTF">2022-03-24T20:34:00Z</dcterms:created>
  <dcterms:modified xsi:type="dcterms:W3CDTF">2022-03-24T20:34:00Z</dcterms:modified>
</cp:coreProperties>
</file>