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5EBC" w:rsidR="007F7750" w:rsidP="007F7750" w:rsidRDefault="007F7750" w14:paraId="0A78F129" w14:textId="4D13615A">
      <w:pPr>
        <w:rPr>
          <w:rFonts w:asciiTheme="majorHAnsi" w:hAnsiTheme="majorHAnsi" w:cstheme="majorHAnsi"/>
          <w:sz w:val="24"/>
          <w:szCs w:val="24"/>
          <w:lang w:val="fr-CA"/>
        </w:rPr>
      </w:pPr>
      <w:r w:rsidRPr="007F7750">
        <w:rPr>
          <w:rFonts w:asciiTheme="majorHAnsi" w:hAnsiTheme="majorHAnsi" w:cstheme="majorHAnsi"/>
          <w:b/>
          <w:bCs/>
          <w:sz w:val="24"/>
          <w:szCs w:val="24"/>
          <w:lang w:val="fr-CA"/>
        </w:rPr>
        <w:t>Titre</w:t>
      </w:r>
      <w:r w:rsidRPr="007F7750">
        <w:rPr>
          <w:rFonts w:asciiTheme="majorHAnsi" w:hAnsiTheme="majorHAnsi" w:cstheme="majorHAnsi"/>
          <w:sz w:val="24"/>
          <w:szCs w:val="24"/>
          <w:lang w:val="fr-CA"/>
        </w:rPr>
        <w:t xml:space="preserve"> : </w:t>
      </w:r>
      <w:r w:rsidRPr="003C5EBC" w:rsidR="003C5EBC">
        <w:rPr>
          <w:rFonts w:asciiTheme="majorHAnsi" w:hAnsiTheme="majorHAnsi" w:cstheme="majorHAnsi"/>
          <w:sz w:val="24"/>
          <w:szCs w:val="24"/>
          <w:lang w:val="fr-CA"/>
        </w:rPr>
        <w:t>Simulation d’entrevue initiale interprofessionnelle : Boîte à outils pour la formation à l’offre active et à la collaboration interprofessionnelle pour les professionnels de la santé et des services sociaux </w:t>
      </w:r>
    </w:p>
    <w:p w:rsidRPr="007F7750" w:rsidR="00EF1BE5" w:rsidP="007F7750" w:rsidRDefault="00EF1BE5" w14:paraId="6AD49A5A" w14:textId="77777777">
      <w:pPr>
        <w:rPr>
          <w:rFonts w:asciiTheme="majorHAnsi" w:hAnsiTheme="majorHAnsi" w:cstheme="majorHAnsi"/>
          <w:sz w:val="24"/>
          <w:szCs w:val="24"/>
          <w:lang w:val="fr-CA"/>
        </w:rPr>
      </w:pPr>
    </w:p>
    <w:p w:rsidR="00D97C6B" w:rsidP="0547D51F" w:rsidRDefault="004A7F3D" w14:paraId="030F216A" w14:textId="1F58B15E">
      <w:pPr>
        <w:jc w:val="both"/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</w:pPr>
      <w:r w:rsidRPr="14E6334C" w:rsidR="004A7F3D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fr-CA"/>
        </w:rPr>
        <w:t>Résumé</w:t>
      </w:r>
      <w:r w:rsidRPr="14E6334C" w:rsidR="007F7750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 : </w:t>
      </w:r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Il s’agit d’une simulation d’entrevue initiale réalisée à l’aide d’une plateforme de vidéoconférence et menée par deux étudiant(e)s : un(e) étudiant(e) en médecine et un(e) étudiant(e) d’une autre discipline (ex. ergothérapie, orthophonie, audiologie, psychologie clinique, nutrition/diététique) parlant des langues différentes. La simulation porte sur l’entrevue initiale avec </w:t>
      </w:r>
      <w:r w:rsidRPr="14E6334C" w:rsidR="00D97C6B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fr-CA"/>
        </w:rPr>
        <w:t>un(e) patient(e) atteint(e) d’un accident vasculaire cérébral (AVC) qui lui a laissé des séquelles : hémiparésie gauche, aphasie et légers troubles de mémoire. Le/la patient(e) est accompagné de son/sa conjoint(e)</w:t>
      </w:r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. Le/la patient(e) a été transféré(e) au centre de réadaptation pour une période de 8-12 semaines. Le/la patient(e) ne se rappelle pas tout ce qui s’est passé durant les 8-10 premiers jours suivants l’AVC, c’est le/la conjoint(e) qui s’occupait de faire les suivis avec le personnel médical. Arrivé</w:t>
      </w:r>
      <w:r w:rsidRPr="14E6334C" w:rsidR="00256F05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(e)</w:t>
      </w:r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 au centre de réadaptation aujourd’hui, </w:t>
      </w:r>
      <w:r w:rsidRPr="14E6334C" w:rsidR="00256F05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l</w:t>
      </w:r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e/la patient(e)</w:t>
      </w:r>
      <w:r w:rsidRPr="14E6334C" w:rsidR="006254E7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 </w:t>
      </w:r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rencontre deux professionnels(elles) de la santé pour </w:t>
      </w:r>
      <w:r w:rsidRPr="14E6334C" w:rsidR="00D97C6B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fr-CA"/>
        </w:rPr>
        <w:t xml:space="preserve">une entrevue initiale. </w:t>
      </w:r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Le/la patient(e), qui était parfaitement bilingue avant son AVC éprouve maintenant de la difficulté à communiquer en anglais et préfère communiquer en français tandis que son/sa conjoint(e) préfère communiquer en anglais. Il s’agit d’une simulation au cours de laquelle les étudiant(e)s doivent </w:t>
      </w:r>
      <w:proofErr w:type="gramStart"/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a</w:t>
      </w:r>
      <w:proofErr w:type="gramEnd"/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) s’enquérir de l’état du/de la patient(e), b) collecter certaines informations</w:t>
      </w:r>
      <w:r w:rsidRPr="14E6334C" w:rsidR="006254E7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,</w:t>
      </w:r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 etc. c) échanger les informations avec l’autre étudiant(e) afin d’avoir un portrait plus complet de la situation. Les étudiant(e)s participants à cette simulation doivent être de niveau débutant. Cette activité est d’une durée totale de 75-90 minutes : 7-8 minutes d’organisation entre les deux étudiant(e)s, 20 minutes de simulation, suivi de 7-8 minutes de discussion interprofessionnelle entre les deux étudiant(e)s, puis de 10 minutes d’une discussion de </w:t>
      </w:r>
      <w:proofErr w:type="spellStart"/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débreffage</w:t>
      </w:r>
      <w:proofErr w:type="spellEnd"/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 en petit groupe et 30-45 minutes de </w:t>
      </w:r>
      <w:proofErr w:type="spellStart"/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débreffage</w:t>
      </w:r>
      <w:proofErr w:type="spellEnd"/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 en grand groupe. </w:t>
      </w:r>
      <w:r w:rsidRPr="14E6334C" w:rsidR="00D97C6B">
        <w:rPr>
          <w:rFonts w:ascii="Calibri" w:hAnsi="Calibri" w:eastAsia="Calibri Light" w:cs="Calibri" w:asciiTheme="majorAscii" w:hAnsiTheme="majorAscii" w:cstheme="majorAscii"/>
          <w:sz w:val="24"/>
          <w:szCs w:val="24"/>
          <w:lang w:val="fr-CA"/>
        </w:rPr>
        <w:t>La durée de la simulation peut être ajustée en fonction de l’horaire et des besoins de l’activité d’apprentissage.</w:t>
      </w:r>
      <w:r w:rsidRPr="14E6334C" w:rsidR="00D97C6B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  </w:t>
      </w:r>
    </w:p>
    <w:p w:rsidRPr="00D97C6B" w:rsidR="00BA4C20" w:rsidP="00D97C6B" w:rsidRDefault="00BA4C20" w14:paraId="05E951BB" w14:textId="77777777">
      <w:pPr>
        <w:jc w:val="both"/>
        <w:rPr>
          <w:rFonts w:asciiTheme="majorHAnsi" w:hAnsiTheme="majorHAnsi" w:cstheme="majorHAnsi"/>
          <w:sz w:val="24"/>
          <w:szCs w:val="24"/>
          <w:lang w:val="fr-CA"/>
        </w:rPr>
      </w:pPr>
    </w:p>
    <w:p w:rsidRPr="00D25C21" w:rsidR="007F7750" w:rsidP="007F7750" w:rsidRDefault="007F7750" w14:paraId="11416407" w14:textId="4AFC2937">
      <w:pPr>
        <w:rPr>
          <w:rFonts w:asciiTheme="majorHAnsi" w:hAnsiTheme="majorHAnsi" w:cstheme="majorHAnsi"/>
          <w:sz w:val="24"/>
          <w:szCs w:val="24"/>
          <w:lang w:val="fr-CA"/>
        </w:rPr>
      </w:pPr>
      <w:r w:rsidRPr="007F7750">
        <w:rPr>
          <w:rFonts w:asciiTheme="majorHAnsi" w:hAnsiTheme="majorHAnsi" w:cstheme="majorHAnsi"/>
          <w:b/>
          <w:bCs/>
          <w:sz w:val="24"/>
          <w:szCs w:val="24"/>
          <w:lang w:val="fr-CA"/>
        </w:rPr>
        <w:t>Objectifs </w:t>
      </w:r>
      <w:r w:rsidRPr="00D25C21" w:rsidR="00D32594">
        <w:rPr>
          <w:rFonts w:asciiTheme="majorHAnsi" w:hAnsiTheme="majorHAnsi" w:cstheme="majorHAnsi"/>
          <w:b/>
          <w:bCs/>
          <w:sz w:val="24"/>
          <w:szCs w:val="24"/>
          <w:lang w:val="fr-CA"/>
        </w:rPr>
        <w:t>d’apprentissage</w:t>
      </w:r>
      <w:r w:rsidRPr="007F7750">
        <w:rPr>
          <w:rFonts w:asciiTheme="majorHAnsi" w:hAnsiTheme="majorHAnsi" w:cstheme="majorHAnsi"/>
          <w:b/>
          <w:bCs/>
          <w:sz w:val="24"/>
          <w:szCs w:val="24"/>
          <w:lang w:val="fr-CA"/>
        </w:rPr>
        <w:t>:</w:t>
      </w:r>
      <w:r w:rsidRPr="007F7750">
        <w:rPr>
          <w:rFonts w:asciiTheme="majorHAnsi" w:hAnsiTheme="majorHAnsi" w:cstheme="majorHAnsi"/>
          <w:sz w:val="24"/>
          <w:szCs w:val="24"/>
          <w:lang w:val="fr-CA"/>
        </w:rPr>
        <w:t xml:space="preserve"> </w:t>
      </w:r>
    </w:p>
    <w:p w:rsidRPr="00BA4C20" w:rsidR="00BA4C20" w:rsidP="00BA4C20" w:rsidRDefault="00BA4C20" w14:paraId="25F491AE" w14:textId="77777777">
      <w:pPr>
        <w:numPr>
          <w:ilvl w:val="0"/>
          <w:numId w:val="6"/>
        </w:numPr>
        <w:spacing w:after="0"/>
        <w:rPr>
          <w:rFonts w:eastAsia="Calibri Light" w:asciiTheme="majorHAnsi" w:hAnsiTheme="majorHAnsi" w:cstheme="majorHAnsi"/>
          <w:spacing w:val="-1"/>
          <w:sz w:val="24"/>
          <w:szCs w:val="24"/>
        </w:rPr>
      </w:pPr>
      <w:r w:rsidRPr="00BA4C20">
        <w:rPr>
          <w:rFonts w:eastAsia="Calibri Light" w:asciiTheme="majorHAnsi" w:hAnsiTheme="majorHAnsi" w:cstheme="majorHAnsi"/>
          <w:spacing w:val="-1"/>
          <w:sz w:val="24"/>
          <w:szCs w:val="24"/>
        </w:rPr>
        <w:t xml:space="preserve">Les étapes </w:t>
      </w:r>
      <w:proofErr w:type="spellStart"/>
      <w:r w:rsidRPr="00BA4C20">
        <w:rPr>
          <w:rFonts w:eastAsia="Calibri Light" w:asciiTheme="majorHAnsi" w:hAnsiTheme="majorHAnsi" w:cstheme="majorHAnsi"/>
          <w:spacing w:val="-1"/>
          <w:sz w:val="24"/>
          <w:szCs w:val="24"/>
        </w:rPr>
        <w:t>d’une</w:t>
      </w:r>
      <w:proofErr w:type="spellEnd"/>
      <w:r w:rsidRPr="00BA4C20">
        <w:rPr>
          <w:rFonts w:eastAsia="Calibri Light" w:asciiTheme="majorHAnsi" w:hAnsiTheme="majorHAnsi" w:cstheme="majorHAnsi"/>
          <w:spacing w:val="-1"/>
          <w:sz w:val="24"/>
          <w:szCs w:val="24"/>
        </w:rPr>
        <w:t xml:space="preserve"> </w:t>
      </w:r>
      <w:proofErr w:type="spellStart"/>
      <w:r w:rsidRPr="00BA4C20">
        <w:rPr>
          <w:rFonts w:eastAsia="Calibri Light" w:asciiTheme="majorHAnsi" w:hAnsiTheme="majorHAnsi" w:cstheme="majorHAnsi"/>
          <w:spacing w:val="-1"/>
          <w:sz w:val="24"/>
          <w:szCs w:val="24"/>
        </w:rPr>
        <w:t>entrevue</w:t>
      </w:r>
      <w:proofErr w:type="spellEnd"/>
      <w:r w:rsidRPr="00BA4C20">
        <w:rPr>
          <w:rFonts w:eastAsia="Calibri Light" w:asciiTheme="majorHAnsi" w:hAnsiTheme="majorHAnsi" w:cstheme="majorHAnsi"/>
          <w:spacing w:val="-1"/>
          <w:sz w:val="24"/>
          <w:szCs w:val="24"/>
        </w:rPr>
        <w:t xml:space="preserve"> </w:t>
      </w:r>
    </w:p>
    <w:p w:rsidR="00DB5022" w:rsidP="00BA4C20" w:rsidRDefault="00BA4C20" w14:paraId="76E0D714" w14:textId="77777777">
      <w:pPr>
        <w:numPr>
          <w:ilvl w:val="0"/>
          <w:numId w:val="6"/>
        </w:numPr>
        <w:spacing w:after="0"/>
        <w:rPr>
          <w:rFonts w:eastAsia="Calibri Light" w:asciiTheme="majorHAnsi" w:hAnsiTheme="majorHAnsi" w:cstheme="majorHAnsi"/>
          <w:spacing w:val="-1"/>
          <w:sz w:val="24"/>
          <w:szCs w:val="24"/>
          <w:lang w:val="fr-CA"/>
        </w:rPr>
        <w:sectPr w:rsidR="00DB5022">
          <w:headerReference w:type="default" r:id="rId11"/>
          <w:footerReference w:type="default" r:id="rId12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00BA4C20">
        <w:rPr>
          <w:rFonts w:eastAsia="Calibri Light" w:asciiTheme="majorHAnsi" w:hAnsiTheme="majorHAnsi" w:cstheme="majorHAnsi"/>
          <w:spacing w:val="-1"/>
          <w:sz w:val="24"/>
          <w:szCs w:val="24"/>
          <w:lang w:val="fr-CA"/>
        </w:rPr>
        <w:t>La communication thérapeutique (écoute active, empathie, vouvoiement, communication avec la famille)</w:t>
      </w:r>
    </w:p>
    <w:p w:rsidR="00DB5022" w:rsidP="00747360" w:rsidRDefault="00BA4C20" w14:paraId="1FDC856A" w14:textId="77777777">
      <w:pPr>
        <w:numPr>
          <w:ilvl w:val="0"/>
          <w:numId w:val="6"/>
        </w:numPr>
        <w:spacing w:after="0"/>
        <w:rPr>
          <w:rFonts w:eastAsia="Calibri Light" w:asciiTheme="majorHAnsi" w:hAnsiTheme="majorHAnsi" w:cstheme="majorHAnsi"/>
          <w:spacing w:val="-1"/>
          <w:sz w:val="24"/>
          <w:szCs w:val="24"/>
          <w:lang w:val="fr-CA"/>
        </w:rPr>
      </w:pPr>
      <w:r w:rsidRPr="00DB5022">
        <w:rPr>
          <w:rFonts w:eastAsia="Calibri Light" w:asciiTheme="majorHAnsi" w:hAnsiTheme="majorHAnsi" w:cstheme="majorHAnsi"/>
          <w:spacing w:val="-1"/>
          <w:sz w:val="24"/>
          <w:szCs w:val="24"/>
          <w:lang w:val="fr-CA"/>
        </w:rPr>
        <w:lastRenderedPageBreak/>
        <w:t>Les comportements d’offre active (s’identifier, accueil bilingue, parler dans la langue dans laquelle la personne se sent le plus à l’aise, tenir compte du niveau de langue)</w:t>
      </w:r>
    </w:p>
    <w:p w:rsidRPr="00DB5022" w:rsidR="00BA4C20" w:rsidP="0547D51F" w:rsidRDefault="00BA4C20" w14:paraId="3CBAD7C8" w14:textId="1C4F0E19">
      <w:pPr>
        <w:numPr>
          <w:ilvl w:val="0"/>
          <w:numId w:val="6"/>
        </w:numPr>
        <w:spacing w:after="0"/>
        <w:rPr>
          <w:rFonts w:ascii="Calibri" w:hAnsi="Calibri" w:eastAsia="Calibri Light" w:cs="Calibri" w:asciiTheme="majorAscii" w:hAnsiTheme="majorAscii" w:cstheme="majorAscii"/>
          <w:spacing w:val="-1"/>
          <w:sz w:val="24"/>
          <w:szCs w:val="24"/>
          <w:lang w:val="fr-CA"/>
        </w:rPr>
      </w:pPr>
      <w:r w:rsidRPr="0547D51F" w:rsidR="00BA4C20">
        <w:rPr>
          <w:rFonts w:ascii="Calibri" w:hAnsi="Calibri" w:eastAsia="Calibri Light" w:cs="Calibri" w:asciiTheme="majorAscii" w:hAnsiTheme="majorAscii" w:cstheme="majorAscii"/>
          <w:spacing w:val="-1"/>
          <w:sz w:val="24"/>
          <w:szCs w:val="24"/>
          <w:lang w:val="fr-CA"/>
        </w:rPr>
        <w:t>La collaboration interprofessionnelle lors d’une consultation multidisciplinaire (rôle et responsabilité de chaque professionnel, responsabilité partagée, communication interprofessionnelle, etc.)</w:t>
      </w:r>
    </w:p>
    <w:p w:rsidRPr="007F7750" w:rsidR="00EF1BE5" w:rsidP="007F7750" w:rsidRDefault="00EF1BE5" w14:paraId="6590EB94" w14:textId="77777777">
      <w:pPr>
        <w:rPr>
          <w:rFonts w:asciiTheme="majorHAnsi" w:hAnsiTheme="majorHAnsi" w:cstheme="majorHAnsi"/>
          <w:sz w:val="24"/>
          <w:szCs w:val="24"/>
          <w:lang w:val="fr-CA"/>
        </w:rPr>
      </w:pPr>
    </w:p>
    <w:p w:rsidRPr="00D25C21" w:rsidR="007F7750" w:rsidP="7C835CB6" w:rsidRDefault="007F7750" w14:paraId="14A72482" w14:textId="4C707EC7">
      <w:pPr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</w:pPr>
      <w:r w:rsidRPr="7C835CB6" w:rsidR="007F7750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fr-CA"/>
        </w:rPr>
        <w:t>Clientèle cible</w:t>
      </w:r>
      <w:r w:rsidRPr="7C835CB6" w:rsidR="007F7750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 : Professeur(e)s ou coordonnateurs/trices de divers programmes en santé et service social qui souhaitent offrir des simulations </w:t>
      </w:r>
      <w:r w:rsidRPr="7C835CB6" w:rsidR="003F1D14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interprofessionnelles </w:t>
      </w:r>
      <w:r w:rsidRPr="7C835CB6" w:rsidR="007F7750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axées sur l’offre active dans le cadre de leur cours.</w:t>
      </w:r>
    </w:p>
    <w:p w:rsidRPr="00D25C21" w:rsidR="001067E5" w:rsidP="7C835CB6" w:rsidRDefault="00EF1BE5" w14:paraId="0648777F" w14:textId="112F9416">
      <w:pPr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</w:pPr>
      <w:r w:rsidRPr="7C835CB6" w:rsidR="00EF1BE5">
        <w:rPr>
          <w:rFonts w:ascii="Calibri" w:hAnsi="Calibri" w:cs="Calibri" w:asciiTheme="majorAscii" w:hAnsiTheme="majorAscii" w:cstheme="majorAscii"/>
          <w:b w:val="1"/>
          <w:bCs w:val="1"/>
          <w:sz w:val="24"/>
          <w:szCs w:val="24"/>
          <w:lang w:val="fr-CA"/>
        </w:rPr>
        <w:t>Professions ciblées</w:t>
      </w:r>
      <w:r w:rsidRPr="7C835CB6" w:rsidR="00EF1BE5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 : </w:t>
      </w:r>
      <w:r w:rsidRPr="7C835CB6" w:rsidR="001067E5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Cette activité d’apprentissage a été expérimentée auprès d</w:t>
      </w:r>
      <w:r w:rsidRPr="7C835CB6" w:rsidR="005D24B3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’</w:t>
      </w:r>
      <w:r w:rsidRPr="7C835CB6" w:rsidR="001067E5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étudiant(e)s des programmes suivants :</w:t>
      </w:r>
    </w:p>
    <w:p w:rsidRPr="000955EB" w:rsidR="00BD7732" w:rsidP="00BD7732" w:rsidRDefault="00BD7732" w14:paraId="76E76AAA" w14:textId="5D407A0D">
      <w:pPr>
        <w:pStyle w:val="Paragraphedeliste"/>
        <w:numPr>
          <w:ilvl w:val="0"/>
          <w:numId w:val="5"/>
        </w:numPr>
        <w:rPr>
          <w:rStyle w:val="normaltextrun"/>
          <w:rFonts w:asciiTheme="majorHAnsi" w:hAnsiTheme="majorHAnsi" w:cstheme="majorHAnsi"/>
          <w:sz w:val="24"/>
          <w:szCs w:val="24"/>
          <w:lang w:val="fr-CA"/>
        </w:rPr>
      </w:pPr>
      <w:r w:rsidRPr="007C6733">
        <w:rPr>
          <w:rStyle w:val="normaltextrun"/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fr-CA"/>
        </w:rPr>
        <w:t>Baccalauréat spécialisé en sciences des aliments et de la nutrition – diététique</w:t>
      </w:r>
      <w:r w:rsidRPr="000955EB">
        <w:rPr>
          <w:rStyle w:val="normaltextrun"/>
          <w:rFonts w:asciiTheme="majorHAnsi" w:hAnsiTheme="majorHAnsi" w:cstheme="majorHAnsi"/>
          <w:sz w:val="24"/>
          <w:szCs w:val="24"/>
          <w:shd w:val="clear" w:color="auto" w:fill="FFFFFF"/>
          <w:lang w:val="fr-CA"/>
        </w:rPr>
        <w:t>, École des sciences de la nutrition, Faculté des sciences de la santé, Université d’Ottawa</w:t>
      </w:r>
    </w:p>
    <w:p w:rsidRPr="000955EB" w:rsidR="00BD7732" w:rsidP="00BD7732" w:rsidRDefault="00CA4594" w14:paraId="21E67871" w14:textId="312CCFE5">
      <w:pPr>
        <w:pStyle w:val="Paragraphedeliste"/>
        <w:numPr>
          <w:ilvl w:val="0"/>
          <w:numId w:val="5"/>
        </w:numPr>
        <w:rPr>
          <w:rStyle w:val="eop"/>
          <w:rFonts w:asciiTheme="majorHAnsi" w:hAnsiTheme="majorHAnsi" w:cstheme="majorHAnsi"/>
          <w:sz w:val="24"/>
          <w:szCs w:val="24"/>
          <w:lang w:val="fr-CA"/>
        </w:rPr>
      </w:pPr>
      <w:r w:rsidRPr="007C6733">
        <w:rPr>
          <w:rStyle w:val="normaltextrun"/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fr-CA"/>
        </w:rPr>
        <w:t>M</w:t>
      </w:r>
      <w:r w:rsidRPr="007C6733" w:rsidR="00BD7732">
        <w:rPr>
          <w:rStyle w:val="normaltextrun"/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fr-CA"/>
        </w:rPr>
        <w:t xml:space="preserve">aîtrise </w:t>
      </w:r>
      <w:r w:rsidR="007C6733">
        <w:rPr>
          <w:rStyle w:val="normaltextrun"/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fr-CA"/>
        </w:rPr>
        <w:t xml:space="preserve">en sciences </w:t>
      </w:r>
      <w:r w:rsidRPr="007C6733" w:rsidR="00BD7732">
        <w:rPr>
          <w:rStyle w:val="normaltextrun"/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fr-CA"/>
        </w:rPr>
        <w:t xml:space="preserve">de la santé </w:t>
      </w:r>
      <w:r w:rsidR="007C6733">
        <w:rPr>
          <w:rStyle w:val="normaltextrun"/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fr-CA"/>
        </w:rPr>
        <w:t>- E</w:t>
      </w:r>
      <w:r w:rsidRPr="007C6733" w:rsidR="00BD7732">
        <w:rPr>
          <w:rStyle w:val="normaltextrun"/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fr-CA"/>
        </w:rPr>
        <w:t>rgothérapie</w:t>
      </w:r>
      <w:r w:rsidRPr="000955EB" w:rsidR="00BD7732">
        <w:rPr>
          <w:rStyle w:val="normaltextrun"/>
          <w:rFonts w:asciiTheme="majorHAnsi" w:hAnsiTheme="majorHAnsi" w:cstheme="majorHAnsi"/>
          <w:sz w:val="24"/>
          <w:szCs w:val="24"/>
          <w:shd w:val="clear" w:color="auto" w:fill="FFFFFF"/>
          <w:lang w:val="fr-CA"/>
        </w:rPr>
        <w:t xml:space="preserve">, </w:t>
      </w:r>
      <w:r w:rsidRPr="00B86EF4" w:rsidR="00BD7732">
        <w:rPr>
          <w:rStyle w:val="normaltextrun"/>
          <w:rFonts w:asciiTheme="majorHAnsi" w:hAnsiTheme="majorHAnsi" w:cstheme="majorHAnsi"/>
          <w:sz w:val="24"/>
          <w:szCs w:val="24"/>
          <w:shd w:val="clear" w:color="auto" w:fill="FFFFFF"/>
          <w:lang w:val="fr-CA"/>
        </w:rPr>
        <w:t>Éc</w:t>
      </w:r>
      <w:r w:rsidRPr="000955EB" w:rsidR="00BD7732">
        <w:rPr>
          <w:rStyle w:val="normaltextrun"/>
          <w:rFonts w:asciiTheme="majorHAnsi" w:hAnsiTheme="majorHAnsi" w:cstheme="majorHAnsi"/>
          <w:sz w:val="24"/>
          <w:szCs w:val="24"/>
          <w:shd w:val="clear" w:color="auto" w:fill="FFFFFF"/>
          <w:lang w:val="fr-CA"/>
        </w:rPr>
        <w:t>ole des sciences de la réadaptation, Faculté des sciences de la santé, Université d’Ottawa</w:t>
      </w:r>
      <w:r w:rsidRPr="000955EB" w:rsidR="00BD7732">
        <w:rPr>
          <w:rStyle w:val="eop"/>
          <w:rFonts w:asciiTheme="majorHAnsi" w:hAnsiTheme="majorHAnsi" w:cstheme="majorHAnsi"/>
          <w:sz w:val="24"/>
          <w:szCs w:val="24"/>
          <w:shd w:val="clear" w:color="auto" w:fill="FFFFFF"/>
          <w:lang w:val="fr-CA"/>
        </w:rPr>
        <w:t> </w:t>
      </w:r>
    </w:p>
    <w:p w:rsidRPr="000955EB" w:rsidR="00624CBF" w:rsidP="00BD7732" w:rsidRDefault="00624CBF" w14:paraId="2ED1900B" w14:textId="1BC83F46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fr-CA"/>
        </w:rPr>
      </w:pPr>
      <w:r w:rsidRPr="000955EB">
        <w:rPr>
          <w:rFonts w:asciiTheme="majorHAnsi" w:hAnsiTheme="majorHAnsi" w:cstheme="majorHAnsi"/>
          <w:b/>
          <w:bCs/>
          <w:sz w:val="24"/>
          <w:szCs w:val="24"/>
          <w:lang w:val="fr-CA"/>
        </w:rPr>
        <w:t xml:space="preserve">Maîtrise en sciences de la santé </w:t>
      </w:r>
      <w:r w:rsidR="007C6733">
        <w:rPr>
          <w:rFonts w:asciiTheme="majorHAnsi" w:hAnsiTheme="majorHAnsi" w:cstheme="majorHAnsi"/>
          <w:b/>
          <w:bCs/>
          <w:sz w:val="24"/>
          <w:szCs w:val="24"/>
          <w:lang w:val="fr-CA"/>
        </w:rPr>
        <w:t>-</w:t>
      </w:r>
      <w:r w:rsidRPr="000955EB">
        <w:rPr>
          <w:rFonts w:asciiTheme="majorHAnsi" w:hAnsiTheme="majorHAnsi" w:cstheme="majorHAnsi"/>
          <w:b/>
          <w:bCs/>
          <w:sz w:val="24"/>
          <w:szCs w:val="24"/>
          <w:lang w:val="fr-CA"/>
        </w:rPr>
        <w:t xml:space="preserve"> Audiologie</w:t>
      </w:r>
      <w:r w:rsidRPr="000955EB" w:rsidR="000955EB">
        <w:rPr>
          <w:rFonts w:asciiTheme="majorHAnsi" w:hAnsiTheme="majorHAnsi" w:cstheme="majorHAnsi"/>
          <w:b/>
          <w:bCs/>
          <w:sz w:val="24"/>
          <w:szCs w:val="24"/>
          <w:lang w:val="fr-CA"/>
        </w:rPr>
        <w:t xml:space="preserve">, </w:t>
      </w:r>
      <w:r w:rsidRPr="000955EB" w:rsidR="000955EB">
        <w:rPr>
          <w:rStyle w:val="normaltextrun"/>
          <w:rFonts w:asciiTheme="majorHAnsi" w:hAnsiTheme="majorHAnsi" w:cstheme="majorHAnsi"/>
          <w:sz w:val="24"/>
          <w:szCs w:val="24"/>
          <w:shd w:val="clear" w:color="auto" w:fill="FFFFFF"/>
          <w:lang w:val="fr-CA"/>
        </w:rPr>
        <w:t>École des sciences de la réadaptation, Faculté des sciences de la santé, Université d’Ottawa</w:t>
      </w:r>
      <w:r w:rsidRPr="000955EB" w:rsidR="000955EB">
        <w:rPr>
          <w:rStyle w:val="eop"/>
          <w:rFonts w:asciiTheme="majorHAnsi" w:hAnsiTheme="majorHAnsi" w:cstheme="majorHAnsi"/>
          <w:sz w:val="24"/>
          <w:szCs w:val="24"/>
          <w:shd w:val="clear" w:color="auto" w:fill="FFFFFF"/>
          <w:lang w:val="fr-CA"/>
        </w:rPr>
        <w:t> </w:t>
      </w:r>
    </w:p>
    <w:p w:rsidRPr="000955EB" w:rsidR="00624CBF" w:rsidP="00BD7732" w:rsidRDefault="00624CBF" w14:paraId="3C8601CD" w14:textId="0C7B3151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fr-CA"/>
        </w:rPr>
      </w:pPr>
      <w:r w:rsidRPr="000955EB">
        <w:rPr>
          <w:rFonts w:asciiTheme="majorHAnsi" w:hAnsiTheme="majorHAnsi" w:cstheme="majorHAnsi"/>
          <w:b/>
          <w:bCs/>
          <w:sz w:val="24"/>
          <w:szCs w:val="24"/>
          <w:lang w:val="fr-CA"/>
        </w:rPr>
        <w:t xml:space="preserve"> Maîtrise en sciences de la santé </w:t>
      </w:r>
      <w:r w:rsidR="007C6733">
        <w:rPr>
          <w:rFonts w:asciiTheme="majorHAnsi" w:hAnsiTheme="majorHAnsi" w:cstheme="majorHAnsi"/>
          <w:b/>
          <w:bCs/>
          <w:sz w:val="24"/>
          <w:szCs w:val="24"/>
          <w:lang w:val="fr-CA"/>
        </w:rPr>
        <w:t>-</w:t>
      </w:r>
      <w:r w:rsidRPr="000955EB">
        <w:rPr>
          <w:rFonts w:asciiTheme="majorHAnsi" w:hAnsiTheme="majorHAnsi" w:cstheme="majorHAnsi"/>
          <w:b/>
          <w:bCs/>
          <w:sz w:val="24"/>
          <w:szCs w:val="24"/>
          <w:lang w:val="fr-CA"/>
        </w:rPr>
        <w:t xml:space="preserve"> Orthophonie</w:t>
      </w:r>
      <w:r w:rsidRPr="000955EB" w:rsidR="000955EB">
        <w:rPr>
          <w:rFonts w:asciiTheme="majorHAnsi" w:hAnsiTheme="majorHAnsi" w:cstheme="majorHAnsi"/>
          <w:b/>
          <w:bCs/>
          <w:sz w:val="24"/>
          <w:szCs w:val="24"/>
          <w:lang w:val="fr-CA"/>
        </w:rPr>
        <w:t xml:space="preserve">, </w:t>
      </w:r>
      <w:r w:rsidRPr="000955EB" w:rsidR="000955EB">
        <w:rPr>
          <w:rStyle w:val="normaltextrun"/>
          <w:rFonts w:asciiTheme="majorHAnsi" w:hAnsiTheme="majorHAnsi" w:cstheme="majorHAnsi"/>
          <w:sz w:val="24"/>
          <w:szCs w:val="24"/>
          <w:shd w:val="clear" w:color="auto" w:fill="FFFFFF"/>
          <w:lang w:val="fr-CA"/>
        </w:rPr>
        <w:t>École des sciences de la réadaptation, Faculté des sciences de la santé, Université d’Ottawa</w:t>
      </w:r>
      <w:r w:rsidRPr="000955EB" w:rsidR="000955EB">
        <w:rPr>
          <w:rStyle w:val="eop"/>
          <w:rFonts w:asciiTheme="majorHAnsi" w:hAnsiTheme="majorHAnsi" w:cstheme="majorHAnsi"/>
          <w:sz w:val="24"/>
          <w:szCs w:val="24"/>
          <w:shd w:val="clear" w:color="auto" w:fill="FFFFFF"/>
          <w:lang w:val="fr-CA"/>
        </w:rPr>
        <w:t> </w:t>
      </w:r>
    </w:p>
    <w:p w:rsidRPr="000955EB" w:rsidR="000955EB" w:rsidP="00BD7732" w:rsidRDefault="000955EB" w14:paraId="66F86E1F" w14:textId="77777777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fr-CA"/>
        </w:rPr>
      </w:pPr>
      <w:r w:rsidRPr="000955EB">
        <w:rPr>
          <w:rFonts w:asciiTheme="majorHAnsi" w:hAnsiTheme="majorHAnsi" w:cstheme="majorHAnsi"/>
          <w:b/>
          <w:bCs/>
          <w:sz w:val="24"/>
          <w:szCs w:val="24"/>
          <w:lang w:val="fr-CA"/>
        </w:rPr>
        <w:t>D</w:t>
      </w:r>
      <w:r w:rsidRPr="000955EB" w:rsidR="00624CBF">
        <w:rPr>
          <w:rFonts w:asciiTheme="majorHAnsi" w:hAnsiTheme="majorHAnsi" w:cstheme="majorHAnsi"/>
          <w:b/>
          <w:bCs/>
          <w:sz w:val="24"/>
          <w:szCs w:val="24"/>
          <w:lang w:val="fr-CA"/>
        </w:rPr>
        <w:t>octorat en psychologie</w:t>
      </w:r>
      <w:r w:rsidRPr="000955EB">
        <w:rPr>
          <w:rFonts w:asciiTheme="majorHAnsi" w:hAnsiTheme="majorHAnsi" w:cstheme="majorHAnsi"/>
          <w:b/>
          <w:bCs/>
          <w:sz w:val="24"/>
          <w:szCs w:val="24"/>
          <w:lang w:val="fr-CA"/>
        </w:rPr>
        <w:t xml:space="preserve">, </w:t>
      </w:r>
      <w:r w:rsidRPr="000955EB" w:rsidR="00624CBF">
        <w:rPr>
          <w:rFonts w:asciiTheme="majorHAnsi" w:hAnsiTheme="majorHAnsi" w:cstheme="majorHAnsi"/>
          <w:sz w:val="24"/>
          <w:szCs w:val="24"/>
          <w:lang w:val="fr-CA"/>
        </w:rPr>
        <w:t>École de psychologie, Faculté des sciences sociales, Université d’Ottawa</w:t>
      </w:r>
    </w:p>
    <w:p w:rsidRPr="000955EB" w:rsidR="00624CBF" w:rsidP="00BD7732" w:rsidRDefault="000955EB" w14:paraId="0809D8B2" w14:textId="2974675B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fr-CA"/>
        </w:rPr>
      </w:pPr>
      <w:r w:rsidRPr="000955EB">
        <w:rPr>
          <w:rFonts w:asciiTheme="majorHAnsi" w:hAnsiTheme="majorHAnsi" w:cstheme="majorHAnsi"/>
          <w:b/>
          <w:bCs/>
          <w:sz w:val="24"/>
          <w:szCs w:val="24"/>
          <w:lang w:val="fr-CA"/>
        </w:rPr>
        <w:t>P</w:t>
      </w:r>
      <w:r w:rsidRPr="000955EB" w:rsidR="00624CBF">
        <w:rPr>
          <w:rFonts w:asciiTheme="majorHAnsi" w:hAnsiTheme="majorHAnsi" w:cstheme="majorHAnsi"/>
          <w:b/>
          <w:bCs/>
          <w:sz w:val="24"/>
          <w:szCs w:val="24"/>
          <w:lang w:val="fr-CA"/>
        </w:rPr>
        <w:t>rogramme de premier cycle en</w:t>
      </w:r>
      <w:r w:rsidRPr="000955EB" w:rsidR="00624CBF">
        <w:rPr>
          <w:rFonts w:asciiTheme="majorHAnsi" w:hAnsiTheme="majorHAnsi" w:cstheme="majorHAnsi"/>
          <w:sz w:val="24"/>
          <w:szCs w:val="24"/>
          <w:lang w:val="fr-CA"/>
        </w:rPr>
        <w:t xml:space="preserve"> </w:t>
      </w:r>
      <w:r w:rsidRPr="000955EB" w:rsidR="00624CBF">
        <w:rPr>
          <w:rFonts w:asciiTheme="majorHAnsi" w:hAnsiTheme="majorHAnsi" w:cstheme="majorHAnsi"/>
          <w:b/>
          <w:bCs/>
          <w:sz w:val="24"/>
          <w:szCs w:val="24"/>
          <w:lang w:val="fr-CA"/>
        </w:rPr>
        <w:t>médecine</w:t>
      </w:r>
      <w:r w:rsidRPr="000955EB">
        <w:rPr>
          <w:rFonts w:asciiTheme="majorHAnsi" w:hAnsiTheme="majorHAnsi" w:cstheme="majorHAnsi"/>
          <w:sz w:val="24"/>
          <w:szCs w:val="24"/>
          <w:lang w:val="fr-CA"/>
        </w:rPr>
        <w:t xml:space="preserve">, </w:t>
      </w:r>
      <w:r w:rsidRPr="000955EB" w:rsidR="00624CBF">
        <w:rPr>
          <w:rFonts w:asciiTheme="majorHAnsi" w:hAnsiTheme="majorHAnsi" w:cstheme="majorHAnsi"/>
          <w:sz w:val="24"/>
          <w:szCs w:val="24"/>
          <w:lang w:val="fr-CA"/>
        </w:rPr>
        <w:t>Faculté de médecine, Université d’Ottawa</w:t>
      </w:r>
    </w:p>
    <w:p w:rsidRPr="007F7750" w:rsidR="00EF1BE5" w:rsidP="7C835CB6" w:rsidRDefault="001067E5" w14:paraId="228D4264" w14:textId="372DBAEC">
      <w:pPr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</w:pPr>
      <w:r w:rsidRPr="7C835CB6" w:rsidR="001067E5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Elle pourrait facilement être adaptée pour les </w:t>
      </w:r>
      <w:r w:rsidRPr="7C835CB6" w:rsidR="00BD7732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étudiant(e)s </w:t>
      </w:r>
      <w:r w:rsidRPr="7C835CB6" w:rsidR="007C6733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d’autres programmes en santé et service social.</w:t>
      </w:r>
    </w:p>
    <w:p w:rsidRPr="007F7750" w:rsidR="007F7750" w:rsidP="007F7750" w:rsidRDefault="007F7750" w14:paraId="6B303909" w14:textId="51839A50">
      <w:pPr>
        <w:rPr>
          <w:rFonts w:asciiTheme="majorHAnsi" w:hAnsiTheme="majorHAnsi" w:cstheme="majorHAnsi"/>
          <w:sz w:val="24"/>
          <w:szCs w:val="24"/>
          <w:lang w:val="fr-CA"/>
        </w:rPr>
      </w:pPr>
      <w:r w:rsidRPr="007F7750">
        <w:rPr>
          <w:rFonts w:asciiTheme="majorHAnsi" w:hAnsiTheme="majorHAnsi" w:cstheme="majorHAnsi"/>
          <w:b/>
          <w:bCs/>
          <w:sz w:val="24"/>
          <w:szCs w:val="24"/>
          <w:lang w:val="fr-CA"/>
        </w:rPr>
        <w:t>Contenu : </w:t>
      </w:r>
      <w:r w:rsidRPr="007F7750">
        <w:rPr>
          <w:rFonts w:asciiTheme="majorHAnsi" w:hAnsiTheme="majorHAnsi" w:cstheme="majorHAnsi"/>
          <w:sz w:val="24"/>
          <w:szCs w:val="24"/>
          <w:lang w:val="fr-CA"/>
        </w:rPr>
        <w:t xml:space="preserve">La </w:t>
      </w:r>
      <w:r w:rsidRPr="00D25C21" w:rsidR="00CC1B5E">
        <w:rPr>
          <w:rFonts w:asciiTheme="majorHAnsi" w:hAnsiTheme="majorHAnsi" w:cstheme="majorHAnsi"/>
          <w:sz w:val="24"/>
          <w:szCs w:val="24"/>
          <w:lang w:val="fr-CA"/>
        </w:rPr>
        <w:t xml:space="preserve">boîte à outils pour cette simulation </w:t>
      </w:r>
      <w:r w:rsidRPr="007F7750">
        <w:rPr>
          <w:rFonts w:asciiTheme="majorHAnsi" w:hAnsiTheme="majorHAnsi" w:cstheme="majorHAnsi"/>
          <w:sz w:val="24"/>
          <w:szCs w:val="24"/>
          <w:lang w:val="fr-CA"/>
        </w:rPr>
        <w:t>contient les documents suivants :</w:t>
      </w:r>
    </w:p>
    <w:p w:rsidRPr="00D25C21" w:rsidR="00CC1B5E" w:rsidP="7C835CB6" w:rsidRDefault="00CC1B5E" w14:paraId="27B8547E" w14:textId="0FC0EA29">
      <w:pPr>
        <w:numPr>
          <w:ilvl w:val="0"/>
          <w:numId w:val="1"/>
        </w:numPr>
        <w:spacing w:after="0"/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</w:pPr>
      <w:r w:rsidRPr="7C835CB6" w:rsidR="00CC1B5E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Document pour les étudiant(e)s </w:t>
      </w:r>
      <w:r w:rsidRPr="7C835CB6" w:rsidR="007973DD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en français et en anglais</w:t>
      </w:r>
    </w:p>
    <w:p w:rsidR="00CC1B5E" w:rsidP="7C835CB6" w:rsidRDefault="00CC1B5E" w14:paraId="39DFBD06" w14:textId="5E2BC5B3">
      <w:pPr>
        <w:numPr>
          <w:ilvl w:val="0"/>
          <w:numId w:val="1"/>
        </w:numPr>
        <w:spacing w:after="0"/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</w:pPr>
      <w:r w:rsidRPr="7C835CB6" w:rsidR="00CC1B5E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Document pour le/la patient(e) simulé(e) </w:t>
      </w:r>
      <w:r w:rsidRPr="7C835CB6" w:rsidR="007973DD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en français </w:t>
      </w:r>
    </w:p>
    <w:p w:rsidRPr="00D25C21" w:rsidR="007973DD" w:rsidP="0547D51F" w:rsidRDefault="007973DD" w14:paraId="1185BCDD" w14:textId="33C293CF">
      <w:pPr>
        <w:numPr>
          <w:ilvl w:val="0"/>
          <w:numId w:val="1"/>
        </w:numPr>
        <w:spacing w:after="0"/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</w:pPr>
      <w:r w:rsidRPr="7C835CB6" w:rsidR="007973DD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Document pour le/la conjoint(e) en anglais</w:t>
      </w:r>
    </w:p>
    <w:p w:rsidRPr="00D25C21" w:rsidR="00CC1B5E" w:rsidP="7C835CB6" w:rsidRDefault="00CC1B5E" w14:paraId="4B2F1FE4" w14:textId="794DE987">
      <w:pPr>
        <w:numPr>
          <w:ilvl w:val="0"/>
          <w:numId w:val="1"/>
        </w:numPr>
        <w:spacing w:after="0"/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</w:pPr>
      <w:r w:rsidRPr="7C835CB6" w:rsidR="00CC1B5E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Document pour les facilitateurs/facilitatrices </w:t>
      </w:r>
      <w:r w:rsidRPr="7C835CB6" w:rsidR="007973DD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en français</w:t>
      </w:r>
    </w:p>
    <w:p w:rsidR="00ED7A8D" w:rsidP="7C835CB6" w:rsidRDefault="00ED7A8D" w14:paraId="62CB9D69" w14:textId="5A36509D">
      <w:pPr>
        <w:numPr>
          <w:ilvl w:val="0"/>
          <w:numId w:val="1"/>
        </w:numPr>
        <w:spacing w:after="0"/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</w:pPr>
      <w:r w:rsidRPr="7C835CB6" w:rsidR="00ED7A8D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Deux grilles d’observation des indicateurs de compétences en collaboration interprofessionnelle et en offre active des services </w:t>
      </w:r>
      <w:r w:rsidRPr="7C835CB6" w:rsidR="00A32142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>dans la langue de choix du/de la  patient(e) et de sa famille</w:t>
      </w:r>
      <w:r w:rsidRPr="7C835CB6" w:rsidR="00ED7A8D">
        <w:rPr>
          <w:rFonts w:ascii="Calibri" w:hAnsi="Calibri" w:cs="Calibri" w:asciiTheme="majorAscii" w:hAnsiTheme="majorAscii" w:cstheme="majorAscii"/>
          <w:sz w:val="24"/>
          <w:szCs w:val="24"/>
          <w:lang w:val="fr-CA"/>
        </w:rPr>
        <w:t xml:space="preserve"> </w:t>
      </w:r>
    </w:p>
    <w:p w:rsidRPr="00D577F4" w:rsidR="00535D55" w:rsidP="7C835CB6" w:rsidRDefault="00535D55" w14:paraId="34CD9540" w14:textId="0C5DEDA2">
      <w:pPr>
        <w:numPr>
          <w:ilvl w:val="0"/>
          <w:numId w:val="1"/>
        </w:numPr>
        <w:spacing w:after="0"/>
        <w:rPr>
          <w:rFonts w:ascii="Calibri" w:hAnsi="Calibri" w:eastAsia="Calibri" w:cs="Calibri" w:asciiTheme="majorAscii" w:hAnsiTheme="majorAscii" w:cstheme="majorAscii"/>
          <w:sz w:val="24"/>
          <w:szCs w:val="24"/>
          <w:lang w:val="fr-CA"/>
        </w:rPr>
      </w:pPr>
      <w:r w:rsidRPr="7C835CB6" w:rsidR="00535D55">
        <w:rPr>
          <w:rFonts w:ascii="Calibri" w:hAnsi="Calibri" w:eastAsia="Calibri" w:cs="Calibri" w:asciiTheme="majorAscii" w:hAnsiTheme="majorAscii" w:cstheme="majorAscii"/>
          <w:sz w:val="24"/>
          <w:szCs w:val="24"/>
          <w:lang w:val="fr-CA"/>
        </w:rPr>
        <w:t>Formulaire de satisfaction des étudiant(e)s par rapport à la simulation</w:t>
      </w:r>
    </w:p>
    <w:p w:rsidRPr="00D25C21" w:rsidR="00535D55" w:rsidP="00535D55" w:rsidRDefault="00535D55" w14:paraId="6CF60292" w14:textId="77777777">
      <w:pPr>
        <w:spacing w:after="0"/>
        <w:ind w:left="360"/>
        <w:rPr>
          <w:rFonts w:asciiTheme="majorHAnsi" w:hAnsiTheme="majorHAnsi" w:cstheme="majorHAnsi"/>
          <w:sz w:val="24"/>
          <w:szCs w:val="24"/>
          <w:lang w:val="fr-CA"/>
        </w:rPr>
      </w:pPr>
    </w:p>
    <w:p w:rsidRPr="00D25C21" w:rsidR="00E07ABF" w:rsidP="00E07ABF" w:rsidRDefault="00E07ABF" w14:paraId="66BC5B2B" w14:textId="77777777">
      <w:pPr>
        <w:spacing w:after="0"/>
        <w:ind w:left="1440"/>
        <w:rPr>
          <w:rFonts w:asciiTheme="majorHAnsi" w:hAnsiTheme="majorHAnsi" w:cstheme="majorHAnsi"/>
          <w:sz w:val="24"/>
          <w:szCs w:val="24"/>
          <w:lang w:val="fr-CA"/>
        </w:rPr>
      </w:pPr>
    </w:p>
    <w:p w:rsidR="001B3045" w:rsidP="001B3045" w:rsidRDefault="001B3045" w14:paraId="559B4411" w14:textId="77777777">
      <w:pPr>
        <w:jc w:val="both"/>
        <w:rPr>
          <w:rFonts w:eastAsia="Calibri" w:asciiTheme="majorHAnsi" w:hAnsiTheme="majorHAnsi" w:cstheme="majorHAnsi"/>
          <w:sz w:val="24"/>
          <w:szCs w:val="24"/>
          <w:lang w:val="fr-CA"/>
        </w:rPr>
      </w:pPr>
      <w:r w:rsidRPr="00533531">
        <w:rPr>
          <w:rFonts w:eastAsia="Calibri" w:asciiTheme="majorHAnsi" w:hAnsiTheme="majorHAnsi" w:cstheme="majorHAnsi"/>
          <w:b/>
          <w:bCs/>
          <w:sz w:val="24"/>
          <w:szCs w:val="24"/>
          <w:lang w:val="fr-CA"/>
        </w:rPr>
        <w:lastRenderedPageBreak/>
        <w:t>Partenaires</w:t>
      </w:r>
      <w:r w:rsidRPr="00533531">
        <w:rPr>
          <w:rFonts w:eastAsia="Calibri" w:asciiTheme="majorHAnsi" w:hAnsiTheme="majorHAnsi" w:cstheme="majorHAnsi"/>
          <w:sz w:val="24"/>
          <w:szCs w:val="24"/>
          <w:lang w:val="fr-CA"/>
        </w:rPr>
        <w:t> </w:t>
      </w:r>
      <w:r w:rsidRPr="00533531">
        <w:rPr>
          <w:rFonts w:eastAsia="Calibri" w:asciiTheme="majorHAnsi" w:hAnsiTheme="majorHAnsi" w:cstheme="majorHAnsi"/>
          <w:b/>
          <w:bCs/>
          <w:sz w:val="24"/>
          <w:szCs w:val="24"/>
          <w:lang w:val="fr-CA"/>
        </w:rPr>
        <w:t>du projet</w:t>
      </w:r>
      <w:r w:rsidRPr="00533531">
        <w:rPr>
          <w:rFonts w:eastAsia="Calibri" w:asciiTheme="majorHAnsi" w:hAnsiTheme="majorHAnsi" w:cstheme="majorHAnsi"/>
          <w:sz w:val="24"/>
          <w:szCs w:val="24"/>
          <w:lang w:val="fr-CA"/>
        </w:rPr>
        <w:t> : Groupe de recherche sur la formation et les pratiques en santé et service social en contexte francophone minoritaire (</w:t>
      </w:r>
      <w:proofErr w:type="spellStart"/>
      <w:r w:rsidRPr="00533531">
        <w:rPr>
          <w:rFonts w:eastAsia="Calibri" w:asciiTheme="majorHAnsi" w:hAnsiTheme="majorHAnsi" w:cstheme="majorHAnsi"/>
          <w:sz w:val="24"/>
          <w:szCs w:val="24"/>
          <w:lang w:val="fr-CA"/>
        </w:rPr>
        <w:t>GReFoPS</w:t>
      </w:r>
      <w:proofErr w:type="spellEnd"/>
      <w:r w:rsidRPr="00533531">
        <w:rPr>
          <w:rFonts w:eastAsia="Calibri" w:asciiTheme="majorHAnsi" w:hAnsiTheme="majorHAnsi" w:cstheme="majorHAnsi"/>
          <w:sz w:val="24"/>
          <w:szCs w:val="24"/>
          <w:lang w:val="fr-CA"/>
        </w:rPr>
        <w:t>) de l’Université d’Ottawa en collaboration avec le Collège La Cité et l’Université de Moncton.   </w:t>
      </w:r>
    </w:p>
    <w:p w:rsidRPr="00560486" w:rsidR="001B3045" w:rsidP="15AD506E" w:rsidRDefault="001B3045" w14:paraId="408F28DA" w14:textId="7E682147">
      <w:pPr>
        <w:jc w:val="both"/>
        <w:rPr>
          <w:rFonts w:ascii="Calibri" w:hAnsi="Calibri" w:eastAsia="Calibri" w:cs="Calibri" w:asciiTheme="majorAscii" w:hAnsiTheme="majorAscii" w:cstheme="majorAscii"/>
          <w:sz w:val="24"/>
          <w:szCs w:val="24"/>
          <w:lang w:val="fr-CA"/>
        </w:rPr>
      </w:pPr>
      <w:r w:rsidRPr="7C835CB6" w:rsidR="001B3045">
        <w:rPr>
          <w:rFonts w:ascii="Calibri" w:hAnsi="Calibri" w:eastAsia="Calibri" w:cs="Calibri" w:asciiTheme="majorAscii" w:hAnsiTheme="majorAscii" w:cstheme="majorAscii"/>
          <w:b w:val="1"/>
          <w:bCs w:val="1"/>
          <w:sz w:val="24"/>
          <w:szCs w:val="24"/>
          <w:lang w:val="fr-CA"/>
        </w:rPr>
        <w:t>Accès aux outils:</w:t>
      </w:r>
      <w:r w:rsidRPr="7C835CB6" w:rsidR="001B3045">
        <w:rPr>
          <w:rFonts w:ascii="Calibri" w:hAnsi="Calibri" w:eastAsia="Calibri" w:cs="Calibri" w:asciiTheme="majorAscii" w:hAnsiTheme="majorAscii" w:cstheme="majorAscii"/>
          <w:sz w:val="24"/>
          <w:szCs w:val="24"/>
          <w:lang w:val="fr-CA"/>
        </w:rPr>
        <w:t xml:space="preserve"> Seuls les éducateurs/éducatrices ont accès aux outils de cette simulation, ceci afin de maximiser l’activité d’apprentissage des étudiant(e)s. </w:t>
      </w:r>
    </w:p>
    <w:p w:rsidRPr="00D25C21" w:rsidR="003A4559" w:rsidP="001B3045" w:rsidRDefault="003A4559" w14:paraId="2C078E63" w14:textId="5245AA18">
      <w:pPr>
        <w:rPr>
          <w:rFonts w:asciiTheme="majorHAnsi" w:hAnsiTheme="majorHAnsi" w:cstheme="majorHAnsi"/>
          <w:sz w:val="24"/>
          <w:szCs w:val="24"/>
          <w:lang w:val="fr-CA"/>
        </w:rPr>
      </w:pPr>
    </w:p>
    <w:sectPr w:rsidRPr="00D25C21" w:rsidR="003A4559"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27F" w:rsidP="00050188" w:rsidRDefault="0030627F" w14:paraId="48A02F5A" w14:textId="77777777">
      <w:pPr>
        <w:spacing w:after="0" w:line="240" w:lineRule="auto"/>
      </w:pPr>
      <w:r>
        <w:separator/>
      </w:r>
    </w:p>
  </w:endnote>
  <w:endnote w:type="continuationSeparator" w:id="0">
    <w:p w:rsidR="0030627F" w:rsidP="00050188" w:rsidRDefault="0030627F" w14:paraId="37950B6E" w14:textId="77777777">
      <w:pPr>
        <w:spacing w:after="0" w:line="240" w:lineRule="auto"/>
      </w:pPr>
      <w:r>
        <w:continuationSeparator/>
      </w:r>
    </w:p>
  </w:endnote>
  <w:endnote w:type="continuationNotice" w:id="1">
    <w:p w:rsidR="0030627F" w:rsidRDefault="0030627F" w14:paraId="32B8611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Fonts w:eastAsia="Calibri" w:cstheme="minorHAnsi"/>
        <w:sz w:val="20"/>
        <w:szCs w:val="20"/>
      </w:rPr>
      <w:id w:val="819932980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-946232891"/>
          <w:docPartObj>
            <w:docPartGallery w:val="Page Numbers (Bottom of Page)"/>
            <w:docPartUnique/>
          </w:docPartObj>
        </w:sdtPr>
        <w:sdtContent>
          <w:p w:rsidRPr="006C0B89" w:rsidR="00DB5022" w:rsidP="00DB5022" w:rsidRDefault="00DB5022" w14:paraId="2373AA11" w14:textId="77777777">
            <w:pPr>
              <w:pStyle w:val="Pieddepage"/>
              <w:jc w:val="center"/>
              <w:rPr>
                <w:rFonts w:cstheme="minorHAnsi"/>
                <w:color w:val="0563C1" w:themeColor="hyperlink"/>
                <w:sz w:val="20"/>
                <w:szCs w:val="20"/>
                <w:u w:val="single"/>
                <w:lang w:val="fr-CA"/>
              </w:rPr>
            </w:pPr>
            <w:r w:rsidRPr="00CD0BE4">
              <w:rPr>
                <w:rFonts w:cstheme="minorHAnsi"/>
                <w:sz w:val="20"/>
                <w:szCs w:val="20"/>
                <w:lang w:val="fr-CA"/>
              </w:rPr>
              <w:t xml:space="preserve">© </w:t>
            </w:r>
            <w:r w:rsidRPr="00F36FE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Savard, J., Giroux, I., Shoppoff, L., </w:t>
            </w:r>
            <w:proofErr w:type="spellStart"/>
            <w:r w:rsidRPr="00F36FE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fr-CA"/>
              </w:rPr>
              <w:t>Denis-LeBlanc</w:t>
            </w:r>
            <w:proofErr w:type="spellEnd"/>
            <w:r w:rsidRPr="00F36FE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, M., Quann, V., McDonald, T., Zamjaoui, N., Lebel, S., Kengneson, C. 2022. </w:t>
            </w:r>
            <w:r w:rsidRPr="00CD0BE4">
              <w:rPr>
                <w:rFonts w:cstheme="minorHAnsi"/>
                <w:sz w:val="20"/>
                <w:szCs w:val="20"/>
                <w:lang w:val="fr-CA"/>
              </w:rPr>
              <w:t>La réalisation de cet</w:t>
            </w:r>
            <w:r>
              <w:rPr>
                <w:rFonts w:cstheme="minorHAnsi"/>
                <w:sz w:val="20"/>
                <w:szCs w:val="20"/>
                <w:lang w:val="fr-CA"/>
              </w:rPr>
              <w:t xml:space="preserve"> outil d’apprentissage </w:t>
            </w:r>
            <w:r w:rsidRPr="00CD0BE4">
              <w:rPr>
                <w:rFonts w:cstheme="minorHAnsi"/>
                <w:sz w:val="20"/>
                <w:szCs w:val="20"/>
                <w:lang w:val="fr-CA"/>
              </w:rPr>
              <w:t xml:space="preserve">par simulation a été rendue possible </w:t>
            </w:r>
            <w:r w:rsidRPr="00FA1CED">
              <w:rPr>
                <w:rFonts w:cstheme="minorHAnsi"/>
                <w:sz w:val="20"/>
                <w:szCs w:val="20"/>
                <w:lang w:val="fr-CA"/>
              </w:rPr>
              <w:t>grâce au financement du gouvernement de l’Ontario et au soutien d’</w:t>
            </w:r>
            <w:proofErr w:type="spellStart"/>
            <w:r w:rsidRPr="00FA1CED">
              <w:rPr>
                <w:rFonts w:cstheme="minorHAnsi"/>
                <w:sz w:val="20"/>
                <w:szCs w:val="20"/>
                <w:lang w:val="fr-CA"/>
              </w:rPr>
              <w:t>eCampus</w:t>
            </w:r>
            <w:proofErr w:type="spellEnd"/>
            <w:r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FA1CED">
              <w:rPr>
                <w:rFonts w:cstheme="minorHAnsi"/>
                <w:sz w:val="20"/>
                <w:szCs w:val="20"/>
                <w:lang w:val="fr-CA"/>
              </w:rPr>
              <w:t>Ontario à l’égard de la Stratégie d’apprentissage virtuel</w:t>
            </w:r>
            <w:r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FA1CED">
              <w:rPr>
                <w:rFonts w:cstheme="minorHAnsi"/>
                <w:sz w:val="20"/>
                <w:szCs w:val="20"/>
                <w:lang w:val="fr-CA"/>
              </w:rPr>
              <w:t>Pour en savoir plus sur la Stratégie d’apprentissage virtuel, consultez le</w:t>
            </w:r>
            <w:r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FA1CED">
              <w:rPr>
                <w:rFonts w:cstheme="minorHAnsi"/>
                <w:sz w:val="20"/>
                <w:szCs w:val="20"/>
                <w:lang w:val="fr-CA"/>
              </w:rPr>
              <w:t>site </w:t>
            </w:r>
            <w:hyperlink w:tgtFrame="_blank" w:tooltip="https://vls.ecampusontario.ca/fr/" w:history="1" r:id="rId1">
              <w:r w:rsidRPr="00FA1CED">
                <w:rPr>
                  <w:rStyle w:val="Lienhypertexte"/>
                  <w:rFonts w:cstheme="minorHAnsi"/>
                  <w:sz w:val="20"/>
                  <w:szCs w:val="20"/>
                  <w:lang w:val="fr-CA"/>
                </w:rPr>
                <w:t>https://vls.ecampusontario.ca/fr/.</w:t>
              </w:r>
            </w:hyperlink>
            <w:r>
              <w:rPr>
                <w:rStyle w:val="Lienhypertexte"/>
                <w:rFonts w:cstheme="minorHAnsi"/>
                <w:sz w:val="20"/>
                <w:szCs w:val="20"/>
                <w:lang w:val="fr-CA"/>
              </w:rPr>
              <w:t xml:space="preserve"> </w:t>
            </w:r>
            <w:r w:rsidRPr="00CD0BE4">
              <w:rPr>
                <w:rFonts w:cstheme="minorHAnsi"/>
                <w:sz w:val="20"/>
                <w:szCs w:val="20"/>
                <w:lang w:val="fr-CA"/>
              </w:rPr>
              <w:t>La réalisation de cet</w:t>
            </w:r>
            <w:r>
              <w:rPr>
                <w:rFonts w:cstheme="minorHAnsi"/>
                <w:sz w:val="20"/>
                <w:szCs w:val="20"/>
                <w:lang w:val="fr-CA"/>
              </w:rPr>
              <w:t xml:space="preserve"> outil d’apprentissage a également </w:t>
            </w:r>
            <w:r w:rsidRPr="0003302D">
              <w:rPr>
                <w:rFonts w:cstheme="minorHAnsi"/>
                <w:sz w:val="20"/>
                <w:szCs w:val="20"/>
                <w:lang w:val="fr-CA"/>
              </w:rPr>
              <w:t>été rendue possible grâce à la contribution financière de Santé Canada</w:t>
            </w:r>
            <w:r>
              <w:rPr>
                <w:rFonts w:cstheme="minorHAnsi"/>
                <w:sz w:val="20"/>
                <w:szCs w:val="20"/>
                <w:lang w:val="fr-CA"/>
              </w:rPr>
              <w:t>, par l’intermédiaire du Consortium national de formation en santé (National).</w:t>
            </w:r>
          </w:p>
          <w:p w:rsidRPr="00CD0BE4" w:rsidR="00DB5022" w:rsidP="00DB5022" w:rsidRDefault="00DB5022" w14:paraId="275020AC" w14:textId="77777777">
            <w:pPr>
              <w:pStyle w:val="Pieddepage"/>
              <w:jc w:val="center"/>
              <w:rPr>
                <w:rFonts w:cstheme="minorHAnsi"/>
                <w:sz w:val="20"/>
                <w:szCs w:val="20"/>
                <w:lang w:val="fr-CA"/>
              </w:rPr>
            </w:pPr>
            <w:r w:rsidRPr="00CD0BE4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À moins d'avis contraire, cet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outil d’apprentissage</w:t>
            </w:r>
            <w:r w:rsidRPr="00CD0BE4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 xml:space="preserve"> est mis à disposition selon les termes de la </w:t>
            </w:r>
            <w:hyperlink w:tooltip="https://creativecommons.org/licenses/by-nc-sa/4.0/deed.fr" w:history="1" r:id="rId2">
              <w:r w:rsidRPr="00CD0BE4">
                <w:rPr>
                  <w:rStyle w:val="Lienhypertexte"/>
                  <w:rFonts w:eastAsia="Times New Roman" w:cstheme="minorHAnsi"/>
                  <w:sz w:val="20"/>
                  <w:szCs w:val="20"/>
                  <w:lang w:val="fr-CA"/>
                </w:rPr>
                <w:t>licence Creative Commons Attribution-Pas d'</w:t>
              </w:r>
              <w:r>
                <w:rPr>
                  <w:rStyle w:val="Lienhypertexte"/>
                  <w:rFonts w:eastAsia="Times New Roman" w:cstheme="minorHAnsi"/>
                  <w:sz w:val="20"/>
                  <w:szCs w:val="20"/>
                  <w:lang w:val="fr-CA"/>
                </w:rPr>
                <w:t>u</w:t>
              </w:r>
              <w:r w:rsidRPr="00CD0BE4">
                <w:rPr>
                  <w:rStyle w:val="Lienhypertexte"/>
                  <w:rFonts w:eastAsia="Times New Roman" w:cstheme="minorHAnsi"/>
                  <w:sz w:val="20"/>
                  <w:szCs w:val="20"/>
                  <w:lang w:val="fr-CA"/>
                </w:rPr>
                <w:t xml:space="preserve">tilisation </w:t>
              </w:r>
              <w:r>
                <w:rPr>
                  <w:rStyle w:val="Lienhypertexte"/>
                  <w:rFonts w:eastAsia="Times New Roman" w:cstheme="minorHAnsi"/>
                  <w:sz w:val="20"/>
                  <w:szCs w:val="20"/>
                  <w:lang w:val="fr-CA"/>
                </w:rPr>
                <w:t>c</w:t>
              </w:r>
              <w:r w:rsidRPr="00CD0BE4">
                <w:rPr>
                  <w:rStyle w:val="Lienhypertexte"/>
                  <w:rFonts w:eastAsia="Times New Roman" w:cstheme="minorHAnsi"/>
                  <w:sz w:val="20"/>
                  <w:szCs w:val="20"/>
                  <w:lang w:val="fr-CA"/>
                </w:rPr>
                <w:t>ommerciale-</w:t>
              </w:r>
              <w:r>
                <w:rPr>
                  <w:rStyle w:val="Lienhypertexte"/>
                  <w:rFonts w:eastAsia="Times New Roman" w:cstheme="minorHAnsi"/>
                  <w:sz w:val="20"/>
                  <w:szCs w:val="20"/>
                  <w:lang w:val="fr-CA"/>
                </w:rPr>
                <w:t>P</w:t>
              </w:r>
              <w:r w:rsidRPr="00CD0BE4">
                <w:rPr>
                  <w:rStyle w:val="Lienhypertexte"/>
                  <w:rFonts w:eastAsia="Times New Roman" w:cstheme="minorHAnsi"/>
                  <w:sz w:val="20"/>
                  <w:szCs w:val="20"/>
                  <w:lang w:val="fr-CA"/>
                </w:rPr>
                <w:t xml:space="preserve">artage dans les </w:t>
              </w:r>
              <w:r>
                <w:rPr>
                  <w:rStyle w:val="Lienhypertexte"/>
                  <w:rFonts w:eastAsia="Times New Roman" w:cstheme="minorHAnsi"/>
                  <w:sz w:val="20"/>
                  <w:szCs w:val="20"/>
                  <w:lang w:val="fr-CA"/>
                </w:rPr>
                <w:t>m</w:t>
              </w:r>
              <w:r w:rsidRPr="00CD0BE4">
                <w:rPr>
                  <w:rStyle w:val="Lienhypertexte"/>
                  <w:rFonts w:eastAsia="Times New Roman" w:cstheme="minorHAnsi"/>
                  <w:sz w:val="20"/>
                  <w:szCs w:val="20"/>
                  <w:lang w:val="fr-CA"/>
                </w:rPr>
                <w:t xml:space="preserve">êmes </w:t>
              </w:r>
              <w:r>
                <w:rPr>
                  <w:rStyle w:val="Lienhypertexte"/>
                  <w:rFonts w:eastAsia="Times New Roman" w:cstheme="minorHAnsi"/>
                  <w:sz w:val="20"/>
                  <w:szCs w:val="20"/>
                  <w:lang w:val="fr-CA"/>
                </w:rPr>
                <w:t>c</w:t>
              </w:r>
              <w:r w:rsidRPr="00CD0BE4">
                <w:rPr>
                  <w:rStyle w:val="Lienhypertexte"/>
                  <w:rFonts w:eastAsia="Times New Roman" w:cstheme="minorHAnsi"/>
                  <w:sz w:val="20"/>
                  <w:szCs w:val="20"/>
                  <w:lang w:val="fr-CA"/>
                </w:rPr>
                <w:t>onditions 4.0 International</w:t>
              </w:r>
            </w:hyperlink>
            <w:r w:rsidRPr="00CD0BE4">
              <w:rPr>
                <w:rFonts w:eastAsia="Times New Roman" w:cstheme="minorHAnsi"/>
                <w:color w:val="000000"/>
                <w:sz w:val="20"/>
                <w:szCs w:val="20"/>
                <w:lang w:val="fr-CA"/>
              </w:rPr>
              <w:t>.</w:t>
            </w:r>
          </w:p>
          <w:p w:rsidRPr="00CD0BE4" w:rsidR="00DB5022" w:rsidP="00DB5022" w:rsidRDefault="00DB5022" w14:paraId="48023FCC" w14:textId="77777777">
            <w:pPr>
              <w:pStyle w:val="Pieddepage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95662BB" wp14:editId="22166FCF">
                  <wp:simplePos x="0" y="0"/>
                  <wp:positionH relativeFrom="column">
                    <wp:align>center</wp:align>
                  </wp:positionH>
                  <wp:positionV relativeFrom="paragraph">
                    <wp:posOffset>89323</wp:posOffset>
                  </wp:positionV>
                  <wp:extent cx="957600" cy="342000"/>
                  <wp:effectExtent l="0" t="0" r="0" b="1270"/>
                  <wp:wrapNone/>
                  <wp:docPr id="3" name="Image 3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0" cy="3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:rsidRPr="00DB5022" w:rsidR="001B3045" w:rsidP="00DB5022" w:rsidRDefault="001B3045" w14:paraId="7D934442" w14:textId="1FEEB3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-273717506"/>
      <w:docPartObj>
        <w:docPartGallery w:val="Page Numbers (Bottom of Page)"/>
        <w:docPartUnique/>
      </w:docPartObj>
    </w:sdtPr>
    <w:sdtContent>
      <w:p w:rsidR="00DB5022" w:rsidRDefault="00DB5022" w14:paraId="261F5482" w14:textId="799F85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7393">
          <w:t>2</w:t>
        </w:r>
        <w:r>
          <w:fldChar w:fldCharType="end"/>
        </w:r>
      </w:p>
    </w:sdtContent>
  </w:sdt>
  <w:sdt>
    <w:sdtPr>
      <w:rPr>
        <w:rFonts w:eastAsia="Calibri" w:cstheme="minorHAnsi"/>
        <w:sz w:val="20"/>
        <w:szCs w:val="20"/>
      </w:rPr>
      <w:id w:val="-30247125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-346089797"/>
          <w:docPartObj>
            <w:docPartGallery w:val="Page Numbers (Bottom of Page)"/>
            <w:docPartUnique/>
          </w:docPartObj>
        </w:sdtPr>
        <w:sdtContent>
          <w:p w:rsidRPr="00407393" w:rsidR="00407393" w:rsidP="00407393" w:rsidRDefault="00407393" w14:paraId="5CD70D90" w14:textId="77777777">
            <w:pPr>
              <w:pStyle w:val="Pieddepage"/>
              <w:jc w:val="center"/>
              <w:rPr>
                <w:rFonts w:cstheme="minorHAnsi"/>
                <w:sz w:val="20"/>
                <w:szCs w:val="20"/>
              </w:rPr>
            </w:pPr>
            <w:r w:rsidRPr="00407393">
              <w:rPr>
                <w:rFonts w:cstheme="minorHAnsi"/>
                <w:sz w:val="20"/>
                <w:szCs w:val="20"/>
              </w:rPr>
              <w:t xml:space="preserve">© </w:t>
            </w:r>
            <w:r w:rsidRPr="0040739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Savard, J., Giroux, I., Shoppoff, L., </w:t>
            </w:r>
            <w:proofErr w:type="spellStart"/>
            <w:r w:rsidRPr="0040739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Denis-LeBlanc</w:t>
            </w:r>
            <w:proofErr w:type="spellEnd"/>
            <w:r w:rsidRPr="0040739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, M., Quann, V., McDonald, T., Zamjaoui, N., Lebel, S., Kengneson, C. 2022. </w:t>
            </w:r>
          </w:p>
          <w:p w:rsidRPr="00CD0BE4" w:rsidR="00407393" w:rsidP="00407393" w:rsidRDefault="00407393" w14:paraId="41304785" w14:textId="77777777">
            <w:pPr>
              <w:pStyle w:val="Pieddepage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4349CF8" wp14:editId="2176C6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89323</wp:posOffset>
                  </wp:positionV>
                  <wp:extent cx="957600" cy="342000"/>
                  <wp:effectExtent l="0" t="0" r="0" b="1270"/>
                  <wp:wrapNone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r:link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0" cy="3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:rsidRPr="00DB5022" w:rsidR="00DB5022" w:rsidP="00DB5022" w:rsidRDefault="00DB5022" w14:paraId="472FA08A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27F" w:rsidP="00050188" w:rsidRDefault="0030627F" w14:paraId="5FE7D700" w14:textId="77777777">
      <w:pPr>
        <w:spacing w:after="0" w:line="240" w:lineRule="auto"/>
      </w:pPr>
      <w:r>
        <w:separator/>
      </w:r>
    </w:p>
  </w:footnote>
  <w:footnote w:type="continuationSeparator" w:id="0">
    <w:p w:rsidR="0030627F" w:rsidP="00050188" w:rsidRDefault="0030627F" w14:paraId="3837FD9D" w14:textId="77777777">
      <w:pPr>
        <w:spacing w:after="0" w:line="240" w:lineRule="auto"/>
      </w:pPr>
      <w:r>
        <w:continuationSeparator/>
      </w:r>
    </w:p>
  </w:footnote>
  <w:footnote w:type="continuationNotice" w:id="1">
    <w:p w:rsidR="0030627F" w:rsidRDefault="0030627F" w14:paraId="17DD252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533F3" w:rsidR="00184438" w:rsidP="00184438" w:rsidRDefault="00184438" w14:paraId="1B245516" w14:textId="77777777">
    <w:pPr>
      <w:pStyle w:val="En-tte"/>
      <w:jc w:val="center"/>
      <w:rPr>
        <w:b/>
        <w:bCs/>
        <w:lang w:val="fr-CA"/>
      </w:rPr>
    </w:pPr>
    <w:r w:rsidRPr="00D44A73">
      <w:rPr>
        <w:b/>
        <w:bCs/>
        <w:lang w:val="fr-CA"/>
      </w:rPr>
      <w:t xml:space="preserve">SIMULATION </w:t>
    </w:r>
    <w:r>
      <w:rPr>
        <w:b/>
        <w:bCs/>
        <w:lang w:val="fr-CA"/>
      </w:rPr>
      <w:t xml:space="preserve">D’UNE </w:t>
    </w:r>
    <w:r w:rsidRPr="00D44A73">
      <w:rPr>
        <w:b/>
        <w:bCs/>
        <w:lang w:val="fr-CA"/>
      </w:rPr>
      <w:t xml:space="preserve">ENTREVUE </w:t>
    </w:r>
    <w:r>
      <w:rPr>
        <w:b/>
        <w:bCs/>
        <w:lang w:val="fr-CA"/>
      </w:rPr>
      <w:t>INITIALE INTERPROFESSIONNELLE INCLUANT UN DÉFI LINGUISTIQUE</w:t>
    </w:r>
  </w:p>
  <w:p w:rsidRPr="00184438" w:rsidR="00184438" w:rsidRDefault="00184438" w14:paraId="623AB25B" w14:textId="77777777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A5F"/>
    <w:multiLevelType w:val="multilevel"/>
    <w:tmpl w:val="C264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426D2C"/>
    <w:multiLevelType w:val="multilevel"/>
    <w:tmpl w:val="184C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0F259E0"/>
    <w:multiLevelType w:val="multilevel"/>
    <w:tmpl w:val="3D58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5065579"/>
    <w:multiLevelType w:val="hybridMultilevel"/>
    <w:tmpl w:val="72C44C4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6319AD"/>
    <w:multiLevelType w:val="multilevel"/>
    <w:tmpl w:val="8FD42D5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726D67"/>
    <w:multiLevelType w:val="multilevel"/>
    <w:tmpl w:val="C4B2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NjM0NjczNDA1MzJX0lEKTi0uzszPAykwrgUAfelZgCwAAAA="/>
  </w:docVars>
  <w:rsids>
    <w:rsidRoot w:val="1ED2FECE"/>
    <w:rsid w:val="0000310C"/>
    <w:rsid w:val="00050188"/>
    <w:rsid w:val="000623EB"/>
    <w:rsid w:val="000955EB"/>
    <w:rsid w:val="001067E5"/>
    <w:rsid w:val="0015237A"/>
    <w:rsid w:val="00184438"/>
    <w:rsid w:val="001B3045"/>
    <w:rsid w:val="001B50EF"/>
    <w:rsid w:val="00200F4A"/>
    <w:rsid w:val="00256F05"/>
    <w:rsid w:val="002B3882"/>
    <w:rsid w:val="003019DE"/>
    <w:rsid w:val="0030627F"/>
    <w:rsid w:val="00326A6D"/>
    <w:rsid w:val="003A4559"/>
    <w:rsid w:val="003C5EBC"/>
    <w:rsid w:val="003F1D14"/>
    <w:rsid w:val="004067F5"/>
    <w:rsid w:val="00407393"/>
    <w:rsid w:val="004A7F3D"/>
    <w:rsid w:val="00532773"/>
    <w:rsid w:val="00535D55"/>
    <w:rsid w:val="00576661"/>
    <w:rsid w:val="005D24B3"/>
    <w:rsid w:val="005E30F7"/>
    <w:rsid w:val="00624CBF"/>
    <w:rsid w:val="006254E7"/>
    <w:rsid w:val="00690C62"/>
    <w:rsid w:val="00723DF2"/>
    <w:rsid w:val="007973DD"/>
    <w:rsid w:val="007C6733"/>
    <w:rsid w:val="007F7750"/>
    <w:rsid w:val="0081361E"/>
    <w:rsid w:val="0088599F"/>
    <w:rsid w:val="008B7FE5"/>
    <w:rsid w:val="008D34D5"/>
    <w:rsid w:val="009029B6"/>
    <w:rsid w:val="00926C2C"/>
    <w:rsid w:val="00961D4D"/>
    <w:rsid w:val="009D5985"/>
    <w:rsid w:val="00A32142"/>
    <w:rsid w:val="00A87A0E"/>
    <w:rsid w:val="00AD335D"/>
    <w:rsid w:val="00AE544C"/>
    <w:rsid w:val="00B86EF4"/>
    <w:rsid w:val="00BA4C20"/>
    <w:rsid w:val="00BD7732"/>
    <w:rsid w:val="00BD7BB4"/>
    <w:rsid w:val="00CA4594"/>
    <w:rsid w:val="00CC1B5E"/>
    <w:rsid w:val="00D1254E"/>
    <w:rsid w:val="00D25C21"/>
    <w:rsid w:val="00D32594"/>
    <w:rsid w:val="00D97C6B"/>
    <w:rsid w:val="00DA7E2E"/>
    <w:rsid w:val="00DB5022"/>
    <w:rsid w:val="00E07ABF"/>
    <w:rsid w:val="00E6379E"/>
    <w:rsid w:val="00ED7A8D"/>
    <w:rsid w:val="00EF1BE5"/>
    <w:rsid w:val="0547D51F"/>
    <w:rsid w:val="14E6334C"/>
    <w:rsid w:val="15AD506E"/>
    <w:rsid w:val="1ED2FECE"/>
    <w:rsid w:val="3C73E7CA"/>
    <w:rsid w:val="3E0FB82B"/>
    <w:rsid w:val="6212609E"/>
    <w:rsid w:val="7398D64B"/>
    <w:rsid w:val="7C83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2FECE"/>
  <w15:chartTrackingRefBased/>
  <w15:docId w15:val="{4D8BAB1B-BAD3-489A-908F-D04AD7C6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0188"/>
    <w:pPr>
      <w:tabs>
        <w:tab w:val="center" w:pos="4703"/>
        <w:tab w:val="right" w:pos="940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050188"/>
  </w:style>
  <w:style w:type="paragraph" w:styleId="Pieddepage">
    <w:name w:val="footer"/>
    <w:basedOn w:val="Normal"/>
    <w:link w:val="PieddepageCar"/>
    <w:uiPriority w:val="99"/>
    <w:unhideWhenUsed/>
    <w:rsid w:val="00050188"/>
    <w:pPr>
      <w:tabs>
        <w:tab w:val="center" w:pos="4703"/>
        <w:tab w:val="right" w:pos="940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50188"/>
  </w:style>
  <w:style w:type="character" w:styleId="Lienhypertexte">
    <w:name w:val="Hyperlink"/>
    <w:basedOn w:val="Policepardfaut"/>
    <w:uiPriority w:val="99"/>
    <w:unhideWhenUsed/>
    <w:rsid w:val="00723DF2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EF1BE5"/>
    <w:pPr>
      <w:widowControl w:val="0"/>
      <w:spacing w:after="0" w:line="240" w:lineRule="auto"/>
      <w:ind w:left="1040" w:hanging="360"/>
    </w:pPr>
    <w:rPr>
      <w:rFonts w:ascii="Calibri Light" w:hAnsi="Calibri Light" w:eastAsia="Calibri Light"/>
      <w:sz w:val="24"/>
      <w:szCs w:val="24"/>
    </w:rPr>
  </w:style>
  <w:style w:type="character" w:styleId="CorpsdetexteCar" w:customStyle="1">
    <w:name w:val="Corps de texte Car"/>
    <w:basedOn w:val="Policepardfaut"/>
    <w:link w:val="Corpsdetexte"/>
    <w:uiPriority w:val="1"/>
    <w:rsid w:val="00EF1BE5"/>
    <w:rPr>
      <w:rFonts w:ascii="Calibri Light" w:hAnsi="Calibri Light" w:eastAsia="Calibri Light"/>
      <w:sz w:val="24"/>
      <w:szCs w:val="24"/>
    </w:rPr>
  </w:style>
  <w:style w:type="character" w:styleId="normaltextrun" w:customStyle="1">
    <w:name w:val="normaltextrun"/>
    <w:basedOn w:val="Policepardfaut"/>
    <w:rsid w:val="00BD7732"/>
  </w:style>
  <w:style w:type="character" w:styleId="eop" w:customStyle="1">
    <w:name w:val="eop"/>
    <w:basedOn w:val="Policepardfaut"/>
    <w:rsid w:val="00BD7732"/>
  </w:style>
  <w:style w:type="paragraph" w:styleId="Paragraphedeliste">
    <w:name w:val="List Paragraph"/>
    <w:basedOn w:val="Normal"/>
    <w:uiPriority w:val="34"/>
    <w:qFormat/>
    <w:rsid w:val="00BD773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23EB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0623E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62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2beca1407fb24fdc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creativecommons.org/licenses/by-nc-sa/4.0/deed.fr" TargetMode="External"/><Relationship Id="rId1" Type="http://schemas.openxmlformats.org/officeDocument/2006/relationships/hyperlink" Target="https://vls.ecampusontario.ca/fr/" TargetMode="External"/><Relationship Id="rId4" Type="http://schemas.openxmlformats.org/officeDocument/2006/relationships/image" Target="cid:4a4a6975-1225-4dd5-b1ca-b6afb3f2464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4a4a6975-1225-4dd5-b1ca-b6afb3f24645" TargetMode="External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ffe72-5c30-486d-be2a-8e89a45dcc96}"/>
      </w:docPartPr>
      <w:docPartBody>
        <w:p w14:paraId="67BFFDB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A410214A0447B6B94AEFF6909EED" ma:contentTypeVersion="16" ma:contentTypeDescription="Create a new document." ma:contentTypeScope="" ma:versionID="44a0287bc2bb883abcb1ac552e31dc54">
  <xsd:schema xmlns:xsd="http://www.w3.org/2001/XMLSchema" xmlns:xs="http://www.w3.org/2001/XMLSchema" xmlns:p="http://schemas.microsoft.com/office/2006/metadata/properties" xmlns:ns2="760ca6d8-45ab-4d0a-b8c5-8ff4fd26a082" xmlns:ns3="5e1ece13-5c04-49d0-a5d5-9b8ee987d856" targetNamespace="http://schemas.microsoft.com/office/2006/metadata/properties" ma:root="true" ma:fieldsID="3ac2c467a378a8f0af6f9764c519907b" ns2:_="" ns3:_="">
    <xsd:import namespace="760ca6d8-45ab-4d0a-b8c5-8ff4fd26a082"/>
    <xsd:import namespace="5e1ece13-5c04-49d0-a5d5-9b8ee987d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a6d8-45ab-4d0a-b8c5-8ff4fd26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e13-5c04-49d0-a5d5-9b8ee987d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0686-bcc7-49ef-834e-9261246539c9}" ma:internalName="TaxCatchAll" ma:showField="CatchAllData" ma:web="5e1ece13-5c04-49d0-a5d5-9b8ee987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ca6d8-45ab-4d0a-b8c5-8ff4fd26a082">
      <Terms xmlns="http://schemas.microsoft.com/office/infopath/2007/PartnerControls"/>
    </lcf76f155ced4ddcb4097134ff3c332f>
    <TaxCatchAll xmlns="5e1ece13-5c04-49d0-a5d5-9b8ee987d8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E7678-9799-4EAC-BEB6-46A9E5B4894A}"/>
</file>

<file path=customXml/itemProps2.xml><?xml version="1.0" encoding="utf-8"?>
<ds:datastoreItem xmlns:ds="http://schemas.openxmlformats.org/officeDocument/2006/customXml" ds:itemID="{B81EE754-1A75-4F7B-8733-13D392C90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323944-8E41-4AF0-BFD8-31DF31F06F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721d29-86f4-47b1-99c4-79387d33cde0"/>
    <ds:schemaRef ds:uri="http://purl.org/dc/elements/1.1/"/>
    <ds:schemaRef ds:uri="http://schemas.microsoft.com/office/2006/metadata/properties"/>
    <ds:schemaRef ds:uri="f87f6923-54e0-42c3-9cfa-18fba579f49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018212-8377-428D-A408-1F7E1D7106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Cris-Carelle Kengneson</dc:creator>
  <keywords/>
  <dc:description/>
  <lastModifiedBy>Josée Benoit</lastModifiedBy>
  <revision>60</revision>
  <dcterms:created xsi:type="dcterms:W3CDTF">2022-02-28T15:35:00.0000000Z</dcterms:created>
  <dcterms:modified xsi:type="dcterms:W3CDTF">2022-02-28T21:29:59.8539767Z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0x010100FE62864C6D3340499879B64D562BF58C</vt:lpwstr>
  </property>
</Properties>
</file>