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143A" w:rsidR="38C608AB" w:rsidP="38C608AB" w:rsidRDefault="38C608AB" w14:paraId="1C2C9A71" w14:textId="22D8BF9F">
      <w:pPr>
        <w:spacing w:line="257" w:lineRule="auto"/>
        <w:jc w:val="both"/>
        <w:rPr>
          <w:lang w:val="fr-CA"/>
        </w:rPr>
      </w:pPr>
      <w:r w:rsidRPr="38C608AB">
        <w:rPr>
          <w:rFonts w:ascii="Calibri Light" w:hAnsi="Calibri Light" w:eastAsia="Calibri Light" w:cs="Calibri Light"/>
          <w:b/>
          <w:bCs/>
          <w:sz w:val="24"/>
          <w:szCs w:val="24"/>
          <w:lang w:val="fr-CA"/>
        </w:rPr>
        <w:t>Titre</w:t>
      </w:r>
      <w:r w:rsidRP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 : Simulation d’une entrevue de préparation du congé (conseils pour le retour à la maison) : Boîte à outils pour la formation à l’offre active et à la collaboration interprofessionnelle pour les professionnels de la santé et des services sociaux  </w:t>
      </w:r>
    </w:p>
    <w:p w:rsidRPr="0049143A" w:rsidR="38C608AB" w:rsidP="38C608AB" w:rsidRDefault="38C608AB" w14:paraId="0E8AE8D8" w14:textId="58720EC2">
      <w:pPr>
        <w:spacing w:line="257" w:lineRule="auto"/>
        <w:jc w:val="both"/>
        <w:rPr>
          <w:lang w:val="fr-CA"/>
        </w:rPr>
      </w:pPr>
      <w:r w:rsidRPr="38C608AB">
        <w:rPr>
          <w:rFonts w:ascii="Calibri Light" w:hAnsi="Calibri Light" w:eastAsia="Calibri Light" w:cs="Calibri Light"/>
          <w:b/>
          <w:bCs/>
          <w:sz w:val="24"/>
          <w:szCs w:val="24"/>
          <w:lang w:val="fr-CA"/>
        </w:rPr>
        <w:t>Résumé</w:t>
      </w:r>
      <w:r w:rsidRP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 : Il s’agit d’une simulation d’entrevue de congé réalisée à l’aide d’une plateforme de vidéoconférence et menée par deux étudiant(e)s : un(e) étudiant(e) en physiothérapie et un(e) étudiant(e) en travail social. La simulation porte sur une consultation avec un(e) patient(e) atteint(e) d’un </w:t>
      </w:r>
      <w:r w:rsidRPr="38C608AB">
        <w:rPr>
          <w:rFonts w:ascii="Calibri Light" w:hAnsi="Calibri Light" w:eastAsia="Calibri Light" w:cs="Calibri Light"/>
          <w:b/>
          <w:bCs/>
          <w:sz w:val="24"/>
          <w:szCs w:val="24"/>
          <w:lang w:val="fr-CA"/>
        </w:rPr>
        <w:t>accident vasculaire cérébral (AVC)</w:t>
      </w:r>
      <w:r w:rsidRP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 et son enfant (fils ou fille). Le/la patient(e) a été admis(e) en soins aigus le jour de son AVC et transféré(e) en centre de réadaptation depuis deux semaines.</w:t>
      </w:r>
    </w:p>
    <w:p w:rsidRPr="0049143A" w:rsidR="38C608AB" w:rsidP="38C608AB" w:rsidRDefault="38C608AB" w14:paraId="6EAD7C1E" w14:textId="36041F59">
      <w:pPr>
        <w:spacing w:line="257" w:lineRule="auto"/>
        <w:jc w:val="both"/>
        <w:rPr>
          <w:lang w:val="fr-CA"/>
        </w:rPr>
      </w:pPr>
      <w:r w:rsidRPr="06785D3D" w:rsidR="38C608AB">
        <w:rPr>
          <w:rFonts w:ascii="Calibri Light" w:hAnsi="Calibri Light" w:eastAsia="Calibri Light" w:cs="Calibri Light"/>
          <w:b w:val="1"/>
          <w:bCs w:val="1"/>
          <w:sz w:val="24"/>
          <w:szCs w:val="24"/>
          <w:lang w:val="fr-CA"/>
        </w:rPr>
        <w:t xml:space="preserve">L’AVC a laissé comme principales séquelles une faiblesse importante au côté droit et une aphasie modérée. </w:t>
      </w:r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L’état du/de la patient(e) s’est amélioré depuis lors et il/elle doit retourner à la maison. Toutefois, le/la patient(e) a eu une chute la veille de l’entrevue en tentant de se lever seul(e). Il s’agit d’une entrevue de préparation au congé durant laquelle les étudiant(e)s doivent : a) </w:t>
      </w:r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>collaborer ensemble</w:t>
      </w:r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 pour planifier l’entrevue de congé, puis b) effectuer une évaluation du/de la patient(e) selon leur discipline (ex. évaluation du positionnement, transfert et mobilité pour le/la physiothérapeute et offrir des ressources selon la situation pour le travailleur social ou la travailleuse sociale). Les étudiant(e)s participant à cette simulation doivent être de niveau intermédiaire à </w:t>
      </w:r>
      <w:proofErr w:type="gramStart"/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>avancé</w:t>
      </w:r>
      <w:proofErr w:type="gramEnd"/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. Cette activité est d’une durée totale de 40 minutes, incluant 23 minutes de simulation et 17 minutes de </w:t>
      </w:r>
      <w:proofErr w:type="spellStart"/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>débreffage</w:t>
      </w:r>
      <w:proofErr w:type="spellEnd"/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. La durée de la simulation peut être ajustée en fonction de l’horaire et des besoins de l’activité d’apprentissage. </w:t>
      </w:r>
    </w:p>
    <w:p w:rsidR="007F7750" w:rsidP="38C608AB" w:rsidRDefault="007F7750" w14:paraId="3B1725CE" w14:textId="73BE144B">
      <w:pPr>
        <w:spacing w:line="257" w:lineRule="auto"/>
        <w:jc w:val="both"/>
      </w:pPr>
      <w:r w:rsidRPr="38C608AB">
        <w:rPr>
          <w:rFonts w:ascii="Calibri Light" w:hAnsi="Calibri Light" w:eastAsia="Calibri Light" w:cs="Calibri Light"/>
          <w:b/>
          <w:sz w:val="24"/>
          <w:szCs w:val="24"/>
          <w:lang w:val="fr-CA"/>
        </w:rPr>
        <w:t>Objectifs </w:t>
      </w:r>
      <w:r w:rsidRPr="38C608AB" w:rsidR="00D32594">
        <w:rPr>
          <w:rFonts w:ascii="Calibri Light" w:hAnsi="Calibri Light" w:eastAsia="Calibri Light" w:cs="Calibri Light"/>
          <w:b/>
          <w:sz w:val="24"/>
          <w:szCs w:val="24"/>
          <w:lang w:val="fr-CA"/>
        </w:rPr>
        <w:t>d’apprentissage</w:t>
      </w:r>
      <w:r w:rsidRPr="38C608AB">
        <w:rPr>
          <w:rFonts w:ascii="Calibri Light" w:hAnsi="Calibri Light" w:eastAsia="Calibri Light" w:cs="Calibri Light"/>
          <w:b/>
          <w:sz w:val="24"/>
          <w:szCs w:val="24"/>
          <w:lang w:val="fr-CA"/>
        </w:rPr>
        <w:t>:</w:t>
      </w:r>
      <w:r w:rsidRP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 </w:t>
      </w:r>
      <w:r w:rsidRPr="38C608AB" w:rsid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 </w:t>
      </w:r>
    </w:p>
    <w:p w:rsidR="00FC70C4" w:rsidP="06785D3D" w:rsidRDefault="00FC70C4" w14:paraId="6809FDBC" w14:textId="2F7B0603">
      <w:pPr>
        <w:pStyle w:val="Paragraphedeliste"/>
        <w:numPr>
          <w:ilvl w:val="0"/>
          <w:numId w:val="9"/>
        </w:numPr>
        <w:tabs>
          <w:tab w:val="left" w:leader="none" w:pos="720"/>
        </w:tabs>
        <w:spacing w:line="257" w:lineRule="auto"/>
        <w:jc w:val="both"/>
        <w:rPr>
          <w:rFonts w:eastAsia="" w:eastAsiaTheme="minorEastAsia"/>
          <w:sz w:val="24"/>
          <w:szCs w:val="24"/>
          <w:lang w:val="fr-CA"/>
        </w:rPr>
      </w:pPr>
      <w:r w:rsidRPr="06785D3D" w:rsidR="00FC70C4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Apprendre à propos de la profession de physiothérapeute et du travailleur </w:t>
      </w:r>
      <w:r w:rsidRPr="06785D3D" w:rsidR="00FC70C4">
        <w:rPr>
          <w:rFonts w:ascii="Calibri Light" w:hAnsi="Calibri Light" w:eastAsia="Calibri Light" w:cs="Calibri Light"/>
          <w:sz w:val="24"/>
          <w:szCs w:val="24"/>
          <w:lang w:val="fr-CA"/>
        </w:rPr>
        <w:t>social (</w:t>
      </w:r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>travailleuse sociale).</w:t>
      </w:r>
    </w:p>
    <w:p w:rsidR="38C608AB" w:rsidP="38C608AB" w:rsidRDefault="38C608AB" w14:paraId="5E8F11D5" w14:textId="0BDE3DB9">
      <w:pPr>
        <w:pStyle w:val="Paragraphedeliste"/>
        <w:numPr>
          <w:ilvl w:val="0"/>
          <w:numId w:val="9"/>
        </w:numPr>
        <w:tabs>
          <w:tab w:val="left" w:pos="0"/>
          <w:tab w:val="left" w:pos="720"/>
        </w:tabs>
        <w:spacing w:line="257" w:lineRule="auto"/>
        <w:jc w:val="both"/>
        <w:rPr>
          <w:rFonts w:eastAsiaTheme="minorEastAsia"/>
          <w:sz w:val="24"/>
          <w:szCs w:val="24"/>
          <w:lang w:val="fr-CA"/>
        </w:rPr>
      </w:pPr>
      <w:r w:rsidRP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Mettre en pratique les compétences de collaboration interprofessionnelle et la compétence d’offre active du français.  </w:t>
      </w:r>
    </w:p>
    <w:p w:rsidRPr="0049143A" w:rsidR="38C608AB" w:rsidP="06785D3D" w:rsidRDefault="38C608AB" w14:paraId="52833BBB" w14:textId="6C712FFA">
      <w:pPr>
        <w:pStyle w:val="Paragraphedeliste"/>
        <w:numPr>
          <w:ilvl w:val="0"/>
          <w:numId w:val="9"/>
        </w:numPr>
        <w:tabs>
          <w:tab w:val="left" w:leader="none" w:pos="720"/>
        </w:tabs>
        <w:spacing w:line="257" w:lineRule="auto"/>
        <w:jc w:val="both"/>
        <w:rPr>
          <w:rFonts w:eastAsia="" w:eastAsiaTheme="minorEastAsia"/>
          <w:sz w:val="24"/>
          <w:szCs w:val="24"/>
          <w:lang w:val="fr-CA"/>
        </w:rPr>
      </w:pPr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>Participer à une discussion de </w:t>
      </w:r>
      <w:proofErr w:type="spellStart"/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>débreffage</w:t>
      </w:r>
      <w:proofErr w:type="spellEnd"/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 avec vos collègues et les facilitateurs ainsi que </w:t>
      </w:r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>le/la patient(e) et son fils (ou sa fille)</w:t>
      </w:r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, en petit groupe.  </w:t>
      </w:r>
    </w:p>
    <w:p w:rsidRPr="0049143A" w:rsidR="38C608AB" w:rsidP="38C608AB" w:rsidRDefault="38C608AB" w14:paraId="0E27736D" w14:textId="71B502BF">
      <w:pPr>
        <w:spacing w:line="257" w:lineRule="auto"/>
        <w:jc w:val="both"/>
        <w:rPr>
          <w:lang w:val="fr-CA"/>
        </w:rPr>
      </w:pPr>
      <w:r w:rsidRPr="06785D3D" w:rsidR="38C608AB">
        <w:rPr>
          <w:rFonts w:ascii="Calibri Light" w:hAnsi="Calibri Light" w:eastAsia="Calibri Light" w:cs="Calibri Light"/>
          <w:b w:val="1"/>
          <w:bCs w:val="1"/>
          <w:sz w:val="24"/>
          <w:szCs w:val="24"/>
          <w:lang w:val="fr-CA"/>
        </w:rPr>
        <w:t>Clientèle cible</w:t>
      </w:r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 : Professeur(e)s ou coordonnateurs/trices de divers programmes en santé et service social qui souhaitent offrir des simulations interprofessionnelles axées sur l’offre active dans le cadre de leur cours. </w:t>
      </w:r>
    </w:p>
    <w:p w:rsidR="00FB371A" w:rsidP="38C608AB" w:rsidRDefault="38C608AB" w14:paraId="40A14A0F" w14:textId="0821F703">
      <w:pPr>
        <w:spacing w:line="257" w:lineRule="auto"/>
        <w:jc w:val="both"/>
        <w:rPr>
          <w:rFonts w:ascii="Calibri Light" w:hAnsi="Calibri Light" w:eastAsia="Calibri Light" w:cs="Calibri Light"/>
          <w:sz w:val="24"/>
          <w:szCs w:val="24"/>
          <w:lang w:val="fr-CA"/>
        </w:rPr>
        <w:sectPr w:rsidR="00FB371A">
          <w:headerReference w:type="default" r:id="rId11"/>
          <w:footerReference w:type="default" r:id="rId12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06785D3D" w:rsidR="38C608AB">
        <w:rPr>
          <w:rFonts w:ascii="Calibri Light" w:hAnsi="Calibri Light" w:eastAsia="Calibri Light" w:cs="Calibri Light"/>
          <w:b w:val="1"/>
          <w:bCs w:val="1"/>
          <w:sz w:val="24"/>
          <w:szCs w:val="24"/>
          <w:lang w:val="fr-CA"/>
        </w:rPr>
        <w:t>Professions ciblées</w:t>
      </w:r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 : Cette activité d’apprentissage a été expérimentée auprès d’étudiant(e)s des programmes suivants : </w:t>
      </w:r>
    </w:p>
    <w:p w:rsidRPr="0049143A" w:rsidR="38C608AB" w:rsidP="38C608AB" w:rsidRDefault="38C608AB" w14:paraId="073289C9" w14:textId="5D56EE6A">
      <w:pPr>
        <w:spacing w:line="257" w:lineRule="auto"/>
        <w:jc w:val="both"/>
        <w:rPr>
          <w:lang w:val="fr-CA"/>
        </w:rPr>
      </w:pPr>
    </w:p>
    <w:p w:rsidR="38C608AB" w:rsidP="38C608AB" w:rsidRDefault="38C608AB" w14:paraId="248E219F" w14:textId="444A11CF">
      <w:pPr>
        <w:pStyle w:val="Paragraphedeliste"/>
        <w:numPr>
          <w:ilvl w:val="0"/>
          <w:numId w:val="9"/>
        </w:numPr>
        <w:tabs>
          <w:tab w:val="left" w:pos="0"/>
          <w:tab w:val="left" w:pos="720"/>
        </w:tabs>
        <w:spacing w:line="257" w:lineRule="auto"/>
        <w:jc w:val="both"/>
        <w:rPr>
          <w:rFonts w:eastAsiaTheme="minorEastAsia"/>
          <w:b/>
          <w:bCs/>
          <w:sz w:val="24"/>
          <w:szCs w:val="24"/>
          <w:lang w:val="fr-CA"/>
        </w:rPr>
      </w:pPr>
      <w:r w:rsidRPr="38C608AB">
        <w:rPr>
          <w:rFonts w:ascii="Calibri Light" w:hAnsi="Calibri Light" w:eastAsia="Calibri Light" w:cs="Calibri Light"/>
          <w:b/>
          <w:bCs/>
          <w:sz w:val="24"/>
          <w:szCs w:val="24"/>
          <w:lang w:val="fr-CA"/>
        </w:rPr>
        <w:t>Baccalauréat en sciences sociales spécialisé en service social</w:t>
      </w:r>
      <w:r w:rsidRP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, École de service social, Faculté des sciences sociales, Université d’Ottawa </w:t>
      </w:r>
    </w:p>
    <w:p w:rsidR="38C608AB" w:rsidP="38C608AB" w:rsidRDefault="38C608AB" w14:paraId="230542E1" w14:textId="7641E1E2">
      <w:pPr>
        <w:pStyle w:val="Paragraphedeliste"/>
        <w:numPr>
          <w:ilvl w:val="0"/>
          <w:numId w:val="9"/>
        </w:numPr>
        <w:tabs>
          <w:tab w:val="left" w:pos="0"/>
          <w:tab w:val="left" w:pos="720"/>
        </w:tabs>
        <w:spacing w:line="257" w:lineRule="auto"/>
        <w:jc w:val="both"/>
        <w:rPr>
          <w:rFonts w:eastAsiaTheme="minorEastAsia"/>
          <w:b/>
          <w:bCs/>
          <w:sz w:val="24"/>
          <w:szCs w:val="24"/>
          <w:lang w:val="fr-CA"/>
        </w:rPr>
      </w:pPr>
      <w:r w:rsidRPr="38C608AB">
        <w:rPr>
          <w:rFonts w:ascii="Calibri Light" w:hAnsi="Calibri Light" w:eastAsia="Calibri Light" w:cs="Calibri Light"/>
          <w:b/>
          <w:bCs/>
          <w:sz w:val="24"/>
          <w:szCs w:val="24"/>
          <w:lang w:val="fr-CA"/>
        </w:rPr>
        <w:t>Maîtrise en sciences de la santé - Physiothérapie</w:t>
      </w:r>
      <w:r w:rsidRP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, École des sciences de la réadaptation, Faculté des sciences de la santé, Université d’Ottawa </w:t>
      </w:r>
    </w:p>
    <w:p w:rsidRPr="0049143A" w:rsidR="38C608AB" w:rsidP="38C608AB" w:rsidRDefault="38C608AB" w14:paraId="774B2036" w14:textId="6DBE8B24">
      <w:pPr>
        <w:spacing w:line="257" w:lineRule="auto"/>
        <w:jc w:val="both"/>
        <w:rPr>
          <w:lang w:val="fr-CA"/>
        </w:rPr>
      </w:pPr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 Elle pourrait facilement être adaptée pour les étudiant(e)s d’autres programmes en santé et service social. </w:t>
      </w:r>
    </w:p>
    <w:p w:rsidRPr="0049143A" w:rsidR="38C608AB" w:rsidP="38C608AB" w:rsidRDefault="38C608AB" w14:paraId="6464A3A8" w14:textId="6EE7A071">
      <w:pPr>
        <w:spacing w:line="257" w:lineRule="auto"/>
        <w:jc w:val="both"/>
        <w:rPr>
          <w:lang w:val="fr-CA"/>
        </w:rPr>
      </w:pPr>
      <w:r w:rsidRPr="38C608AB">
        <w:rPr>
          <w:rFonts w:ascii="Calibri Light" w:hAnsi="Calibri Light" w:eastAsia="Calibri Light" w:cs="Calibri Light"/>
          <w:b/>
          <w:bCs/>
          <w:sz w:val="24"/>
          <w:szCs w:val="24"/>
          <w:lang w:val="fr-CA"/>
        </w:rPr>
        <w:t>Contenu : </w:t>
      </w:r>
      <w:r w:rsidRP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La boîte à outils pour cette simulation contient les documents suivants : </w:t>
      </w:r>
    </w:p>
    <w:p w:rsidR="00CC1B5E" w:rsidP="06785D3D" w:rsidRDefault="00CC1B5E" w14:paraId="213206DA" w14:textId="799F2766">
      <w:pPr>
        <w:pStyle w:val="Paragraphedeliste"/>
        <w:numPr>
          <w:ilvl w:val="0"/>
          <w:numId w:val="9"/>
        </w:numPr>
        <w:tabs>
          <w:tab w:val="left" w:leader="none" w:pos="720"/>
        </w:tabs>
        <w:spacing w:line="257" w:lineRule="auto"/>
        <w:jc w:val="both"/>
        <w:rPr>
          <w:rFonts w:eastAsia="" w:eastAsiaTheme="minorEastAsia"/>
          <w:sz w:val="24"/>
          <w:szCs w:val="24"/>
          <w:lang w:val="fr-CA"/>
        </w:rPr>
      </w:pPr>
      <w:r w:rsidRPr="06785D3D" w:rsidR="00CC1B5E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Document pour les étudiant(e)s </w:t>
      </w:r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 </w:t>
      </w:r>
    </w:p>
    <w:p w:rsidR="00F26672" w:rsidP="06785D3D" w:rsidRDefault="00CC1B5E" w14:paraId="16EA2D72" w14:textId="28AF16A9">
      <w:pPr>
        <w:pStyle w:val="Paragraphedeliste"/>
        <w:numPr>
          <w:ilvl w:val="0"/>
          <w:numId w:val="9"/>
        </w:numPr>
        <w:tabs>
          <w:tab w:val="left" w:leader="none" w:pos="720"/>
        </w:tabs>
        <w:spacing w:line="257" w:lineRule="auto"/>
        <w:jc w:val="both"/>
        <w:rPr>
          <w:rFonts w:eastAsia="" w:eastAsiaTheme="minorEastAsia"/>
          <w:sz w:val="24"/>
          <w:szCs w:val="24"/>
          <w:lang w:val="fr-CA"/>
        </w:rPr>
      </w:pPr>
      <w:r w:rsidRPr="06785D3D" w:rsidR="00CC1B5E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Document pour le/la </w:t>
      </w:r>
      <w:r w:rsidRPr="06785D3D" w:rsidR="00F26672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patient(e) simulé(e) </w:t>
      </w:r>
      <w:r w:rsidRPr="06785D3D" w:rsidR="00100F50">
        <w:rPr>
          <w:rFonts w:ascii="Calibri Light" w:hAnsi="Calibri Light" w:eastAsia="Calibri Light" w:cs="Calibri Light"/>
          <w:sz w:val="24"/>
          <w:szCs w:val="24"/>
          <w:lang w:val="fr-CA"/>
        </w:rPr>
        <w:t>et le membre de sa famille</w:t>
      </w:r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 </w:t>
      </w:r>
    </w:p>
    <w:p w:rsidR="00CC1B5E" w:rsidP="06785D3D" w:rsidRDefault="00CC1B5E" w14:paraId="1BFA2D7F" w14:textId="76EDF192">
      <w:pPr>
        <w:pStyle w:val="Paragraphedeliste"/>
        <w:numPr>
          <w:ilvl w:val="0"/>
          <w:numId w:val="9"/>
        </w:numPr>
        <w:tabs>
          <w:tab w:val="left" w:leader="none" w:pos="720"/>
        </w:tabs>
        <w:spacing w:line="257" w:lineRule="auto"/>
        <w:jc w:val="both"/>
        <w:rPr>
          <w:rFonts w:eastAsia="" w:eastAsiaTheme="minorEastAsia"/>
          <w:sz w:val="24"/>
          <w:szCs w:val="24"/>
          <w:lang w:val="fr-CA"/>
        </w:rPr>
      </w:pPr>
      <w:r w:rsidRPr="06785D3D" w:rsidR="00CC1B5E">
        <w:rPr>
          <w:rFonts w:ascii="Calibri Light" w:hAnsi="Calibri Light" w:eastAsia="Calibri Light" w:cs="Calibri Light"/>
          <w:sz w:val="24"/>
          <w:szCs w:val="24"/>
          <w:lang w:val="fr-CA"/>
        </w:rPr>
        <w:t>Document pour les facilitateurs/facilitatrices</w:t>
      </w:r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 </w:t>
      </w:r>
    </w:p>
    <w:p w:rsidR="00ED7A8D" w:rsidP="06785D3D" w:rsidRDefault="00ED7A8D" w14:paraId="32BCDDA1" w14:textId="0661A40A">
      <w:pPr>
        <w:pStyle w:val="Paragraphedeliste"/>
        <w:numPr>
          <w:ilvl w:val="0"/>
          <w:numId w:val="9"/>
        </w:numPr>
        <w:tabs>
          <w:tab w:val="left" w:leader="none" w:pos="720"/>
        </w:tabs>
        <w:spacing w:line="257" w:lineRule="auto"/>
        <w:jc w:val="both"/>
        <w:rPr>
          <w:rFonts w:eastAsia="" w:eastAsiaTheme="minorEastAsia"/>
          <w:sz w:val="24"/>
          <w:szCs w:val="24"/>
          <w:lang w:val="fr-CA"/>
        </w:rPr>
      </w:pPr>
      <w:r w:rsidRPr="06785D3D" w:rsidR="00ED7A8D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Deux grilles d’observation des indicateurs de compétences en collaboration interprofessionnelle et en offre active des services </w:t>
      </w:r>
      <w:r w:rsidRPr="06785D3D" w:rsidR="00A32142">
        <w:rPr>
          <w:rFonts w:ascii="Calibri Light" w:hAnsi="Calibri Light" w:eastAsia="Calibri Light" w:cs="Calibri Light"/>
          <w:sz w:val="24"/>
          <w:szCs w:val="24"/>
          <w:lang w:val="fr-CA"/>
        </w:rPr>
        <w:t>dans la langue de choix du/de la patient(e) et de sa famille</w:t>
      </w:r>
      <w:r w:rsidRPr="06785D3D" w:rsidR="00ED7A8D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 </w:t>
      </w:r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 </w:t>
      </w:r>
    </w:p>
    <w:p w:rsidR="38C608AB" w:rsidP="06785D3D" w:rsidRDefault="38C608AB" w14:paraId="3F0EF78A" w14:textId="2A765257">
      <w:pPr>
        <w:pStyle w:val="Paragraphedeliste"/>
        <w:numPr>
          <w:ilvl w:val="0"/>
          <w:numId w:val="9"/>
        </w:numPr>
        <w:tabs>
          <w:tab w:val="left" w:leader="none" w:pos="720"/>
        </w:tabs>
        <w:spacing w:line="257" w:lineRule="auto"/>
        <w:jc w:val="both"/>
        <w:rPr>
          <w:rFonts w:eastAsia="" w:eastAsiaTheme="minorEastAsia"/>
          <w:sz w:val="24"/>
          <w:szCs w:val="24"/>
          <w:lang w:val="fr-CA"/>
        </w:rPr>
      </w:pPr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>Évaluation de la satisfaction des étudiant(e)s par rapport à la simulation</w:t>
      </w:r>
    </w:p>
    <w:p w:rsidRPr="0049143A" w:rsidR="38C608AB" w:rsidP="38C608AB" w:rsidRDefault="38C608AB" w14:paraId="31F5AB87" w14:textId="693B2BE4">
      <w:pPr>
        <w:spacing w:line="257" w:lineRule="auto"/>
        <w:jc w:val="both"/>
        <w:rPr>
          <w:lang w:val="fr-CA"/>
        </w:rPr>
      </w:pPr>
      <w:r w:rsidRP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 </w:t>
      </w:r>
      <w:r w:rsidRPr="38C608AB">
        <w:rPr>
          <w:rFonts w:ascii="Calibri Light" w:hAnsi="Calibri Light" w:eastAsia="Calibri Light" w:cs="Calibri Light"/>
          <w:b/>
          <w:bCs/>
          <w:sz w:val="24"/>
          <w:szCs w:val="24"/>
          <w:lang w:val="fr-CA"/>
        </w:rPr>
        <w:t>Partenaires</w:t>
      </w:r>
      <w:r w:rsidRPr="38C608AB">
        <w:rPr>
          <w:rFonts w:ascii="Calibri Light" w:hAnsi="Calibri Light" w:eastAsia="Calibri Light" w:cs="Calibri Light"/>
          <w:sz w:val="24"/>
          <w:szCs w:val="24"/>
          <w:lang w:val="fr-CA"/>
        </w:rPr>
        <w:t> </w:t>
      </w:r>
      <w:r w:rsidRPr="38C608AB">
        <w:rPr>
          <w:rFonts w:ascii="Calibri Light" w:hAnsi="Calibri Light" w:eastAsia="Calibri Light" w:cs="Calibri Light"/>
          <w:b/>
          <w:bCs/>
          <w:sz w:val="24"/>
          <w:szCs w:val="24"/>
          <w:lang w:val="fr-CA"/>
        </w:rPr>
        <w:t>du projet</w:t>
      </w:r>
      <w:r w:rsidRPr="38C608AB">
        <w:rPr>
          <w:rFonts w:ascii="Calibri Light" w:hAnsi="Calibri Light" w:eastAsia="Calibri Light" w:cs="Calibri Light"/>
          <w:sz w:val="24"/>
          <w:szCs w:val="24"/>
          <w:lang w:val="fr-CA"/>
        </w:rPr>
        <w:t> : Groupe de recherche sur la formation et les pratiques en santé et service social en contexte francophone minoritaire (</w:t>
      </w:r>
      <w:proofErr w:type="spellStart"/>
      <w:r w:rsidRPr="38C608AB">
        <w:rPr>
          <w:rFonts w:ascii="Calibri Light" w:hAnsi="Calibri Light" w:eastAsia="Calibri Light" w:cs="Calibri Light"/>
          <w:sz w:val="24"/>
          <w:szCs w:val="24"/>
          <w:lang w:val="fr-CA"/>
        </w:rPr>
        <w:t>GReFoPS</w:t>
      </w:r>
      <w:proofErr w:type="spellEnd"/>
      <w:r w:rsidRP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) de l’Université d’Ottawa en collaboration avec le Collège La Cité et l’Université de Moncton.  </w:t>
      </w:r>
    </w:p>
    <w:p w:rsidRPr="0049143A" w:rsidR="38C608AB" w:rsidP="38C608AB" w:rsidRDefault="38C608AB" w14:paraId="5EC43C30" w14:textId="62815ACB">
      <w:pPr>
        <w:spacing w:line="257" w:lineRule="auto"/>
        <w:jc w:val="both"/>
        <w:rPr>
          <w:lang w:val="fr-CA"/>
        </w:rPr>
      </w:pPr>
      <w:r w:rsidRPr="06785D3D" w:rsidR="38C608AB">
        <w:rPr>
          <w:rFonts w:ascii="Calibri Light" w:hAnsi="Calibri Light" w:eastAsia="Calibri Light" w:cs="Calibri Light"/>
          <w:b w:val="1"/>
          <w:bCs w:val="1"/>
          <w:sz w:val="24"/>
          <w:szCs w:val="24"/>
          <w:lang w:val="fr-CA"/>
        </w:rPr>
        <w:t>Accès aux outils:</w:t>
      </w:r>
      <w:r w:rsidRPr="06785D3D" w:rsidR="38C608AB">
        <w:rPr>
          <w:rFonts w:ascii="Calibri Light" w:hAnsi="Calibri Light" w:eastAsia="Calibri Light" w:cs="Calibri Light"/>
          <w:sz w:val="24"/>
          <w:szCs w:val="24"/>
          <w:lang w:val="fr-CA"/>
        </w:rPr>
        <w:t xml:space="preserve"> Seuls les éducateurs/éducatrices ont accès aux outils de cette simulation, ceci afin de maximiser l’activité d’apprentissage des étudiant(e)s. </w:t>
      </w:r>
    </w:p>
    <w:p w:rsidR="003A4559" w:rsidRDefault="003A4559" w14:paraId="275E6718" w14:textId="5A33A26E">
      <w:pPr>
        <w:rPr>
          <w:rFonts w:ascii="Calibri Light" w:hAnsi="Calibri Light" w:eastAsia="Calibri Light" w:cs="Calibri Light"/>
          <w:sz w:val="24"/>
          <w:szCs w:val="24"/>
          <w:lang w:val="fr-CA"/>
        </w:rPr>
      </w:pPr>
    </w:p>
    <w:sectPr w:rsidR="003A4559"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6514" w:rsidP="00050188" w:rsidRDefault="00C86514" w14:paraId="3308DC04" w14:textId="77777777">
      <w:pPr>
        <w:spacing w:after="0" w:line="240" w:lineRule="auto"/>
      </w:pPr>
      <w:r>
        <w:separator/>
      </w:r>
    </w:p>
  </w:endnote>
  <w:endnote w:type="continuationSeparator" w:id="0">
    <w:p w:rsidR="00C86514" w:rsidP="00050188" w:rsidRDefault="00C86514" w14:paraId="2E7BF146" w14:textId="77777777">
      <w:pPr>
        <w:spacing w:after="0" w:line="240" w:lineRule="auto"/>
      </w:pPr>
      <w:r>
        <w:continuationSeparator/>
      </w:r>
    </w:p>
  </w:endnote>
  <w:endnote w:type="continuationNotice" w:id="1">
    <w:p w:rsidR="00C86514" w:rsidRDefault="00C86514" w14:paraId="359420F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169530894"/>
      <w:docPartObj>
        <w:docPartGallery w:val="Page Numbers (Bottom of Page)"/>
        <w:docPartUnique/>
      </w:docPartObj>
    </w:sdtPr>
    <w:sdtContent>
      <w:p w:rsidRPr="00B802A6" w:rsidR="0018292F" w:rsidP="0018292F" w:rsidRDefault="0018292F" w14:paraId="1956A97D" w14:textId="77777777">
        <w:pPr>
          <w:pStyle w:val="Pieddepage"/>
          <w:jc w:val="right"/>
          <w:rPr>
            <w:lang w:val="fr-CA"/>
          </w:rPr>
        </w:pPr>
        <w:r>
          <w:fldChar w:fldCharType="begin"/>
        </w:r>
        <w:r w:rsidRPr="00B802A6">
          <w:rPr>
            <w:lang w:val="fr-CA"/>
          </w:rPr>
          <w:instrText>PAGE   \* MERGEFORMAT</w:instrText>
        </w:r>
        <w:r>
          <w:fldChar w:fldCharType="separate"/>
        </w:r>
        <w:proofErr w:type="gramStart"/>
        <w:r w:rsidRPr="0018292F">
          <w:rPr>
            <w:lang w:val="fr-CA"/>
          </w:rPr>
          <w:t>i</w:t>
        </w:r>
        <w:proofErr w:type="gramEnd"/>
        <w:r>
          <w:fldChar w:fldCharType="end"/>
        </w:r>
      </w:p>
    </w:sdtContent>
  </w:sdt>
  <w:sdt>
    <w:sdtPr>
      <w:rPr>
        <w:rFonts w:eastAsia="Calibri" w:cstheme="minorHAnsi"/>
        <w:sz w:val="20"/>
        <w:szCs w:val="20"/>
      </w:rPr>
      <w:id w:val="819932980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-946232891"/>
          <w:docPartObj>
            <w:docPartGallery w:val="Page Numbers (Bottom of Page)"/>
            <w:docPartUnique/>
          </w:docPartObj>
        </w:sdtPr>
        <w:sdtContent>
          <w:p w:rsidRPr="00CD0BE4" w:rsidR="0018292F" w:rsidP="0018292F" w:rsidRDefault="0018292F" w14:paraId="2CB0DA7B" w14:textId="1D96EBD4">
            <w:pPr>
              <w:pStyle w:val="Pieddepage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CD0BE4">
              <w:rPr>
                <w:rFonts w:cstheme="minorHAnsi"/>
                <w:sz w:val="20"/>
                <w:szCs w:val="20"/>
                <w:lang w:val="fr-CA"/>
              </w:rPr>
              <w:t xml:space="preserve">© </w:t>
            </w:r>
            <w:r>
              <w:rPr>
                <w:rFonts w:cstheme="minorHAnsi"/>
                <w:sz w:val="20"/>
                <w:szCs w:val="20"/>
                <w:lang w:val="fr-CA"/>
              </w:rPr>
              <w:t xml:space="preserve">Savard, J., Giroux, I., </w:t>
            </w:r>
            <w:r w:rsidRPr="00D84F0E">
              <w:rPr>
                <w:rFonts w:cstheme="minorHAnsi"/>
                <w:sz w:val="20"/>
                <w:szCs w:val="20"/>
                <w:lang w:val="fr-CA"/>
              </w:rPr>
              <w:t>Mercier, A., Cardinal, D., O’Neil,</w:t>
            </w:r>
            <w:r>
              <w:rPr>
                <w:rFonts w:cstheme="minorHAnsi"/>
                <w:sz w:val="20"/>
                <w:szCs w:val="20"/>
                <w:lang w:val="fr-CA"/>
              </w:rPr>
              <w:t xml:space="preserve"> J.,</w:t>
            </w:r>
            <w:r w:rsidRPr="00D84F0E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CD0BE4">
              <w:rPr>
                <w:rFonts w:cstheme="minorHAnsi"/>
                <w:sz w:val="20"/>
                <w:szCs w:val="20"/>
                <w:lang w:val="fr-CA"/>
              </w:rPr>
              <w:t>Kengneson, C</w:t>
            </w:r>
            <w:r>
              <w:rPr>
                <w:rFonts w:cstheme="minorHAnsi"/>
                <w:sz w:val="20"/>
                <w:szCs w:val="20"/>
                <w:lang w:val="fr-CA"/>
              </w:rPr>
              <w:t>.</w:t>
            </w:r>
            <w:r w:rsidRPr="00CD0BE4">
              <w:rPr>
                <w:rFonts w:cstheme="minorHAnsi"/>
                <w:sz w:val="20"/>
                <w:szCs w:val="20"/>
                <w:lang w:val="fr-CA"/>
              </w:rPr>
              <w:t xml:space="preserve"> 2022</w:t>
            </w:r>
            <w:r w:rsidR="00FB371A">
              <w:rPr>
                <w:rFonts w:cstheme="minorHAnsi"/>
                <w:sz w:val="20"/>
                <w:szCs w:val="20"/>
                <w:lang w:val="fr-CA"/>
              </w:rPr>
              <w:t>.</w:t>
            </w:r>
          </w:p>
          <w:p w:rsidRPr="0003302D" w:rsidR="0018292F" w:rsidP="0018292F" w:rsidRDefault="0018292F" w14:paraId="17BA71C2" w14:textId="77777777">
            <w:pPr>
              <w:pStyle w:val="Pieddepage"/>
              <w:jc w:val="center"/>
              <w:rPr>
                <w:rFonts w:cstheme="minorHAnsi"/>
                <w:color w:val="0563C1" w:themeColor="hyperlink"/>
                <w:sz w:val="20"/>
                <w:szCs w:val="20"/>
                <w:u w:val="single"/>
                <w:lang w:val="fr-CA"/>
              </w:rPr>
            </w:pPr>
            <w:r w:rsidRPr="00CD0BE4">
              <w:rPr>
                <w:rFonts w:cstheme="minorHAnsi"/>
                <w:sz w:val="20"/>
                <w:szCs w:val="20"/>
                <w:lang w:val="fr-CA"/>
              </w:rPr>
              <w:t>La réalisation de cet</w:t>
            </w:r>
            <w:r>
              <w:rPr>
                <w:rFonts w:cstheme="minorHAnsi"/>
                <w:sz w:val="20"/>
                <w:szCs w:val="20"/>
                <w:lang w:val="fr-CA"/>
              </w:rPr>
              <w:t xml:space="preserve"> outil d’apprentissage </w:t>
            </w:r>
            <w:r w:rsidRPr="00CD0BE4">
              <w:rPr>
                <w:rFonts w:cstheme="minorHAnsi"/>
                <w:sz w:val="20"/>
                <w:szCs w:val="20"/>
                <w:lang w:val="fr-CA"/>
              </w:rPr>
              <w:t xml:space="preserve">par simulation a été rendue possible </w:t>
            </w:r>
            <w:r w:rsidRPr="00FA1CED">
              <w:rPr>
                <w:rFonts w:cstheme="minorHAnsi"/>
                <w:sz w:val="20"/>
                <w:szCs w:val="20"/>
                <w:lang w:val="fr-CA"/>
              </w:rPr>
              <w:t>grâce au financement du gouvernement de l’Ontario et au soutien d’</w:t>
            </w:r>
            <w:proofErr w:type="spellStart"/>
            <w:r w:rsidRPr="00FA1CED">
              <w:rPr>
                <w:rFonts w:cstheme="minorHAnsi"/>
                <w:sz w:val="20"/>
                <w:szCs w:val="20"/>
                <w:lang w:val="fr-CA"/>
              </w:rPr>
              <w:t>eCampus</w:t>
            </w:r>
            <w:proofErr w:type="spellEnd"/>
            <w:r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FA1CED">
              <w:rPr>
                <w:rFonts w:cstheme="minorHAnsi"/>
                <w:sz w:val="20"/>
                <w:szCs w:val="20"/>
                <w:lang w:val="fr-CA"/>
              </w:rPr>
              <w:t>Ontario à l’égard de la Stratégie d’apprentissage virtuel</w:t>
            </w:r>
            <w:r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FA1CED">
              <w:rPr>
                <w:rFonts w:cstheme="minorHAnsi"/>
                <w:sz w:val="20"/>
                <w:szCs w:val="20"/>
                <w:lang w:val="fr-CA"/>
              </w:rPr>
              <w:t>Pour en savoir plus sur la Stratégie d’apprentissage virtuel, consultez le</w:t>
            </w:r>
            <w:r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FA1CED">
              <w:rPr>
                <w:rFonts w:cstheme="minorHAnsi"/>
                <w:sz w:val="20"/>
                <w:szCs w:val="20"/>
                <w:lang w:val="fr-CA"/>
              </w:rPr>
              <w:t>site </w:t>
            </w:r>
            <w:hyperlink w:tgtFrame="_blank" w:tooltip="https://vls.ecampusontario.ca/fr/" w:history="1" r:id="rId1">
              <w:r w:rsidRPr="00FA1CED">
                <w:rPr>
                  <w:rStyle w:val="Lienhypertexte"/>
                  <w:rFonts w:cstheme="minorHAnsi"/>
                  <w:sz w:val="20"/>
                  <w:szCs w:val="20"/>
                  <w:lang w:val="fr-CA"/>
                </w:rPr>
                <w:t>https://vls.ecampusontario.ca/fr/.</w:t>
              </w:r>
            </w:hyperlink>
            <w:r>
              <w:rPr>
                <w:rStyle w:val="Lienhypertexte"/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CD0BE4">
              <w:rPr>
                <w:rFonts w:cstheme="minorHAnsi"/>
                <w:sz w:val="20"/>
                <w:szCs w:val="20"/>
                <w:lang w:val="fr-CA"/>
              </w:rPr>
              <w:t>La réalisation de cet</w:t>
            </w:r>
            <w:r>
              <w:rPr>
                <w:rFonts w:cstheme="minorHAnsi"/>
                <w:sz w:val="20"/>
                <w:szCs w:val="20"/>
                <w:lang w:val="fr-CA"/>
              </w:rPr>
              <w:t xml:space="preserve"> outil d’apprentissage a également </w:t>
            </w:r>
            <w:r w:rsidRPr="0003302D">
              <w:rPr>
                <w:rFonts w:cstheme="minorHAnsi"/>
                <w:sz w:val="20"/>
                <w:szCs w:val="20"/>
                <w:lang w:val="fr-CA"/>
              </w:rPr>
              <w:t>été rendue possible grâce à la contribution financière de Santé Canada</w:t>
            </w:r>
            <w:r>
              <w:rPr>
                <w:rFonts w:cstheme="minorHAnsi"/>
                <w:sz w:val="20"/>
                <w:szCs w:val="20"/>
                <w:lang w:val="fr-CA"/>
              </w:rPr>
              <w:t xml:space="preserve">, par l’intermédiaire du Consortium national de formation en santé (National). </w:t>
            </w:r>
          </w:p>
          <w:p w:rsidRPr="00CD0BE4" w:rsidR="0018292F" w:rsidP="0018292F" w:rsidRDefault="0018292F" w14:paraId="66AAE77B" w14:textId="77777777">
            <w:pPr>
              <w:pStyle w:val="Pieddepage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CD0BE4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>À moins d'avis contraire, cet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 outil d’apprentissage</w:t>
            </w:r>
            <w:r w:rsidRPr="00CD0BE4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 est mis à disposition selon les termes de la </w:t>
            </w:r>
            <w:hyperlink w:tooltip="https://creativecommons.org/licenses/by-nc-sa/4.0/deed.fr" w:history="1" r:id="rId2">
              <w:r w:rsidRPr="00CD0BE4">
                <w:rPr>
                  <w:rStyle w:val="Lienhypertexte"/>
                  <w:rFonts w:eastAsia="Times New Roman" w:cstheme="minorHAnsi"/>
                  <w:sz w:val="20"/>
                  <w:szCs w:val="20"/>
                  <w:lang w:val="fr-CA"/>
                </w:rPr>
                <w:t>licence Creative Commons Attribution-Pas d'</w:t>
              </w:r>
              <w:r>
                <w:rPr>
                  <w:rStyle w:val="Lienhypertexte"/>
                  <w:rFonts w:eastAsia="Times New Roman" w:cstheme="minorHAnsi"/>
                  <w:sz w:val="20"/>
                  <w:szCs w:val="20"/>
                  <w:lang w:val="fr-CA"/>
                </w:rPr>
                <w:t>u</w:t>
              </w:r>
              <w:r w:rsidRPr="00CD0BE4">
                <w:rPr>
                  <w:rStyle w:val="Lienhypertexte"/>
                  <w:rFonts w:eastAsia="Times New Roman" w:cstheme="minorHAnsi"/>
                  <w:sz w:val="20"/>
                  <w:szCs w:val="20"/>
                  <w:lang w:val="fr-CA"/>
                </w:rPr>
                <w:t xml:space="preserve">tilisation </w:t>
              </w:r>
              <w:r>
                <w:rPr>
                  <w:rStyle w:val="Lienhypertexte"/>
                  <w:rFonts w:eastAsia="Times New Roman" w:cstheme="minorHAnsi"/>
                  <w:sz w:val="20"/>
                  <w:szCs w:val="20"/>
                  <w:lang w:val="fr-CA"/>
                </w:rPr>
                <w:t>c</w:t>
              </w:r>
              <w:r w:rsidRPr="00CD0BE4">
                <w:rPr>
                  <w:rStyle w:val="Lienhypertexte"/>
                  <w:rFonts w:eastAsia="Times New Roman" w:cstheme="minorHAnsi"/>
                  <w:sz w:val="20"/>
                  <w:szCs w:val="20"/>
                  <w:lang w:val="fr-CA"/>
                </w:rPr>
                <w:t>ommerciale-</w:t>
              </w:r>
              <w:r>
                <w:rPr>
                  <w:rStyle w:val="Lienhypertexte"/>
                  <w:rFonts w:eastAsia="Times New Roman" w:cstheme="minorHAnsi"/>
                  <w:sz w:val="20"/>
                  <w:szCs w:val="20"/>
                  <w:lang w:val="fr-CA"/>
                </w:rPr>
                <w:t>P</w:t>
              </w:r>
              <w:r w:rsidRPr="00CD0BE4">
                <w:rPr>
                  <w:rStyle w:val="Lienhypertexte"/>
                  <w:rFonts w:eastAsia="Times New Roman" w:cstheme="minorHAnsi"/>
                  <w:sz w:val="20"/>
                  <w:szCs w:val="20"/>
                  <w:lang w:val="fr-CA"/>
                </w:rPr>
                <w:t xml:space="preserve">artage dans les </w:t>
              </w:r>
              <w:r>
                <w:rPr>
                  <w:rStyle w:val="Lienhypertexte"/>
                  <w:rFonts w:eastAsia="Times New Roman" w:cstheme="minorHAnsi"/>
                  <w:sz w:val="20"/>
                  <w:szCs w:val="20"/>
                  <w:lang w:val="fr-CA"/>
                </w:rPr>
                <w:t>m</w:t>
              </w:r>
              <w:r w:rsidRPr="00CD0BE4">
                <w:rPr>
                  <w:rStyle w:val="Lienhypertexte"/>
                  <w:rFonts w:eastAsia="Times New Roman" w:cstheme="minorHAnsi"/>
                  <w:sz w:val="20"/>
                  <w:szCs w:val="20"/>
                  <w:lang w:val="fr-CA"/>
                </w:rPr>
                <w:t xml:space="preserve">êmes </w:t>
              </w:r>
              <w:r>
                <w:rPr>
                  <w:rStyle w:val="Lienhypertexte"/>
                  <w:rFonts w:eastAsia="Times New Roman" w:cstheme="minorHAnsi"/>
                  <w:sz w:val="20"/>
                  <w:szCs w:val="20"/>
                  <w:lang w:val="fr-CA"/>
                </w:rPr>
                <w:t>c</w:t>
              </w:r>
              <w:r w:rsidRPr="00CD0BE4">
                <w:rPr>
                  <w:rStyle w:val="Lienhypertexte"/>
                  <w:rFonts w:eastAsia="Times New Roman" w:cstheme="minorHAnsi"/>
                  <w:sz w:val="20"/>
                  <w:szCs w:val="20"/>
                  <w:lang w:val="fr-CA"/>
                </w:rPr>
                <w:t>onditions 4.0 International</w:t>
              </w:r>
            </w:hyperlink>
            <w:r w:rsidRPr="00CD0BE4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>.</w:t>
            </w:r>
          </w:p>
          <w:p w:rsidRPr="0018292F" w:rsidR="00050188" w:rsidP="0018292F" w:rsidRDefault="0018292F" w14:paraId="2BC3A687" w14:textId="457F48E1">
            <w:pPr>
              <w:pStyle w:val="Pieddepage"/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F1BA87E" wp14:editId="231BD1ED">
                  <wp:simplePos x="0" y="0"/>
                  <wp:positionH relativeFrom="column">
                    <wp:align>center</wp:align>
                  </wp:positionH>
                  <wp:positionV relativeFrom="paragraph">
                    <wp:posOffset>136525</wp:posOffset>
                  </wp:positionV>
                  <wp:extent cx="957600" cy="342000"/>
                  <wp:effectExtent l="0" t="0" r="0" b="1270"/>
                  <wp:wrapNone/>
                  <wp:docPr id="6" name="Image 6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600" cy="34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2102908705"/>
      <w:docPartObj>
        <w:docPartGallery w:val="Page Numbers (Bottom of Page)"/>
        <w:docPartUnique/>
      </w:docPartObj>
    </w:sdtPr>
    <w:sdtContent>
      <w:p w:rsidRPr="00B802A6" w:rsidR="00FB371A" w:rsidP="0018292F" w:rsidRDefault="00FB371A" w14:paraId="52B43CE0" w14:textId="77777777">
        <w:pPr>
          <w:pStyle w:val="Pieddepage"/>
          <w:jc w:val="right"/>
          <w:rPr>
            <w:lang w:val="fr-CA"/>
          </w:rPr>
        </w:pPr>
        <w:r>
          <w:fldChar w:fldCharType="begin"/>
        </w:r>
        <w:r w:rsidRPr="00B802A6">
          <w:rPr>
            <w:lang w:val="fr-CA"/>
          </w:rPr>
          <w:instrText>PAGE   \* MERGEFORMAT</w:instrText>
        </w:r>
        <w:r>
          <w:fldChar w:fldCharType="separate"/>
        </w:r>
        <w:proofErr w:type="gramStart"/>
        <w:r w:rsidRPr="0018292F">
          <w:rPr>
            <w:lang w:val="fr-CA"/>
          </w:rPr>
          <w:t>i</w:t>
        </w:r>
        <w:proofErr w:type="gramEnd"/>
        <w:r>
          <w:fldChar w:fldCharType="end"/>
        </w:r>
      </w:p>
    </w:sdtContent>
  </w:sdt>
  <w:sdt>
    <w:sdtPr>
      <w:rPr>
        <w:rFonts w:eastAsia="Calibri" w:cstheme="minorHAnsi"/>
        <w:sz w:val="20"/>
        <w:szCs w:val="20"/>
      </w:rPr>
      <w:id w:val="2099985468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429704933"/>
          <w:docPartObj>
            <w:docPartGallery w:val="Page Numbers (Bottom of Page)"/>
            <w:docPartUnique/>
          </w:docPartObj>
        </w:sdtPr>
        <w:sdtContent>
          <w:p w:rsidRPr="00CD0BE4" w:rsidR="00FB371A" w:rsidP="00FB371A" w:rsidRDefault="00FB371A" w14:paraId="6952F408" w14:textId="713429CF">
            <w:pPr>
              <w:pStyle w:val="Pieddepage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CD0BE4">
              <w:rPr>
                <w:rFonts w:cstheme="minorHAnsi"/>
                <w:sz w:val="20"/>
                <w:szCs w:val="20"/>
                <w:lang w:val="fr-CA"/>
              </w:rPr>
              <w:t xml:space="preserve">© </w:t>
            </w:r>
            <w:r>
              <w:rPr>
                <w:rFonts w:cstheme="minorHAnsi"/>
                <w:sz w:val="20"/>
                <w:szCs w:val="20"/>
                <w:lang w:val="fr-CA"/>
              </w:rPr>
              <w:t xml:space="preserve">Savard, J., Giroux, I., </w:t>
            </w:r>
            <w:r w:rsidRPr="00D84F0E">
              <w:rPr>
                <w:rFonts w:cstheme="minorHAnsi"/>
                <w:sz w:val="20"/>
                <w:szCs w:val="20"/>
                <w:lang w:val="fr-CA"/>
              </w:rPr>
              <w:t>Mercier, A., Cardinal, D., O’Neil,</w:t>
            </w:r>
            <w:r>
              <w:rPr>
                <w:rFonts w:cstheme="minorHAnsi"/>
                <w:sz w:val="20"/>
                <w:szCs w:val="20"/>
                <w:lang w:val="fr-CA"/>
              </w:rPr>
              <w:t xml:space="preserve"> J.,</w:t>
            </w:r>
            <w:r w:rsidRPr="00D84F0E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CD0BE4">
              <w:rPr>
                <w:rFonts w:cstheme="minorHAnsi"/>
                <w:sz w:val="20"/>
                <w:szCs w:val="20"/>
                <w:lang w:val="fr-CA"/>
              </w:rPr>
              <w:t>Kengneson, C</w:t>
            </w:r>
            <w:r>
              <w:rPr>
                <w:rFonts w:cstheme="minorHAnsi"/>
                <w:sz w:val="20"/>
                <w:szCs w:val="20"/>
                <w:lang w:val="fr-CA"/>
              </w:rPr>
              <w:t>.</w:t>
            </w:r>
            <w:r w:rsidRPr="00CD0BE4">
              <w:rPr>
                <w:rFonts w:cstheme="minorHAnsi"/>
                <w:sz w:val="20"/>
                <w:szCs w:val="20"/>
                <w:lang w:val="fr-CA"/>
              </w:rPr>
              <w:t xml:space="preserve"> 2022</w:t>
            </w:r>
            <w:r>
              <w:rPr>
                <w:rFonts w:cstheme="minorHAnsi"/>
                <w:sz w:val="20"/>
                <w:szCs w:val="20"/>
                <w:lang w:val="fr-CA"/>
              </w:rPr>
              <w:t>.</w:t>
            </w:r>
          </w:p>
          <w:p w:rsidRPr="0018292F" w:rsidR="00FB371A" w:rsidP="0018292F" w:rsidRDefault="00FB371A" w14:paraId="2E68D7EF" w14:textId="77777777">
            <w:pPr>
              <w:pStyle w:val="Pieddepage"/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730BD6D" wp14:editId="73DFAAA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136525</wp:posOffset>
                  </wp:positionV>
                  <wp:extent cx="957600" cy="342000"/>
                  <wp:effectExtent l="0" t="0" r="0" b="1270"/>
                  <wp:wrapNone/>
                  <wp:docPr id="1" name="Image 1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600" cy="34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6514" w:rsidP="00050188" w:rsidRDefault="00C86514" w14:paraId="034CACCD" w14:textId="77777777">
      <w:pPr>
        <w:spacing w:after="0" w:line="240" w:lineRule="auto"/>
      </w:pPr>
      <w:r>
        <w:separator/>
      </w:r>
    </w:p>
  </w:footnote>
  <w:footnote w:type="continuationSeparator" w:id="0">
    <w:p w:rsidR="00C86514" w:rsidP="00050188" w:rsidRDefault="00C86514" w14:paraId="6F4506C3" w14:textId="77777777">
      <w:pPr>
        <w:spacing w:after="0" w:line="240" w:lineRule="auto"/>
      </w:pPr>
      <w:r>
        <w:continuationSeparator/>
      </w:r>
    </w:p>
  </w:footnote>
  <w:footnote w:type="continuationNotice" w:id="1">
    <w:p w:rsidR="00C86514" w:rsidRDefault="00C86514" w14:paraId="0A8F01E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398" w:rsidP="007D2398" w:rsidRDefault="007D2398" w14:paraId="4FB91714" w14:textId="77777777">
    <w:pPr>
      <w:pStyle w:val="En-tte"/>
      <w:jc w:val="center"/>
      <w:rPr>
        <w:b/>
        <w:bCs/>
        <w:lang w:val="fr-CA"/>
      </w:rPr>
    </w:pPr>
    <w:r w:rsidRPr="00EA1FB4">
      <w:rPr>
        <w:b/>
        <w:bCs/>
        <w:lang w:val="fr-CA"/>
      </w:rPr>
      <w:t xml:space="preserve">SIMULATION D’UNE ENTREVUE DE PRÉPARATION DU CONGÉ </w:t>
    </w:r>
  </w:p>
  <w:p w:rsidRPr="007D2398" w:rsidR="00050188" w:rsidP="007D2398" w:rsidRDefault="007D2398" w14:paraId="477E9748" w14:textId="3382FF0F">
    <w:pPr>
      <w:pStyle w:val="En-tte"/>
      <w:jc w:val="center"/>
      <w:rPr>
        <w:b/>
        <w:bCs/>
        <w:lang w:val="fr-CA"/>
      </w:rPr>
    </w:pPr>
    <w:r w:rsidRPr="00EA1FB4">
      <w:rPr>
        <w:b/>
        <w:bCs/>
        <w:lang w:val="fr-CA"/>
      </w:rPr>
      <w:t>(CONSEILS POUR LE RETOUR À LA MAISON)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A5F"/>
    <w:multiLevelType w:val="multilevel"/>
    <w:tmpl w:val="C264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426D2C"/>
    <w:multiLevelType w:val="multilevel"/>
    <w:tmpl w:val="184C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0F259E0"/>
    <w:multiLevelType w:val="multilevel"/>
    <w:tmpl w:val="3D58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5870644"/>
    <w:multiLevelType w:val="hybridMultilevel"/>
    <w:tmpl w:val="0F767BE2"/>
    <w:lvl w:ilvl="0" w:tplc="153024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5800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D65A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4C88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8A8B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E00B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36A1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9A68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5A1C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065579"/>
    <w:multiLevelType w:val="hybridMultilevel"/>
    <w:tmpl w:val="72C44C44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6319AD"/>
    <w:multiLevelType w:val="multilevel"/>
    <w:tmpl w:val="8FD42D5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726D67"/>
    <w:multiLevelType w:val="multilevel"/>
    <w:tmpl w:val="C4B2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070674D"/>
    <w:multiLevelType w:val="hybridMultilevel"/>
    <w:tmpl w:val="7FEE6CA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F514D8B"/>
    <w:multiLevelType w:val="hybridMultilevel"/>
    <w:tmpl w:val="1990FA7C"/>
    <w:lvl w:ilvl="0" w:tplc="0C0C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146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66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86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306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026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746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66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86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NjM0NjczNDA1MzJX0lEKTi0uzszPAykwrQUA+04D1iwAAAA="/>
  </w:docVars>
  <w:rsids>
    <w:rsidRoot w:val="1ED2FECE"/>
    <w:rsid w:val="0000310C"/>
    <w:rsid w:val="00050188"/>
    <w:rsid w:val="000623EB"/>
    <w:rsid w:val="000955EB"/>
    <w:rsid w:val="000C65F6"/>
    <w:rsid w:val="00100F50"/>
    <w:rsid w:val="001067E5"/>
    <w:rsid w:val="00135F33"/>
    <w:rsid w:val="0015237A"/>
    <w:rsid w:val="0018292F"/>
    <w:rsid w:val="001B50EF"/>
    <w:rsid w:val="001C614E"/>
    <w:rsid w:val="00200F4A"/>
    <w:rsid w:val="00256F05"/>
    <w:rsid w:val="002B3882"/>
    <w:rsid w:val="003019DE"/>
    <w:rsid w:val="0030627F"/>
    <w:rsid w:val="00326A6D"/>
    <w:rsid w:val="003A4559"/>
    <w:rsid w:val="003C5EBC"/>
    <w:rsid w:val="003F1D14"/>
    <w:rsid w:val="004067F5"/>
    <w:rsid w:val="0049143A"/>
    <w:rsid w:val="004A7F3D"/>
    <w:rsid w:val="00532773"/>
    <w:rsid w:val="00576661"/>
    <w:rsid w:val="005D24B3"/>
    <w:rsid w:val="00624CBF"/>
    <w:rsid w:val="006254E7"/>
    <w:rsid w:val="00635243"/>
    <w:rsid w:val="00690C62"/>
    <w:rsid w:val="006D3F33"/>
    <w:rsid w:val="006F58F8"/>
    <w:rsid w:val="00723DF2"/>
    <w:rsid w:val="00784CAF"/>
    <w:rsid w:val="007973DD"/>
    <w:rsid w:val="007C6733"/>
    <w:rsid w:val="007D2398"/>
    <w:rsid w:val="007F7750"/>
    <w:rsid w:val="0081361E"/>
    <w:rsid w:val="00844F19"/>
    <w:rsid w:val="0088599F"/>
    <w:rsid w:val="00894788"/>
    <w:rsid w:val="008B3B38"/>
    <w:rsid w:val="008B7FE5"/>
    <w:rsid w:val="008D34D5"/>
    <w:rsid w:val="009029B6"/>
    <w:rsid w:val="00926C2C"/>
    <w:rsid w:val="00961D4D"/>
    <w:rsid w:val="00970343"/>
    <w:rsid w:val="009A1AB3"/>
    <w:rsid w:val="009D5985"/>
    <w:rsid w:val="00A016BB"/>
    <w:rsid w:val="00A32142"/>
    <w:rsid w:val="00A87A0E"/>
    <w:rsid w:val="00AA1E0C"/>
    <w:rsid w:val="00AD335D"/>
    <w:rsid w:val="00AE544C"/>
    <w:rsid w:val="00B67E22"/>
    <w:rsid w:val="00BA4C20"/>
    <w:rsid w:val="00BC7FC6"/>
    <w:rsid w:val="00BD7732"/>
    <w:rsid w:val="00BD7BB4"/>
    <w:rsid w:val="00C86514"/>
    <w:rsid w:val="00CA4594"/>
    <w:rsid w:val="00CC1B5E"/>
    <w:rsid w:val="00D1254E"/>
    <w:rsid w:val="00D25C21"/>
    <w:rsid w:val="00D32594"/>
    <w:rsid w:val="00D97C6B"/>
    <w:rsid w:val="00DA7E2E"/>
    <w:rsid w:val="00E02AD9"/>
    <w:rsid w:val="00E07ABF"/>
    <w:rsid w:val="00E6379E"/>
    <w:rsid w:val="00ED7A8D"/>
    <w:rsid w:val="00EF1BE5"/>
    <w:rsid w:val="00F26672"/>
    <w:rsid w:val="00FB371A"/>
    <w:rsid w:val="00FC70C4"/>
    <w:rsid w:val="06785D3D"/>
    <w:rsid w:val="1653B321"/>
    <w:rsid w:val="1ED2FECE"/>
    <w:rsid w:val="22131F8F"/>
    <w:rsid w:val="267DBE7A"/>
    <w:rsid w:val="29A96533"/>
    <w:rsid w:val="38C608AB"/>
    <w:rsid w:val="45A7C235"/>
    <w:rsid w:val="70B9DF42"/>
    <w:rsid w:val="70FF99BC"/>
    <w:rsid w:val="71653540"/>
    <w:rsid w:val="79B40F24"/>
    <w:rsid w:val="79B4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FECE"/>
  <w15:chartTrackingRefBased/>
  <w15:docId w15:val="{4D8BAB1B-BAD3-489A-908F-D04AD7C6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0188"/>
    <w:pPr>
      <w:tabs>
        <w:tab w:val="center" w:pos="4703"/>
        <w:tab w:val="right" w:pos="940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050188"/>
  </w:style>
  <w:style w:type="paragraph" w:styleId="Pieddepage">
    <w:name w:val="footer"/>
    <w:basedOn w:val="Normal"/>
    <w:link w:val="PieddepageCar"/>
    <w:uiPriority w:val="99"/>
    <w:unhideWhenUsed/>
    <w:rsid w:val="00050188"/>
    <w:pPr>
      <w:tabs>
        <w:tab w:val="center" w:pos="4703"/>
        <w:tab w:val="right" w:pos="940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050188"/>
  </w:style>
  <w:style w:type="character" w:styleId="Lienhypertexte">
    <w:name w:val="Hyperlink"/>
    <w:basedOn w:val="Policepardfaut"/>
    <w:uiPriority w:val="99"/>
    <w:unhideWhenUsed/>
    <w:rsid w:val="00723DF2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EF1BE5"/>
    <w:pPr>
      <w:widowControl w:val="0"/>
      <w:spacing w:after="0" w:line="240" w:lineRule="auto"/>
      <w:ind w:left="1040" w:hanging="360"/>
    </w:pPr>
    <w:rPr>
      <w:rFonts w:ascii="Calibri Light" w:hAnsi="Calibri Light" w:eastAsia="Calibri Light"/>
      <w:sz w:val="24"/>
      <w:szCs w:val="24"/>
    </w:rPr>
  </w:style>
  <w:style w:type="character" w:styleId="CorpsdetexteCar" w:customStyle="1">
    <w:name w:val="Corps de texte Car"/>
    <w:basedOn w:val="Policepardfaut"/>
    <w:link w:val="Corpsdetexte"/>
    <w:uiPriority w:val="1"/>
    <w:rsid w:val="00EF1BE5"/>
    <w:rPr>
      <w:rFonts w:ascii="Calibri Light" w:hAnsi="Calibri Light" w:eastAsia="Calibri Light"/>
      <w:sz w:val="24"/>
      <w:szCs w:val="24"/>
    </w:rPr>
  </w:style>
  <w:style w:type="character" w:styleId="normaltextrun" w:customStyle="1">
    <w:name w:val="normaltextrun"/>
    <w:basedOn w:val="Policepardfaut"/>
    <w:rsid w:val="00BD7732"/>
  </w:style>
  <w:style w:type="character" w:styleId="eop" w:customStyle="1">
    <w:name w:val="eop"/>
    <w:basedOn w:val="Policepardfaut"/>
    <w:rsid w:val="00BD7732"/>
  </w:style>
  <w:style w:type="paragraph" w:styleId="Paragraphedeliste">
    <w:name w:val="List Paragraph"/>
    <w:basedOn w:val="Normal"/>
    <w:uiPriority w:val="34"/>
    <w:qFormat/>
    <w:rsid w:val="00BD773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23EB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0623E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623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e8617c4a801b446c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creativecommons.org/licenses/by-nc-sa/4.0/deed.fr" TargetMode="External"/><Relationship Id="rId1" Type="http://schemas.openxmlformats.org/officeDocument/2006/relationships/hyperlink" Target="https://vls.ecampusontario.ca/fr/" TargetMode="External"/><Relationship Id="rId4" Type="http://schemas.openxmlformats.org/officeDocument/2006/relationships/image" Target="cid:4a4a6975-1225-4dd5-b1ca-b6afb3f24645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4a4a6975-1225-4dd5-b1ca-b6afb3f24645" TargetMode="External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9019-3511-4992-bd0e-fbed6fdd3cb5}"/>
      </w:docPartPr>
      <w:docPartBody>
        <w:p w14:paraId="06785D3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EA410214A0447B6B94AEFF6909EED" ma:contentTypeVersion="16" ma:contentTypeDescription="Create a new document." ma:contentTypeScope="" ma:versionID="44a0287bc2bb883abcb1ac552e31dc54">
  <xsd:schema xmlns:xsd="http://www.w3.org/2001/XMLSchema" xmlns:xs="http://www.w3.org/2001/XMLSchema" xmlns:p="http://schemas.microsoft.com/office/2006/metadata/properties" xmlns:ns2="760ca6d8-45ab-4d0a-b8c5-8ff4fd26a082" xmlns:ns3="5e1ece13-5c04-49d0-a5d5-9b8ee987d856" targetNamespace="http://schemas.microsoft.com/office/2006/metadata/properties" ma:root="true" ma:fieldsID="3ac2c467a378a8f0af6f9764c519907b" ns2:_="" ns3:_="">
    <xsd:import namespace="760ca6d8-45ab-4d0a-b8c5-8ff4fd26a082"/>
    <xsd:import namespace="5e1ece13-5c04-49d0-a5d5-9b8ee987d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ca6d8-45ab-4d0a-b8c5-8ff4fd26a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83ab3d-3311-46c7-9827-319eef876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ece13-5c04-49d0-a5d5-9b8ee987d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0686-bcc7-49ef-834e-9261246539c9}" ma:internalName="TaxCatchAll" ma:showField="CatchAllData" ma:web="5e1ece13-5c04-49d0-a5d5-9b8ee987d8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0ca6d8-45ab-4d0a-b8c5-8ff4fd26a082">
      <Terms xmlns="http://schemas.microsoft.com/office/infopath/2007/PartnerControls"/>
    </lcf76f155ced4ddcb4097134ff3c332f>
    <TaxCatchAll xmlns="5e1ece13-5c04-49d0-a5d5-9b8ee987d8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1EFB-87DF-4C4E-8447-616CEF75971D}"/>
</file>

<file path=customXml/itemProps2.xml><?xml version="1.0" encoding="utf-8"?>
<ds:datastoreItem xmlns:ds="http://schemas.openxmlformats.org/officeDocument/2006/customXml" ds:itemID="{67018212-8377-428D-A408-1F7E1D710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23944-8E41-4AF0-BFD8-31DF31F06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1EE754-1A75-4F7B-8733-13D392C9004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Cris-Carelle Kengneson</dc:creator>
  <keywords/>
  <dc:description/>
  <lastModifiedBy>Isabelle Giroux</lastModifiedBy>
  <revision>73</revision>
  <dcterms:created xsi:type="dcterms:W3CDTF">2022-02-28T15:35:00.0000000Z</dcterms:created>
  <dcterms:modified xsi:type="dcterms:W3CDTF">2022-02-28T21:48:12.2051028Z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0x010100FE62864C6D3340499879B64D562BF58C</vt:lpwstr>
  </property>
</Properties>
</file>