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C512B3B" w:rsidP="46161ED1" w:rsidRDefault="2C512B3B" w14:paraId="3DD8A448" w14:textId="2DAC5EB7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</w:pPr>
      <w:r w:rsidRPr="46161ED1" w:rsidR="2C512B3B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La rétroaction</w:t>
      </w:r>
    </w:p>
    <w:p w:rsidR="2C512B3B" w:rsidP="46161ED1" w:rsidRDefault="2C512B3B" w14:paraId="1BC1DA6B" w14:textId="06885D64">
      <w:pPr>
        <w:pStyle w:val="Normal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46161ED1" w:rsidR="2C512B3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Lucie </w:t>
      </w:r>
      <w:r w:rsidRPr="46161ED1" w:rsidR="2C512B3B">
        <w:rPr>
          <w:rFonts w:ascii="Aptos" w:hAnsi="Aptos" w:eastAsia="Aptos" w:cs="Aptos"/>
          <w:noProof w:val="0"/>
          <w:sz w:val="22"/>
          <w:szCs w:val="22"/>
          <w:lang w:val="en-US"/>
        </w:rPr>
        <w:t>Bartosova</w:t>
      </w:r>
    </w:p>
    <w:p w:rsidR="1F216835" w:rsidP="46161ED1" w:rsidRDefault="1F216835" w14:paraId="31A597D4" w14:textId="742593B4">
      <w:pPr>
        <w:pStyle w:val="Normal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6161ED1" w:rsidR="1F216835">
        <w:rPr>
          <w:rFonts w:ascii="Aptos" w:hAnsi="Aptos" w:eastAsia="Aptos" w:cs="Aptos"/>
          <w:noProof w:val="0"/>
          <w:sz w:val="22"/>
          <w:szCs w:val="22"/>
          <w:lang w:val="en-US"/>
        </w:rPr>
        <w:t>CC BY-NC-SA</w:t>
      </w:r>
    </w:p>
    <w:p w:rsidR="155EC069" w:rsidP="46161ED1" w:rsidRDefault="155EC069" w14:paraId="0B42399B" w14:textId="50FE2F5D">
      <w:pPr>
        <w:pStyle w:val="Normal"/>
        <w:spacing w:before="0" w:beforeAutospacing="off" w:after="0" w:afterAutospacing="off"/>
        <w:ind w:left="-18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="155EC069">
        <w:drawing>
          <wp:inline wp14:editId="03E08396" wp14:anchorId="089CA575">
            <wp:extent cx="1362075" cy="228670"/>
            <wp:effectExtent l="0" t="0" r="0" b="0"/>
            <wp:docPr id="8244338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910eee791c46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161ED1" w:rsidP="46161ED1" w:rsidRDefault="46161ED1" w14:paraId="619A6766" w14:textId="2AD8F59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46161ED1" w:rsidP="46161ED1" w:rsidRDefault="46161ED1" w14:paraId="3C6B3500" w14:textId="3A231151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FDDAA89" w:rsidP="46161ED1" w:rsidRDefault="6FDDAA89" w14:paraId="55DF4367" w14:textId="5633E7A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Table des 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matières</w:t>
      </w:r>
      <w:r w:rsidRPr="46161ED1" w:rsidR="052A086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:</w:t>
      </w:r>
      <w:r w:rsidRPr="46161ED1" w:rsidR="052A086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</w:p>
    <w:p w:rsidR="6FDDAA89" w:rsidP="46161ED1" w:rsidRDefault="6FDDAA89" w14:paraId="163FE00F" w14:textId="237728ED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Introduction</w:t>
      </w:r>
    </w:p>
    <w:p w:rsidR="6FDDAA89" w:rsidP="46161ED1" w:rsidRDefault="6FDDAA89" w14:paraId="12E3F22A" w14:textId="41CC0BF2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Mise 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contexte</w:t>
      </w:r>
    </w:p>
    <w:p w:rsidR="6FDDAA89" w:rsidP="025CF191" w:rsidRDefault="6FDDAA89" w14:paraId="05DE929C" w14:textId="19BD3959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25CF19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PowerPoint </w:t>
      </w:r>
      <w:r w:rsidRPr="025CF191" w:rsidR="772A8F2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(pour le personnel </w:t>
      </w:r>
      <w:r w:rsidRPr="025CF191" w:rsidR="772A8F2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enseignant</w:t>
      </w:r>
      <w:r w:rsidRPr="025CF191" w:rsidR="772A8F2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)</w:t>
      </w:r>
      <w:r w:rsidRPr="025CF191" w:rsidR="6FF0F7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(document </w:t>
      </w:r>
      <w:r w:rsidRPr="025CF191" w:rsidR="64FC8A1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distinct</w:t>
      </w:r>
      <w:r w:rsidRPr="025CF191" w:rsidR="6FF0F7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)</w:t>
      </w:r>
    </w:p>
    <w:p w:rsidR="6FDDAA89" w:rsidP="46161ED1" w:rsidRDefault="6FDDAA89" w14:paraId="1A8FE568" w14:textId="4ACDD4B8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Consignes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– Travail 1</w:t>
      </w:r>
      <w:r w:rsidRPr="46161ED1" w:rsidR="4E0FEA6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46161ED1" w:rsidR="4E0FEA6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Partie</w:t>
      </w:r>
      <w:r w:rsidRPr="46161ED1" w:rsidR="4E0FEA6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2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(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formelle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- 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écrite</w:t>
      </w:r>
      <w:r w:rsidRPr="46161ED1" w:rsidR="6495E3C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la </w:t>
      </w:r>
      <w:r w:rsidRPr="46161ED1" w:rsidR="6495E3C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Tâche</w:t>
      </w:r>
      <w:r w:rsidRPr="46161ED1" w:rsidR="6495E3C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6495E3C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sommative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)</w:t>
      </w:r>
    </w:p>
    <w:p w:rsidR="6FDDAA89" w:rsidP="46161ED1" w:rsidRDefault="6FDDAA89" w14:paraId="3EDD4B56" w14:textId="243BE22F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Consignes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– Travail 2 (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informelle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- </w:t>
      </w:r>
      <w:r w:rsidRPr="46161ED1" w:rsidR="6FDDAA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écrite</w:t>
      </w:r>
      <w:r w:rsidRPr="46161ED1" w:rsidR="11CDC4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la </w:t>
      </w:r>
      <w:r w:rsidRPr="46161ED1" w:rsidR="11CDC4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Présentation</w:t>
      </w:r>
      <w:r w:rsidRPr="46161ED1" w:rsidR="11CDC4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11CDC4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orale</w:t>
      </w:r>
      <w:r w:rsidRPr="46161ED1" w:rsidR="11CDC4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)</w:t>
      </w:r>
    </w:p>
    <w:p w:rsidR="46161ED1" w:rsidP="46161ED1" w:rsidRDefault="46161ED1" w14:paraId="73D0C69D" w14:textId="25BE529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46161ED1" w:rsidP="46161ED1" w:rsidRDefault="46161ED1" w14:paraId="77467DE2" w14:textId="7CE60583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5B058CDE" w:rsidP="46161ED1" w:rsidRDefault="5B058CDE" w14:paraId="77B1988C" w14:textId="57AFBA7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46161ED1" w:rsidR="5B058CD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Introduction</w:t>
      </w:r>
    </w:p>
    <w:p w:rsidR="46161ED1" w:rsidP="46161ED1" w:rsidRDefault="46161ED1" w14:paraId="082F51A7" w14:textId="528713A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781E99FE" w:rsidP="46161ED1" w:rsidRDefault="781E99FE" w14:paraId="1621A0AD" w14:textId="6621F5FA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La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constitue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l’une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responsabilités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essentielles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la profession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enseignante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Souvent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les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enseignants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formation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initiale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expriment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inquiétudes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par rapport à la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donnée aux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élèves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: Comment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rédiger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clairs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efficaces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? Comment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formuler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pertinents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favorisant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l’amélioration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tâches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d’apprentissage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élèves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? Comment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garantir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que la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motive les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élèves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au lieu de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nuire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la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réussite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élèves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? </w:t>
      </w:r>
    </w:p>
    <w:p w:rsidR="781E99FE" w:rsidP="46161ED1" w:rsidRDefault="781E99FE" w14:paraId="143580B2" w14:textId="396DE78A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Afin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atténuer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préoccupations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préparer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futurs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enseignants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dans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cette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acte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communication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qu’est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46161ED1" w:rsidR="284F89C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voici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stratégie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consistant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simuler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situation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d’apprentissage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dans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laquelle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l’étudiant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0862A1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(</w:t>
      </w:r>
      <w:r w:rsidRPr="46161ED1" w:rsidR="0862A1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futur</w:t>
      </w:r>
      <w:r w:rsidRPr="46161ED1" w:rsidR="0862A1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0862A1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enseignant</w:t>
      </w:r>
      <w:r w:rsidRPr="46161ED1" w:rsidR="0862A1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)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joue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rôle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d’évaluateur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pour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fournir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la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pairs. Cette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activité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formateur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permet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aux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étudiants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nourrir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propre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apprentissage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matière de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de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mettre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pratique les principes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fondamentaux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celle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-ci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avant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d’être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appelés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le faire avec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propres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élèves</w:t>
      </w:r>
      <w:r w:rsidRPr="46161ED1" w:rsidR="781E9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w:rsidR="46161ED1" w:rsidP="46161ED1" w:rsidRDefault="46161ED1" w14:paraId="600E1CC9" w14:textId="61EAB2C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sz w:val="16"/>
          <w:szCs w:val="16"/>
          <w:lang w:val="en-US"/>
        </w:rPr>
      </w:pPr>
    </w:p>
    <w:p w:rsidR="46161ED1" w:rsidP="46161ED1" w:rsidRDefault="46161ED1" w14:paraId="08B8D944" w14:textId="17C8EC31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81E99FE" w:rsidP="46161ED1" w:rsidRDefault="781E99FE" w14:paraId="02DA348E" w14:textId="0176754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46161ED1" w:rsidR="781E99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Mise </w:t>
      </w:r>
      <w:r w:rsidRPr="46161ED1" w:rsidR="781E99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en</w:t>
      </w:r>
      <w:r w:rsidRPr="46161ED1" w:rsidR="781E99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  <w:r w:rsidRPr="46161ED1" w:rsidR="781E99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contexte</w:t>
      </w:r>
    </w:p>
    <w:p w:rsidR="46161ED1" w:rsidP="46161ED1" w:rsidRDefault="46161ED1" w14:paraId="1994A439" w14:textId="21658B8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48FD1732" w:rsidP="025CF191" w:rsidRDefault="48FD1732" w14:paraId="79E3E7CA" w14:textId="4DFCED89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25CF191" w:rsidR="48FD17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Cette </w:t>
      </w:r>
      <w:r w:rsidRPr="025CF191" w:rsidR="48FD17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ressource</w:t>
      </w:r>
      <w:r w:rsidRPr="025CF191" w:rsidR="48FD17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48FD17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comprend</w:t>
      </w:r>
      <w:r w:rsidRPr="025CF191" w:rsidR="48FD17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E8530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025CF191" w:rsidR="7E8530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E8530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stratégie</w:t>
      </w:r>
      <w:r w:rsidRPr="025CF191" w:rsidR="7E8530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E8530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pédagogique</w:t>
      </w:r>
      <w:r w:rsidRPr="025CF191" w:rsidR="7E8530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45DFC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destinée</w:t>
      </w:r>
      <w:r w:rsidRPr="025CF191" w:rsidR="45DFC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E8530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au personnel </w:t>
      </w:r>
      <w:r w:rsidRPr="025CF191" w:rsidR="7E8530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enseignant</w:t>
      </w:r>
      <w:r w:rsidRPr="025CF191" w:rsidR="7E8530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La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dont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il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est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question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ici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est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réalisée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dans un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contexte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formel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informel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sur deux types de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travail :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4C6644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les travaux </w:t>
      </w:r>
      <w:r w:rsidRPr="025CF191" w:rsidR="4C6644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écrits</w:t>
      </w:r>
      <w:r w:rsidRPr="025CF191" w:rsidR="4C6644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les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présentations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orales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025CF191" w:rsidR="198E08F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Pour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travaux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écrits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chaque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étudiant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prépare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ébauche d’un travail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donné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qu’il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partage ensuite avec un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camarade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classe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Utilisant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fonctionnalités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suivi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modifications et de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dans Word,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l’étudiant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offre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retours sur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l’ébauche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(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contexte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formel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),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s’appuyant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sur les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critères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d’évaluation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spécifiques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au travail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question.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L’étudiant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qui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reçoit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peut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s’en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servir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pour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améliorer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son travail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avant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soumettre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version finale </w:t>
      </w:r>
      <w:r w:rsidRPr="025CF191" w:rsidR="2217B9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à la professeure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Pour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stimuler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l'engagement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dans la formulation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d'une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efficace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de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conférer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signification à la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tâche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la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professeure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évaluera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notera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fournis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Autrement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dit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l'évaluation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la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elle-même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 pour but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d'assurer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qualité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que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formulent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étudiants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sur les travaux de 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leurs</w:t>
      </w:r>
      <w:r w:rsidRPr="025CF191" w:rsidR="3FBCB7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pairs.</w:t>
      </w:r>
    </w:p>
    <w:p w:rsidR="44C2796D" w:rsidP="025CF191" w:rsidRDefault="44C2796D" w14:paraId="5DB0313C" w14:textId="51C3666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25CF191" w:rsidR="44C279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En </w:t>
      </w:r>
      <w:r w:rsidRPr="025CF191" w:rsidR="44C279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</w:t>
      </w:r>
      <w:r w:rsidRPr="025CF191" w:rsidR="44C279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qui </w:t>
      </w:r>
      <w:r w:rsidRPr="025CF191" w:rsidR="44C279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concerne</w:t>
      </w:r>
      <w:r w:rsidRPr="025CF191" w:rsidR="44C279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es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présentations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orales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</w:t>
      </w:r>
      <w:r w:rsidRPr="025CF191" w:rsidR="047EB77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amarades</w:t>
      </w:r>
      <w:r w:rsidRPr="025CF191" w:rsidR="047EB77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047EB77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classe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les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étudiants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auditeurs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participent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activement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formulant des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(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contexte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informel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) tout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écoutant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favorisant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ainsi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écoute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active. Cette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écrite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englobe des observations sur les forces et les faiblesses tant au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niveau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du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contenu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que du format de la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présentation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</w:t>
      </w:r>
      <w:r w:rsidRPr="025CF191" w:rsidR="2F40C80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amarades</w:t>
      </w:r>
      <w:r w:rsidRPr="025CF191" w:rsidR="2F40C80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2F40C80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classe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Pour encourager des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francs et sans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réserve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la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est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anonyme. Elle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est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écrite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sur des morceaux de papier qui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sont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échangés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la fin de la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présentation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Afin de simplifier la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tâche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liée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la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les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étudiants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auditeurs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limitent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un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nombre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défini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</w:t>
      </w:r>
      <w:r w:rsidRPr="025CF191" w:rsidR="2238D5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amarades de classe</w:t>
      </w:r>
      <w:r w:rsidRPr="025CF191" w:rsidR="71C342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w:rsidR="46161ED1" w:rsidP="46161ED1" w:rsidRDefault="46161ED1" w14:paraId="46023F45" w14:textId="3837807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161ED1" w:rsidP="46161ED1" w:rsidRDefault="46161ED1" w14:paraId="0330CF70" w14:textId="073BA9A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07B5D8A" w:rsidP="46161ED1" w:rsidRDefault="607B5D8A" w14:paraId="734D6C77" w14:textId="58A0645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46161ED1" w:rsidR="607B5D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Powerpoint</w:t>
      </w:r>
      <w:r w:rsidRPr="46161ED1" w:rsidR="607B5D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46161ED1" w:rsidP="46161ED1" w:rsidRDefault="46161ED1" w14:paraId="5420F7F7" w14:textId="02C88468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3545B65B" w:rsidP="025CF191" w:rsidRDefault="3545B65B" w14:paraId="3CD45683" w14:textId="30A487CA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25CF191" w:rsidR="3545B6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Ce support </w:t>
      </w:r>
      <w:r w:rsidRPr="025CF191" w:rsidR="3545B6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visuel</w:t>
      </w:r>
      <w:r w:rsidRPr="025CF191" w:rsidR="3545B6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3545B6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est</w:t>
      </w:r>
      <w:r w:rsidRPr="025CF191" w:rsidR="3545B6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partager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avec les 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étudiants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avant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d’introduire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l’activité</w:t>
      </w:r>
      <w:r w:rsidRPr="025CF191" w:rsidR="43CEED9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/le travail </w:t>
      </w:r>
      <w:r w:rsidRPr="025CF191" w:rsidR="607B5D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de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025CF191" w:rsidR="6D84052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Son </w:t>
      </w:r>
      <w:r w:rsidRPr="025CF191" w:rsidR="6D84052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contenu</w:t>
      </w:r>
      <w:r w:rsidRPr="025CF191" w:rsidR="4118B7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4118B7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vise à</w:t>
      </w:r>
      <w:r w:rsidRPr="025CF191" w:rsidR="4960E4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4960E4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initier</w:t>
      </w:r>
      <w:r w:rsidRPr="025CF191" w:rsidR="4960E4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4118B7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les </w:t>
      </w:r>
      <w:r w:rsidRPr="025CF191" w:rsidR="4118B7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étudiants</w:t>
      </w:r>
      <w:r w:rsidRPr="025CF191" w:rsidR="4118B7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au concept de la </w:t>
      </w:r>
      <w:r w:rsidRPr="025CF191" w:rsidR="4118B7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50022D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à </w:t>
      </w:r>
      <w:r w:rsidRPr="025CF191" w:rsidR="50022D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</w:t>
      </w:r>
      <w:r w:rsidRPr="025CF191" w:rsidR="50022D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50022D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apprendre</w:t>
      </w:r>
      <w:r w:rsidRPr="025CF191" w:rsidR="50022D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</w:t>
      </w:r>
      <w:r w:rsidRPr="025CF191" w:rsidR="50022D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formuler</w:t>
      </w:r>
      <w:r w:rsidRPr="025CF191" w:rsidR="50022D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suggestions </w:t>
      </w:r>
      <w:r w:rsidRPr="025CF191" w:rsidR="50022D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d’amélioration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</w:t>
      </w:r>
      <w:r w:rsidRPr="025CF191" w:rsidR="003396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our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corriger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erreurs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plutôt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que de </w:t>
      </w:r>
      <w:r w:rsidRPr="025CF191" w:rsidR="49F259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simplement</w:t>
      </w:r>
      <w:r w:rsidRPr="025CF191" w:rsidR="49F259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les 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souligner</w:t>
      </w:r>
      <w:r w:rsidRPr="025CF191" w:rsidR="76A0D1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025CF191" w:rsidR="459F9F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Il 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comprend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entre 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autre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liste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d’exemples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7C3051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pour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illustrer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bonnes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pratiques</w:t>
      </w:r>
      <w:r w:rsidRPr="025CF191" w:rsidR="2C28EA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025CF191" w:rsidR="2C28EA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garantissant</w:t>
      </w:r>
      <w:r w:rsidRPr="025CF191" w:rsidR="2C28EA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2C28EA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ainsi</w:t>
      </w:r>
      <w:r w:rsidRPr="025CF191" w:rsidR="2C28EA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qualité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</w:t>
      </w:r>
      <w:r w:rsidRPr="025CF191" w:rsidR="4E66A6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la </w:t>
      </w:r>
      <w:r w:rsidRPr="025CF191" w:rsidR="4E66A6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capacité</w:t>
      </w:r>
      <w:r w:rsidRPr="025CF191" w:rsidR="4E66A6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de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formuler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significatifs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sur un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objectif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d’apprentissage</w:t>
      </w:r>
      <w:r w:rsidRPr="025CF191" w:rsidR="2B05BF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w:rsidR="46161ED1" w:rsidP="46161ED1" w:rsidRDefault="46161ED1" w14:paraId="7BEC14FC" w14:textId="4B362F1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161ED1" w:rsidP="46161ED1" w:rsidRDefault="46161ED1" w14:paraId="5696CFC4" w14:textId="1D5389B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161ED1" w:rsidP="025CF191" w:rsidRDefault="46161ED1" w14:paraId="4CB957C4" w14:textId="04F388D6">
      <w:pPr>
        <w:pStyle w:val="Normal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Consignes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– Travail 1</w:t>
      </w:r>
      <w:r w:rsidRPr="025CF191" w:rsidR="2099C3F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, </w:t>
      </w:r>
      <w:r w:rsidRPr="025CF191" w:rsidR="3F0A94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p</w:t>
      </w:r>
      <w:r w:rsidRPr="025CF191" w:rsidR="2099C3F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artie</w:t>
      </w:r>
      <w:r w:rsidRPr="025CF191" w:rsidR="7B61EB7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s 1 et</w:t>
      </w:r>
      <w:r w:rsidRPr="025CF191" w:rsidR="2099C3F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2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025CF191" w:rsidP="025CF191" w:rsidRDefault="025CF191" w14:paraId="75EBE346" w14:textId="70DD669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6E28FAD9" w:rsidP="025CF191" w:rsidRDefault="6E28FAD9" w14:paraId="0484C2C5" w14:textId="003F23A8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5CF191" w:rsidR="6E28FA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Étapes du </w:t>
      </w:r>
      <w:r w:rsidRPr="025CF191" w:rsidR="7D89CC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T</w:t>
      </w:r>
      <w:r w:rsidRPr="025CF191" w:rsidR="6E28FA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ravail 1</w:t>
      </w:r>
    </w:p>
    <w:p w:rsidR="6E28FAD9" w:rsidP="46161ED1" w:rsidRDefault="6E28FAD9" w14:paraId="40C42397" w14:textId="785E0CE2">
      <w:pPr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Étape 1 : Élaborez une ébauche de la tâche sommative.</w:t>
      </w:r>
    </w:p>
    <w:p w:rsidR="6E28FAD9" w:rsidP="025CF191" w:rsidRDefault="6E28FAD9" w14:paraId="6191B113" w14:textId="701062C3">
      <w:pPr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Étape 2 : Envoyez votre ébauche à une ou un c</w:t>
      </w:r>
      <w:r w:rsidRPr="025CF191" w:rsidR="0E506E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amarade de classe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, </w:t>
      </w:r>
      <w:r w:rsidRPr="025CF191" w:rsidR="6E28FA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pas 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à la professeure (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professeur</w:t>
      </w:r>
      <w:r w:rsidRPr="025CF191" w:rsidR="539237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doit indiquer la date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).</w:t>
      </w:r>
    </w:p>
    <w:p w:rsidR="6E28FAD9" w:rsidP="025CF191" w:rsidRDefault="6E28FAD9" w14:paraId="009935BC" w14:textId="675E9F4F">
      <w:pPr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Étape 3 : Fournissez une rétroaction à l’ébauche de la tâche sommative qu</w:t>
      </w:r>
      <w:r w:rsidRPr="025CF191" w:rsidR="01C881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 votre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c</w:t>
      </w:r>
      <w:r w:rsidRPr="025CF191" w:rsidR="394C4B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amarade de classe 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vous a envoyé.</w:t>
      </w:r>
    </w:p>
    <w:p w:rsidR="6E28FAD9" w:rsidP="025CF191" w:rsidRDefault="6E28FAD9" w14:paraId="49ECFC80" w14:textId="44CE78EF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Étape 4 : Envoyez votre rétroaction à votre c</w:t>
      </w:r>
      <w:r w:rsidRPr="025CF191" w:rsidR="0818C8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amarade de classe 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ET déposez votre rétroaction sur 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Brightspace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(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professeur</w:t>
      </w:r>
      <w:r w:rsidRPr="025CF191" w:rsidR="5EBF5FD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doit indiquer la date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).</w:t>
      </w:r>
    </w:p>
    <w:p w:rsidR="6E28FAD9" w:rsidP="025CF191" w:rsidRDefault="6E28FAD9" w14:paraId="733A9B5F" w14:textId="2C2361E9">
      <w:pPr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Étape 5 : Apportez des modifications, s’il y a lieu, à votre ébauche de la tâche sommative, en fonction des commentaires de la rétroaction de votre c</w:t>
      </w:r>
      <w:r w:rsidRPr="025CF191" w:rsidR="76EC9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amarade de classe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. </w:t>
      </w:r>
    </w:p>
    <w:p w:rsidR="6E28FAD9" w:rsidP="025CF191" w:rsidRDefault="6E28FAD9" w14:paraId="496E444A" w14:textId="5C9EE351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Étape 6 : Déposez la version finale de votre tâche sommative dans 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Brightspace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(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professeur</w:t>
      </w:r>
      <w:r w:rsidRPr="025CF191" w:rsidR="0CBDBA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doit indiquer la date</w:t>
      </w:r>
      <w:r w:rsidRPr="025CF191" w:rsidR="6E28FA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).</w:t>
      </w:r>
    </w:p>
    <w:p w:rsidR="46161ED1" w:rsidP="46161ED1" w:rsidRDefault="46161ED1" w14:paraId="347A58A0" w14:textId="7C503AE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46161ED1" w:rsidP="46161ED1" w:rsidRDefault="46161ED1" w14:paraId="509B8448" w14:textId="1BF1428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w:rsidR="0B95C3B4" w:rsidP="46161ED1" w:rsidRDefault="0B95C3B4" w14:paraId="4A25DDC2" w14:textId="5DEE84C4">
      <w:pPr>
        <w:spacing w:beforeAutospacing="on" w:after="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0B95C3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Travail 1 :</w:t>
      </w:r>
    </w:p>
    <w:p w:rsidR="0B95C3B4" w:rsidP="46161ED1" w:rsidRDefault="0B95C3B4" w14:paraId="125E8771" w14:textId="46E802C8">
      <w:pPr>
        <w:tabs>
          <w:tab w:val="left" w:leader="none" w:pos="220"/>
          <w:tab w:val="left" w:leader="none" w:pos="720"/>
        </w:tabs>
        <w:spacing w:after="2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0B95C3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Partie 1 - Tâche sommative</w:t>
      </w:r>
      <w:r w:rsidRPr="46161ED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</w:t>
      </w:r>
    </w:p>
    <w:p w:rsidR="0B95C3B4" w:rsidP="46161ED1" w:rsidRDefault="0B95C3B4" w14:paraId="3F61DADC" w14:textId="78D3558B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Élabore</w:t>
      </w:r>
      <w:r w:rsidRPr="46161ED1" w:rsidR="6EC7C8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z</w:t>
      </w:r>
      <w:r w:rsidRPr="46161ED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une tâche d’évaluation sommative</w:t>
      </w:r>
      <w:r w:rsidRPr="46161ED1" w:rsidR="09978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pour une année d’études de votre choix.</w:t>
      </w:r>
    </w:p>
    <w:p w:rsidR="46161ED1" w:rsidP="46161ED1" w:rsidRDefault="46161ED1" w14:paraId="1DE2E5A4" w14:textId="64C28B27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w:rsidR="0B95C3B4" w:rsidP="025CF191" w:rsidRDefault="0B95C3B4" w14:paraId="1418D858" w14:textId="0A700444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5CF191" w:rsidR="0B95C3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Partie </w:t>
      </w:r>
      <w:r w:rsidRPr="025CF191" w:rsidR="0B95C3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2 </w:t>
      </w:r>
      <w:r w:rsidRPr="025CF191" w:rsidR="3F2DA50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- </w:t>
      </w:r>
      <w:r w:rsidRPr="025CF191" w:rsidR="0B95C3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Rétroaction de la tâche sommative</w:t>
      </w: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</w:t>
      </w:r>
    </w:p>
    <w:p w:rsidR="0B95C3B4" w:rsidP="025CF191" w:rsidRDefault="0B95C3B4" w14:paraId="4B067864" w14:textId="1E13C7F4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Fourni</w:t>
      </w:r>
      <w:r w:rsidRPr="025CF191" w:rsidR="1C4826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ssez</w:t>
      </w: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une rétroaction </w:t>
      </w:r>
      <w:r w:rsidRPr="025CF191" w:rsidR="203140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de</w:t>
      </w: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la tâche sommative d’une ou d’un c</w:t>
      </w:r>
      <w:r w:rsidRPr="025CF191" w:rsidR="097E63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amarade de classe</w:t>
      </w: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. La rétroaction portera sur </w:t>
      </w:r>
    </w:p>
    <w:p w:rsidR="0B95C3B4" w:rsidP="025CF191" w:rsidRDefault="0B95C3B4" w14:paraId="20B1C86A" w14:textId="773715B7">
      <w:pPr>
        <w:pStyle w:val="ListParagraph"/>
        <w:numPr>
          <w:ilvl w:val="1"/>
          <w:numId w:val="8"/>
        </w:numPr>
        <w:tabs>
          <w:tab w:val="left" w:leader="none" w:pos="220"/>
          <w:tab w:val="left" w:leader="none" w:pos="720"/>
        </w:tabs>
        <w:spacing w:after="2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la</w:t>
      </w: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clarté et la pertinence de la tâche à l’année en question.</w:t>
      </w:r>
    </w:p>
    <w:p w:rsidR="0B95C3B4" w:rsidP="025CF191" w:rsidRDefault="0B95C3B4" w14:paraId="13766192" w14:textId="79E8A7CD">
      <w:pPr>
        <w:pStyle w:val="ListParagraph"/>
        <w:numPr>
          <w:ilvl w:val="1"/>
          <w:numId w:val="8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la</w:t>
      </w: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clarté des critères d’évaluation</w:t>
      </w:r>
      <w:r w:rsidRPr="025CF191" w:rsidR="79A527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</w:t>
      </w: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dans la grille d’évaluation et l'alignement des critères avec la tâche</w:t>
      </w:r>
      <w:r w:rsidRPr="025CF191" w:rsidR="0C54B8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(Travail 1, partie 1)</w:t>
      </w:r>
      <w:r w:rsidRPr="025CF191" w:rsidR="0B95C3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.</w:t>
      </w:r>
    </w:p>
    <w:p w:rsidR="0ED68841" w:rsidP="46161ED1" w:rsidRDefault="0ED68841" w14:paraId="6CCBC330" w14:textId="64CC0E98">
      <w:pPr>
        <w:tabs>
          <w:tab w:val="left" w:leader="none" w:pos="220"/>
          <w:tab w:val="left" w:leader="none" w:pos="720"/>
        </w:tabs>
        <w:spacing w:after="2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Étapes du partie 2</w:t>
      </w:r>
    </w:p>
    <w:p w:rsidR="0ED68841" w:rsidP="46161ED1" w:rsidRDefault="0ED68841" w14:paraId="54AB0E51" w14:textId="4448D6A8">
      <w:pPr>
        <w:tabs>
          <w:tab w:val="left" w:leader="none" w:pos="220"/>
          <w:tab w:val="left" w:leader="none" w:pos="720"/>
        </w:tabs>
        <w:spacing w:after="2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Étape 1 : Choisissez une ou un camarade de classe à qui vous fournirez une rétroaction. </w:t>
      </w:r>
    </w:p>
    <w:p w:rsidR="0ED68841" w:rsidP="025CF191" w:rsidRDefault="0ED68841" w14:paraId="129998FF" w14:textId="094991AA">
      <w:pPr>
        <w:tabs>
          <w:tab w:val="left" w:leader="none" w:pos="220"/>
          <w:tab w:val="left" w:leader="none" w:pos="720"/>
        </w:tabs>
        <w:spacing w:after="2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5CF19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Étape 2 : Utilisez la </w:t>
      </w:r>
      <w:r w:rsidRPr="025CF19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CA"/>
        </w:rPr>
        <w:t xml:space="preserve">grille d’évaluation du Travail 1, </w:t>
      </w:r>
      <w:r w:rsidRPr="025CF191" w:rsidR="6284C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CA"/>
        </w:rPr>
        <w:t>p</w:t>
      </w:r>
      <w:r w:rsidRPr="025CF19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CA"/>
        </w:rPr>
        <w:t>artie 1</w:t>
      </w:r>
      <w:r w:rsidRPr="025CF19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pour évaluer le travail de votre camarade. </w:t>
      </w:r>
    </w:p>
    <w:p w:rsidR="0ED68841" w:rsidP="46161ED1" w:rsidRDefault="0ED68841" w14:paraId="22B05097" w14:textId="0BBEB2A7">
      <w:pPr>
        <w:tabs>
          <w:tab w:val="left" w:leader="none" w:pos="220"/>
          <w:tab w:val="left" w:leader="none" w:pos="720"/>
        </w:tabs>
        <w:spacing w:after="2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Étape 3 : Ajouter des commentaires spécifiques dans le document de votre camarade à l’aide de « commentaires » ou « suivi de modifications » (</w:t>
      </w:r>
      <w:r w:rsidRPr="46161ED1" w:rsidR="0ED6884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track changes</w:t>
      </w:r>
      <w:r w:rsidRPr="46161ED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). </w:t>
      </w:r>
    </w:p>
    <w:p w:rsidR="0ED68841" w:rsidP="46161ED1" w:rsidRDefault="0ED68841" w14:paraId="14AFE8CA" w14:textId="39362715">
      <w:pPr>
        <w:tabs>
          <w:tab w:val="left" w:leader="none" w:pos="220"/>
          <w:tab w:val="left" w:leader="none" w:pos="720"/>
        </w:tabs>
        <w:spacing w:after="2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Étape 4 : Donnez une rétroaction à la fin du travail, mais </w:t>
      </w:r>
      <w:r w:rsidRPr="46161ED1" w:rsidR="0ED688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pas</w:t>
      </w:r>
      <w:r w:rsidRPr="46161ED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une note. C’est-à-dire, écrivez un court résumé à la fin du travail de votre camarade.</w:t>
      </w:r>
    </w:p>
    <w:p w:rsidR="0ED68841" w:rsidP="46161ED1" w:rsidRDefault="0ED68841" w14:paraId="7DC9013F" w14:textId="3C0742F0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Étape 5 : Envoyez votre rétroaction à votre camarade de classe ET déposez votre travail dans </w:t>
      </w:r>
      <w:r w:rsidRPr="46161ED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Brightspace</w:t>
      </w:r>
      <w:r w:rsidRPr="46161ED1" w:rsidR="0ED688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.</w:t>
      </w:r>
      <w:r w:rsidRPr="46161ED1" w:rsidR="0ED688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</w:t>
      </w:r>
    </w:p>
    <w:p w:rsidR="46161ED1" w:rsidP="46161ED1" w:rsidRDefault="46161ED1" w14:paraId="13A79E52" w14:textId="0BEE1228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w:rsidR="46161ED1" w:rsidP="46161ED1" w:rsidRDefault="46161ED1" w14:paraId="0F757E76" w14:textId="4576340F">
      <w:pPr>
        <w:pStyle w:val="Normal"/>
        <w:tabs>
          <w:tab w:val="left" w:leader="none" w:pos="220"/>
          <w:tab w:val="left" w:leader="none" w:pos="720"/>
        </w:tabs>
        <w:spacing w:after="240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w:rsidR="26795D36" w:rsidP="46161ED1" w:rsidRDefault="26795D36" w14:paraId="3C77D776" w14:textId="446570B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46161ED1" w:rsidR="26795D3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Grille </w:t>
      </w:r>
      <w:r w:rsidRPr="46161ED1" w:rsidR="26795D3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d’évaluation</w:t>
      </w:r>
    </w:p>
    <w:p w:rsidR="26795D36" w:rsidP="46161ED1" w:rsidRDefault="26795D36" w14:paraId="653DE013" w14:textId="1F40DB4F">
      <w:pPr>
        <w:tabs>
          <w:tab w:val="left" w:leader="none" w:pos="220"/>
          <w:tab w:val="left" w:leader="none" w:pos="720"/>
        </w:tabs>
        <w:spacing w:after="24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46161ED1" w:rsidR="26795D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Travail 1, Partie 2- Rétroaction</w:t>
      </w:r>
      <w:r>
        <w:tab/>
      </w:r>
      <w:r>
        <w:tab/>
      </w:r>
      <w:r>
        <w:tab/>
      </w:r>
      <w:r>
        <w:tab/>
      </w:r>
      <w:r>
        <w:tab/>
      </w:r>
      <w:r w:rsidRPr="46161ED1" w:rsidR="26795D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</w:t>
      </w:r>
    </w:p>
    <w:p w:rsidR="26795D36" w:rsidP="46161ED1" w:rsidRDefault="26795D36" w14:paraId="2147CAFA" w14:textId="26FDF7D1">
      <w:pPr>
        <w:tabs>
          <w:tab w:val="left" w:leader="none" w:pos="220"/>
          <w:tab w:val="left" w:leader="none" w:pos="720"/>
        </w:tabs>
        <w:spacing w:after="2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161ED1" w:rsidR="26795D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Pondération : </w:t>
      </w:r>
      <w:r w:rsidRPr="46161ED1" w:rsidR="26795D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20 % </w:t>
      </w:r>
      <w:r w:rsidRPr="46161ED1" w:rsidR="26795D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de la note finale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815"/>
        <w:gridCol w:w="870"/>
        <w:gridCol w:w="870"/>
        <w:gridCol w:w="870"/>
        <w:gridCol w:w="982"/>
        <w:gridCol w:w="1019"/>
        <w:gridCol w:w="1280"/>
      </w:tblGrid>
      <w:tr w:rsidR="46161ED1" w:rsidTr="46161ED1" w14:paraId="473907A5">
        <w:trPr>
          <w:trHeight w:val="300"/>
        </w:trPr>
        <w:tc>
          <w:tcPr>
            <w:tcW w:w="1653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0BF2FA18" w14:textId="64F4EBDB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Critères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5F3A1D5E" w14:textId="60AB1DCD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Éléments observables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11D4CB9B" w14:textId="554524C5">
            <w:pPr>
              <w:tabs>
                <w:tab w:val="left" w:leader="none" w:pos="220"/>
                <w:tab w:val="left" w:leader="none" w:pos="72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Échec</w:t>
            </w:r>
          </w:p>
          <w:p w:rsidR="46161ED1" w:rsidP="46161ED1" w:rsidRDefault="46161ED1" w14:paraId="704080AB" w14:textId="32499008">
            <w:pPr>
              <w:tabs>
                <w:tab w:val="left" w:leader="none" w:pos="220"/>
                <w:tab w:val="left" w:leader="none" w:pos="72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F</w:t>
            </w:r>
          </w:p>
          <w:p w:rsidR="46161ED1" w:rsidP="46161ED1" w:rsidRDefault="46161ED1" w14:paraId="29E980BB" w14:textId="16354965">
            <w:pPr>
              <w:tabs>
                <w:tab w:val="left" w:leader="none" w:pos="220"/>
                <w:tab w:val="left" w:leader="none" w:pos="72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(0-39 %)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1AC2F821" w14:textId="0D2D6B0F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Échec       E            (40-59 %)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65FDD25D" w14:textId="30CCD4BD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Bon          C/C+       (60-64%)   (65-69%)</w:t>
            </w:r>
          </w:p>
        </w:tc>
        <w:tc>
          <w:tcPr>
            <w:tcW w:w="982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0655D41E" w14:textId="22FAB9F3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Très bon       B/B+               (70-74%)            (75-79 %)</w:t>
            </w:r>
          </w:p>
        </w:tc>
        <w:tc>
          <w:tcPr>
            <w:tcW w:w="1019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2AE103F6" w14:textId="4B447C4F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Excellent A-/A        (80-84 %)   (85-89 %)</w:t>
            </w:r>
          </w:p>
        </w:tc>
        <w:tc>
          <w:tcPr>
            <w:tcW w:w="128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3EEF8901" w14:textId="6FFB93B8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fr-CA"/>
              </w:rPr>
              <w:t>Exceptionnel A+             (90-100 %)</w:t>
            </w:r>
          </w:p>
        </w:tc>
      </w:tr>
      <w:tr w:rsidR="46161ED1" w:rsidTr="46161ED1" w14:paraId="25998189">
        <w:trPr>
          <w:trHeight w:val="300"/>
        </w:trPr>
        <w:tc>
          <w:tcPr>
            <w:tcW w:w="1653" w:type="dxa"/>
            <w:vMerge w:val="restart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652E70AA" w14:textId="54BB58A1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fr-CA"/>
              </w:rPr>
              <w:t>Rétroaction</w:t>
            </w:r>
          </w:p>
          <w:p w:rsidR="46161ED1" w:rsidP="46161ED1" w:rsidRDefault="46161ED1" w14:paraId="438CC6A7" w14:textId="32CE2236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fr-CA"/>
              </w:rPr>
              <w:t xml:space="preserve">(20%) 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0E61FF43" w14:textId="16655761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fr-CA"/>
              </w:rPr>
              <w:t>Les commentaires sont écrits dans un style compréhensible.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45F9FCDC" w14:textId="1EC86C5B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12139C0D" w14:textId="6E618B98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53077738" w14:textId="17ADDF2D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2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0DF7AFC8" w14:textId="77CA0428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19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25CE8F82" w14:textId="1A592BFE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8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04DABA87" w14:textId="7A2F67DA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6161ED1" w:rsidTr="46161ED1" w14:paraId="26F92689">
        <w:trPr>
          <w:trHeight w:val="300"/>
        </w:trPr>
        <w:tc>
          <w:tcPr>
            <w:tcW w:w="1653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ECDD8C0"/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052B25B9" w14:textId="6CC8F005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fr-CA"/>
              </w:rPr>
              <w:t xml:space="preserve">Les commentaires sont exprimés dans un langage descriptif et positif.           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78EF2DB9" w14:textId="6B02FA24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7904D40F" w14:textId="6A962A7E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66383197" w14:textId="0715C3D9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2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23BC467A" w14:textId="67AE5B65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19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15AA6AE8" w14:textId="0314404D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8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45708933" w14:textId="3C4B4418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6161ED1" w:rsidTr="46161ED1" w14:paraId="72E47CE3">
        <w:trPr>
          <w:trHeight w:val="300"/>
        </w:trPr>
        <w:tc>
          <w:tcPr>
            <w:tcW w:w="1653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F0E59D2"/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5067978C" w14:textId="5AB1B186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161ED1" w:rsidR="46161E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fr-CA"/>
              </w:rPr>
              <w:t>Les recommandations offertes sont spécifiques. Vous proposez des correctifs relatifs aux critères d’évaluation du Travail #1.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552782B2" w14:textId="026B4B3A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1FAD65F5" w14:textId="72B9F995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7A0770B0" w14:textId="00C416D6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2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286C4ADD" w14:textId="571F86EF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19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5017434C" w14:textId="6F7545A2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80" w:type="dxa"/>
            <w:tcMar>
              <w:left w:w="105" w:type="dxa"/>
              <w:right w:w="105" w:type="dxa"/>
            </w:tcMar>
            <w:vAlign w:val="top"/>
          </w:tcPr>
          <w:p w:rsidR="46161ED1" w:rsidP="46161ED1" w:rsidRDefault="46161ED1" w14:paraId="00C46E6A" w14:textId="65939EC2">
            <w:pPr>
              <w:tabs>
                <w:tab w:val="left" w:leader="none" w:pos="220"/>
                <w:tab w:val="left" w:leader="none" w:pos="720"/>
              </w:tabs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46161ED1" w:rsidP="46161ED1" w:rsidRDefault="46161ED1" w14:paraId="0B63C721" w14:textId="5B5E6F3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46161ED1" w:rsidP="46161ED1" w:rsidRDefault="46161ED1" w14:paraId="258453D5" w14:textId="5E370CF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46161ED1" w:rsidP="46161ED1" w:rsidRDefault="46161ED1" w14:paraId="4E867E0B" w14:textId="1A40B24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46161ED1" w:rsidP="46161ED1" w:rsidRDefault="46161ED1" w14:paraId="7B354F32" w14:textId="0462A831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46161ED1" w:rsidP="46161ED1" w:rsidRDefault="46161ED1" w14:paraId="7E537B01" w14:textId="5A91CC1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328F80BE" w:rsidP="025CF191" w:rsidRDefault="328F80BE" w14:paraId="7200075E" w14:textId="197D940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Consignes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– Travail 2 (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rétroaction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écrite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, 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informelle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,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de la </w:t>
      </w:r>
      <w:r w:rsidRPr="025CF191" w:rsidR="384A0CD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p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résentation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orale</w:t>
      </w:r>
      <w:r w:rsidRPr="025CF191" w:rsidR="328F80B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)</w:t>
      </w:r>
    </w:p>
    <w:p w:rsidR="46161ED1" w:rsidP="46161ED1" w:rsidRDefault="46161ED1" w14:paraId="06071A1A" w14:textId="7D9E5C5C">
      <w:pPr>
        <w:pStyle w:val="Normal"/>
      </w:pPr>
    </w:p>
    <w:p w:rsidR="11F69CA6" w:rsidP="46161ED1" w:rsidRDefault="11F69CA6" w14:paraId="2F061DD6" w14:textId="6A9825E4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161ED1" w:rsidR="11F69CA6">
        <w:rPr>
          <w:rFonts w:ascii="Times New Roman" w:hAnsi="Times New Roman" w:eastAsia="Times New Roman" w:cs="Times New Roman"/>
        </w:rPr>
        <w:t>Écoutez</w:t>
      </w:r>
      <w:r w:rsidRPr="46161ED1" w:rsidR="11F69CA6">
        <w:rPr>
          <w:rFonts w:ascii="Times New Roman" w:hAnsi="Times New Roman" w:eastAsia="Times New Roman" w:cs="Times New Roman"/>
        </w:rPr>
        <w:t xml:space="preserve"> </w:t>
      </w:r>
      <w:r w:rsidRPr="46161ED1" w:rsidR="53787452">
        <w:rPr>
          <w:rFonts w:ascii="Times New Roman" w:hAnsi="Times New Roman" w:eastAsia="Times New Roman" w:cs="Times New Roman"/>
        </w:rPr>
        <w:t>attentivement</w:t>
      </w:r>
      <w:r w:rsidRPr="46161ED1" w:rsidR="53787452">
        <w:rPr>
          <w:rFonts w:ascii="Times New Roman" w:hAnsi="Times New Roman" w:eastAsia="Times New Roman" w:cs="Times New Roman"/>
        </w:rPr>
        <w:t xml:space="preserve"> </w:t>
      </w:r>
      <w:r w:rsidRPr="46161ED1" w:rsidR="11F69CA6">
        <w:rPr>
          <w:rFonts w:ascii="Times New Roman" w:hAnsi="Times New Roman" w:eastAsia="Times New Roman" w:cs="Times New Roman"/>
        </w:rPr>
        <w:t>l</w:t>
      </w:r>
      <w:r w:rsidRPr="46161ED1" w:rsidR="32CAE6EB">
        <w:rPr>
          <w:rFonts w:ascii="Times New Roman" w:hAnsi="Times New Roman" w:eastAsia="Times New Roman" w:cs="Times New Roman"/>
        </w:rPr>
        <w:t>es</w:t>
      </w:r>
      <w:r w:rsidRPr="46161ED1" w:rsidR="11F69CA6">
        <w:rPr>
          <w:rFonts w:ascii="Times New Roman" w:hAnsi="Times New Roman" w:eastAsia="Times New Roman" w:cs="Times New Roman"/>
        </w:rPr>
        <w:t xml:space="preserve"> </w:t>
      </w:r>
      <w:r w:rsidRPr="46161ED1" w:rsidR="11F69CA6">
        <w:rPr>
          <w:rFonts w:ascii="Times New Roman" w:hAnsi="Times New Roman" w:eastAsia="Times New Roman" w:cs="Times New Roman"/>
        </w:rPr>
        <w:t>présentation</w:t>
      </w:r>
      <w:r w:rsidRPr="46161ED1" w:rsidR="3825A7B0">
        <w:rPr>
          <w:rFonts w:ascii="Times New Roman" w:hAnsi="Times New Roman" w:eastAsia="Times New Roman" w:cs="Times New Roman"/>
        </w:rPr>
        <w:t>s</w:t>
      </w:r>
      <w:r w:rsidRPr="46161ED1" w:rsidR="11F69CA6">
        <w:rPr>
          <w:rFonts w:ascii="Times New Roman" w:hAnsi="Times New Roman" w:eastAsia="Times New Roman" w:cs="Times New Roman"/>
        </w:rPr>
        <w:t xml:space="preserve"> </w:t>
      </w:r>
      <w:r w:rsidRPr="46161ED1" w:rsidR="49BE463D">
        <w:rPr>
          <w:rFonts w:ascii="Times New Roman" w:hAnsi="Times New Roman" w:eastAsia="Times New Roman" w:cs="Times New Roman"/>
        </w:rPr>
        <w:t>orale</w:t>
      </w:r>
      <w:r w:rsidRPr="46161ED1" w:rsidR="1B81743B">
        <w:rPr>
          <w:rFonts w:ascii="Times New Roman" w:hAnsi="Times New Roman" w:eastAsia="Times New Roman" w:cs="Times New Roman"/>
        </w:rPr>
        <w:t>s</w:t>
      </w:r>
      <w:r w:rsidRPr="46161ED1" w:rsidR="49BE463D">
        <w:rPr>
          <w:rFonts w:ascii="Times New Roman" w:hAnsi="Times New Roman" w:eastAsia="Times New Roman" w:cs="Times New Roman"/>
        </w:rPr>
        <w:t xml:space="preserve"> </w:t>
      </w:r>
      <w:r w:rsidRPr="46161ED1" w:rsidR="11F69CA6">
        <w:rPr>
          <w:rFonts w:ascii="Times New Roman" w:hAnsi="Times New Roman" w:eastAsia="Times New Roman" w:cs="Times New Roman"/>
        </w:rPr>
        <w:t xml:space="preserve">de </w:t>
      </w:r>
      <w:r w:rsidRPr="46161ED1" w:rsidR="11F69CA6">
        <w:rPr>
          <w:rFonts w:ascii="Times New Roman" w:hAnsi="Times New Roman" w:eastAsia="Times New Roman" w:cs="Times New Roman"/>
        </w:rPr>
        <w:t>vos</w:t>
      </w:r>
      <w:r w:rsidRPr="46161ED1" w:rsidR="11F69CA6">
        <w:rPr>
          <w:rFonts w:ascii="Times New Roman" w:hAnsi="Times New Roman" w:eastAsia="Times New Roman" w:cs="Times New Roman"/>
        </w:rPr>
        <w:t xml:space="preserve"> </w:t>
      </w:r>
      <w:r w:rsidRPr="46161ED1" w:rsidR="11F69CA6">
        <w:rPr>
          <w:rFonts w:ascii="Times New Roman" w:hAnsi="Times New Roman" w:eastAsia="Times New Roman" w:cs="Times New Roman"/>
        </w:rPr>
        <w:t>camarades</w:t>
      </w:r>
      <w:r w:rsidRPr="46161ED1" w:rsidR="11F69CA6">
        <w:rPr>
          <w:rFonts w:ascii="Times New Roman" w:hAnsi="Times New Roman" w:eastAsia="Times New Roman" w:cs="Times New Roman"/>
        </w:rPr>
        <w:t xml:space="preserve"> de </w:t>
      </w:r>
      <w:r w:rsidRPr="46161ED1" w:rsidR="11F69CA6">
        <w:rPr>
          <w:rFonts w:ascii="Times New Roman" w:hAnsi="Times New Roman" w:eastAsia="Times New Roman" w:cs="Times New Roman"/>
        </w:rPr>
        <w:t>classe</w:t>
      </w:r>
      <w:r w:rsidRPr="46161ED1" w:rsidR="2542E396">
        <w:rPr>
          <w:rFonts w:ascii="Times New Roman" w:hAnsi="Times New Roman" w:eastAsia="Times New Roman" w:cs="Times New Roman"/>
        </w:rPr>
        <w:t xml:space="preserve"> </w:t>
      </w:r>
      <w:r w:rsidRPr="46161ED1" w:rsidR="2542E396">
        <w:rPr>
          <w:rFonts w:ascii="Times New Roman" w:hAnsi="Times New Roman" w:eastAsia="Times New Roman" w:cs="Times New Roman"/>
        </w:rPr>
        <w:t>afin</w:t>
      </w:r>
      <w:r w:rsidRPr="46161ED1" w:rsidR="2542E396">
        <w:rPr>
          <w:rFonts w:ascii="Times New Roman" w:hAnsi="Times New Roman" w:eastAsia="Times New Roman" w:cs="Times New Roman"/>
        </w:rPr>
        <w:t xml:space="preserve"> de </w:t>
      </w:r>
      <w:r w:rsidRPr="46161ED1" w:rsidR="2542E396">
        <w:rPr>
          <w:rFonts w:ascii="Times New Roman" w:hAnsi="Times New Roman" w:eastAsia="Times New Roman" w:cs="Times New Roman"/>
        </w:rPr>
        <w:t>leur</w:t>
      </w:r>
      <w:r w:rsidRPr="46161ED1" w:rsidR="2542E396">
        <w:rPr>
          <w:rFonts w:ascii="Times New Roman" w:hAnsi="Times New Roman" w:eastAsia="Times New Roman" w:cs="Times New Roman"/>
        </w:rPr>
        <w:t xml:space="preserve"> donner </w:t>
      </w:r>
      <w:r w:rsidRPr="46161ED1" w:rsidR="2542E396">
        <w:rPr>
          <w:rFonts w:ascii="Times New Roman" w:hAnsi="Times New Roman" w:eastAsia="Times New Roman" w:cs="Times New Roman"/>
        </w:rPr>
        <w:t>une</w:t>
      </w:r>
      <w:r w:rsidRPr="46161ED1" w:rsidR="2542E396">
        <w:rPr>
          <w:rFonts w:ascii="Times New Roman" w:hAnsi="Times New Roman" w:eastAsia="Times New Roman" w:cs="Times New Roman"/>
        </w:rPr>
        <w:t xml:space="preserve"> </w:t>
      </w:r>
      <w:r w:rsidRPr="46161ED1" w:rsidR="2542E396">
        <w:rPr>
          <w:rFonts w:ascii="Times New Roman" w:hAnsi="Times New Roman" w:eastAsia="Times New Roman" w:cs="Times New Roman"/>
        </w:rPr>
        <w:t>rétroaction</w:t>
      </w:r>
      <w:r w:rsidRPr="46161ED1" w:rsidR="11F69CA6">
        <w:rPr>
          <w:rFonts w:ascii="Times New Roman" w:hAnsi="Times New Roman" w:eastAsia="Times New Roman" w:cs="Times New Roman"/>
        </w:rPr>
        <w:t xml:space="preserve">. </w:t>
      </w:r>
      <w:r w:rsidRPr="46161ED1" w:rsidR="1FF3ECD5">
        <w:rPr>
          <w:rFonts w:ascii="Times New Roman" w:hAnsi="Times New Roman" w:eastAsia="Times New Roman" w:cs="Times New Roman"/>
        </w:rPr>
        <w:t>Appuyez-vous</w:t>
      </w:r>
      <w:r w:rsidRPr="46161ED1" w:rsidR="562EA9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sur deux principes de la </w:t>
      </w:r>
      <w:r w:rsidRPr="46161ED1" w:rsidR="562EA9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6D07FB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: la</w:t>
      </w:r>
      <w:r w:rsidRPr="46161ED1" w:rsidR="562EA9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62EA9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spécificité</w:t>
      </w:r>
      <w:r w:rsidRPr="46161ED1" w:rsidR="562EA9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</w:t>
      </w:r>
      <w:r w:rsidRPr="46161ED1" w:rsidR="00E3DA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la </w:t>
      </w:r>
      <w:r w:rsidRPr="46161ED1" w:rsidR="562EA9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constructivité</w:t>
      </w:r>
      <w:r w:rsidRPr="46161ED1" w:rsidR="562EA9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6256F1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et </w:t>
      </w:r>
      <w:r w:rsidRPr="46161ED1" w:rsidR="56256F1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</w:t>
      </w:r>
      <w:r w:rsidRPr="46161ED1" w:rsidR="3BE7B2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édigez</w:t>
      </w:r>
      <w:r w:rsidRPr="46161ED1" w:rsidR="3BE7B2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46161ED1" w:rsidR="3BE7B2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46161ED1" w:rsidR="3BE7B2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13A3C1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46161ED1" w:rsidR="13A3C1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13A3C1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fonction</w:t>
      </w:r>
      <w:r w:rsidRPr="46161ED1" w:rsidR="13A3C1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4357AFD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</w:t>
      </w:r>
      <w:r w:rsidRPr="46161ED1" w:rsidR="1B3A25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es </w:t>
      </w:r>
      <w:r w:rsidRPr="46161ED1" w:rsidR="1B3A25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critères</w:t>
      </w:r>
      <w:r w:rsidRPr="46161ED1" w:rsidR="1B3A25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1B3A25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d’évaluation</w:t>
      </w:r>
      <w:r w:rsidRPr="46161ED1" w:rsidR="1B3A25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46161ED1" w:rsidR="1B3A25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</w:t>
      </w:r>
      <w:r w:rsidRPr="46161ED1" w:rsidR="1B3A25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travail oral</w:t>
      </w:r>
      <w:r w:rsidRPr="46161ED1" w:rsidR="6C1814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  <w:r w:rsidRPr="46161ED1" w:rsidR="6C1814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DB8C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Commencez</w:t>
      </w:r>
      <w:r w:rsidRPr="46161ED1" w:rsidR="7DB8C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B02912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votre</w:t>
      </w:r>
      <w:r w:rsidRPr="46161ED1" w:rsidR="7B02912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B02912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7B02912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avec</w:t>
      </w:r>
      <w:r w:rsidRPr="46161ED1" w:rsidR="7DB8C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la 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dimen</w:t>
      </w:r>
      <w:r w:rsidRPr="46161ED1" w:rsidR="270617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ion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affective</w:t>
      </w:r>
      <w:r w:rsidRPr="46161ED1" w:rsidR="1CCC85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,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11465A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46161ED1" w:rsidR="11465A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11465A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identifiant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force de la </w:t>
      </w:r>
      <w:r w:rsidRPr="46161ED1" w:rsidR="695434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présentation</w:t>
      </w:r>
      <w:r w:rsidRPr="46161ED1" w:rsidR="3673C3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46161ED1" w:rsidR="3673C3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puis</w:t>
      </w:r>
      <w:r w:rsidRPr="46161ED1" w:rsidR="3673C3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1BB01E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ajoute</w:t>
      </w:r>
      <w:r w:rsidRPr="46161ED1" w:rsidR="5A5503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z</w:t>
      </w:r>
      <w:r w:rsidRPr="46161ED1" w:rsidR="7DB8C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DB8C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deux </w:t>
      </w:r>
      <w:r w:rsidRPr="46161ED1" w:rsidR="5F4F66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ou</w:t>
      </w:r>
      <w:r w:rsidRPr="46161ED1" w:rsidR="5F4F66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DB8C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trois </w:t>
      </w:r>
      <w:r w:rsidRPr="46161ED1" w:rsidR="7DB8C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commentaires</w:t>
      </w:r>
      <w:r w:rsidRPr="46161ED1" w:rsidR="7DB8C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A49A44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qui </w:t>
      </w:r>
      <w:r w:rsidRPr="46161ED1" w:rsidR="6D14544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portent </w:t>
      </w:r>
      <w:r w:rsidRPr="46161ED1" w:rsidR="5A49A44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sur la dimension cognitive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précisant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qui manque 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ou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015AEE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qu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’il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faudrait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faire pour 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réussir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ou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répondre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aux 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résultats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d’apprentissage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la 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présentation</w:t>
      </w:r>
      <w:r w:rsidRPr="46161ED1" w:rsidR="79F70B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  <w:r w:rsidRPr="46161ED1" w:rsidR="7DB8C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Votre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vise à aider 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vos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camarades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classe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améliorer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présentation</w:t>
      </w:r>
      <w:r w:rsidRPr="46161ED1" w:rsidR="761327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w:rsidR="6D709652" w:rsidP="46161ED1" w:rsidRDefault="6D709652" w14:paraId="306F3708" w14:textId="3A07B65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161ED1" w:rsidR="6D7096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N.B. </w:t>
      </w:r>
      <w:r w:rsidRPr="46161ED1" w:rsidR="6D7096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Votre</w:t>
      </w:r>
      <w:r w:rsidRPr="46161ED1" w:rsidR="6D7096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6D7096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6D7096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ne sera pas </w:t>
      </w:r>
      <w:r w:rsidRPr="46161ED1" w:rsidR="6D7096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notée</w:t>
      </w:r>
      <w:r w:rsidRPr="46161ED1" w:rsidR="6D7096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</w:p>
    <w:p w:rsidR="46161ED1" w:rsidP="46161ED1" w:rsidRDefault="46161ED1" w14:paraId="3D0D232B" w14:textId="47184C4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6013CAD" w:rsidP="46161ED1" w:rsidRDefault="06013CAD" w14:paraId="72D0C6EA" w14:textId="142BC160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46161ED1" w:rsidR="06013CA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Conclusion</w:t>
      </w:r>
    </w:p>
    <w:p w:rsidR="54828D5E" w:rsidP="46161ED1" w:rsidRDefault="54828D5E" w14:paraId="2A6C3CE0" w14:textId="007098A8">
      <w:pPr>
        <w:pStyle w:val="Normal"/>
        <w:suppressLineNumbers w:val="0"/>
        <w:bidi w:val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Cette </w:t>
      </w:r>
      <w:r w:rsidRPr="46161ED1" w:rsidR="76520B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ressource</w:t>
      </w:r>
      <w:r w:rsidRPr="46161ED1" w:rsidR="76520B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permettra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stimuler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progression des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apprentissages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d’encourager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motivation des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étudiants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tout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soutenant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engagement tant dans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propre processus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d’apprentissage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que dans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celui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leurs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pairs. Cette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expérience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d’apprentissage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qui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est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formulation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d’une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rétroaction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permet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aux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étudiants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développer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leurs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compétences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réflexion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critique et d’être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impliqué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dans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leur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propre processus 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d’apprentissage</w:t>
      </w:r>
      <w:r w:rsidRPr="46161ED1" w:rsidR="5482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w:rsidR="46161ED1" w:rsidP="46161ED1" w:rsidRDefault="46161ED1" w14:paraId="0F80FE7C" w14:textId="399D991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151860dcf2b4fe9"/>
      <w:footerReference w:type="default" r:id="R39e86ea1f85648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161ED1" w:rsidTr="46161ED1" w14:paraId="4EF9B39F">
      <w:trPr>
        <w:trHeight w:val="300"/>
      </w:trPr>
      <w:tc>
        <w:tcPr>
          <w:tcW w:w="3120" w:type="dxa"/>
          <w:tcMar/>
        </w:tcPr>
        <w:p w:rsidR="46161ED1" w:rsidP="46161ED1" w:rsidRDefault="46161ED1" w14:paraId="04CF8EB3" w14:textId="06885D64">
          <w:pPr>
            <w:pStyle w:val="Normal"/>
            <w:rPr>
              <w:rFonts w:ascii="Aptos" w:hAnsi="Aptos" w:eastAsia="Aptos" w:cs="Aptos"/>
              <w:noProof w:val="0"/>
              <w:sz w:val="20"/>
              <w:szCs w:val="20"/>
              <w:lang w:val="en-US"/>
            </w:rPr>
          </w:pPr>
          <w:r w:rsidRPr="46161ED1" w:rsidR="46161ED1">
            <w:rPr>
              <w:rFonts w:ascii="Aptos" w:hAnsi="Aptos" w:eastAsia="Aptos" w:cs="Aptos"/>
              <w:noProof w:val="0"/>
              <w:sz w:val="22"/>
              <w:szCs w:val="22"/>
              <w:lang w:val="en-US"/>
            </w:rPr>
            <w:t xml:space="preserve">Lucie </w:t>
          </w:r>
          <w:r w:rsidRPr="46161ED1" w:rsidR="46161ED1">
            <w:rPr>
              <w:rFonts w:ascii="Aptos" w:hAnsi="Aptos" w:eastAsia="Aptos" w:cs="Aptos"/>
              <w:noProof w:val="0"/>
              <w:sz w:val="22"/>
              <w:szCs w:val="22"/>
              <w:lang w:val="en-US"/>
            </w:rPr>
            <w:t>Bartosova</w:t>
          </w:r>
        </w:p>
        <w:p w:rsidR="46161ED1" w:rsidP="46161ED1" w:rsidRDefault="46161ED1" w14:paraId="5F00DF48" w14:textId="560930B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161ED1" w:rsidP="46161ED1" w:rsidRDefault="46161ED1" w14:paraId="11730A27" w14:textId="64CE4A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161ED1" w:rsidP="46161ED1" w:rsidRDefault="46161ED1" w14:paraId="7CF433BA" w14:textId="742593B4">
          <w:pPr>
            <w:pStyle w:val="Normal"/>
            <w:rPr>
              <w:rFonts w:ascii="Aptos" w:hAnsi="Aptos" w:eastAsia="Aptos" w:cs="Aptos"/>
              <w:noProof w:val="0"/>
              <w:sz w:val="22"/>
              <w:szCs w:val="22"/>
              <w:lang w:val="en-US"/>
            </w:rPr>
          </w:pPr>
          <w:r w:rsidRPr="46161ED1" w:rsidR="46161ED1">
            <w:rPr>
              <w:rFonts w:ascii="Aptos" w:hAnsi="Aptos" w:eastAsia="Aptos" w:cs="Aptos"/>
              <w:noProof w:val="0"/>
              <w:sz w:val="22"/>
              <w:szCs w:val="22"/>
              <w:lang w:val="en-US"/>
            </w:rPr>
            <w:t>CC BY-NC-SA</w:t>
          </w:r>
        </w:p>
        <w:p w:rsidR="46161ED1" w:rsidP="46161ED1" w:rsidRDefault="46161ED1" w14:paraId="0C9D723F" w14:textId="50FE2F5D">
          <w:pPr>
            <w:pStyle w:val="Normal"/>
            <w:spacing w:before="0" w:beforeAutospacing="off" w:after="0" w:afterAutospacing="off"/>
            <w:ind w:left="-180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sz w:val="22"/>
              <w:szCs w:val="22"/>
              <w:lang w:val="en-US"/>
            </w:rPr>
          </w:pPr>
          <w:r w:rsidR="46161ED1">
            <w:drawing>
              <wp:inline wp14:editId="56E45AF3" wp14:anchorId="60FDB645">
                <wp:extent cx="1362075" cy="228670"/>
                <wp:effectExtent l="0" t="0" r="0" b="0"/>
                <wp:docPr id="1674735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a7c5477b04d4d9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22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46161ED1" w:rsidP="46161ED1" w:rsidRDefault="46161ED1" w14:paraId="73FF56C1" w14:textId="3802E4EF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46161ED1" w:rsidP="46161ED1" w:rsidRDefault="46161ED1" w14:paraId="5F8CB8B2" w14:textId="77411EC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161ED1" w:rsidTr="46161ED1" w14:paraId="6E3EB243">
      <w:trPr>
        <w:trHeight w:val="300"/>
      </w:trPr>
      <w:tc>
        <w:tcPr>
          <w:tcW w:w="3120" w:type="dxa"/>
          <w:tcMar/>
        </w:tcPr>
        <w:p w:rsidR="46161ED1" w:rsidP="46161ED1" w:rsidRDefault="46161ED1" w14:paraId="32F40F34" w14:textId="31E434D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161ED1" w:rsidP="46161ED1" w:rsidRDefault="46161ED1" w14:paraId="304C06B5" w14:textId="379738B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161ED1" w:rsidP="46161ED1" w:rsidRDefault="46161ED1" w14:paraId="4F00628F" w14:textId="5733024E">
          <w:pPr>
            <w:pStyle w:val="Header"/>
            <w:bidi w:val="0"/>
            <w:ind w:right="-115"/>
            <w:jc w:val="right"/>
          </w:pPr>
        </w:p>
      </w:tc>
    </w:tr>
  </w:tbl>
  <w:p w:rsidR="46161ED1" w:rsidP="46161ED1" w:rsidRDefault="46161ED1" w14:paraId="0E39BAEB" w14:textId="3374C92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1de0e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04079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a1d3c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d45e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b9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9721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e3f3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lowerRoman"/>
      <w:lvlText w:val="%4)"/>
      <w:lvlJc w:val="left"/>
      <w:pPr>
        <w:ind w:left="3240" w:hanging="72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8767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F692D1"/>
    <w:rsid w:val="00339633"/>
    <w:rsid w:val="00903BD9"/>
    <w:rsid w:val="00E3DA2F"/>
    <w:rsid w:val="015AEE70"/>
    <w:rsid w:val="01C881D9"/>
    <w:rsid w:val="0228D74D"/>
    <w:rsid w:val="025CF191"/>
    <w:rsid w:val="039C96C7"/>
    <w:rsid w:val="0401A67F"/>
    <w:rsid w:val="04100550"/>
    <w:rsid w:val="04399499"/>
    <w:rsid w:val="047EB776"/>
    <w:rsid w:val="052A0865"/>
    <w:rsid w:val="059D76E0"/>
    <w:rsid w:val="06013CAD"/>
    <w:rsid w:val="0652CCF9"/>
    <w:rsid w:val="07B94BDC"/>
    <w:rsid w:val="0818C837"/>
    <w:rsid w:val="0862A14F"/>
    <w:rsid w:val="097E634D"/>
    <w:rsid w:val="09978294"/>
    <w:rsid w:val="09A535F7"/>
    <w:rsid w:val="0AA8D61D"/>
    <w:rsid w:val="0B0B27F2"/>
    <w:rsid w:val="0B410658"/>
    <w:rsid w:val="0B6FF180"/>
    <w:rsid w:val="0B95C3B4"/>
    <w:rsid w:val="0C54B8B6"/>
    <w:rsid w:val="0CBDBA08"/>
    <w:rsid w:val="0CF92FE1"/>
    <w:rsid w:val="0DC2574F"/>
    <w:rsid w:val="0E068B7F"/>
    <w:rsid w:val="0E506EE2"/>
    <w:rsid w:val="0ED68841"/>
    <w:rsid w:val="0FA25BE0"/>
    <w:rsid w:val="11465A29"/>
    <w:rsid w:val="11CDC486"/>
    <w:rsid w:val="11F69CA6"/>
    <w:rsid w:val="128AD6DF"/>
    <w:rsid w:val="13A3C1D1"/>
    <w:rsid w:val="155EC069"/>
    <w:rsid w:val="168CFBB8"/>
    <w:rsid w:val="168CFBB8"/>
    <w:rsid w:val="18826D0E"/>
    <w:rsid w:val="198E08F4"/>
    <w:rsid w:val="19D434D3"/>
    <w:rsid w:val="1A10C13E"/>
    <w:rsid w:val="1B3A2585"/>
    <w:rsid w:val="1B81743B"/>
    <w:rsid w:val="1B85FBCB"/>
    <w:rsid w:val="1B98E1CC"/>
    <w:rsid w:val="1BB01E8D"/>
    <w:rsid w:val="1C4826AC"/>
    <w:rsid w:val="1CCC853A"/>
    <w:rsid w:val="1D306DAB"/>
    <w:rsid w:val="1D486200"/>
    <w:rsid w:val="1DA0FC3E"/>
    <w:rsid w:val="1E4F619C"/>
    <w:rsid w:val="1EEB4B06"/>
    <w:rsid w:val="1EEB4B06"/>
    <w:rsid w:val="1EF64FD8"/>
    <w:rsid w:val="1F216835"/>
    <w:rsid w:val="1FF3ECD5"/>
    <w:rsid w:val="1FF818B5"/>
    <w:rsid w:val="1FFB042B"/>
    <w:rsid w:val="203140EB"/>
    <w:rsid w:val="204EE1F3"/>
    <w:rsid w:val="2099C3FC"/>
    <w:rsid w:val="20D89D00"/>
    <w:rsid w:val="21D0E7E7"/>
    <w:rsid w:val="21D0E7E7"/>
    <w:rsid w:val="2217B904"/>
    <w:rsid w:val="221BD323"/>
    <w:rsid w:val="2238D59C"/>
    <w:rsid w:val="238682B5"/>
    <w:rsid w:val="24916939"/>
    <w:rsid w:val="249A6A18"/>
    <w:rsid w:val="250888A9"/>
    <w:rsid w:val="2521B106"/>
    <w:rsid w:val="2542E396"/>
    <w:rsid w:val="255373E5"/>
    <w:rsid w:val="255373E5"/>
    <w:rsid w:val="25E160F9"/>
    <w:rsid w:val="25E1E9B7"/>
    <w:rsid w:val="26675A39"/>
    <w:rsid w:val="26795D36"/>
    <w:rsid w:val="26A4590A"/>
    <w:rsid w:val="26BB3DC3"/>
    <w:rsid w:val="27061794"/>
    <w:rsid w:val="27902E77"/>
    <w:rsid w:val="27902E77"/>
    <w:rsid w:val="27D20ADA"/>
    <w:rsid w:val="28032A9A"/>
    <w:rsid w:val="2840296B"/>
    <w:rsid w:val="2840296B"/>
    <w:rsid w:val="284F89CB"/>
    <w:rsid w:val="29198A79"/>
    <w:rsid w:val="29198A79"/>
    <w:rsid w:val="29DBF9CC"/>
    <w:rsid w:val="2A2C1007"/>
    <w:rsid w:val="2A6105BB"/>
    <w:rsid w:val="2B05BF68"/>
    <w:rsid w:val="2B3ACB5C"/>
    <w:rsid w:val="2B45EDCF"/>
    <w:rsid w:val="2C28EA5A"/>
    <w:rsid w:val="2C512B3B"/>
    <w:rsid w:val="2C85C7DB"/>
    <w:rsid w:val="2CA57BFD"/>
    <w:rsid w:val="2CD69BBD"/>
    <w:rsid w:val="2D78290D"/>
    <w:rsid w:val="2DE55097"/>
    <w:rsid w:val="2E5248BD"/>
    <w:rsid w:val="2E726C1E"/>
    <w:rsid w:val="2F40C806"/>
    <w:rsid w:val="2FFA68FC"/>
    <w:rsid w:val="31BC1FBF"/>
    <w:rsid w:val="328F80BE"/>
    <w:rsid w:val="32CAE6EB"/>
    <w:rsid w:val="33A589A5"/>
    <w:rsid w:val="34E1ADA2"/>
    <w:rsid w:val="3545B65B"/>
    <w:rsid w:val="3673C307"/>
    <w:rsid w:val="367D7E03"/>
    <w:rsid w:val="36977B55"/>
    <w:rsid w:val="36FA5874"/>
    <w:rsid w:val="37E002A6"/>
    <w:rsid w:val="37E002A6"/>
    <w:rsid w:val="3825A7B0"/>
    <w:rsid w:val="384A0CDD"/>
    <w:rsid w:val="39317D4F"/>
    <w:rsid w:val="394C4BE4"/>
    <w:rsid w:val="3BE7B2EC"/>
    <w:rsid w:val="3C68888D"/>
    <w:rsid w:val="3D4088D5"/>
    <w:rsid w:val="3E1D5C39"/>
    <w:rsid w:val="3F0A9427"/>
    <w:rsid w:val="3F2DA505"/>
    <w:rsid w:val="3FA6DD4D"/>
    <w:rsid w:val="3FA97C86"/>
    <w:rsid w:val="3FB951AC"/>
    <w:rsid w:val="3FBCB77E"/>
    <w:rsid w:val="40007E42"/>
    <w:rsid w:val="4118B7F9"/>
    <w:rsid w:val="419C4EA3"/>
    <w:rsid w:val="428A28F0"/>
    <w:rsid w:val="42DE7E0F"/>
    <w:rsid w:val="43381F04"/>
    <w:rsid w:val="4357AFD9"/>
    <w:rsid w:val="43CEED96"/>
    <w:rsid w:val="442895B7"/>
    <w:rsid w:val="446F39BC"/>
    <w:rsid w:val="44739A72"/>
    <w:rsid w:val="44C2796D"/>
    <w:rsid w:val="44D3EF65"/>
    <w:rsid w:val="44D3EF65"/>
    <w:rsid w:val="459F9F93"/>
    <w:rsid w:val="45DFC057"/>
    <w:rsid w:val="45F070FD"/>
    <w:rsid w:val="460F6AD3"/>
    <w:rsid w:val="46161ED1"/>
    <w:rsid w:val="4706BBAF"/>
    <w:rsid w:val="47A6DA7E"/>
    <w:rsid w:val="480B9027"/>
    <w:rsid w:val="487CF13D"/>
    <w:rsid w:val="48FC06DA"/>
    <w:rsid w:val="48FD1732"/>
    <w:rsid w:val="4960E4B1"/>
    <w:rsid w:val="49BE463D"/>
    <w:rsid w:val="49F25964"/>
    <w:rsid w:val="4A396DC2"/>
    <w:rsid w:val="4A5B9508"/>
    <w:rsid w:val="4A97D73B"/>
    <w:rsid w:val="4AA5DD25"/>
    <w:rsid w:val="4C33A79C"/>
    <w:rsid w:val="4C66448E"/>
    <w:rsid w:val="4D2A1F57"/>
    <w:rsid w:val="4D995F00"/>
    <w:rsid w:val="4DCF77FD"/>
    <w:rsid w:val="4E0FEA60"/>
    <w:rsid w:val="4E66A6A0"/>
    <w:rsid w:val="50022D59"/>
    <w:rsid w:val="5031A30F"/>
    <w:rsid w:val="52B8DC90"/>
    <w:rsid w:val="52DCB304"/>
    <w:rsid w:val="5339BBB7"/>
    <w:rsid w:val="53787452"/>
    <w:rsid w:val="537A4FD8"/>
    <w:rsid w:val="539237C6"/>
    <w:rsid w:val="53F692D1"/>
    <w:rsid w:val="546C0DEB"/>
    <w:rsid w:val="546C0DEB"/>
    <w:rsid w:val="54788365"/>
    <w:rsid w:val="54788365"/>
    <w:rsid w:val="54828D5E"/>
    <w:rsid w:val="556B0CD0"/>
    <w:rsid w:val="56256F19"/>
    <w:rsid w:val="562EA9EF"/>
    <w:rsid w:val="5749EA97"/>
    <w:rsid w:val="577E47C9"/>
    <w:rsid w:val="594BF488"/>
    <w:rsid w:val="5A49A442"/>
    <w:rsid w:val="5A5503BE"/>
    <w:rsid w:val="5AE923C2"/>
    <w:rsid w:val="5AFC8C90"/>
    <w:rsid w:val="5B058CDE"/>
    <w:rsid w:val="5DFB8F37"/>
    <w:rsid w:val="5EBF5FDF"/>
    <w:rsid w:val="5EEF8400"/>
    <w:rsid w:val="5F4F6631"/>
    <w:rsid w:val="607B5D8A"/>
    <w:rsid w:val="61332FF9"/>
    <w:rsid w:val="6152E320"/>
    <w:rsid w:val="61B00A6A"/>
    <w:rsid w:val="62592831"/>
    <w:rsid w:val="6284CF6B"/>
    <w:rsid w:val="632184B2"/>
    <w:rsid w:val="6495E3C9"/>
    <w:rsid w:val="64FC8A1E"/>
    <w:rsid w:val="677B4336"/>
    <w:rsid w:val="69543401"/>
    <w:rsid w:val="6A789A12"/>
    <w:rsid w:val="6AB63038"/>
    <w:rsid w:val="6B9B8478"/>
    <w:rsid w:val="6BCF9EBC"/>
    <w:rsid w:val="6C119329"/>
    <w:rsid w:val="6C1814A6"/>
    <w:rsid w:val="6C520099"/>
    <w:rsid w:val="6C520099"/>
    <w:rsid w:val="6CC9ABEE"/>
    <w:rsid w:val="6CC9ABEE"/>
    <w:rsid w:val="6D07FBB7"/>
    <w:rsid w:val="6D145442"/>
    <w:rsid w:val="6D3059D5"/>
    <w:rsid w:val="6D3059D5"/>
    <w:rsid w:val="6D709652"/>
    <w:rsid w:val="6D840528"/>
    <w:rsid w:val="6DBF3EE6"/>
    <w:rsid w:val="6E28FAD9"/>
    <w:rsid w:val="6EC7C8C6"/>
    <w:rsid w:val="6ED3253A"/>
    <w:rsid w:val="6F347973"/>
    <w:rsid w:val="6FDDAA89"/>
    <w:rsid w:val="6FF0F78A"/>
    <w:rsid w:val="706EF59B"/>
    <w:rsid w:val="70C0BC13"/>
    <w:rsid w:val="70C0BC13"/>
    <w:rsid w:val="70C430EE"/>
    <w:rsid w:val="70D049D4"/>
    <w:rsid w:val="71C34274"/>
    <w:rsid w:val="72E5F919"/>
    <w:rsid w:val="73A6965D"/>
    <w:rsid w:val="754266BE"/>
    <w:rsid w:val="75FD1C6B"/>
    <w:rsid w:val="761327AF"/>
    <w:rsid w:val="76520BA4"/>
    <w:rsid w:val="76A0D129"/>
    <w:rsid w:val="76EC9366"/>
    <w:rsid w:val="772A8F2B"/>
    <w:rsid w:val="7735047A"/>
    <w:rsid w:val="77DC924F"/>
    <w:rsid w:val="781A3F6D"/>
    <w:rsid w:val="781E99FE"/>
    <w:rsid w:val="78425BFB"/>
    <w:rsid w:val="785B98B5"/>
    <w:rsid w:val="798FDEA1"/>
    <w:rsid w:val="79A527AB"/>
    <w:rsid w:val="79F70BC2"/>
    <w:rsid w:val="7A824B66"/>
    <w:rsid w:val="7B029125"/>
    <w:rsid w:val="7B61EB74"/>
    <w:rsid w:val="7BB1A842"/>
    <w:rsid w:val="7C30511A"/>
    <w:rsid w:val="7D89CCDC"/>
    <w:rsid w:val="7D9264FA"/>
    <w:rsid w:val="7DB8C6C2"/>
    <w:rsid w:val="7E853062"/>
    <w:rsid w:val="7EF46B77"/>
    <w:rsid w:val="7F2550CE"/>
    <w:rsid w:val="7F2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E58A"/>
  <w15:chartTrackingRefBased/>
  <w15:docId w15:val="{010521E2-8D19-4EC7-AA0C-EA635E403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b910eee791c46f0" /><Relationship Type="http://schemas.openxmlformats.org/officeDocument/2006/relationships/header" Target="header.xml" Id="Rb151860dcf2b4fe9" /><Relationship Type="http://schemas.openxmlformats.org/officeDocument/2006/relationships/footer" Target="footer.xml" Id="R39e86ea1f8564863" /><Relationship Type="http://schemas.openxmlformats.org/officeDocument/2006/relationships/numbering" Target="numbering.xml" Id="R6169b4306fc7408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jpg" Id="Rea7c5477b04d4d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2024-03-23T03:39:58.9082162Z</dcterms:created>
  <dcterms:modified xsi:type="dcterms:W3CDTF">2024-03-25T02:19:09.3485906Z</dcterms:modified>
  <dc:creator>Lucie Bartosova</dc:creator>
  <lastModifiedBy>Lucie Bartosova</lastModifiedBy>
</coreProperties>
</file>