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340"/>
        <w:rPr>
          <w:rFonts w:ascii="Amatic SC" w:cs="Amatic SC" w:eastAsia="Amatic SC" w:hAnsi="Amatic SC"/>
          <w:sz w:val="60"/>
          <w:szCs w:val="60"/>
        </w:rPr>
      </w:pPr>
      <w:r w:rsidDel="00000000" w:rsidR="00000000" w:rsidRPr="00000000">
        <w:rPr>
          <w:rFonts w:ascii="Amatic SC" w:cs="Amatic SC" w:eastAsia="Amatic SC" w:hAnsi="Amatic SC"/>
          <w:sz w:val="60"/>
          <w:szCs w:val="60"/>
          <w:rtl w:val="0"/>
        </w:rPr>
        <w:t xml:space="preserve">points de langue</w:t>
      </w:r>
    </w:p>
    <w:p w:rsidR="00000000" w:rsidDel="00000000" w:rsidP="00000000" w:rsidRDefault="00000000" w:rsidRPr="00000000" w14:paraId="00000002">
      <w:pPr>
        <w:widowControl w:val="0"/>
        <w:ind w:right="340"/>
        <w:rPr>
          <w:rFonts w:ascii="Montserrat" w:cs="Montserrat" w:eastAsia="Montserrat" w:hAnsi="Montserrat"/>
          <w:i w:val="1"/>
          <w:color w:val="2a251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sz w:val="28"/>
          <w:szCs w:val="28"/>
          <w:rtl w:val="0"/>
        </w:rPr>
        <w:t xml:space="preserve">Exercice de repérage :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Montserrat" w:cs="Montserrat" w:eastAsia="Montserrat" w:hAnsi="Montserrat"/>
          <w:i w:val="1"/>
          <w:color w:val="2a251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a2513"/>
          <w:sz w:val="28"/>
          <w:szCs w:val="28"/>
          <w:rtl w:val="0"/>
        </w:rPr>
        <w:t xml:space="preserve">dans le texte proposé sur le site « The Conversation », repérez les points de langue listés dans le tableau ci-dessous :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Montserrat" w:cs="Montserrat" w:eastAsia="Montserrat" w:hAnsi="Montserrat"/>
          <w:i w:val="1"/>
          <w:color w:val="2a2513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530.0" w:type="dxa"/>
        <w:jc w:val="left"/>
        <w:tblInd w:w="-13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3690"/>
        <w:gridCol w:w="3405"/>
        <w:gridCol w:w="4065"/>
        <w:gridCol w:w="2850"/>
        <w:tblGridChange w:id="0">
          <w:tblGrid>
            <w:gridCol w:w="2520"/>
            <w:gridCol w:w="3690"/>
            <w:gridCol w:w="3405"/>
            <w:gridCol w:w="4065"/>
            <w:gridCol w:w="2850"/>
          </w:tblGrid>
        </w:tblGridChange>
      </w:tblGrid>
      <w:tr>
        <w:trPr>
          <w:cantSplit w:val="0"/>
          <w:trHeight w:val="687.357079101562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411.42960000000005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bjectifs d'apprentissage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411.42960000000005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Expressions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411.42960000000005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Fonctions grammaticales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411.42960000000005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Vocabulaire / Néologismes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411.42960000000005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Remarques didactiques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411.42960000000005" w:lineRule="auto"/>
              <w:rPr>
                <w:b w:val="1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Exprimer des réserves, son opposition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«Si la panique ou l’enthousiasme utopique»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«Contrairement à l’idée mise en avant par Google»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«Ce qui est beaucoup moins visible»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color w:val="0d0d0d"/>
                <w:sz w:val="18"/>
                <w:szCs w:val="18"/>
                <w:rtl w:val="0"/>
              </w:rPr>
              <w:t xml:space="preserve">Introduire une nuance ou une opposition dans un argument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411.42960000000005" w:lineRule="auto"/>
              <w:rPr>
                <w:b w:val="1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Explorer et comprendre les impacts de l’IA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Vocabulaire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«intelligence artificielle», «algorithmes», «science des données», «infrastructures de données»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Néologismes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«Pagerank», «big data», «open data»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color w:val="0d0d0d"/>
                <w:sz w:val="18"/>
                <w:szCs w:val="18"/>
                <w:rtl w:val="0"/>
              </w:rPr>
              <w:t xml:space="preserve">Termes et néologismes liés à l'IA et à son impact sur la société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411.42960000000005" w:lineRule="auto"/>
              <w:rPr>
                <w:b w:val="1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Exprimer le doute, l'hypothèse, la certitude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«peut-on parfois lire dans la presse», «comme horizon politique»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Utilisation du conditionnel pour l'hypothèse ou le doute </w:t>
            </w: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«</w:t>
            </w: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pourrait», «serait»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d0d0d"/>
                <w:sz w:val="18"/>
                <w:szCs w:val="18"/>
                <w:rtl w:val="0"/>
              </w:rPr>
              <w:t xml:space="preserve">Mode indicatif pour les certitudes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«</w:t>
            </w: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est», «ont inventé»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color w:val="0d0d0d"/>
                <w:sz w:val="18"/>
                <w:szCs w:val="18"/>
                <w:rtl w:val="0"/>
              </w:rPr>
              <w:t xml:space="preserve">Comment intégrer le doute et l'hypothèse dans le discours?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411.42960000000005" w:lineRule="auto"/>
              <w:rPr>
                <w:b w:val="1"/>
                <w:color w:val="0d0d0d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d0d0d"/>
                <w:sz w:val="19"/>
                <w:szCs w:val="19"/>
                <w:rtl w:val="0"/>
              </w:rPr>
              <w:t xml:space="preserve">Expliquer ses choix, donner une raison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411.42960000000005" w:lineRule="auto"/>
              <w:rPr>
                <w:b w:val="1"/>
                <w:color w:val="0d0d0d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Conjonctions de subordination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411.42960000000005" w:lineRule="auto"/>
              <w:rPr>
                <w:i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«</w:t>
            </w:r>
            <w:r w:rsidDel="00000000" w:rsidR="00000000" w:rsidRPr="00000000">
              <w:rPr>
                <w:i w:val="1"/>
                <w:color w:val="0d0d0d"/>
                <w:sz w:val="18"/>
                <w:szCs w:val="18"/>
                <w:rtl w:val="0"/>
              </w:rPr>
              <w:t xml:space="preserve">parce que», «puisque», «en effet»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411.42960000000005" w:lineRule="auto"/>
              <w:rPr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color w:val="0d0d0d"/>
                <w:sz w:val="18"/>
                <w:szCs w:val="18"/>
                <w:rtl w:val="0"/>
              </w:rPr>
              <w:t xml:space="preserve">Adverbes et expressions adverbiales qui permettent d'exprimer : la cause, conséquence ou encore le but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Montserrat" w:cs="Montserrat" w:eastAsia="Montserrat" w:hAnsi="Montserrat"/>
          <w:i w:val="1"/>
          <w:color w:val="2a2513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425.196850393700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vitrinelinguistique.oqlf.gouv.qc.ca/fiche-gdt/fiche/26559712/conjonction-de-subordination#:~:text=La%20conjonction%20de%20subordination%20exprime,que%2C%20de%20fa%C3%A7on%20que).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8" ma:contentTypeDescription="Create a new document." ma:contentTypeScope="" ma:versionID="5eb9e9eed62ee4db2e81ab60490313a5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a6941eaca594ea6e49c79a443a333932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Props1.xml><?xml version="1.0" encoding="utf-8"?>
<ds:datastoreItem xmlns:ds="http://schemas.openxmlformats.org/officeDocument/2006/customXml" ds:itemID="{A94AEF95-2C58-40B2-AF7A-01F3DD6B8494}"/>
</file>

<file path=customXml/itemProps2.xml><?xml version="1.0" encoding="utf-8"?>
<ds:datastoreItem xmlns:ds="http://schemas.openxmlformats.org/officeDocument/2006/customXml" ds:itemID="{45820978-B7F1-420B-B9F0-B7FC85ACC82C}"/>
</file>

<file path=customXml/itemProps3.xml><?xml version="1.0" encoding="utf-8"?>
<ds:datastoreItem xmlns:ds="http://schemas.openxmlformats.org/officeDocument/2006/customXml" ds:itemID="{56AE34D8-2BD7-4403-96A5-29F98B0D47C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0x010100A58EA410214A0447B6B94AEFF6909EED</vt:lpwstr>
  </property>
</Properties>
</file>