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340"/>
        <w:rPr>
          <w:rFonts w:ascii="Amatic SC" w:cs="Amatic SC" w:eastAsia="Amatic SC" w:hAnsi="Amatic SC"/>
          <w:sz w:val="60"/>
          <w:szCs w:val="60"/>
        </w:rPr>
      </w:pPr>
      <w:r w:rsidDel="00000000" w:rsidR="00000000" w:rsidRPr="00000000">
        <w:rPr>
          <w:rFonts w:ascii="Amatic SC" w:cs="Amatic SC" w:eastAsia="Amatic SC" w:hAnsi="Amatic SC"/>
          <w:sz w:val="60"/>
          <w:szCs w:val="60"/>
          <w:rtl w:val="0"/>
        </w:rPr>
        <w:t xml:space="preserve">points de langue</w:t>
      </w:r>
    </w:p>
    <w:p w:rsidR="00000000" w:rsidDel="00000000" w:rsidP="00000000" w:rsidRDefault="00000000" w:rsidRPr="00000000" w14:paraId="00000002">
      <w:pPr>
        <w:widowControl w:val="0"/>
        <w:ind w:right="340"/>
        <w:rPr>
          <w:rFonts w:ascii="Montserrat" w:cs="Montserrat" w:eastAsia="Montserrat" w:hAnsi="Montserrat"/>
          <w:i w:val="1"/>
          <w:color w:val="2a251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sz w:val="28"/>
          <w:szCs w:val="28"/>
          <w:rtl w:val="0"/>
        </w:rPr>
        <w:t xml:space="preserve">Exercice de repérage :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Montserrat" w:cs="Montserrat" w:eastAsia="Montserrat" w:hAnsi="Montserrat"/>
          <w:i w:val="1"/>
          <w:color w:val="2a251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sz w:val="28"/>
          <w:szCs w:val="28"/>
          <w:rtl w:val="0"/>
        </w:rPr>
        <w:t xml:space="preserve">dans le texte proposé sur le site « The Conversation », repérez les points de langue listés dans le tableau ci-dessous :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Montserrat" w:cs="Montserrat" w:eastAsia="Montserrat" w:hAnsi="Montserrat"/>
          <w:i w:val="1"/>
          <w:color w:val="2a2513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5.0" w:type="dxa"/>
        <w:jc w:val="left"/>
        <w:tblInd w:w="-7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3150"/>
        <w:gridCol w:w="4470"/>
        <w:gridCol w:w="4275"/>
        <w:tblGridChange w:id="0">
          <w:tblGrid>
            <w:gridCol w:w="2490"/>
            <w:gridCol w:w="3150"/>
            <w:gridCol w:w="4470"/>
            <w:gridCol w:w="4275"/>
          </w:tblGrid>
        </w:tblGridChange>
      </w:tblGrid>
      <w:tr>
        <w:trPr>
          <w:cantSplit w:val="0"/>
          <w:trHeight w:val="687.357079101562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411.42960000000005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bjectifs d'apprentissage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411.42960000000005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Expressions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411.42960000000005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Fonctions grammaticales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411.42960000000005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8" w:val="single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411.42960000000005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Vocabulaire / Néologismes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411.42960000000005" w:lineRule="auto"/>
              <w:rPr>
                <w:b w:val="1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Exprimer des réserves, son opposition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Exemple : «Si la panique ou l’enthousiasme utopique»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8" w:val="single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411.42960000000005" w:lineRule="auto"/>
              <w:rPr>
                <w:b w:val="1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Explorer et comprendre les impacts de l’IA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8" w:val="single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Vocabulaire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exemple : «intelligence artificielle»,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Néologismes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exemple : «open data»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411.42960000000005" w:lineRule="auto"/>
              <w:rPr>
                <w:b w:val="1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Exprimer le doute, l'hypothèse, la certitude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conditionnel pour l'hypothèse ou le doute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2 exemples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Mode indicatif pour les certitudes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color w:val="0d0d0d"/>
                <w:sz w:val="18"/>
                <w:szCs w:val="18"/>
                <w:rtl w:val="0"/>
              </w:rPr>
              <w:t xml:space="preserve">2 exemples</w:t>
            </w:r>
          </w:p>
        </w:tc>
        <w:tc>
          <w:tcPr>
            <w:tcBorders>
              <w:top w:color="e3e3e3" w:space="0" w:sz="8" w:val="single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411.42960000000005" w:lineRule="auto"/>
              <w:rPr>
                <w:b w:val="1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Expliquer ses choix, donner une raison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411.42960000000005" w:lineRule="auto"/>
              <w:rPr>
                <w:b w:val="1"/>
                <w:color w:val="0d0d0d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Conjonctions de subordination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color w:val="0d0d0d"/>
                <w:sz w:val="18"/>
                <w:szCs w:val="18"/>
                <w:rtl w:val="0"/>
              </w:rPr>
              <w:t xml:space="preserve">3 exemples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8" w:val="single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Montserrat" w:cs="Montserrat" w:eastAsia="Montserrat" w:hAnsi="Montserrat"/>
          <w:i w:val="1"/>
          <w:color w:val="2a2513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425.196850393700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vitrinelinguistique.oqlf.gouv.qc.ca/fiche-gdt/fiche/26559712/conjonction-de-subordination#:~:text=La%20conjonction%20de%20subordination%20exprime,que%2C%20de%20fa%C3%A7on%20que).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8" ma:contentTypeDescription="Create a new document." ma:contentTypeScope="" ma:versionID="5eb9e9eed62ee4db2e81ab60490313a5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a6941eaca594ea6e49c79a443a333932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Props1.xml><?xml version="1.0" encoding="utf-8"?>
<ds:datastoreItem xmlns:ds="http://schemas.openxmlformats.org/officeDocument/2006/customXml" ds:itemID="{A519AA19-85FD-4278-93F1-BB911A19B37B}"/>
</file>

<file path=customXml/itemProps2.xml><?xml version="1.0" encoding="utf-8"?>
<ds:datastoreItem xmlns:ds="http://schemas.openxmlformats.org/officeDocument/2006/customXml" ds:itemID="{85EB474B-EE1D-4210-BB19-D360843DF79B}"/>
</file>

<file path=customXml/itemProps3.xml><?xml version="1.0" encoding="utf-8"?>
<ds:datastoreItem xmlns:ds="http://schemas.openxmlformats.org/officeDocument/2006/customXml" ds:itemID="{0799E1BA-D433-4959-A462-FE543F64C7F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0x010100A58EA410214A0447B6B94AEFF6909EED</vt:lpwstr>
  </property>
</Properties>
</file>