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AB5A15" w14:textId="7F22E9EC" w:rsidR="003F371C" w:rsidRDefault="003F371C">
      <w:pPr>
        <w:rPr>
          <w:noProof/>
          <w:lang w:eastAsia="fr-FR"/>
        </w:rPr>
      </w:pPr>
      <w:r>
        <w:rPr>
          <w:noProof/>
          <w:lang w:eastAsia="fr-FR"/>
        </w:rPr>
        <w:drawing>
          <wp:anchor distT="0" distB="0" distL="114300" distR="114300" simplePos="0" relativeHeight="253440000" behindDoc="0" locked="0" layoutInCell="1" allowOverlap="1" wp14:anchorId="02F9B50D" wp14:editId="566ADA5A">
            <wp:simplePos x="0" y="0"/>
            <wp:positionH relativeFrom="column">
              <wp:posOffset>-914400</wp:posOffset>
            </wp:positionH>
            <wp:positionV relativeFrom="paragraph">
              <wp:posOffset>-1028066</wp:posOffset>
            </wp:positionV>
            <wp:extent cx="10172700" cy="8000365"/>
            <wp:effectExtent l="0" t="0" r="0" b="635"/>
            <wp:wrapNone/>
            <wp:docPr id="929" name="Image 929" descr="Macintosh HD:Users:marcbachand:Dropbox:Portail des fiscalistes:Le pédagogique:Ouvrage Finances personnelles:Mon ouvrage:Les Logos:Couverture_Livre_Mo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ropbox:Portail des fiscalistes:Le pédagogique:Ouvrage Finances personnelles:Mon ouvrage:Les Logos:Couverture_Livre_Moo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173887" cy="8001299"/>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1636E02" w14:textId="03BC336D" w:rsidR="00E21DC3" w:rsidRPr="00E21DC3" w:rsidRDefault="00771534" w:rsidP="007C5655">
      <w:pPr>
        <w:rPr>
          <w:rFonts w:asciiTheme="majorHAnsi" w:eastAsiaTheme="majorEastAsia" w:hAnsiTheme="majorHAnsi" w:cstheme="majorBidi"/>
          <w:b/>
          <w:bCs/>
          <w:color w:val="4A6300" w:themeColor="accent1" w:themeShade="80"/>
          <w:sz w:val="32"/>
          <w:szCs w:val="32"/>
        </w:rPr>
      </w:pPr>
      <w:r>
        <w:br w:type="page"/>
      </w:r>
      <w:bookmarkStart w:id="0" w:name="_Toc314397805"/>
      <w:bookmarkStart w:id="1" w:name="_Toc443569351"/>
    </w:p>
    <w:p w14:paraId="1C12D69E" w14:textId="660D8F2C" w:rsidR="00E21DC3" w:rsidRPr="00E21DC3" w:rsidRDefault="00E21DC3" w:rsidP="00E21DC3">
      <w:pPr>
        <w:rPr>
          <w:rFonts w:asciiTheme="majorHAnsi" w:eastAsiaTheme="majorEastAsia" w:hAnsiTheme="majorHAnsi" w:cstheme="majorBidi"/>
          <w:b/>
          <w:bCs/>
          <w:color w:val="4A6300" w:themeColor="accent1" w:themeShade="80"/>
          <w:sz w:val="32"/>
          <w:szCs w:val="32"/>
        </w:rPr>
      </w:pPr>
    </w:p>
    <w:p w14:paraId="52EA9CDA" w14:textId="0EEFAED5" w:rsidR="00CC5368" w:rsidRDefault="00CC5368" w:rsidP="003E1E50">
      <w:pPr>
        <w:pStyle w:val="Titre1"/>
        <w:numPr>
          <w:ilvl w:val="0"/>
          <w:numId w:val="0"/>
        </w:numPr>
      </w:pPr>
      <w:r>
        <w:t>Pictogramme</w:t>
      </w:r>
      <w:bookmarkEnd w:id="0"/>
      <w:bookmarkEnd w:id="1"/>
    </w:p>
    <w:p w14:paraId="318BCC35" w14:textId="36B6DE7B" w:rsidR="00D17AEB" w:rsidRDefault="00D17AEB"/>
    <w:p w14:paraId="53E4DAD1" w14:textId="29A827D5" w:rsidR="00413549" w:rsidRDefault="006662CE">
      <w:r>
        <w:rPr>
          <w:noProof/>
          <w:lang w:eastAsia="fr-FR"/>
        </w:rPr>
        <w:drawing>
          <wp:anchor distT="0" distB="0" distL="114300" distR="114300" simplePos="0" relativeHeight="251755520" behindDoc="1" locked="0" layoutInCell="1" allowOverlap="1" wp14:anchorId="32CE8298" wp14:editId="5D50F001">
            <wp:simplePos x="0" y="0"/>
            <wp:positionH relativeFrom="column">
              <wp:align>left</wp:align>
            </wp:positionH>
            <wp:positionV relativeFrom="paragraph">
              <wp:posOffset>135255</wp:posOffset>
            </wp:positionV>
            <wp:extent cx="685800" cy="681990"/>
            <wp:effectExtent l="0" t="0" r="0" b="3810"/>
            <wp:wrapNone/>
            <wp:docPr id="25" name="Image 25" descr="Macintosh HD:Users:marcbachand:Desktop:Capture d’écran 2015-06-08 à 17.0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13549">
        <w:rPr>
          <w:noProof/>
          <w:lang w:eastAsia="fr-FR"/>
        </w:rPr>
        <w:drawing>
          <wp:anchor distT="0" distB="0" distL="114300" distR="114300" simplePos="0" relativeHeight="251695104" behindDoc="0" locked="0" layoutInCell="1" allowOverlap="1" wp14:anchorId="70621B36" wp14:editId="330CDFBC">
            <wp:simplePos x="0" y="0"/>
            <wp:positionH relativeFrom="column">
              <wp:posOffset>4271010</wp:posOffset>
            </wp:positionH>
            <wp:positionV relativeFrom="paragraph">
              <wp:posOffset>182245</wp:posOffset>
            </wp:positionV>
            <wp:extent cx="383540" cy="723265"/>
            <wp:effectExtent l="177800" t="50800" r="99060" b="64135"/>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11">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17AEB">
        <w:tab/>
      </w:r>
      <w:r w:rsidR="007667C7">
        <w:tab/>
      </w:r>
    </w:p>
    <w:p w14:paraId="58C4DC40" w14:textId="77777777" w:rsidR="00413549" w:rsidRDefault="00413549">
      <w:r>
        <w:tab/>
      </w:r>
      <w:r>
        <w:tab/>
      </w:r>
    </w:p>
    <w:p w14:paraId="602A5862" w14:textId="7B48E89D" w:rsidR="00D17AEB" w:rsidRDefault="00413549">
      <w:r>
        <w:tab/>
      </w:r>
      <w:r>
        <w:tab/>
      </w:r>
      <w:r w:rsidR="00D17AEB">
        <w:t>Exploration sur le Web</w:t>
      </w:r>
      <w:r w:rsidR="00D43514">
        <w:tab/>
      </w:r>
      <w:r w:rsidR="00D43514">
        <w:tab/>
      </w:r>
      <w:r w:rsidR="00A209CC">
        <w:tab/>
      </w:r>
      <w:r w:rsidR="00A209CC">
        <w:tab/>
      </w:r>
      <w:r w:rsidR="00A209CC">
        <w:tab/>
      </w:r>
      <w:r w:rsidR="00A209CC">
        <w:tab/>
      </w:r>
      <w:r w:rsidR="00A209CC">
        <w:tab/>
        <w:t xml:space="preserve">Les bonnes idées de </w:t>
      </w:r>
      <w:r w:rsidR="00A209CC" w:rsidRPr="003964B8">
        <w:rPr>
          <w:color w:val="008000"/>
        </w:rPr>
        <w:t>Marie Richer</w:t>
      </w:r>
      <w:r w:rsidR="00D43514">
        <w:tab/>
      </w:r>
      <w:r w:rsidR="00D43514">
        <w:tab/>
      </w:r>
    </w:p>
    <w:p w14:paraId="7BC4A301" w14:textId="48EFF6C4" w:rsidR="00D17AEB" w:rsidRDefault="00D17AEB"/>
    <w:p w14:paraId="5FE2D2BB" w14:textId="5A837E5C" w:rsidR="00D17AEB" w:rsidRDefault="00D17AEB"/>
    <w:p w14:paraId="31ABA001" w14:textId="0184D108" w:rsidR="00A209CC" w:rsidRDefault="00413549">
      <w:r>
        <w:rPr>
          <w:noProof/>
          <w:lang w:eastAsia="fr-FR"/>
        </w:rPr>
        <w:drawing>
          <wp:anchor distT="0" distB="0" distL="114300" distR="114300" simplePos="0" relativeHeight="251691008" behindDoc="0" locked="0" layoutInCell="1" allowOverlap="1" wp14:anchorId="293AEE99" wp14:editId="2F48781C">
            <wp:simplePos x="0" y="0"/>
            <wp:positionH relativeFrom="column">
              <wp:posOffset>114300</wp:posOffset>
            </wp:positionH>
            <wp:positionV relativeFrom="paragraph">
              <wp:posOffset>157480</wp:posOffset>
            </wp:positionV>
            <wp:extent cx="579120" cy="571500"/>
            <wp:effectExtent l="0" t="0" r="5080" b="1270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322911">
        <w:rPr>
          <w:noProof/>
          <w:lang w:eastAsia="fr-FR"/>
        </w:rPr>
        <w:drawing>
          <wp:anchor distT="0" distB="0" distL="114300" distR="114300" simplePos="0" relativeHeight="251759616" behindDoc="0" locked="0" layoutInCell="1" allowOverlap="1" wp14:anchorId="50D597DD" wp14:editId="04A815E3">
            <wp:simplePos x="0" y="0"/>
            <wp:positionH relativeFrom="column">
              <wp:posOffset>4229100</wp:posOffset>
            </wp:positionH>
            <wp:positionV relativeFrom="paragraph">
              <wp:posOffset>43180</wp:posOffset>
            </wp:positionV>
            <wp:extent cx="685800" cy="779145"/>
            <wp:effectExtent l="0" t="0" r="0" b="8255"/>
            <wp:wrapNone/>
            <wp:docPr id="30" name="Image 30"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667C7">
        <w:tab/>
      </w:r>
      <w:r w:rsidR="00694438">
        <w:tab/>
      </w:r>
    </w:p>
    <w:p w14:paraId="77BC4DDF" w14:textId="77777777" w:rsidR="00A209CC" w:rsidRDefault="00A209CC">
      <w:r>
        <w:tab/>
      </w:r>
      <w:r>
        <w:tab/>
      </w:r>
    </w:p>
    <w:p w14:paraId="3D1EA1F0" w14:textId="150CB097" w:rsidR="00694438" w:rsidRDefault="00A209CC">
      <w:r>
        <w:tab/>
      </w:r>
      <w:r>
        <w:tab/>
      </w:r>
      <w:r w:rsidR="00694438">
        <w:t>Les capsules</w:t>
      </w:r>
      <w:r>
        <w:tab/>
      </w:r>
      <w:r>
        <w:tab/>
      </w:r>
      <w:r>
        <w:tab/>
      </w:r>
      <w:r>
        <w:tab/>
      </w:r>
      <w:r>
        <w:tab/>
      </w:r>
      <w:r>
        <w:tab/>
      </w:r>
      <w:r>
        <w:tab/>
      </w:r>
      <w:r w:rsidR="00C27DF5">
        <w:tab/>
      </w:r>
      <w:r>
        <w:t xml:space="preserve">Les mauvais coups de </w:t>
      </w:r>
      <w:r w:rsidRPr="003964B8">
        <w:rPr>
          <w:color w:val="FF0000"/>
        </w:rPr>
        <w:t>Jean Faucher</w:t>
      </w:r>
      <w:r>
        <w:rPr>
          <w:color w:val="FF0000"/>
        </w:rPr>
        <w:tab/>
      </w:r>
    </w:p>
    <w:p w14:paraId="754022A0" w14:textId="0E8B26EB" w:rsidR="00694438" w:rsidRDefault="00694438"/>
    <w:p w14:paraId="28D8163D" w14:textId="7DCEF321" w:rsidR="00694438" w:rsidRDefault="00694438" w:rsidP="00694438">
      <w:pPr>
        <w:jc w:val="center"/>
      </w:pPr>
    </w:p>
    <w:p w14:paraId="7DAE1B7A" w14:textId="5A87799D" w:rsidR="00A209CC" w:rsidRDefault="00694438">
      <w:r>
        <w:tab/>
      </w:r>
      <w:r>
        <w:tab/>
      </w:r>
    </w:p>
    <w:p w14:paraId="5321E751" w14:textId="6C0B9167" w:rsidR="00413549" w:rsidRDefault="00311D50">
      <w:r>
        <w:rPr>
          <w:noProof/>
          <w:lang w:eastAsia="fr-FR"/>
        </w:rPr>
        <w:drawing>
          <wp:anchor distT="0" distB="0" distL="114300" distR="114300" simplePos="0" relativeHeight="251761664" behindDoc="0" locked="0" layoutInCell="1" allowOverlap="1" wp14:anchorId="65B83C92" wp14:editId="6BACDBEA">
            <wp:simplePos x="0" y="0"/>
            <wp:positionH relativeFrom="column">
              <wp:posOffset>114300</wp:posOffset>
            </wp:positionH>
            <wp:positionV relativeFrom="paragraph">
              <wp:posOffset>64770</wp:posOffset>
            </wp:positionV>
            <wp:extent cx="508000" cy="685800"/>
            <wp:effectExtent l="0" t="0" r="0" b="0"/>
            <wp:wrapNone/>
            <wp:docPr id="31" name="Image 31" descr="Macintosh HD:Users:marcbachand:Desktop:Capture d’écran 2015-06-08 à 17.1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13549">
        <w:rPr>
          <w:noProof/>
          <w:lang w:eastAsia="fr-FR"/>
        </w:rPr>
        <w:drawing>
          <wp:anchor distT="0" distB="0" distL="114300" distR="114300" simplePos="0" relativeHeight="251686912" behindDoc="0" locked="0" layoutInCell="1" allowOverlap="1" wp14:anchorId="3408F032" wp14:editId="0D8C063E">
            <wp:simplePos x="0" y="0"/>
            <wp:positionH relativeFrom="column">
              <wp:posOffset>4114800</wp:posOffset>
            </wp:positionH>
            <wp:positionV relativeFrom="paragraph">
              <wp:posOffset>64770</wp:posOffset>
            </wp:positionV>
            <wp:extent cx="685800" cy="681990"/>
            <wp:effectExtent l="0" t="0" r="0" b="381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15-06-02 à 10.11.10.png"/>
                    <pic:cNvPicPr/>
                  </pic:nvPicPr>
                  <pic:blipFill rotWithShape="1">
                    <a:blip r:embed="rId15">
                      <a:alphaModFix/>
                      <a:extLst>
                        <a:ext uri="{28A0092B-C50C-407E-A947-70E740481C1C}">
                          <a14:useLocalDpi xmlns:a14="http://schemas.microsoft.com/office/drawing/2010/main" val="0"/>
                        </a:ext>
                      </a:extLst>
                    </a:blip>
                    <a:srcRect l="-2050" r="1676"/>
                    <a:stretch/>
                  </pic:blipFill>
                  <pic:spPr bwMode="auto">
                    <a:xfrm>
                      <a:off x="0" y="0"/>
                      <a:ext cx="685800" cy="68199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45F28558" w14:textId="77777777" w:rsidR="00A209CC" w:rsidRDefault="00A209CC">
      <w:r>
        <w:tab/>
      </w:r>
      <w:r>
        <w:tab/>
      </w:r>
    </w:p>
    <w:p w14:paraId="4CC37370" w14:textId="75C92EBD" w:rsidR="00A209CC" w:rsidRDefault="00A209CC" w:rsidP="00A209CC">
      <w:r>
        <w:tab/>
      </w:r>
      <w:r>
        <w:tab/>
      </w:r>
      <w:r w:rsidR="00694438">
        <w:t>Les calcul</w:t>
      </w:r>
      <w:r w:rsidR="00DA7497">
        <w:t>atrices</w:t>
      </w:r>
      <w:r w:rsidR="00B62B80">
        <w:tab/>
      </w:r>
      <w:r w:rsidR="00B62B80">
        <w:tab/>
      </w:r>
      <w:r>
        <w:tab/>
      </w:r>
      <w:r>
        <w:tab/>
      </w:r>
      <w:r>
        <w:tab/>
      </w:r>
      <w:r>
        <w:tab/>
      </w:r>
      <w:r>
        <w:tab/>
      </w:r>
      <w:r>
        <w:tab/>
        <w:t>Atteinte des objectifs</w:t>
      </w:r>
    </w:p>
    <w:p w14:paraId="7D107B5D" w14:textId="56852403" w:rsidR="00694438" w:rsidRDefault="00694438"/>
    <w:p w14:paraId="0B18161F" w14:textId="7820FDDC" w:rsidR="00694438" w:rsidRDefault="00694438">
      <w:r>
        <w:tab/>
      </w:r>
      <w:r>
        <w:tab/>
      </w:r>
    </w:p>
    <w:p w14:paraId="0DE35442" w14:textId="27484D43" w:rsidR="00FD25A7" w:rsidRDefault="00FD25A7">
      <w:r>
        <w:tab/>
      </w:r>
    </w:p>
    <w:p w14:paraId="039A50B3" w14:textId="25E412E0" w:rsidR="00A209CC" w:rsidRDefault="00413549">
      <w:r>
        <w:rPr>
          <w:noProof/>
          <w:lang w:eastAsia="fr-FR"/>
        </w:rPr>
        <w:drawing>
          <wp:anchor distT="0" distB="0" distL="114300" distR="114300" simplePos="0" relativeHeight="251693056" behindDoc="0" locked="0" layoutInCell="1" allowOverlap="1" wp14:anchorId="3A20BD7F" wp14:editId="0E593910">
            <wp:simplePos x="0" y="0"/>
            <wp:positionH relativeFrom="column">
              <wp:posOffset>0</wp:posOffset>
            </wp:positionH>
            <wp:positionV relativeFrom="paragraph">
              <wp:posOffset>86995</wp:posOffset>
            </wp:positionV>
            <wp:extent cx="685800" cy="741045"/>
            <wp:effectExtent l="0" t="0" r="0" b="0"/>
            <wp:wrapNone/>
            <wp:docPr id="5" name="Image 5" descr="Macintosh HD:Users:marcbachand:Desktop:logo_WIKI_FISCx180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D25A7">
        <w:tab/>
      </w:r>
      <w:r w:rsidR="007667C7">
        <w:tab/>
      </w:r>
    </w:p>
    <w:p w14:paraId="56B3FE25" w14:textId="49FF2939" w:rsidR="00413549" w:rsidRDefault="00413549"/>
    <w:p w14:paraId="7C2DDC14" w14:textId="37BD1641" w:rsidR="003964B8" w:rsidRDefault="00A209CC">
      <w:pPr>
        <w:rPr>
          <w:color w:val="008000"/>
        </w:rPr>
      </w:pPr>
      <w:r>
        <w:tab/>
      </w:r>
      <w:r>
        <w:tab/>
        <w:t xml:space="preserve">Vous avez des </w:t>
      </w:r>
      <w:proofErr w:type="gramStart"/>
      <w:r>
        <w:t>questions</w:t>
      </w:r>
      <w:r w:rsidRPr="00D54B75">
        <w:rPr>
          <w:rFonts w:ascii="Avenir Next Regular" w:hAnsi="Avenir Next Regular"/>
        </w:rPr>
        <w:t>?</w:t>
      </w:r>
      <w:proofErr w:type="gramEnd"/>
    </w:p>
    <w:p w14:paraId="4DF71A9F" w14:textId="4B5CBAE6" w:rsidR="003964B8" w:rsidRDefault="003964B8">
      <w:pPr>
        <w:rPr>
          <w:color w:val="008000"/>
        </w:rPr>
      </w:pPr>
    </w:p>
    <w:p w14:paraId="1BC51C3B" w14:textId="1A051572" w:rsidR="003964B8" w:rsidRDefault="003964B8">
      <w:pPr>
        <w:rPr>
          <w:color w:val="008000"/>
        </w:rPr>
      </w:pPr>
    </w:p>
    <w:p w14:paraId="7D1FB8A8" w14:textId="77777777" w:rsidR="00A209CC" w:rsidRDefault="00694438">
      <w:r>
        <w:tab/>
      </w:r>
      <w:r>
        <w:tab/>
      </w:r>
    </w:p>
    <w:p w14:paraId="72B1A96C" w14:textId="5192BCC5" w:rsidR="00A209CC" w:rsidRDefault="00A209CC" w:rsidP="00694438">
      <w:r>
        <w:tab/>
      </w:r>
      <w:r>
        <w:tab/>
      </w:r>
      <w:r w:rsidR="00694438">
        <w:tab/>
      </w:r>
    </w:p>
    <w:p w14:paraId="0C27DF4B" w14:textId="3B3A792E" w:rsidR="009208D1" w:rsidRDefault="00A209CC">
      <w:pPr>
        <w:rPr>
          <w:color w:val="008000"/>
        </w:rPr>
      </w:pPr>
      <w:r>
        <w:tab/>
      </w:r>
      <w:r w:rsidR="006D7C26">
        <w:tab/>
      </w:r>
      <w:r w:rsidR="007667C7">
        <w:tab/>
      </w:r>
      <w:r>
        <w:tab/>
      </w:r>
    </w:p>
    <w:p w14:paraId="5E4EBC27" w14:textId="4111127F" w:rsidR="009208D1" w:rsidRDefault="00566F20" w:rsidP="003E1E50">
      <w:pPr>
        <w:pStyle w:val="Titre1"/>
        <w:numPr>
          <w:ilvl w:val="0"/>
          <w:numId w:val="0"/>
        </w:numPr>
      </w:pPr>
      <w:bookmarkStart w:id="2" w:name="_Toc314397806"/>
      <w:bookmarkStart w:id="3" w:name="_Toc443569352"/>
      <w:r>
        <w:lastRenderedPageBreak/>
        <w:t>Préface</w:t>
      </w:r>
      <w:bookmarkEnd w:id="2"/>
      <w:bookmarkEnd w:id="3"/>
    </w:p>
    <w:p w14:paraId="24BF1869" w14:textId="77777777" w:rsidR="00515908" w:rsidRPr="00515908" w:rsidRDefault="00515908" w:rsidP="00515908"/>
    <w:p w14:paraId="6D7120FD" w14:textId="51BCC0C5" w:rsidR="005700B3" w:rsidRPr="00515908" w:rsidRDefault="005700B3" w:rsidP="005700B3">
      <w:pPr>
        <w:ind w:left="12"/>
        <w:jc w:val="both"/>
        <w:rPr>
          <w:lang w:val="fr-CA"/>
        </w:rPr>
      </w:pPr>
      <w:r w:rsidRPr="00515908">
        <w:t xml:space="preserve">La </w:t>
      </w:r>
      <w:r w:rsidRPr="00515908">
        <w:rPr>
          <w:i/>
        </w:rPr>
        <w:t>Collection Finances Personnelles</w:t>
      </w:r>
      <w:r w:rsidRPr="00515908">
        <w:t xml:space="preserve"> s’intéresse aux nombreux sujets qui s’intègrent à la vie financière des gens</w:t>
      </w:r>
      <w:r w:rsidRPr="00515908">
        <w:rPr>
          <w:lang w:val="fr-CA"/>
        </w:rPr>
        <w:t xml:space="preserve"> au quotidien</w:t>
      </w:r>
      <w:r w:rsidRPr="00515908">
        <w:t>. Elle vise à en expliquer les enjeux, tant dans sa nature financière, que comportementale et sociétale.</w:t>
      </w:r>
      <w:r w:rsidR="00BD4BFE" w:rsidRPr="00515908">
        <w:t xml:space="preserve"> À l’instar de l’ensemble de notre matériel pédagogique, cette collection </w:t>
      </w:r>
      <w:r w:rsidRPr="00515908">
        <w:t>est conçue exclusivement en vue d'une diffusion numérique et libre.</w:t>
      </w:r>
    </w:p>
    <w:p w14:paraId="280B8A1D" w14:textId="77777777" w:rsidR="005700B3" w:rsidRPr="00515908" w:rsidRDefault="005700B3" w:rsidP="005700B3">
      <w:pPr>
        <w:ind w:left="12"/>
        <w:jc w:val="both"/>
      </w:pPr>
    </w:p>
    <w:p w14:paraId="5DBE4C48" w14:textId="77777777" w:rsidR="005700B3" w:rsidRPr="00515908" w:rsidRDefault="005700B3" w:rsidP="005700B3">
      <w:pPr>
        <w:ind w:left="12"/>
        <w:jc w:val="both"/>
        <w:rPr>
          <w:lang w:val="fr-CA"/>
        </w:rPr>
      </w:pPr>
      <w:r w:rsidRPr="00515908">
        <w:t xml:space="preserve">Les ouvrages de la </w:t>
      </w:r>
      <w:r w:rsidRPr="00515908">
        <w:rPr>
          <w:i/>
        </w:rPr>
        <w:t>Collection Finances Personnelles</w:t>
      </w:r>
      <w:r w:rsidRPr="00515908">
        <w:t xml:space="preserve"> offrent une vision explicative, réflexive et moderne, tirant avantage des nombreuses opportunités de la révolution numérique. On y retrouve pareillement des écrits pour expliquer et susciter la réflexion du lecteur, qu’une structure d'apprentissage utilisant tout le potentiel du Web. Ces ouvrages cible</w:t>
      </w:r>
      <w:r w:rsidRPr="00515908">
        <w:rPr>
          <w:lang w:val="fr-CA"/>
        </w:rPr>
        <w:t>nt</w:t>
      </w:r>
      <w:r w:rsidRPr="00515908">
        <w:t xml:space="preserve"> autant l'écrit, </w:t>
      </w:r>
      <w:r w:rsidRPr="00515908">
        <w:rPr>
          <w:lang w:val="fr-CA"/>
        </w:rPr>
        <w:t xml:space="preserve">que </w:t>
      </w:r>
      <w:r w:rsidRPr="00515908">
        <w:t xml:space="preserve">les images, les capsules vidéo, les calculettes et applications financières que l'hyperlien Web pour multiplier les occasions d'apprendre. </w:t>
      </w:r>
    </w:p>
    <w:p w14:paraId="12875914" w14:textId="77777777" w:rsidR="005700B3" w:rsidRPr="00515908" w:rsidRDefault="005700B3" w:rsidP="009208D1"/>
    <w:p w14:paraId="68814683" w14:textId="7732D2A4" w:rsidR="005700B3" w:rsidRPr="00515908" w:rsidRDefault="005700B3" w:rsidP="00576E9A">
      <w:pPr>
        <w:jc w:val="both"/>
      </w:pPr>
      <w:r w:rsidRPr="00515908">
        <w:rPr>
          <w:i/>
          <w:color w:val="FF6700" w:themeColor="accent3"/>
        </w:rPr>
        <w:t>L'Épargne - Un Choix pour soi</w:t>
      </w:r>
      <w:r w:rsidRPr="00515908">
        <w:t xml:space="preserve"> constitue le premier ouvrage de </w:t>
      </w:r>
      <w:r w:rsidR="00346E4D" w:rsidRPr="00515908">
        <w:t xml:space="preserve">cette </w:t>
      </w:r>
      <w:r w:rsidRPr="00515908">
        <w:t xml:space="preserve">nouvelle collection. </w:t>
      </w:r>
      <w:r w:rsidR="00576E9A" w:rsidRPr="00515908">
        <w:t>C</w:t>
      </w:r>
      <w:r w:rsidR="00403298" w:rsidRPr="00515908">
        <w:t xml:space="preserve">et </w:t>
      </w:r>
      <w:r w:rsidR="00346E4D" w:rsidRPr="00515908">
        <w:t>ouvrage</w:t>
      </w:r>
      <w:r w:rsidR="00576E9A" w:rsidRPr="00515908">
        <w:t xml:space="preserve"> forme un tout en abordant le vaste sujet de l'épargne de manière substantielle, mais non exhaustive.</w:t>
      </w:r>
      <w:r w:rsidR="00403298" w:rsidRPr="00515908">
        <w:t xml:space="preserve"> </w:t>
      </w:r>
      <w:r w:rsidR="00576E9A" w:rsidRPr="00515908">
        <w:t>Cependant, pour les auteurs, ce sujet représente le premier d'une série de treize ouvrages à paraitre au cours de la prochaine décennie.</w:t>
      </w:r>
      <w:r w:rsidR="00264C3C" w:rsidRPr="00515908">
        <w:t xml:space="preserve"> À terme, cet ambitieux projet de vulgarisation de </w:t>
      </w:r>
      <w:r w:rsidR="00264C3C" w:rsidRPr="00515908">
        <w:rPr>
          <w:color w:val="FF6700" w:themeColor="accent3"/>
        </w:rPr>
        <w:t>Littératie financière</w:t>
      </w:r>
      <w:r w:rsidR="00264C3C" w:rsidRPr="00515908">
        <w:t xml:space="preserve"> formera une fresque dont les sujets s'imbriqueront l'un dans l'autre. C'est pour cette raison que le présent ouvrage </w:t>
      </w:r>
      <w:r w:rsidR="0069461E" w:rsidRPr="00515908">
        <w:t xml:space="preserve">effectue des renvois </w:t>
      </w:r>
      <w:r w:rsidR="00264C3C" w:rsidRPr="00515908">
        <w:t xml:space="preserve">à d'autres sujets qui seront à paraitre et que la nomenclature utilisée fait référence au chiffre 7 (l'ordre du sujet une </w:t>
      </w:r>
      <w:r w:rsidR="0069461E" w:rsidRPr="00515908">
        <w:t>fois</w:t>
      </w:r>
      <w:r w:rsidR="00264C3C" w:rsidRPr="00515908">
        <w:t xml:space="preserve"> l'oeuvre complété</w:t>
      </w:r>
      <w:r w:rsidR="00FE34FD" w:rsidRPr="00515908">
        <w:t>e</w:t>
      </w:r>
      <w:r w:rsidR="00264C3C" w:rsidRPr="00515908">
        <w:t xml:space="preserve">). </w:t>
      </w:r>
    </w:p>
    <w:p w14:paraId="0AAC8397" w14:textId="77777777" w:rsidR="0069461E" w:rsidRPr="00515908" w:rsidRDefault="0069461E" w:rsidP="00576E9A">
      <w:pPr>
        <w:jc w:val="both"/>
      </w:pPr>
    </w:p>
    <w:p w14:paraId="53D228B6" w14:textId="697DD280" w:rsidR="00515908" w:rsidRPr="00515908" w:rsidRDefault="006515BE" w:rsidP="00576E9A">
      <w:pPr>
        <w:jc w:val="both"/>
      </w:pPr>
      <w:r w:rsidRPr="00515908">
        <w:t>Au cours de la dernière décennie,</w:t>
      </w:r>
      <w:r w:rsidR="008F61B5" w:rsidRPr="00515908">
        <w:t xml:space="preserve"> les professeurs de</w:t>
      </w:r>
      <w:r w:rsidRPr="00515908">
        <w:t xml:space="preserve"> </w:t>
      </w:r>
      <w:hyperlink r:id="rId17" w:history="1">
        <w:r w:rsidR="008F61B5" w:rsidRPr="00515908">
          <w:rPr>
            <w:rStyle w:val="Lienhypertexte"/>
            <w:color w:val="74A510" w:themeColor="background2" w:themeShade="80"/>
          </w:rPr>
          <w:t>FISCALITÉuqtr.ca</w:t>
        </w:r>
      </w:hyperlink>
      <w:r w:rsidR="008F61B5" w:rsidRPr="00515908">
        <w:rPr>
          <w:color w:val="74A510" w:themeColor="background2" w:themeShade="80"/>
        </w:rPr>
        <w:t xml:space="preserve"> </w:t>
      </w:r>
      <w:r w:rsidR="00171C88" w:rsidRPr="00515908">
        <w:t>ont</w:t>
      </w:r>
      <w:r w:rsidR="00171C88" w:rsidRPr="00515908">
        <w:rPr>
          <w:color w:val="74A510" w:themeColor="background2" w:themeShade="80"/>
        </w:rPr>
        <w:t xml:space="preserve"> </w:t>
      </w:r>
      <w:r w:rsidRPr="00515908">
        <w:t>développ</w:t>
      </w:r>
      <w:r w:rsidR="008F61B5" w:rsidRPr="00515908">
        <w:t>é</w:t>
      </w:r>
      <w:r w:rsidRPr="00515908">
        <w:t xml:space="preserve"> </w:t>
      </w:r>
      <w:r w:rsidR="008F61B5" w:rsidRPr="00515908">
        <w:t xml:space="preserve">un </w:t>
      </w:r>
      <w:r w:rsidR="00833997" w:rsidRPr="00515908">
        <w:t xml:space="preserve">imposant site pédagogique </w:t>
      </w:r>
      <w:r w:rsidR="00BD4BFE" w:rsidRPr="00515908">
        <w:t xml:space="preserve">primé à plusieurs occasions et </w:t>
      </w:r>
      <w:r w:rsidR="008F61B5" w:rsidRPr="00515908">
        <w:t>dont la mission est de</w:t>
      </w:r>
      <w:r w:rsidR="00BD4BFE" w:rsidRPr="00515908">
        <w:t xml:space="preserve"> « </w:t>
      </w:r>
      <w:r w:rsidR="008F61B5" w:rsidRPr="00515908">
        <w:t>favoriser la diffusion des savoirs dans un environnement #Gratuit #Web #Collaboratif</w:t>
      </w:r>
      <w:r w:rsidR="00BD4BFE" w:rsidRPr="00515908">
        <w:t xml:space="preserve"> »</w:t>
      </w:r>
      <w:r w:rsidR="008F61B5" w:rsidRPr="00515908">
        <w:t>.</w:t>
      </w:r>
      <w:r w:rsidR="00171C88" w:rsidRPr="00515908">
        <w:t xml:space="preserve"> Ces valeurs d'ouverture et de modernité nous amène</w:t>
      </w:r>
      <w:r w:rsidR="0075579A" w:rsidRPr="00515908">
        <w:t>nt</w:t>
      </w:r>
      <w:r w:rsidR="00171C88" w:rsidRPr="00515908">
        <w:t xml:space="preserve"> à faire un certain nombre de choix </w:t>
      </w:r>
      <w:r w:rsidR="0075579A" w:rsidRPr="00515908">
        <w:t xml:space="preserve">afin de maintenir </w:t>
      </w:r>
      <w:r w:rsidR="00B73202" w:rsidRPr="00515908">
        <w:t>toute la</w:t>
      </w:r>
      <w:r w:rsidR="0075579A" w:rsidRPr="00515908">
        <w:t xml:space="preserve"> souplesse</w:t>
      </w:r>
      <w:r w:rsidR="00B73202" w:rsidRPr="00515908">
        <w:t xml:space="preserve"> et l'autonomie souhaitées</w:t>
      </w:r>
      <w:r w:rsidR="0075579A" w:rsidRPr="00515908">
        <w:t>.</w:t>
      </w:r>
      <w:r w:rsidR="00B73202" w:rsidRPr="00515908">
        <w:t xml:space="preserve"> </w:t>
      </w:r>
      <w:r w:rsidR="0075579A" w:rsidRPr="00515908">
        <w:t xml:space="preserve">L'un de </w:t>
      </w:r>
      <w:r w:rsidR="00DB64F3" w:rsidRPr="00515908">
        <w:t xml:space="preserve">ces choix fondamental </w:t>
      </w:r>
      <w:r w:rsidR="0075579A" w:rsidRPr="00515908">
        <w:t>est de ne pas transiger avec une maison d'édition. Pour nous, nos</w:t>
      </w:r>
      <w:r w:rsidR="00DB64F3" w:rsidRPr="00515908">
        <w:t xml:space="preserve"> plus de 200 000 collaborateurs sont nos éditeurs. C'est pour cette raison</w:t>
      </w:r>
      <w:r w:rsidR="001F78DF" w:rsidRPr="00515908">
        <w:t xml:space="preserve"> que malgré toute l'attention que nous portons à nos réalisations, nous acceptons qu'il puisse y avoir des coquilles ou </w:t>
      </w:r>
      <w:r w:rsidR="001E257C" w:rsidRPr="00515908">
        <w:t xml:space="preserve">même des </w:t>
      </w:r>
      <w:r w:rsidR="001F78DF" w:rsidRPr="00515908">
        <w:t>erreurs</w:t>
      </w:r>
      <w:r w:rsidR="00B73202" w:rsidRPr="00515908">
        <w:t>. N</w:t>
      </w:r>
      <w:r w:rsidR="001F78DF" w:rsidRPr="00515908">
        <w:t xml:space="preserve">ous comptons sur vous pour nous les </w:t>
      </w:r>
      <w:r w:rsidR="001E257C" w:rsidRPr="00515908">
        <w:t xml:space="preserve">dévoiler (fiscalite@uqtr.ca) </w:t>
      </w:r>
      <w:r w:rsidR="001F78DF" w:rsidRPr="00515908">
        <w:t xml:space="preserve">afin que nous puissions les corriger immédiatement (avouons que c'est plus rapide que </w:t>
      </w:r>
      <w:r w:rsidR="001778AF" w:rsidRPr="00515908">
        <w:t>l'attente de</w:t>
      </w:r>
      <w:r w:rsidR="001F78DF" w:rsidRPr="00515908">
        <w:t xml:space="preserve"> la prochaine édition papier à venir).</w:t>
      </w:r>
      <w:r w:rsidR="00171C88" w:rsidRPr="00515908">
        <w:t xml:space="preserve"> </w:t>
      </w:r>
    </w:p>
    <w:p w14:paraId="0436B41B" w14:textId="4070B5BE" w:rsidR="00CC5368" w:rsidRPr="00515908" w:rsidRDefault="004013AD" w:rsidP="001505C2">
      <w:pPr>
        <w:jc w:val="right"/>
      </w:pPr>
      <w:r w:rsidRPr="00515908">
        <w:t>Professeurs Bachand - Boivin - Lemelin</w:t>
      </w:r>
      <w:r w:rsidR="00D43514" w:rsidRPr="00515908">
        <w:rPr>
          <w:noProof/>
          <w:lang w:eastAsia="fr-FR"/>
        </w:rPr>
        <w:drawing>
          <wp:anchor distT="0" distB="0" distL="114300" distR="114300" simplePos="0" relativeHeight="251757568" behindDoc="0" locked="0" layoutInCell="1" allowOverlap="1" wp14:anchorId="2D8406C5" wp14:editId="3D0481CB">
            <wp:simplePos x="0" y="0"/>
            <wp:positionH relativeFrom="column">
              <wp:posOffset>-3651250</wp:posOffset>
            </wp:positionH>
            <wp:positionV relativeFrom="paragraph">
              <wp:posOffset>5167630</wp:posOffset>
            </wp:positionV>
            <wp:extent cx="342900" cy="389290"/>
            <wp:effectExtent l="0" t="0" r="0" b="0"/>
            <wp:wrapNone/>
            <wp:docPr id="28" name="Image 28"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2900" cy="3892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65084" w:rsidRPr="00515908">
        <w:t xml:space="preserve"> (2016)</w:t>
      </w:r>
    </w:p>
    <w:p w14:paraId="699304D6" w14:textId="130DBDC6" w:rsidR="003B7A5A" w:rsidRDefault="003B7A5A" w:rsidP="005233D5">
      <w:pPr>
        <w:pStyle w:val="Titre"/>
      </w:pPr>
      <w:r>
        <w:lastRenderedPageBreak/>
        <w:t xml:space="preserve">Sujet </w:t>
      </w:r>
    </w:p>
    <w:p w14:paraId="2A170C85" w14:textId="6C40FF29" w:rsidR="00B926D1" w:rsidRDefault="00B926D1" w:rsidP="005233D5">
      <w:pPr>
        <w:pStyle w:val="Titre"/>
      </w:pPr>
      <w:r w:rsidRPr="003552D1">
        <w:t>L</w:t>
      </w:r>
      <w:r w:rsidR="00BE24A9">
        <w:t>’</w:t>
      </w:r>
      <w:r w:rsidR="00644513">
        <w:t>É</w:t>
      </w:r>
      <w:r w:rsidR="00BE24A9">
        <w:t>pargne</w:t>
      </w:r>
      <w:r w:rsidR="00196EB8">
        <w:t xml:space="preserve"> </w:t>
      </w:r>
      <w:r w:rsidR="00FB0802">
        <w:t xml:space="preserve">- </w:t>
      </w:r>
      <w:r w:rsidR="00566F20">
        <w:t>U</w:t>
      </w:r>
      <w:r w:rsidR="00FB0802">
        <w:t>n</w:t>
      </w:r>
      <w:r w:rsidR="00196EB8">
        <w:t xml:space="preserve"> </w:t>
      </w:r>
      <w:r w:rsidR="00644513">
        <w:t>C</w:t>
      </w:r>
      <w:r w:rsidR="00196EB8">
        <w:t>hoix</w:t>
      </w:r>
      <w:r w:rsidR="00FB0802">
        <w:t xml:space="preserve"> pour soi</w:t>
      </w:r>
    </w:p>
    <w:p w14:paraId="5B77CC8F" w14:textId="77777777" w:rsidR="007D6B31" w:rsidRDefault="007D6B31" w:rsidP="009D1796">
      <w:pPr>
        <w:pStyle w:val="TM1"/>
        <w:tabs>
          <w:tab w:val="right" w:leader="dot" w:pos="12996"/>
        </w:tabs>
        <w:jc w:val="center"/>
        <w:rPr>
          <w:rFonts w:cstheme="minorBidi"/>
          <w:b w:val="0"/>
          <w:noProof/>
          <w:lang w:val="fr-CA" w:eastAsia="fr-CA"/>
        </w:rPr>
      </w:pPr>
      <w:r>
        <w:rPr>
          <w:b w:val="0"/>
        </w:rPr>
        <w:fldChar w:fldCharType="begin"/>
      </w:r>
      <w:r>
        <w:rPr>
          <w:b w:val="0"/>
        </w:rPr>
        <w:instrText xml:space="preserve"> TOC \o "1-5" \h \z </w:instrText>
      </w:r>
      <w:r>
        <w:rPr>
          <w:b w:val="0"/>
        </w:rPr>
        <w:fldChar w:fldCharType="separate"/>
      </w:r>
      <w:hyperlink w:anchor="_Toc443569351" w:history="1">
        <w:r w:rsidRPr="00CE4254">
          <w:rPr>
            <w:rStyle w:val="Lienhypertexte"/>
            <w:noProof/>
          </w:rPr>
          <w:t>Pictogramme</w:t>
        </w:r>
        <w:r>
          <w:rPr>
            <w:noProof/>
            <w:webHidden/>
          </w:rPr>
          <w:tab/>
        </w:r>
        <w:r>
          <w:rPr>
            <w:noProof/>
            <w:webHidden/>
          </w:rPr>
          <w:fldChar w:fldCharType="begin"/>
        </w:r>
        <w:r>
          <w:rPr>
            <w:noProof/>
            <w:webHidden/>
          </w:rPr>
          <w:instrText xml:space="preserve"> PAGEREF _Toc443569351 \h </w:instrText>
        </w:r>
        <w:r>
          <w:rPr>
            <w:noProof/>
            <w:webHidden/>
          </w:rPr>
        </w:r>
        <w:r>
          <w:rPr>
            <w:noProof/>
            <w:webHidden/>
          </w:rPr>
          <w:fldChar w:fldCharType="separate"/>
        </w:r>
        <w:r w:rsidR="005A49EB">
          <w:rPr>
            <w:noProof/>
            <w:webHidden/>
          </w:rPr>
          <w:t>2</w:t>
        </w:r>
        <w:r>
          <w:rPr>
            <w:noProof/>
            <w:webHidden/>
          </w:rPr>
          <w:fldChar w:fldCharType="end"/>
        </w:r>
      </w:hyperlink>
    </w:p>
    <w:p w14:paraId="1DEF6B6F" w14:textId="77777777" w:rsidR="007D6B31" w:rsidRDefault="00573C95" w:rsidP="009D1796">
      <w:pPr>
        <w:pStyle w:val="TM1"/>
        <w:tabs>
          <w:tab w:val="right" w:leader="dot" w:pos="12996"/>
        </w:tabs>
        <w:jc w:val="center"/>
        <w:rPr>
          <w:rFonts w:cstheme="minorBidi"/>
          <w:b w:val="0"/>
          <w:noProof/>
          <w:lang w:val="fr-CA" w:eastAsia="fr-CA"/>
        </w:rPr>
      </w:pPr>
      <w:hyperlink w:anchor="_Toc443569352" w:history="1">
        <w:r w:rsidR="007D6B31" w:rsidRPr="00CE4254">
          <w:rPr>
            <w:rStyle w:val="Lienhypertexte"/>
            <w:noProof/>
          </w:rPr>
          <w:t>Préface</w:t>
        </w:r>
        <w:r w:rsidR="007D6B31">
          <w:rPr>
            <w:noProof/>
            <w:webHidden/>
          </w:rPr>
          <w:tab/>
        </w:r>
        <w:r w:rsidR="007D6B31">
          <w:rPr>
            <w:noProof/>
            <w:webHidden/>
          </w:rPr>
          <w:fldChar w:fldCharType="begin"/>
        </w:r>
        <w:r w:rsidR="007D6B31">
          <w:rPr>
            <w:noProof/>
            <w:webHidden/>
          </w:rPr>
          <w:instrText xml:space="preserve"> PAGEREF _Toc443569352 \h </w:instrText>
        </w:r>
        <w:r w:rsidR="007D6B31">
          <w:rPr>
            <w:noProof/>
            <w:webHidden/>
          </w:rPr>
        </w:r>
        <w:r w:rsidR="007D6B31">
          <w:rPr>
            <w:noProof/>
            <w:webHidden/>
          </w:rPr>
          <w:fldChar w:fldCharType="separate"/>
        </w:r>
        <w:r w:rsidR="005A49EB">
          <w:rPr>
            <w:noProof/>
            <w:webHidden/>
          </w:rPr>
          <w:t>3</w:t>
        </w:r>
        <w:r w:rsidR="007D6B31">
          <w:rPr>
            <w:noProof/>
            <w:webHidden/>
          </w:rPr>
          <w:fldChar w:fldCharType="end"/>
        </w:r>
      </w:hyperlink>
    </w:p>
    <w:p w14:paraId="04F940DE" w14:textId="77777777" w:rsidR="007D6B31" w:rsidRDefault="00573C95" w:rsidP="009D1796">
      <w:pPr>
        <w:pStyle w:val="TM1"/>
        <w:tabs>
          <w:tab w:val="left" w:pos="480"/>
          <w:tab w:val="right" w:leader="dot" w:pos="12996"/>
        </w:tabs>
        <w:jc w:val="center"/>
        <w:rPr>
          <w:rFonts w:cstheme="minorBidi"/>
          <w:b w:val="0"/>
          <w:noProof/>
          <w:lang w:val="fr-CA" w:eastAsia="fr-CA"/>
        </w:rPr>
      </w:pPr>
      <w:hyperlink w:anchor="_Toc443569353" w:history="1">
        <w:r w:rsidR="007D6B31" w:rsidRPr="009D1796">
          <w:rPr>
            <w:rStyle w:val="Titre1Car"/>
            <w:noProof/>
          </w:rPr>
          <w:t>1.</w:t>
        </w:r>
        <w:r w:rsidR="007D6B31" w:rsidRPr="009D1796">
          <w:rPr>
            <w:rStyle w:val="Titre1Car"/>
            <w:noProof/>
          </w:rPr>
          <w:tab/>
          <w:t>L’épargne</w:t>
        </w:r>
        <w:r w:rsidR="007D6B31">
          <w:rPr>
            <w:noProof/>
            <w:webHidden/>
          </w:rPr>
          <w:tab/>
        </w:r>
        <w:r w:rsidR="007D6B31">
          <w:rPr>
            <w:noProof/>
            <w:webHidden/>
          </w:rPr>
          <w:fldChar w:fldCharType="begin"/>
        </w:r>
        <w:r w:rsidR="007D6B31">
          <w:rPr>
            <w:noProof/>
            <w:webHidden/>
          </w:rPr>
          <w:instrText xml:space="preserve"> PAGEREF _Toc443569353 \h </w:instrText>
        </w:r>
        <w:r w:rsidR="007D6B31">
          <w:rPr>
            <w:noProof/>
            <w:webHidden/>
          </w:rPr>
        </w:r>
        <w:r w:rsidR="007D6B31">
          <w:rPr>
            <w:noProof/>
            <w:webHidden/>
          </w:rPr>
          <w:fldChar w:fldCharType="separate"/>
        </w:r>
        <w:r w:rsidR="005A49EB">
          <w:rPr>
            <w:noProof/>
            <w:webHidden/>
          </w:rPr>
          <w:t>10</w:t>
        </w:r>
        <w:r w:rsidR="007D6B31">
          <w:rPr>
            <w:noProof/>
            <w:webHidden/>
          </w:rPr>
          <w:fldChar w:fldCharType="end"/>
        </w:r>
      </w:hyperlink>
    </w:p>
    <w:p w14:paraId="693A3952" w14:textId="77777777" w:rsidR="007D6B31" w:rsidRDefault="00573C95" w:rsidP="009D1796">
      <w:pPr>
        <w:pStyle w:val="TM2"/>
        <w:tabs>
          <w:tab w:val="left" w:pos="960"/>
          <w:tab w:val="right" w:leader="dot" w:pos="12996"/>
        </w:tabs>
        <w:jc w:val="center"/>
        <w:rPr>
          <w:rFonts w:cstheme="minorBidi"/>
          <w:i w:val="0"/>
          <w:noProof/>
          <w:lang w:val="fr-CA" w:eastAsia="fr-CA"/>
        </w:rPr>
      </w:pPr>
      <w:hyperlink w:anchor="_Toc443569354" w:history="1">
        <w:r w:rsidR="007D6B31" w:rsidRPr="009D1796">
          <w:rPr>
            <w:rStyle w:val="Titre2Car"/>
          </w:rPr>
          <w:t>1.1.</w:t>
        </w:r>
        <w:r w:rsidR="007D6B31" w:rsidRPr="009D1796">
          <w:rPr>
            <w:rStyle w:val="Titre2Car"/>
          </w:rPr>
          <w:tab/>
          <w:t>Quelques définitions</w:t>
        </w:r>
        <w:r w:rsidR="007D6B31">
          <w:rPr>
            <w:noProof/>
            <w:webHidden/>
          </w:rPr>
          <w:tab/>
        </w:r>
        <w:r w:rsidR="007D6B31">
          <w:rPr>
            <w:noProof/>
            <w:webHidden/>
          </w:rPr>
          <w:fldChar w:fldCharType="begin"/>
        </w:r>
        <w:r w:rsidR="007D6B31">
          <w:rPr>
            <w:noProof/>
            <w:webHidden/>
          </w:rPr>
          <w:instrText xml:space="preserve"> PAGEREF _Toc443569354 \h </w:instrText>
        </w:r>
        <w:r w:rsidR="007D6B31">
          <w:rPr>
            <w:noProof/>
            <w:webHidden/>
          </w:rPr>
        </w:r>
        <w:r w:rsidR="007D6B31">
          <w:rPr>
            <w:noProof/>
            <w:webHidden/>
          </w:rPr>
          <w:fldChar w:fldCharType="separate"/>
        </w:r>
        <w:r w:rsidR="005A49EB">
          <w:rPr>
            <w:noProof/>
            <w:webHidden/>
          </w:rPr>
          <w:t>10</w:t>
        </w:r>
        <w:r w:rsidR="007D6B31">
          <w:rPr>
            <w:noProof/>
            <w:webHidden/>
          </w:rPr>
          <w:fldChar w:fldCharType="end"/>
        </w:r>
      </w:hyperlink>
    </w:p>
    <w:p w14:paraId="79B5F339" w14:textId="77777777" w:rsidR="007D6B31" w:rsidRDefault="00573C95" w:rsidP="009D1796">
      <w:pPr>
        <w:pStyle w:val="TM2"/>
        <w:tabs>
          <w:tab w:val="left" w:pos="960"/>
          <w:tab w:val="right" w:leader="dot" w:pos="12996"/>
        </w:tabs>
        <w:jc w:val="center"/>
        <w:rPr>
          <w:rFonts w:cstheme="minorBidi"/>
          <w:i w:val="0"/>
          <w:noProof/>
          <w:lang w:val="fr-CA" w:eastAsia="fr-CA"/>
        </w:rPr>
      </w:pPr>
      <w:hyperlink w:anchor="_Toc443569355" w:history="1">
        <w:r w:rsidR="007D6B31" w:rsidRPr="009D1796">
          <w:rPr>
            <w:rStyle w:val="Titre2Car"/>
          </w:rPr>
          <w:t>1.2.</w:t>
        </w:r>
        <w:r w:rsidR="007D6B31" w:rsidRPr="009D1796">
          <w:rPr>
            <w:rStyle w:val="Titre2Car"/>
          </w:rPr>
          <w:tab/>
          <w:t>Le cycle de la vie</w:t>
        </w:r>
        <w:r w:rsidR="007D6B31">
          <w:rPr>
            <w:noProof/>
            <w:webHidden/>
          </w:rPr>
          <w:tab/>
        </w:r>
        <w:r w:rsidR="007D6B31">
          <w:rPr>
            <w:noProof/>
            <w:webHidden/>
          </w:rPr>
          <w:fldChar w:fldCharType="begin"/>
        </w:r>
        <w:r w:rsidR="007D6B31">
          <w:rPr>
            <w:noProof/>
            <w:webHidden/>
          </w:rPr>
          <w:instrText xml:space="preserve"> PAGEREF _Toc443569355 \h </w:instrText>
        </w:r>
        <w:r w:rsidR="007D6B31">
          <w:rPr>
            <w:noProof/>
            <w:webHidden/>
          </w:rPr>
        </w:r>
        <w:r w:rsidR="007D6B31">
          <w:rPr>
            <w:noProof/>
            <w:webHidden/>
          </w:rPr>
          <w:fldChar w:fldCharType="separate"/>
        </w:r>
        <w:r w:rsidR="005A49EB">
          <w:rPr>
            <w:noProof/>
            <w:webHidden/>
          </w:rPr>
          <w:t>11</w:t>
        </w:r>
        <w:r w:rsidR="007D6B31">
          <w:rPr>
            <w:noProof/>
            <w:webHidden/>
          </w:rPr>
          <w:fldChar w:fldCharType="end"/>
        </w:r>
      </w:hyperlink>
    </w:p>
    <w:p w14:paraId="5440DC40" w14:textId="77777777" w:rsidR="007D6B31" w:rsidRDefault="00573C95" w:rsidP="009D1796">
      <w:pPr>
        <w:pStyle w:val="TM2"/>
        <w:tabs>
          <w:tab w:val="left" w:pos="960"/>
          <w:tab w:val="right" w:leader="dot" w:pos="12996"/>
        </w:tabs>
        <w:jc w:val="center"/>
        <w:rPr>
          <w:rFonts w:cstheme="minorBidi"/>
          <w:i w:val="0"/>
          <w:noProof/>
          <w:lang w:val="fr-CA" w:eastAsia="fr-CA"/>
        </w:rPr>
      </w:pPr>
      <w:hyperlink w:anchor="_Toc443569356" w:history="1">
        <w:r w:rsidR="007D6B31" w:rsidRPr="009D1796">
          <w:rPr>
            <w:rStyle w:val="Titre2Car"/>
          </w:rPr>
          <w:t>1.3.</w:t>
        </w:r>
        <w:r w:rsidR="007D6B31" w:rsidRPr="009D1796">
          <w:rPr>
            <w:rStyle w:val="Titre2Car"/>
          </w:rPr>
          <w:tab/>
          <w:t>L’épargne et les placements – catégorisation et classement</w:t>
        </w:r>
        <w:r w:rsidR="007D6B31">
          <w:rPr>
            <w:noProof/>
            <w:webHidden/>
          </w:rPr>
          <w:tab/>
        </w:r>
        <w:r w:rsidR="007D6B31">
          <w:rPr>
            <w:noProof/>
            <w:webHidden/>
          </w:rPr>
          <w:fldChar w:fldCharType="begin"/>
        </w:r>
        <w:r w:rsidR="007D6B31">
          <w:rPr>
            <w:noProof/>
            <w:webHidden/>
          </w:rPr>
          <w:instrText xml:space="preserve"> PAGEREF _Toc443569356 \h </w:instrText>
        </w:r>
        <w:r w:rsidR="007D6B31">
          <w:rPr>
            <w:noProof/>
            <w:webHidden/>
          </w:rPr>
        </w:r>
        <w:r w:rsidR="007D6B31">
          <w:rPr>
            <w:noProof/>
            <w:webHidden/>
          </w:rPr>
          <w:fldChar w:fldCharType="separate"/>
        </w:r>
        <w:r w:rsidR="005A49EB">
          <w:rPr>
            <w:noProof/>
            <w:webHidden/>
          </w:rPr>
          <w:t>17</w:t>
        </w:r>
        <w:r w:rsidR="007D6B31">
          <w:rPr>
            <w:noProof/>
            <w:webHidden/>
          </w:rPr>
          <w:fldChar w:fldCharType="end"/>
        </w:r>
      </w:hyperlink>
    </w:p>
    <w:p w14:paraId="574E578B" w14:textId="77777777" w:rsidR="007D6B31" w:rsidRDefault="00573C95" w:rsidP="009D1796">
      <w:pPr>
        <w:pStyle w:val="TM1"/>
        <w:tabs>
          <w:tab w:val="left" w:pos="480"/>
          <w:tab w:val="right" w:leader="dot" w:pos="12996"/>
        </w:tabs>
        <w:jc w:val="center"/>
        <w:rPr>
          <w:rFonts w:cstheme="minorBidi"/>
          <w:b w:val="0"/>
          <w:noProof/>
          <w:lang w:val="fr-CA" w:eastAsia="fr-CA"/>
        </w:rPr>
      </w:pPr>
      <w:hyperlink w:anchor="_Toc443569357" w:history="1">
        <w:r w:rsidR="007D6B31" w:rsidRPr="009D1796">
          <w:rPr>
            <w:rStyle w:val="Titre1Car"/>
            <w:noProof/>
          </w:rPr>
          <w:t>2.</w:t>
        </w:r>
        <w:r w:rsidR="007D6B31" w:rsidRPr="009D1796">
          <w:rPr>
            <w:rStyle w:val="Titre1Car"/>
            <w:noProof/>
          </w:rPr>
          <w:tab/>
          <w:t>Le filet social</w:t>
        </w:r>
        <w:r w:rsidR="007D6B31">
          <w:rPr>
            <w:noProof/>
            <w:webHidden/>
          </w:rPr>
          <w:tab/>
        </w:r>
        <w:r w:rsidR="007D6B31">
          <w:rPr>
            <w:noProof/>
            <w:webHidden/>
          </w:rPr>
          <w:fldChar w:fldCharType="begin"/>
        </w:r>
        <w:r w:rsidR="007D6B31">
          <w:rPr>
            <w:noProof/>
            <w:webHidden/>
          </w:rPr>
          <w:instrText xml:space="preserve"> PAGEREF _Toc443569357 \h </w:instrText>
        </w:r>
        <w:r w:rsidR="007D6B31">
          <w:rPr>
            <w:noProof/>
            <w:webHidden/>
          </w:rPr>
        </w:r>
        <w:r w:rsidR="007D6B31">
          <w:rPr>
            <w:noProof/>
            <w:webHidden/>
          </w:rPr>
          <w:fldChar w:fldCharType="separate"/>
        </w:r>
        <w:r w:rsidR="005A49EB">
          <w:rPr>
            <w:noProof/>
            <w:webHidden/>
          </w:rPr>
          <w:t>28</w:t>
        </w:r>
        <w:r w:rsidR="007D6B31">
          <w:rPr>
            <w:noProof/>
            <w:webHidden/>
          </w:rPr>
          <w:fldChar w:fldCharType="end"/>
        </w:r>
      </w:hyperlink>
    </w:p>
    <w:p w14:paraId="73815698" w14:textId="77777777" w:rsidR="007D6B31" w:rsidRDefault="00573C95" w:rsidP="009D1796">
      <w:pPr>
        <w:pStyle w:val="TM2"/>
        <w:tabs>
          <w:tab w:val="left" w:pos="960"/>
          <w:tab w:val="right" w:leader="dot" w:pos="12996"/>
        </w:tabs>
        <w:jc w:val="center"/>
        <w:rPr>
          <w:rFonts w:cstheme="minorBidi"/>
          <w:i w:val="0"/>
          <w:noProof/>
          <w:lang w:val="fr-CA" w:eastAsia="fr-CA"/>
        </w:rPr>
      </w:pPr>
      <w:hyperlink w:anchor="_Toc443569358" w:history="1">
        <w:r w:rsidR="007D6B31" w:rsidRPr="009D1796">
          <w:rPr>
            <w:rStyle w:val="Titre2Car"/>
          </w:rPr>
          <w:t>2.1.</w:t>
        </w:r>
        <w:r w:rsidR="007D6B31" w:rsidRPr="009D1796">
          <w:rPr>
            <w:rStyle w:val="Titre2Car"/>
          </w:rPr>
          <w:tab/>
          <w:t>Au fédéral</w:t>
        </w:r>
        <w:r w:rsidR="007D6B31">
          <w:rPr>
            <w:noProof/>
            <w:webHidden/>
          </w:rPr>
          <w:tab/>
        </w:r>
        <w:r w:rsidR="007D6B31">
          <w:rPr>
            <w:noProof/>
            <w:webHidden/>
          </w:rPr>
          <w:fldChar w:fldCharType="begin"/>
        </w:r>
        <w:r w:rsidR="007D6B31">
          <w:rPr>
            <w:noProof/>
            <w:webHidden/>
          </w:rPr>
          <w:instrText xml:space="preserve"> PAGEREF _Toc443569358 \h </w:instrText>
        </w:r>
        <w:r w:rsidR="007D6B31">
          <w:rPr>
            <w:noProof/>
            <w:webHidden/>
          </w:rPr>
        </w:r>
        <w:r w:rsidR="007D6B31">
          <w:rPr>
            <w:noProof/>
            <w:webHidden/>
          </w:rPr>
          <w:fldChar w:fldCharType="separate"/>
        </w:r>
        <w:r w:rsidR="005A49EB">
          <w:rPr>
            <w:noProof/>
            <w:webHidden/>
          </w:rPr>
          <w:t>31</w:t>
        </w:r>
        <w:r w:rsidR="007D6B31">
          <w:rPr>
            <w:noProof/>
            <w:webHidden/>
          </w:rPr>
          <w:fldChar w:fldCharType="end"/>
        </w:r>
      </w:hyperlink>
    </w:p>
    <w:p w14:paraId="43E40306" w14:textId="77777777" w:rsidR="007D6B31" w:rsidRDefault="00573C95" w:rsidP="009D1796">
      <w:pPr>
        <w:pStyle w:val="TM3"/>
        <w:tabs>
          <w:tab w:val="left" w:pos="1440"/>
          <w:tab w:val="right" w:leader="dot" w:pos="12996"/>
        </w:tabs>
        <w:jc w:val="center"/>
        <w:rPr>
          <w:rFonts w:cstheme="minorBidi"/>
          <w:noProof/>
          <w:lang w:val="fr-CA" w:eastAsia="fr-CA"/>
        </w:rPr>
      </w:pPr>
      <w:hyperlink w:anchor="_Toc443569359" w:history="1">
        <w:r w:rsidR="007D6B31" w:rsidRPr="009D1796">
          <w:rPr>
            <w:rStyle w:val="Titre3Car"/>
          </w:rPr>
          <w:t>2.1.1.</w:t>
        </w:r>
        <w:r w:rsidR="007D6B31" w:rsidRPr="009D1796">
          <w:rPr>
            <w:rStyle w:val="Titre3Car"/>
          </w:rPr>
          <w:tab/>
          <w:t>Le programme de la Sécurité de la vieillesse</w:t>
        </w:r>
        <w:r w:rsidR="007D6B31">
          <w:rPr>
            <w:noProof/>
            <w:webHidden/>
          </w:rPr>
          <w:tab/>
        </w:r>
        <w:r w:rsidR="007D6B31">
          <w:rPr>
            <w:noProof/>
            <w:webHidden/>
          </w:rPr>
          <w:fldChar w:fldCharType="begin"/>
        </w:r>
        <w:r w:rsidR="007D6B31">
          <w:rPr>
            <w:noProof/>
            <w:webHidden/>
          </w:rPr>
          <w:instrText xml:space="preserve"> PAGEREF _Toc443569359 \h </w:instrText>
        </w:r>
        <w:r w:rsidR="007D6B31">
          <w:rPr>
            <w:noProof/>
            <w:webHidden/>
          </w:rPr>
        </w:r>
        <w:r w:rsidR="007D6B31">
          <w:rPr>
            <w:noProof/>
            <w:webHidden/>
          </w:rPr>
          <w:fldChar w:fldCharType="separate"/>
        </w:r>
        <w:r w:rsidR="005A49EB">
          <w:rPr>
            <w:noProof/>
            <w:webHidden/>
          </w:rPr>
          <w:t>32</w:t>
        </w:r>
        <w:r w:rsidR="007D6B31">
          <w:rPr>
            <w:noProof/>
            <w:webHidden/>
          </w:rPr>
          <w:fldChar w:fldCharType="end"/>
        </w:r>
      </w:hyperlink>
    </w:p>
    <w:p w14:paraId="1D54D61F"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360" w:history="1">
        <w:r w:rsidR="007D6B31" w:rsidRPr="00617398">
          <w:rPr>
            <w:rStyle w:val="Titre4Car"/>
          </w:rPr>
          <w:t>2.1.1.1.</w:t>
        </w:r>
        <w:r w:rsidR="007D6B31" w:rsidRPr="00617398">
          <w:rPr>
            <w:rStyle w:val="Titre4Car"/>
          </w:rPr>
          <w:tab/>
          <w:t>La pension de la Sécurité de la vieillesse</w:t>
        </w:r>
        <w:r w:rsidR="007D6B31">
          <w:rPr>
            <w:noProof/>
            <w:webHidden/>
          </w:rPr>
          <w:tab/>
        </w:r>
        <w:r w:rsidR="007D6B31">
          <w:rPr>
            <w:noProof/>
            <w:webHidden/>
          </w:rPr>
          <w:fldChar w:fldCharType="begin"/>
        </w:r>
        <w:r w:rsidR="007D6B31">
          <w:rPr>
            <w:noProof/>
            <w:webHidden/>
          </w:rPr>
          <w:instrText xml:space="preserve"> PAGEREF _Toc443569360 \h </w:instrText>
        </w:r>
        <w:r w:rsidR="007D6B31">
          <w:rPr>
            <w:noProof/>
            <w:webHidden/>
          </w:rPr>
        </w:r>
        <w:r w:rsidR="007D6B31">
          <w:rPr>
            <w:noProof/>
            <w:webHidden/>
          </w:rPr>
          <w:fldChar w:fldCharType="separate"/>
        </w:r>
        <w:r w:rsidR="005A49EB">
          <w:rPr>
            <w:noProof/>
            <w:webHidden/>
          </w:rPr>
          <w:t>33</w:t>
        </w:r>
        <w:r w:rsidR="007D6B31">
          <w:rPr>
            <w:noProof/>
            <w:webHidden/>
          </w:rPr>
          <w:fldChar w:fldCharType="end"/>
        </w:r>
      </w:hyperlink>
    </w:p>
    <w:p w14:paraId="5AA72E0A"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361" w:history="1">
        <w:r w:rsidR="007D6B31" w:rsidRPr="00617398">
          <w:rPr>
            <w:rStyle w:val="Titre4Car"/>
          </w:rPr>
          <w:t>2.1.1.2.</w:t>
        </w:r>
        <w:r w:rsidR="007D6B31" w:rsidRPr="00617398">
          <w:rPr>
            <w:rStyle w:val="Titre4Car"/>
          </w:rPr>
          <w:tab/>
          <w:t>Le Supplément de revenu garanti</w:t>
        </w:r>
        <w:r w:rsidR="007D6B31">
          <w:rPr>
            <w:noProof/>
            <w:webHidden/>
          </w:rPr>
          <w:tab/>
        </w:r>
        <w:r w:rsidR="007D6B31">
          <w:rPr>
            <w:noProof/>
            <w:webHidden/>
          </w:rPr>
          <w:fldChar w:fldCharType="begin"/>
        </w:r>
        <w:r w:rsidR="007D6B31">
          <w:rPr>
            <w:noProof/>
            <w:webHidden/>
          </w:rPr>
          <w:instrText xml:space="preserve"> PAGEREF _Toc443569361 \h </w:instrText>
        </w:r>
        <w:r w:rsidR="007D6B31">
          <w:rPr>
            <w:noProof/>
            <w:webHidden/>
          </w:rPr>
        </w:r>
        <w:r w:rsidR="007D6B31">
          <w:rPr>
            <w:noProof/>
            <w:webHidden/>
          </w:rPr>
          <w:fldChar w:fldCharType="separate"/>
        </w:r>
        <w:r w:rsidR="005A49EB">
          <w:rPr>
            <w:noProof/>
            <w:webHidden/>
          </w:rPr>
          <w:t>36</w:t>
        </w:r>
        <w:r w:rsidR="007D6B31">
          <w:rPr>
            <w:noProof/>
            <w:webHidden/>
          </w:rPr>
          <w:fldChar w:fldCharType="end"/>
        </w:r>
      </w:hyperlink>
    </w:p>
    <w:p w14:paraId="5A9E1A1C"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362" w:history="1">
        <w:r w:rsidR="007D6B31" w:rsidRPr="00617398">
          <w:rPr>
            <w:rStyle w:val="Titre4Car"/>
          </w:rPr>
          <w:t>2.1.1.3.</w:t>
        </w:r>
        <w:r w:rsidR="007D6B31" w:rsidRPr="00617398">
          <w:rPr>
            <w:rStyle w:val="Titre4Car"/>
          </w:rPr>
          <w:tab/>
          <w:t>Optimisation et planification</w:t>
        </w:r>
        <w:r w:rsidR="007D6B31">
          <w:rPr>
            <w:noProof/>
            <w:webHidden/>
          </w:rPr>
          <w:tab/>
        </w:r>
        <w:r w:rsidR="007D6B31">
          <w:rPr>
            <w:noProof/>
            <w:webHidden/>
          </w:rPr>
          <w:fldChar w:fldCharType="begin"/>
        </w:r>
        <w:r w:rsidR="007D6B31">
          <w:rPr>
            <w:noProof/>
            <w:webHidden/>
          </w:rPr>
          <w:instrText xml:space="preserve"> PAGEREF _Toc443569362 \h </w:instrText>
        </w:r>
        <w:r w:rsidR="007D6B31">
          <w:rPr>
            <w:noProof/>
            <w:webHidden/>
          </w:rPr>
        </w:r>
        <w:r w:rsidR="007D6B31">
          <w:rPr>
            <w:noProof/>
            <w:webHidden/>
          </w:rPr>
          <w:fldChar w:fldCharType="separate"/>
        </w:r>
        <w:r w:rsidR="005A49EB">
          <w:rPr>
            <w:noProof/>
            <w:webHidden/>
          </w:rPr>
          <w:t>40</w:t>
        </w:r>
        <w:r w:rsidR="007D6B31">
          <w:rPr>
            <w:noProof/>
            <w:webHidden/>
          </w:rPr>
          <w:fldChar w:fldCharType="end"/>
        </w:r>
      </w:hyperlink>
    </w:p>
    <w:p w14:paraId="7E5C9443" w14:textId="77777777" w:rsidR="007D6B31" w:rsidRDefault="00573C95" w:rsidP="009D1796">
      <w:pPr>
        <w:pStyle w:val="TM2"/>
        <w:tabs>
          <w:tab w:val="left" w:pos="960"/>
          <w:tab w:val="right" w:leader="dot" w:pos="12996"/>
        </w:tabs>
        <w:jc w:val="center"/>
        <w:rPr>
          <w:rFonts w:cstheme="minorBidi"/>
          <w:i w:val="0"/>
          <w:noProof/>
          <w:lang w:val="fr-CA" w:eastAsia="fr-CA"/>
        </w:rPr>
      </w:pPr>
      <w:hyperlink w:anchor="_Toc443569363" w:history="1">
        <w:r w:rsidR="007D6B31" w:rsidRPr="009D1796">
          <w:rPr>
            <w:rStyle w:val="Titre2Car"/>
          </w:rPr>
          <w:t>2.2.</w:t>
        </w:r>
        <w:r w:rsidR="007D6B31" w:rsidRPr="009D1796">
          <w:rPr>
            <w:rStyle w:val="Titre2Car"/>
          </w:rPr>
          <w:tab/>
          <w:t>Au provincial</w:t>
        </w:r>
        <w:r w:rsidR="007D6B31">
          <w:rPr>
            <w:noProof/>
            <w:webHidden/>
          </w:rPr>
          <w:tab/>
        </w:r>
        <w:r w:rsidR="007D6B31">
          <w:rPr>
            <w:noProof/>
            <w:webHidden/>
          </w:rPr>
          <w:fldChar w:fldCharType="begin"/>
        </w:r>
        <w:r w:rsidR="007D6B31">
          <w:rPr>
            <w:noProof/>
            <w:webHidden/>
          </w:rPr>
          <w:instrText xml:space="preserve"> PAGEREF _Toc443569363 \h </w:instrText>
        </w:r>
        <w:r w:rsidR="007D6B31">
          <w:rPr>
            <w:noProof/>
            <w:webHidden/>
          </w:rPr>
        </w:r>
        <w:r w:rsidR="007D6B31">
          <w:rPr>
            <w:noProof/>
            <w:webHidden/>
          </w:rPr>
          <w:fldChar w:fldCharType="separate"/>
        </w:r>
        <w:r w:rsidR="005A49EB">
          <w:rPr>
            <w:noProof/>
            <w:webHidden/>
          </w:rPr>
          <w:t>52</w:t>
        </w:r>
        <w:r w:rsidR="007D6B31">
          <w:rPr>
            <w:noProof/>
            <w:webHidden/>
          </w:rPr>
          <w:fldChar w:fldCharType="end"/>
        </w:r>
      </w:hyperlink>
    </w:p>
    <w:p w14:paraId="40B0C45A" w14:textId="77777777" w:rsidR="007D6B31" w:rsidRDefault="00573C95" w:rsidP="009D1796">
      <w:pPr>
        <w:pStyle w:val="TM3"/>
        <w:tabs>
          <w:tab w:val="left" w:pos="1440"/>
          <w:tab w:val="right" w:leader="dot" w:pos="12996"/>
        </w:tabs>
        <w:jc w:val="center"/>
        <w:rPr>
          <w:rFonts w:cstheme="minorBidi"/>
          <w:noProof/>
          <w:lang w:val="fr-CA" w:eastAsia="fr-CA"/>
        </w:rPr>
      </w:pPr>
      <w:hyperlink w:anchor="_Toc443569364" w:history="1">
        <w:r w:rsidR="007D6B31" w:rsidRPr="009D1796">
          <w:rPr>
            <w:rStyle w:val="Titre3Car"/>
          </w:rPr>
          <w:t>2.2.1.</w:t>
        </w:r>
        <w:r w:rsidR="007D6B31" w:rsidRPr="009D1796">
          <w:rPr>
            <w:rStyle w:val="Titre3Car"/>
          </w:rPr>
          <w:tab/>
          <w:t>Le Régime de rentes du Québec (RRQ)</w:t>
        </w:r>
        <w:r w:rsidR="007D6B31">
          <w:rPr>
            <w:noProof/>
            <w:webHidden/>
          </w:rPr>
          <w:tab/>
        </w:r>
        <w:r w:rsidR="007D6B31">
          <w:rPr>
            <w:noProof/>
            <w:webHidden/>
          </w:rPr>
          <w:fldChar w:fldCharType="begin"/>
        </w:r>
        <w:r w:rsidR="007D6B31">
          <w:rPr>
            <w:noProof/>
            <w:webHidden/>
          </w:rPr>
          <w:instrText xml:space="preserve"> PAGEREF _Toc443569364 \h </w:instrText>
        </w:r>
        <w:r w:rsidR="007D6B31">
          <w:rPr>
            <w:noProof/>
            <w:webHidden/>
          </w:rPr>
        </w:r>
        <w:r w:rsidR="007D6B31">
          <w:rPr>
            <w:noProof/>
            <w:webHidden/>
          </w:rPr>
          <w:fldChar w:fldCharType="separate"/>
        </w:r>
        <w:r w:rsidR="005A49EB">
          <w:rPr>
            <w:noProof/>
            <w:webHidden/>
          </w:rPr>
          <w:t>52</w:t>
        </w:r>
        <w:r w:rsidR="007D6B31">
          <w:rPr>
            <w:noProof/>
            <w:webHidden/>
          </w:rPr>
          <w:fldChar w:fldCharType="end"/>
        </w:r>
      </w:hyperlink>
    </w:p>
    <w:p w14:paraId="58698DD4" w14:textId="77777777" w:rsidR="007D6B31" w:rsidRDefault="00573C95" w:rsidP="009D1796">
      <w:pPr>
        <w:pStyle w:val="TM4"/>
        <w:tabs>
          <w:tab w:val="right" w:leader="dot" w:pos="12996"/>
        </w:tabs>
        <w:jc w:val="center"/>
        <w:rPr>
          <w:rFonts w:cstheme="minorBidi"/>
          <w:noProof/>
          <w:sz w:val="22"/>
          <w:szCs w:val="22"/>
          <w:lang w:val="fr-CA" w:eastAsia="fr-CA"/>
        </w:rPr>
      </w:pPr>
      <w:hyperlink w:anchor="_Toc443569365" w:history="1">
        <w:r w:rsidR="007D6B31" w:rsidRPr="00617398">
          <w:rPr>
            <w:rStyle w:val="Titre4Car"/>
          </w:rPr>
          <w:t>2.2.1.1. Les rentes de retraite</w:t>
        </w:r>
        <w:r w:rsidR="007D6B31">
          <w:rPr>
            <w:noProof/>
            <w:webHidden/>
          </w:rPr>
          <w:tab/>
        </w:r>
        <w:r w:rsidR="007D6B31">
          <w:rPr>
            <w:noProof/>
            <w:webHidden/>
          </w:rPr>
          <w:fldChar w:fldCharType="begin"/>
        </w:r>
        <w:r w:rsidR="007D6B31">
          <w:rPr>
            <w:noProof/>
            <w:webHidden/>
          </w:rPr>
          <w:instrText xml:space="preserve"> PAGEREF _Toc443569365 \h </w:instrText>
        </w:r>
        <w:r w:rsidR="007D6B31">
          <w:rPr>
            <w:noProof/>
            <w:webHidden/>
          </w:rPr>
        </w:r>
        <w:r w:rsidR="007D6B31">
          <w:rPr>
            <w:noProof/>
            <w:webHidden/>
          </w:rPr>
          <w:fldChar w:fldCharType="separate"/>
        </w:r>
        <w:r w:rsidR="005A49EB">
          <w:rPr>
            <w:noProof/>
            <w:webHidden/>
          </w:rPr>
          <w:t>59</w:t>
        </w:r>
        <w:r w:rsidR="007D6B31">
          <w:rPr>
            <w:noProof/>
            <w:webHidden/>
          </w:rPr>
          <w:fldChar w:fldCharType="end"/>
        </w:r>
      </w:hyperlink>
    </w:p>
    <w:p w14:paraId="6472F5C0" w14:textId="77777777" w:rsidR="007D6B31" w:rsidRDefault="00573C95" w:rsidP="009D1796">
      <w:pPr>
        <w:pStyle w:val="TM4"/>
        <w:tabs>
          <w:tab w:val="right" w:leader="dot" w:pos="12996"/>
        </w:tabs>
        <w:jc w:val="center"/>
        <w:rPr>
          <w:rFonts w:cstheme="minorBidi"/>
          <w:noProof/>
          <w:sz w:val="22"/>
          <w:szCs w:val="22"/>
          <w:lang w:val="fr-CA" w:eastAsia="fr-CA"/>
        </w:rPr>
      </w:pPr>
      <w:hyperlink w:anchor="_Toc443569366" w:history="1">
        <w:r w:rsidR="007D6B31" w:rsidRPr="00617398">
          <w:rPr>
            <w:rStyle w:val="Titre4Car"/>
          </w:rPr>
          <w:t>2.2.1.2. Les rentes en cas de décès</w:t>
        </w:r>
        <w:r w:rsidR="007D6B31">
          <w:rPr>
            <w:noProof/>
            <w:webHidden/>
          </w:rPr>
          <w:tab/>
        </w:r>
        <w:r w:rsidR="007D6B31">
          <w:rPr>
            <w:noProof/>
            <w:webHidden/>
          </w:rPr>
          <w:fldChar w:fldCharType="begin"/>
        </w:r>
        <w:r w:rsidR="007D6B31">
          <w:rPr>
            <w:noProof/>
            <w:webHidden/>
          </w:rPr>
          <w:instrText xml:space="preserve"> PAGEREF _Toc443569366 \h </w:instrText>
        </w:r>
        <w:r w:rsidR="007D6B31">
          <w:rPr>
            <w:noProof/>
            <w:webHidden/>
          </w:rPr>
        </w:r>
        <w:r w:rsidR="007D6B31">
          <w:rPr>
            <w:noProof/>
            <w:webHidden/>
          </w:rPr>
          <w:fldChar w:fldCharType="separate"/>
        </w:r>
        <w:r w:rsidR="005A49EB">
          <w:rPr>
            <w:noProof/>
            <w:webHidden/>
          </w:rPr>
          <w:t>68</w:t>
        </w:r>
        <w:r w:rsidR="007D6B31">
          <w:rPr>
            <w:noProof/>
            <w:webHidden/>
          </w:rPr>
          <w:fldChar w:fldCharType="end"/>
        </w:r>
      </w:hyperlink>
    </w:p>
    <w:p w14:paraId="294AAAA2" w14:textId="77777777" w:rsidR="007D6B31" w:rsidRDefault="00573C95" w:rsidP="009D1796">
      <w:pPr>
        <w:pStyle w:val="TM4"/>
        <w:tabs>
          <w:tab w:val="right" w:leader="dot" w:pos="12996"/>
        </w:tabs>
        <w:jc w:val="center"/>
        <w:rPr>
          <w:rFonts w:cstheme="minorBidi"/>
          <w:noProof/>
          <w:sz w:val="22"/>
          <w:szCs w:val="22"/>
          <w:lang w:val="fr-CA" w:eastAsia="fr-CA"/>
        </w:rPr>
      </w:pPr>
      <w:hyperlink w:anchor="_Toc443569367" w:history="1">
        <w:r w:rsidR="007D6B31" w:rsidRPr="00617398">
          <w:rPr>
            <w:rStyle w:val="Titre4Car"/>
          </w:rPr>
          <w:t>2.2.1.3. Les rentes en cas de rupture de l’union</w:t>
        </w:r>
        <w:r w:rsidR="007D6B31">
          <w:rPr>
            <w:noProof/>
            <w:webHidden/>
          </w:rPr>
          <w:tab/>
        </w:r>
        <w:r w:rsidR="007D6B31">
          <w:rPr>
            <w:noProof/>
            <w:webHidden/>
          </w:rPr>
          <w:fldChar w:fldCharType="begin"/>
        </w:r>
        <w:r w:rsidR="007D6B31">
          <w:rPr>
            <w:noProof/>
            <w:webHidden/>
          </w:rPr>
          <w:instrText xml:space="preserve"> PAGEREF _Toc443569367 \h </w:instrText>
        </w:r>
        <w:r w:rsidR="007D6B31">
          <w:rPr>
            <w:noProof/>
            <w:webHidden/>
          </w:rPr>
        </w:r>
        <w:r w:rsidR="007D6B31">
          <w:rPr>
            <w:noProof/>
            <w:webHidden/>
          </w:rPr>
          <w:fldChar w:fldCharType="separate"/>
        </w:r>
        <w:r w:rsidR="005A49EB">
          <w:rPr>
            <w:noProof/>
            <w:webHidden/>
          </w:rPr>
          <w:t>70</w:t>
        </w:r>
        <w:r w:rsidR="007D6B31">
          <w:rPr>
            <w:noProof/>
            <w:webHidden/>
          </w:rPr>
          <w:fldChar w:fldCharType="end"/>
        </w:r>
      </w:hyperlink>
    </w:p>
    <w:p w14:paraId="3080C133" w14:textId="77777777" w:rsidR="007D6B31" w:rsidRDefault="00573C95" w:rsidP="009D1796">
      <w:pPr>
        <w:pStyle w:val="TM4"/>
        <w:tabs>
          <w:tab w:val="right" w:leader="dot" w:pos="12996"/>
        </w:tabs>
        <w:jc w:val="center"/>
        <w:rPr>
          <w:rFonts w:cstheme="minorBidi"/>
          <w:noProof/>
          <w:sz w:val="22"/>
          <w:szCs w:val="22"/>
          <w:lang w:val="fr-CA" w:eastAsia="fr-CA"/>
        </w:rPr>
      </w:pPr>
      <w:hyperlink w:anchor="_Toc443569368" w:history="1">
        <w:r w:rsidR="007D6B31" w:rsidRPr="00617398">
          <w:rPr>
            <w:rStyle w:val="Titre4Car"/>
          </w:rPr>
          <w:t>2.2.1.4. Optimisation et planification</w:t>
        </w:r>
        <w:r w:rsidR="007D6B31">
          <w:rPr>
            <w:noProof/>
            <w:webHidden/>
          </w:rPr>
          <w:tab/>
        </w:r>
        <w:r w:rsidR="007D6B31">
          <w:rPr>
            <w:noProof/>
            <w:webHidden/>
          </w:rPr>
          <w:fldChar w:fldCharType="begin"/>
        </w:r>
        <w:r w:rsidR="007D6B31">
          <w:rPr>
            <w:noProof/>
            <w:webHidden/>
          </w:rPr>
          <w:instrText xml:space="preserve"> PAGEREF _Toc443569368 \h </w:instrText>
        </w:r>
        <w:r w:rsidR="007D6B31">
          <w:rPr>
            <w:noProof/>
            <w:webHidden/>
          </w:rPr>
        </w:r>
        <w:r w:rsidR="007D6B31">
          <w:rPr>
            <w:noProof/>
            <w:webHidden/>
          </w:rPr>
          <w:fldChar w:fldCharType="separate"/>
        </w:r>
        <w:r w:rsidR="005A49EB">
          <w:rPr>
            <w:noProof/>
            <w:webHidden/>
          </w:rPr>
          <w:t>70</w:t>
        </w:r>
        <w:r w:rsidR="007D6B31">
          <w:rPr>
            <w:noProof/>
            <w:webHidden/>
          </w:rPr>
          <w:fldChar w:fldCharType="end"/>
        </w:r>
      </w:hyperlink>
    </w:p>
    <w:p w14:paraId="56808BC8" w14:textId="77777777" w:rsidR="007D6B31" w:rsidRDefault="00573C95" w:rsidP="009D1796">
      <w:pPr>
        <w:pStyle w:val="TM1"/>
        <w:tabs>
          <w:tab w:val="left" w:pos="480"/>
          <w:tab w:val="right" w:leader="dot" w:pos="12996"/>
        </w:tabs>
        <w:jc w:val="center"/>
        <w:rPr>
          <w:rFonts w:cstheme="minorBidi"/>
          <w:b w:val="0"/>
          <w:noProof/>
          <w:lang w:val="fr-CA" w:eastAsia="fr-CA"/>
        </w:rPr>
      </w:pPr>
      <w:hyperlink w:anchor="_Toc443569369" w:history="1">
        <w:r w:rsidR="007D6B31" w:rsidRPr="009D1796">
          <w:rPr>
            <w:rStyle w:val="Titre1Car"/>
            <w:noProof/>
          </w:rPr>
          <w:t>3.</w:t>
        </w:r>
        <w:r w:rsidR="007D6B31" w:rsidRPr="009D1796">
          <w:rPr>
            <w:rStyle w:val="Titre1Car"/>
            <w:noProof/>
          </w:rPr>
          <w:tab/>
          <w:t>Les régimes reliés à l’emploi</w:t>
        </w:r>
        <w:r w:rsidR="007D6B31">
          <w:rPr>
            <w:noProof/>
            <w:webHidden/>
          </w:rPr>
          <w:tab/>
        </w:r>
        <w:r w:rsidR="007D6B31">
          <w:rPr>
            <w:noProof/>
            <w:webHidden/>
          </w:rPr>
          <w:fldChar w:fldCharType="begin"/>
        </w:r>
        <w:r w:rsidR="007D6B31">
          <w:rPr>
            <w:noProof/>
            <w:webHidden/>
          </w:rPr>
          <w:instrText xml:space="preserve"> PAGEREF _Toc443569369 \h </w:instrText>
        </w:r>
        <w:r w:rsidR="007D6B31">
          <w:rPr>
            <w:noProof/>
            <w:webHidden/>
          </w:rPr>
        </w:r>
        <w:r w:rsidR="007D6B31">
          <w:rPr>
            <w:noProof/>
            <w:webHidden/>
          </w:rPr>
          <w:fldChar w:fldCharType="separate"/>
        </w:r>
        <w:r w:rsidR="005A49EB">
          <w:rPr>
            <w:noProof/>
            <w:webHidden/>
          </w:rPr>
          <w:t>77</w:t>
        </w:r>
        <w:r w:rsidR="007D6B31">
          <w:rPr>
            <w:noProof/>
            <w:webHidden/>
          </w:rPr>
          <w:fldChar w:fldCharType="end"/>
        </w:r>
      </w:hyperlink>
    </w:p>
    <w:p w14:paraId="1C7F51B9" w14:textId="77777777" w:rsidR="007D6B31" w:rsidRDefault="00573C95" w:rsidP="009D1796">
      <w:pPr>
        <w:pStyle w:val="TM2"/>
        <w:tabs>
          <w:tab w:val="left" w:pos="960"/>
          <w:tab w:val="right" w:leader="dot" w:pos="12996"/>
        </w:tabs>
        <w:jc w:val="center"/>
        <w:rPr>
          <w:rFonts w:cstheme="minorBidi"/>
          <w:i w:val="0"/>
          <w:noProof/>
          <w:lang w:val="fr-CA" w:eastAsia="fr-CA"/>
        </w:rPr>
      </w:pPr>
      <w:hyperlink w:anchor="_Toc443569370" w:history="1">
        <w:r w:rsidR="007D6B31" w:rsidRPr="009D1796">
          <w:rPr>
            <w:rStyle w:val="Titre2Car"/>
          </w:rPr>
          <w:t>3.1.</w:t>
        </w:r>
        <w:r w:rsidR="007D6B31" w:rsidRPr="009D1796">
          <w:rPr>
            <w:rStyle w:val="Titre2Car"/>
          </w:rPr>
          <w:tab/>
          <w:t>La rémunération globale</w:t>
        </w:r>
        <w:r w:rsidR="007D6B31">
          <w:rPr>
            <w:noProof/>
            <w:webHidden/>
          </w:rPr>
          <w:tab/>
        </w:r>
        <w:r w:rsidR="007D6B31">
          <w:rPr>
            <w:noProof/>
            <w:webHidden/>
          </w:rPr>
          <w:fldChar w:fldCharType="begin"/>
        </w:r>
        <w:r w:rsidR="007D6B31">
          <w:rPr>
            <w:noProof/>
            <w:webHidden/>
          </w:rPr>
          <w:instrText xml:space="preserve"> PAGEREF _Toc443569370 \h </w:instrText>
        </w:r>
        <w:r w:rsidR="007D6B31">
          <w:rPr>
            <w:noProof/>
            <w:webHidden/>
          </w:rPr>
        </w:r>
        <w:r w:rsidR="007D6B31">
          <w:rPr>
            <w:noProof/>
            <w:webHidden/>
          </w:rPr>
          <w:fldChar w:fldCharType="separate"/>
        </w:r>
        <w:r w:rsidR="005A49EB">
          <w:rPr>
            <w:noProof/>
            <w:webHidden/>
          </w:rPr>
          <w:t>78</w:t>
        </w:r>
        <w:r w:rsidR="007D6B31">
          <w:rPr>
            <w:noProof/>
            <w:webHidden/>
          </w:rPr>
          <w:fldChar w:fldCharType="end"/>
        </w:r>
      </w:hyperlink>
    </w:p>
    <w:p w14:paraId="5B6EE66B" w14:textId="77777777" w:rsidR="007D6B31" w:rsidRDefault="00573C95" w:rsidP="009D1796">
      <w:pPr>
        <w:pStyle w:val="TM2"/>
        <w:tabs>
          <w:tab w:val="left" w:pos="960"/>
          <w:tab w:val="right" w:leader="dot" w:pos="12996"/>
        </w:tabs>
        <w:jc w:val="center"/>
        <w:rPr>
          <w:rFonts w:cstheme="minorBidi"/>
          <w:i w:val="0"/>
          <w:noProof/>
          <w:lang w:val="fr-CA" w:eastAsia="fr-CA"/>
        </w:rPr>
      </w:pPr>
      <w:hyperlink w:anchor="_Toc443569371" w:history="1">
        <w:r w:rsidR="007D6B31" w:rsidRPr="009D1796">
          <w:rPr>
            <w:rStyle w:val="Titre2Car"/>
          </w:rPr>
          <w:t>3.2.</w:t>
        </w:r>
        <w:r w:rsidR="007D6B31" w:rsidRPr="009D1796">
          <w:rPr>
            <w:rStyle w:val="Titre2Car"/>
          </w:rPr>
          <w:tab/>
          <w:t>Les régimes de pension</w:t>
        </w:r>
        <w:r w:rsidR="007D6B31">
          <w:rPr>
            <w:noProof/>
            <w:webHidden/>
          </w:rPr>
          <w:tab/>
        </w:r>
        <w:r w:rsidR="007D6B31">
          <w:rPr>
            <w:noProof/>
            <w:webHidden/>
          </w:rPr>
          <w:fldChar w:fldCharType="begin"/>
        </w:r>
        <w:r w:rsidR="007D6B31">
          <w:rPr>
            <w:noProof/>
            <w:webHidden/>
          </w:rPr>
          <w:instrText xml:space="preserve"> PAGEREF _Toc443569371 \h </w:instrText>
        </w:r>
        <w:r w:rsidR="007D6B31">
          <w:rPr>
            <w:noProof/>
            <w:webHidden/>
          </w:rPr>
        </w:r>
        <w:r w:rsidR="007D6B31">
          <w:rPr>
            <w:noProof/>
            <w:webHidden/>
          </w:rPr>
          <w:fldChar w:fldCharType="separate"/>
        </w:r>
        <w:r w:rsidR="005A49EB">
          <w:rPr>
            <w:noProof/>
            <w:webHidden/>
          </w:rPr>
          <w:t>82</w:t>
        </w:r>
        <w:r w:rsidR="007D6B31">
          <w:rPr>
            <w:noProof/>
            <w:webHidden/>
          </w:rPr>
          <w:fldChar w:fldCharType="end"/>
        </w:r>
      </w:hyperlink>
    </w:p>
    <w:p w14:paraId="488A8A43" w14:textId="77777777" w:rsidR="007D6B31" w:rsidRDefault="00573C95" w:rsidP="009D1796">
      <w:pPr>
        <w:pStyle w:val="TM3"/>
        <w:tabs>
          <w:tab w:val="left" w:pos="1440"/>
          <w:tab w:val="right" w:leader="dot" w:pos="12996"/>
        </w:tabs>
        <w:jc w:val="center"/>
        <w:rPr>
          <w:rFonts w:cstheme="minorBidi"/>
          <w:noProof/>
          <w:lang w:val="fr-CA" w:eastAsia="fr-CA"/>
        </w:rPr>
      </w:pPr>
      <w:hyperlink w:anchor="_Toc443569372" w:history="1">
        <w:r w:rsidR="007D6B31" w:rsidRPr="009D1796">
          <w:rPr>
            <w:rStyle w:val="Titre3Car"/>
          </w:rPr>
          <w:t>3.2.1.</w:t>
        </w:r>
        <w:r w:rsidR="007D6B31" w:rsidRPr="009D1796">
          <w:rPr>
            <w:rStyle w:val="Titre3Car"/>
          </w:rPr>
          <w:tab/>
          <w:t>Le régime de pension agréé à cotisation déterminée (RPACD)</w:t>
        </w:r>
        <w:r w:rsidR="007D6B31">
          <w:rPr>
            <w:noProof/>
            <w:webHidden/>
          </w:rPr>
          <w:tab/>
        </w:r>
        <w:r w:rsidR="007D6B31">
          <w:rPr>
            <w:noProof/>
            <w:webHidden/>
          </w:rPr>
          <w:fldChar w:fldCharType="begin"/>
        </w:r>
        <w:r w:rsidR="007D6B31">
          <w:rPr>
            <w:noProof/>
            <w:webHidden/>
          </w:rPr>
          <w:instrText xml:space="preserve"> PAGEREF _Toc443569372 \h </w:instrText>
        </w:r>
        <w:r w:rsidR="007D6B31">
          <w:rPr>
            <w:noProof/>
            <w:webHidden/>
          </w:rPr>
        </w:r>
        <w:r w:rsidR="007D6B31">
          <w:rPr>
            <w:noProof/>
            <w:webHidden/>
          </w:rPr>
          <w:fldChar w:fldCharType="separate"/>
        </w:r>
        <w:r w:rsidR="005A49EB">
          <w:rPr>
            <w:noProof/>
            <w:webHidden/>
          </w:rPr>
          <w:t>87</w:t>
        </w:r>
        <w:r w:rsidR="007D6B31">
          <w:rPr>
            <w:noProof/>
            <w:webHidden/>
          </w:rPr>
          <w:fldChar w:fldCharType="end"/>
        </w:r>
      </w:hyperlink>
    </w:p>
    <w:p w14:paraId="05E6FBB1" w14:textId="77777777" w:rsidR="007D6B31" w:rsidRDefault="00573C95" w:rsidP="009D1796">
      <w:pPr>
        <w:pStyle w:val="TM4"/>
        <w:tabs>
          <w:tab w:val="right" w:leader="dot" w:pos="12996"/>
        </w:tabs>
        <w:jc w:val="center"/>
        <w:rPr>
          <w:rFonts w:cstheme="minorBidi"/>
          <w:noProof/>
          <w:sz w:val="22"/>
          <w:szCs w:val="22"/>
          <w:lang w:val="fr-CA" w:eastAsia="fr-CA"/>
        </w:rPr>
      </w:pPr>
      <w:hyperlink w:anchor="_Toc443569373" w:history="1">
        <w:r w:rsidR="007D6B31" w:rsidRPr="00617398">
          <w:rPr>
            <w:rStyle w:val="Titre4Car"/>
          </w:rPr>
          <w:t>3.2.1.1. Le fonctionnement</w:t>
        </w:r>
        <w:r w:rsidR="007D6B31">
          <w:rPr>
            <w:noProof/>
            <w:webHidden/>
          </w:rPr>
          <w:tab/>
        </w:r>
        <w:r w:rsidR="007D6B31">
          <w:rPr>
            <w:noProof/>
            <w:webHidden/>
          </w:rPr>
          <w:fldChar w:fldCharType="begin"/>
        </w:r>
        <w:r w:rsidR="007D6B31">
          <w:rPr>
            <w:noProof/>
            <w:webHidden/>
          </w:rPr>
          <w:instrText xml:space="preserve"> PAGEREF _Toc443569373 \h </w:instrText>
        </w:r>
        <w:r w:rsidR="007D6B31">
          <w:rPr>
            <w:noProof/>
            <w:webHidden/>
          </w:rPr>
        </w:r>
        <w:r w:rsidR="007D6B31">
          <w:rPr>
            <w:noProof/>
            <w:webHidden/>
          </w:rPr>
          <w:fldChar w:fldCharType="separate"/>
        </w:r>
        <w:r w:rsidR="005A49EB">
          <w:rPr>
            <w:noProof/>
            <w:webHidden/>
          </w:rPr>
          <w:t>88</w:t>
        </w:r>
        <w:r w:rsidR="007D6B31">
          <w:rPr>
            <w:noProof/>
            <w:webHidden/>
          </w:rPr>
          <w:fldChar w:fldCharType="end"/>
        </w:r>
      </w:hyperlink>
    </w:p>
    <w:p w14:paraId="0952767E" w14:textId="77777777" w:rsidR="007D6B31" w:rsidRDefault="00573C95" w:rsidP="009D1796">
      <w:pPr>
        <w:pStyle w:val="TM4"/>
        <w:tabs>
          <w:tab w:val="right" w:leader="dot" w:pos="12996"/>
        </w:tabs>
        <w:jc w:val="center"/>
        <w:rPr>
          <w:rFonts w:cstheme="minorBidi"/>
          <w:noProof/>
          <w:sz w:val="22"/>
          <w:szCs w:val="22"/>
          <w:lang w:val="fr-CA" w:eastAsia="fr-CA"/>
        </w:rPr>
      </w:pPr>
      <w:hyperlink w:anchor="_Toc443569374" w:history="1">
        <w:r w:rsidR="007D6B31" w:rsidRPr="00617398">
          <w:rPr>
            <w:rStyle w:val="Titre4Car"/>
          </w:rPr>
          <w:t>3.2.1.2. Les particularités</w:t>
        </w:r>
        <w:r w:rsidR="007D6B31">
          <w:rPr>
            <w:noProof/>
            <w:webHidden/>
          </w:rPr>
          <w:tab/>
        </w:r>
        <w:r w:rsidR="007D6B31">
          <w:rPr>
            <w:noProof/>
            <w:webHidden/>
          </w:rPr>
          <w:fldChar w:fldCharType="begin"/>
        </w:r>
        <w:r w:rsidR="007D6B31">
          <w:rPr>
            <w:noProof/>
            <w:webHidden/>
          </w:rPr>
          <w:instrText xml:space="preserve"> PAGEREF _Toc443569374 \h </w:instrText>
        </w:r>
        <w:r w:rsidR="007D6B31">
          <w:rPr>
            <w:noProof/>
            <w:webHidden/>
          </w:rPr>
        </w:r>
        <w:r w:rsidR="007D6B31">
          <w:rPr>
            <w:noProof/>
            <w:webHidden/>
          </w:rPr>
          <w:fldChar w:fldCharType="separate"/>
        </w:r>
        <w:r w:rsidR="005A49EB">
          <w:rPr>
            <w:noProof/>
            <w:webHidden/>
          </w:rPr>
          <w:t>90</w:t>
        </w:r>
        <w:r w:rsidR="007D6B31">
          <w:rPr>
            <w:noProof/>
            <w:webHidden/>
          </w:rPr>
          <w:fldChar w:fldCharType="end"/>
        </w:r>
      </w:hyperlink>
    </w:p>
    <w:p w14:paraId="3B98744C" w14:textId="77777777" w:rsidR="007D6B31" w:rsidRDefault="00573C95" w:rsidP="009D1796">
      <w:pPr>
        <w:pStyle w:val="TM4"/>
        <w:tabs>
          <w:tab w:val="right" w:leader="dot" w:pos="12996"/>
        </w:tabs>
        <w:jc w:val="center"/>
        <w:rPr>
          <w:rFonts w:cstheme="minorBidi"/>
          <w:noProof/>
          <w:sz w:val="22"/>
          <w:szCs w:val="22"/>
          <w:lang w:val="fr-CA" w:eastAsia="fr-CA"/>
        </w:rPr>
      </w:pPr>
      <w:hyperlink w:anchor="_Toc443569375" w:history="1">
        <w:r w:rsidR="007D6B31" w:rsidRPr="00617398">
          <w:rPr>
            <w:rStyle w:val="Titre4Car"/>
          </w:rPr>
          <w:t>3.2.1.3. Les rentes à la retraite</w:t>
        </w:r>
        <w:r w:rsidR="007D6B31">
          <w:rPr>
            <w:noProof/>
            <w:webHidden/>
          </w:rPr>
          <w:tab/>
        </w:r>
        <w:r w:rsidR="007D6B31">
          <w:rPr>
            <w:noProof/>
            <w:webHidden/>
          </w:rPr>
          <w:fldChar w:fldCharType="begin"/>
        </w:r>
        <w:r w:rsidR="007D6B31">
          <w:rPr>
            <w:noProof/>
            <w:webHidden/>
          </w:rPr>
          <w:instrText xml:space="preserve"> PAGEREF _Toc443569375 \h </w:instrText>
        </w:r>
        <w:r w:rsidR="007D6B31">
          <w:rPr>
            <w:noProof/>
            <w:webHidden/>
          </w:rPr>
        </w:r>
        <w:r w:rsidR="007D6B31">
          <w:rPr>
            <w:noProof/>
            <w:webHidden/>
          </w:rPr>
          <w:fldChar w:fldCharType="separate"/>
        </w:r>
        <w:r w:rsidR="005A49EB">
          <w:rPr>
            <w:noProof/>
            <w:webHidden/>
          </w:rPr>
          <w:t>93</w:t>
        </w:r>
        <w:r w:rsidR="007D6B31">
          <w:rPr>
            <w:noProof/>
            <w:webHidden/>
          </w:rPr>
          <w:fldChar w:fldCharType="end"/>
        </w:r>
      </w:hyperlink>
    </w:p>
    <w:p w14:paraId="62B26E1C" w14:textId="77777777" w:rsidR="007D6B31" w:rsidRDefault="00573C95" w:rsidP="009D1796">
      <w:pPr>
        <w:pStyle w:val="TM4"/>
        <w:tabs>
          <w:tab w:val="right" w:leader="dot" w:pos="12996"/>
        </w:tabs>
        <w:jc w:val="center"/>
        <w:rPr>
          <w:rFonts w:cstheme="minorBidi"/>
          <w:noProof/>
          <w:sz w:val="22"/>
          <w:szCs w:val="22"/>
          <w:lang w:val="fr-CA" w:eastAsia="fr-CA"/>
        </w:rPr>
      </w:pPr>
      <w:hyperlink w:anchor="_Toc443569376" w:history="1">
        <w:r w:rsidR="007D6B31" w:rsidRPr="00617398">
          <w:rPr>
            <w:rStyle w:val="Titre4Car"/>
          </w:rPr>
          <w:t>3.2.1.4. Le transfert avant la retraite</w:t>
        </w:r>
        <w:r w:rsidR="007D6B31">
          <w:rPr>
            <w:noProof/>
            <w:webHidden/>
          </w:rPr>
          <w:tab/>
        </w:r>
        <w:r w:rsidR="007D6B31">
          <w:rPr>
            <w:noProof/>
            <w:webHidden/>
          </w:rPr>
          <w:fldChar w:fldCharType="begin"/>
        </w:r>
        <w:r w:rsidR="007D6B31">
          <w:rPr>
            <w:noProof/>
            <w:webHidden/>
          </w:rPr>
          <w:instrText xml:space="preserve"> PAGEREF _Toc443569376 \h </w:instrText>
        </w:r>
        <w:r w:rsidR="007D6B31">
          <w:rPr>
            <w:noProof/>
            <w:webHidden/>
          </w:rPr>
        </w:r>
        <w:r w:rsidR="007D6B31">
          <w:rPr>
            <w:noProof/>
            <w:webHidden/>
          </w:rPr>
          <w:fldChar w:fldCharType="separate"/>
        </w:r>
        <w:r w:rsidR="005A49EB">
          <w:rPr>
            <w:noProof/>
            <w:webHidden/>
          </w:rPr>
          <w:t>100</w:t>
        </w:r>
        <w:r w:rsidR="007D6B31">
          <w:rPr>
            <w:noProof/>
            <w:webHidden/>
          </w:rPr>
          <w:fldChar w:fldCharType="end"/>
        </w:r>
      </w:hyperlink>
    </w:p>
    <w:p w14:paraId="72371497" w14:textId="77777777" w:rsidR="007D6B31" w:rsidRDefault="00573C95" w:rsidP="009D1796">
      <w:pPr>
        <w:pStyle w:val="TM4"/>
        <w:tabs>
          <w:tab w:val="right" w:leader="dot" w:pos="12996"/>
        </w:tabs>
        <w:jc w:val="center"/>
        <w:rPr>
          <w:rFonts w:cstheme="minorBidi"/>
          <w:noProof/>
          <w:sz w:val="22"/>
          <w:szCs w:val="22"/>
          <w:lang w:val="fr-CA" w:eastAsia="fr-CA"/>
        </w:rPr>
      </w:pPr>
      <w:hyperlink w:anchor="_Toc443569377" w:history="1">
        <w:r w:rsidR="007D6B31" w:rsidRPr="00617398">
          <w:rPr>
            <w:rStyle w:val="Titre4Car"/>
          </w:rPr>
          <w:t>3.2.1.5. Exemple</w:t>
        </w:r>
        <w:r w:rsidR="007D6B31">
          <w:rPr>
            <w:noProof/>
            <w:webHidden/>
          </w:rPr>
          <w:tab/>
        </w:r>
        <w:r w:rsidR="007D6B31">
          <w:rPr>
            <w:noProof/>
            <w:webHidden/>
          </w:rPr>
          <w:fldChar w:fldCharType="begin"/>
        </w:r>
        <w:r w:rsidR="007D6B31">
          <w:rPr>
            <w:noProof/>
            <w:webHidden/>
          </w:rPr>
          <w:instrText xml:space="preserve"> PAGEREF _Toc443569377 \h </w:instrText>
        </w:r>
        <w:r w:rsidR="007D6B31">
          <w:rPr>
            <w:noProof/>
            <w:webHidden/>
          </w:rPr>
        </w:r>
        <w:r w:rsidR="007D6B31">
          <w:rPr>
            <w:noProof/>
            <w:webHidden/>
          </w:rPr>
          <w:fldChar w:fldCharType="separate"/>
        </w:r>
        <w:r w:rsidR="005A49EB">
          <w:rPr>
            <w:noProof/>
            <w:webHidden/>
          </w:rPr>
          <w:t>104</w:t>
        </w:r>
        <w:r w:rsidR="007D6B31">
          <w:rPr>
            <w:noProof/>
            <w:webHidden/>
          </w:rPr>
          <w:fldChar w:fldCharType="end"/>
        </w:r>
      </w:hyperlink>
    </w:p>
    <w:p w14:paraId="461DDEB0" w14:textId="77777777" w:rsidR="007D6B31" w:rsidRDefault="00573C95" w:rsidP="009D1796">
      <w:pPr>
        <w:pStyle w:val="TM3"/>
        <w:tabs>
          <w:tab w:val="left" w:pos="1440"/>
          <w:tab w:val="right" w:leader="dot" w:pos="12996"/>
        </w:tabs>
        <w:jc w:val="center"/>
        <w:rPr>
          <w:rFonts w:cstheme="minorBidi"/>
          <w:noProof/>
          <w:lang w:val="fr-CA" w:eastAsia="fr-CA"/>
        </w:rPr>
      </w:pPr>
      <w:hyperlink w:anchor="_Toc443569378" w:history="1">
        <w:r w:rsidR="007D6B31" w:rsidRPr="009D1796">
          <w:rPr>
            <w:rStyle w:val="Titre3Car"/>
          </w:rPr>
          <w:t>3.2.2.</w:t>
        </w:r>
        <w:r w:rsidR="007D6B31" w:rsidRPr="009D1796">
          <w:rPr>
            <w:rStyle w:val="Titre3Car"/>
          </w:rPr>
          <w:tab/>
          <w:t>Le régime de pension agréé à prestation déterminée (RPAPD)</w:t>
        </w:r>
        <w:r w:rsidR="007D6B31">
          <w:rPr>
            <w:noProof/>
            <w:webHidden/>
          </w:rPr>
          <w:tab/>
        </w:r>
        <w:r w:rsidR="007D6B31">
          <w:rPr>
            <w:noProof/>
            <w:webHidden/>
          </w:rPr>
          <w:fldChar w:fldCharType="begin"/>
        </w:r>
        <w:r w:rsidR="007D6B31">
          <w:rPr>
            <w:noProof/>
            <w:webHidden/>
          </w:rPr>
          <w:instrText xml:space="preserve"> PAGEREF _Toc443569378 \h </w:instrText>
        </w:r>
        <w:r w:rsidR="007D6B31">
          <w:rPr>
            <w:noProof/>
            <w:webHidden/>
          </w:rPr>
        </w:r>
        <w:r w:rsidR="007D6B31">
          <w:rPr>
            <w:noProof/>
            <w:webHidden/>
          </w:rPr>
          <w:fldChar w:fldCharType="separate"/>
        </w:r>
        <w:r w:rsidR="005A49EB">
          <w:rPr>
            <w:noProof/>
            <w:webHidden/>
          </w:rPr>
          <w:t>107</w:t>
        </w:r>
        <w:r w:rsidR="007D6B31">
          <w:rPr>
            <w:noProof/>
            <w:webHidden/>
          </w:rPr>
          <w:fldChar w:fldCharType="end"/>
        </w:r>
      </w:hyperlink>
    </w:p>
    <w:p w14:paraId="02F4ED1E"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379" w:history="1">
        <w:r w:rsidR="007D6B31" w:rsidRPr="00617398">
          <w:rPr>
            <w:rStyle w:val="Titre4Car"/>
          </w:rPr>
          <w:t>3.2.2.1.</w:t>
        </w:r>
        <w:r w:rsidR="007D6B31" w:rsidRPr="00617398">
          <w:rPr>
            <w:rStyle w:val="Titre4Car"/>
          </w:rPr>
          <w:tab/>
          <w:t>Le fonctionnement</w:t>
        </w:r>
        <w:r w:rsidR="007D6B31">
          <w:rPr>
            <w:noProof/>
            <w:webHidden/>
          </w:rPr>
          <w:tab/>
        </w:r>
        <w:r w:rsidR="007D6B31">
          <w:rPr>
            <w:noProof/>
            <w:webHidden/>
          </w:rPr>
          <w:fldChar w:fldCharType="begin"/>
        </w:r>
        <w:r w:rsidR="007D6B31">
          <w:rPr>
            <w:noProof/>
            <w:webHidden/>
          </w:rPr>
          <w:instrText xml:space="preserve"> PAGEREF _Toc443569379 \h </w:instrText>
        </w:r>
        <w:r w:rsidR="007D6B31">
          <w:rPr>
            <w:noProof/>
            <w:webHidden/>
          </w:rPr>
        </w:r>
        <w:r w:rsidR="007D6B31">
          <w:rPr>
            <w:noProof/>
            <w:webHidden/>
          </w:rPr>
          <w:fldChar w:fldCharType="separate"/>
        </w:r>
        <w:r w:rsidR="005A49EB">
          <w:rPr>
            <w:noProof/>
            <w:webHidden/>
          </w:rPr>
          <w:t>107</w:t>
        </w:r>
        <w:r w:rsidR="007D6B31">
          <w:rPr>
            <w:noProof/>
            <w:webHidden/>
          </w:rPr>
          <w:fldChar w:fldCharType="end"/>
        </w:r>
      </w:hyperlink>
    </w:p>
    <w:p w14:paraId="09394FF3"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380" w:history="1">
        <w:r w:rsidR="007D6B31" w:rsidRPr="00617398">
          <w:rPr>
            <w:rStyle w:val="Titre4Car"/>
          </w:rPr>
          <w:t>3.2.2.2.</w:t>
        </w:r>
        <w:r w:rsidR="007D6B31" w:rsidRPr="00617398">
          <w:rPr>
            <w:rStyle w:val="Titre4Car"/>
          </w:rPr>
          <w:tab/>
          <w:t>Les particularités</w:t>
        </w:r>
        <w:r w:rsidR="007D6B31">
          <w:rPr>
            <w:noProof/>
            <w:webHidden/>
          </w:rPr>
          <w:tab/>
        </w:r>
        <w:r w:rsidR="007D6B31">
          <w:rPr>
            <w:noProof/>
            <w:webHidden/>
          </w:rPr>
          <w:fldChar w:fldCharType="begin"/>
        </w:r>
        <w:r w:rsidR="007D6B31">
          <w:rPr>
            <w:noProof/>
            <w:webHidden/>
          </w:rPr>
          <w:instrText xml:space="preserve"> PAGEREF _Toc443569380 \h </w:instrText>
        </w:r>
        <w:r w:rsidR="007D6B31">
          <w:rPr>
            <w:noProof/>
            <w:webHidden/>
          </w:rPr>
        </w:r>
        <w:r w:rsidR="007D6B31">
          <w:rPr>
            <w:noProof/>
            <w:webHidden/>
          </w:rPr>
          <w:fldChar w:fldCharType="separate"/>
        </w:r>
        <w:r w:rsidR="005A49EB">
          <w:rPr>
            <w:noProof/>
            <w:webHidden/>
          </w:rPr>
          <w:t>109</w:t>
        </w:r>
        <w:r w:rsidR="007D6B31">
          <w:rPr>
            <w:noProof/>
            <w:webHidden/>
          </w:rPr>
          <w:fldChar w:fldCharType="end"/>
        </w:r>
      </w:hyperlink>
    </w:p>
    <w:p w14:paraId="76BCCBA8"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381" w:history="1">
        <w:r w:rsidR="007D6B31" w:rsidRPr="00617398">
          <w:rPr>
            <w:rStyle w:val="Titre4Car"/>
          </w:rPr>
          <w:t>3.2.2.3.</w:t>
        </w:r>
        <w:r w:rsidR="007D6B31" w:rsidRPr="00617398">
          <w:rPr>
            <w:rStyle w:val="Titre4Car"/>
          </w:rPr>
          <w:tab/>
          <w:t>Les rentes à la retraite</w:t>
        </w:r>
        <w:r w:rsidR="007D6B31">
          <w:rPr>
            <w:noProof/>
            <w:webHidden/>
          </w:rPr>
          <w:tab/>
        </w:r>
        <w:r w:rsidR="007D6B31">
          <w:rPr>
            <w:noProof/>
            <w:webHidden/>
          </w:rPr>
          <w:fldChar w:fldCharType="begin"/>
        </w:r>
        <w:r w:rsidR="007D6B31">
          <w:rPr>
            <w:noProof/>
            <w:webHidden/>
          </w:rPr>
          <w:instrText xml:space="preserve"> PAGEREF _Toc443569381 \h </w:instrText>
        </w:r>
        <w:r w:rsidR="007D6B31">
          <w:rPr>
            <w:noProof/>
            <w:webHidden/>
          </w:rPr>
        </w:r>
        <w:r w:rsidR="007D6B31">
          <w:rPr>
            <w:noProof/>
            <w:webHidden/>
          </w:rPr>
          <w:fldChar w:fldCharType="separate"/>
        </w:r>
        <w:r w:rsidR="005A49EB">
          <w:rPr>
            <w:noProof/>
            <w:webHidden/>
          </w:rPr>
          <w:t>113</w:t>
        </w:r>
        <w:r w:rsidR="007D6B31">
          <w:rPr>
            <w:noProof/>
            <w:webHidden/>
          </w:rPr>
          <w:fldChar w:fldCharType="end"/>
        </w:r>
      </w:hyperlink>
    </w:p>
    <w:p w14:paraId="43DDED93"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382" w:history="1">
        <w:r w:rsidR="007D6B31" w:rsidRPr="00617398">
          <w:rPr>
            <w:rStyle w:val="Titre4Car"/>
          </w:rPr>
          <w:t>3.2.2.4.</w:t>
        </w:r>
        <w:r w:rsidR="007D6B31" w:rsidRPr="00617398">
          <w:rPr>
            <w:rStyle w:val="Titre4Car"/>
          </w:rPr>
          <w:tab/>
          <w:t>Le transfert avant la retraite</w:t>
        </w:r>
        <w:r w:rsidR="007D6B31">
          <w:rPr>
            <w:noProof/>
            <w:webHidden/>
          </w:rPr>
          <w:tab/>
        </w:r>
        <w:r w:rsidR="007D6B31">
          <w:rPr>
            <w:noProof/>
            <w:webHidden/>
          </w:rPr>
          <w:fldChar w:fldCharType="begin"/>
        </w:r>
        <w:r w:rsidR="007D6B31">
          <w:rPr>
            <w:noProof/>
            <w:webHidden/>
          </w:rPr>
          <w:instrText xml:space="preserve"> PAGEREF _Toc443569382 \h </w:instrText>
        </w:r>
        <w:r w:rsidR="007D6B31">
          <w:rPr>
            <w:noProof/>
            <w:webHidden/>
          </w:rPr>
        </w:r>
        <w:r w:rsidR="007D6B31">
          <w:rPr>
            <w:noProof/>
            <w:webHidden/>
          </w:rPr>
          <w:fldChar w:fldCharType="separate"/>
        </w:r>
        <w:r w:rsidR="005A49EB">
          <w:rPr>
            <w:noProof/>
            <w:webHidden/>
          </w:rPr>
          <w:t>116</w:t>
        </w:r>
        <w:r w:rsidR="007D6B31">
          <w:rPr>
            <w:noProof/>
            <w:webHidden/>
          </w:rPr>
          <w:fldChar w:fldCharType="end"/>
        </w:r>
      </w:hyperlink>
    </w:p>
    <w:p w14:paraId="33EFED34"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383" w:history="1">
        <w:r w:rsidR="007D6B31" w:rsidRPr="00617398">
          <w:rPr>
            <w:rStyle w:val="Titre4Car"/>
          </w:rPr>
          <w:t>3.2.2.5.</w:t>
        </w:r>
        <w:r w:rsidR="007D6B31" w:rsidRPr="00617398">
          <w:rPr>
            <w:rStyle w:val="Titre4Car"/>
          </w:rPr>
          <w:tab/>
          <w:t>Exemple</w:t>
        </w:r>
        <w:r w:rsidR="007D6B31">
          <w:rPr>
            <w:noProof/>
            <w:webHidden/>
          </w:rPr>
          <w:tab/>
        </w:r>
        <w:r w:rsidR="007D6B31">
          <w:rPr>
            <w:noProof/>
            <w:webHidden/>
          </w:rPr>
          <w:fldChar w:fldCharType="begin"/>
        </w:r>
        <w:r w:rsidR="007D6B31">
          <w:rPr>
            <w:noProof/>
            <w:webHidden/>
          </w:rPr>
          <w:instrText xml:space="preserve"> PAGEREF _Toc443569383 \h </w:instrText>
        </w:r>
        <w:r w:rsidR="007D6B31">
          <w:rPr>
            <w:noProof/>
            <w:webHidden/>
          </w:rPr>
        </w:r>
        <w:r w:rsidR="007D6B31">
          <w:rPr>
            <w:noProof/>
            <w:webHidden/>
          </w:rPr>
          <w:fldChar w:fldCharType="separate"/>
        </w:r>
        <w:r w:rsidR="005A49EB">
          <w:rPr>
            <w:noProof/>
            <w:webHidden/>
          </w:rPr>
          <w:t>117</w:t>
        </w:r>
        <w:r w:rsidR="007D6B31">
          <w:rPr>
            <w:noProof/>
            <w:webHidden/>
          </w:rPr>
          <w:fldChar w:fldCharType="end"/>
        </w:r>
      </w:hyperlink>
    </w:p>
    <w:p w14:paraId="166BC4B3" w14:textId="77777777" w:rsidR="007D6B31" w:rsidRDefault="00573C95" w:rsidP="009D1796">
      <w:pPr>
        <w:pStyle w:val="TM3"/>
        <w:tabs>
          <w:tab w:val="left" w:pos="1440"/>
          <w:tab w:val="right" w:leader="dot" w:pos="12996"/>
        </w:tabs>
        <w:jc w:val="center"/>
        <w:rPr>
          <w:rFonts w:cstheme="minorBidi"/>
          <w:noProof/>
          <w:lang w:val="fr-CA" w:eastAsia="fr-CA"/>
        </w:rPr>
      </w:pPr>
      <w:hyperlink w:anchor="_Toc443569384" w:history="1">
        <w:r w:rsidR="007D6B31" w:rsidRPr="009D1796">
          <w:rPr>
            <w:rStyle w:val="Titre3Car"/>
          </w:rPr>
          <w:t>3.2.3.</w:t>
        </w:r>
        <w:r w:rsidR="007D6B31" w:rsidRPr="009D1796">
          <w:rPr>
            <w:rStyle w:val="Titre3Car"/>
          </w:rPr>
          <w:tab/>
          <w:t>Le REÉR collectif</w:t>
        </w:r>
        <w:r w:rsidR="007D6B31">
          <w:rPr>
            <w:noProof/>
            <w:webHidden/>
          </w:rPr>
          <w:tab/>
        </w:r>
        <w:r w:rsidR="007D6B31">
          <w:rPr>
            <w:noProof/>
            <w:webHidden/>
          </w:rPr>
          <w:fldChar w:fldCharType="begin"/>
        </w:r>
        <w:r w:rsidR="007D6B31">
          <w:rPr>
            <w:noProof/>
            <w:webHidden/>
          </w:rPr>
          <w:instrText xml:space="preserve"> PAGEREF _Toc443569384 \h </w:instrText>
        </w:r>
        <w:r w:rsidR="007D6B31">
          <w:rPr>
            <w:noProof/>
            <w:webHidden/>
          </w:rPr>
        </w:r>
        <w:r w:rsidR="007D6B31">
          <w:rPr>
            <w:noProof/>
            <w:webHidden/>
          </w:rPr>
          <w:fldChar w:fldCharType="separate"/>
        </w:r>
        <w:r w:rsidR="005A49EB">
          <w:rPr>
            <w:noProof/>
            <w:webHidden/>
          </w:rPr>
          <w:t>122</w:t>
        </w:r>
        <w:r w:rsidR="007D6B31">
          <w:rPr>
            <w:noProof/>
            <w:webHidden/>
          </w:rPr>
          <w:fldChar w:fldCharType="end"/>
        </w:r>
      </w:hyperlink>
    </w:p>
    <w:p w14:paraId="3F65D494"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385" w:history="1">
        <w:r w:rsidR="007D6B31" w:rsidRPr="00617398">
          <w:rPr>
            <w:rStyle w:val="Titre4Car"/>
          </w:rPr>
          <w:t>3.2.3.1.</w:t>
        </w:r>
        <w:r w:rsidR="007D6B31" w:rsidRPr="00617398">
          <w:rPr>
            <w:rStyle w:val="Titre4Car"/>
          </w:rPr>
          <w:tab/>
          <w:t>Le fonctionnement</w:t>
        </w:r>
        <w:r w:rsidR="007D6B31">
          <w:rPr>
            <w:noProof/>
            <w:webHidden/>
          </w:rPr>
          <w:tab/>
        </w:r>
        <w:r w:rsidR="007D6B31">
          <w:rPr>
            <w:noProof/>
            <w:webHidden/>
          </w:rPr>
          <w:fldChar w:fldCharType="begin"/>
        </w:r>
        <w:r w:rsidR="007D6B31">
          <w:rPr>
            <w:noProof/>
            <w:webHidden/>
          </w:rPr>
          <w:instrText xml:space="preserve"> PAGEREF _Toc443569385 \h </w:instrText>
        </w:r>
        <w:r w:rsidR="007D6B31">
          <w:rPr>
            <w:noProof/>
            <w:webHidden/>
          </w:rPr>
        </w:r>
        <w:r w:rsidR="007D6B31">
          <w:rPr>
            <w:noProof/>
            <w:webHidden/>
          </w:rPr>
          <w:fldChar w:fldCharType="separate"/>
        </w:r>
        <w:r w:rsidR="005A49EB">
          <w:rPr>
            <w:noProof/>
            <w:webHidden/>
          </w:rPr>
          <w:t>122</w:t>
        </w:r>
        <w:r w:rsidR="007D6B31">
          <w:rPr>
            <w:noProof/>
            <w:webHidden/>
          </w:rPr>
          <w:fldChar w:fldCharType="end"/>
        </w:r>
      </w:hyperlink>
    </w:p>
    <w:p w14:paraId="40990B88"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386" w:history="1">
        <w:r w:rsidR="007D6B31" w:rsidRPr="00617398">
          <w:rPr>
            <w:rStyle w:val="Titre4Car"/>
          </w:rPr>
          <w:t>3.2.3.2.</w:t>
        </w:r>
        <w:r w:rsidR="007D6B31" w:rsidRPr="00617398">
          <w:rPr>
            <w:rStyle w:val="Titre4Car"/>
          </w:rPr>
          <w:tab/>
          <w:t>Les particularités</w:t>
        </w:r>
        <w:r w:rsidR="007D6B31">
          <w:rPr>
            <w:noProof/>
            <w:webHidden/>
          </w:rPr>
          <w:tab/>
        </w:r>
        <w:r w:rsidR="007D6B31">
          <w:rPr>
            <w:noProof/>
            <w:webHidden/>
          </w:rPr>
          <w:fldChar w:fldCharType="begin"/>
        </w:r>
        <w:r w:rsidR="007D6B31">
          <w:rPr>
            <w:noProof/>
            <w:webHidden/>
          </w:rPr>
          <w:instrText xml:space="preserve"> PAGEREF _Toc443569386 \h </w:instrText>
        </w:r>
        <w:r w:rsidR="007D6B31">
          <w:rPr>
            <w:noProof/>
            <w:webHidden/>
          </w:rPr>
        </w:r>
        <w:r w:rsidR="007D6B31">
          <w:rPr>
            <w:noProof/>
            <w:webHidden/>
          </w:rPr>
          <w:fldChar w:fldCharType="separate"/>
        </w:r>
        <w:r w:rsidR="005A49EB">
          <w:rPr>
            <w:noProof/>
            <w:webHidden/>
          </w:rPr>
          <w:t>123</w:t>
        </w:r>
        <w:r w:rsidR="007D6B31">
          <w:rPr>
            <w:noProof/>
            <w:webHidden/>
          </w:rPr>
          <w:fldChar w:fldCharType="end"/>
        </w:r>
      </w:hyperlink>
    </w:p>
    <w:p w14:paraId="4A5C2B1C" w14:textId="77777777" w:rsidR="007D6B31" w:rsidRDefault="00573C95" w:rsidP="009D1796">
      <w:pPr>
        <w:pStyle w:val="TM3"/>
        <w:tabs>
          <w:tab w:val="left" w:pos="1440"/>
          <w:tab w:val="right" w:leader="dot" w:pos="12996"/>
        </w:tabs>
        <w:jc w:val="center"/>
        <w:rPr>
          <w:rFonts w:cstheme="minorBidi"/>
          <w:noProof/>
          <w:lang w:val="fr-CA" w:eastAsia="fr-CA"/>
        </w:rPr>
      </w:pPr>
      <w:hyperlink w:anchor="_Toc443569387" w:history="1">
        <w:r w:rsidR="007D6B31" w:rsidRPr="009D1796">
          <w:rPr>
            <w:rStyle w:val="Titre3Car"/>
          </w:rPr>
          <w:t>3.2.4.</w:t>
        </w:r>
        <w:r w:rsidR="007D6B31" w:rsidRPr="009D1796">
          <w:rPr>
            <w:rStyle w:val="Titre3Car"/>
          </w:rPr>
          <w:tab/>
          <w:t>Le régime volontaire d’épargne retraite (RVÉR)</w:t>
        </w:r>
        <w:r w:rsidR="007D6B31">
          <w:rPr>
            <w:noProof/>
            <w:webHidden/>
          </w:rPr>
          <w:tab/>
        </w:r>
        <w:r w:rsidR="007D6B31">
          <w:rPr>
            <w:noProof/>
            <w:webHidden/>
          </w:rPr>
          <w:fldChar w:fldCharType="begin"/>
        </w:r>
        <w:r w:rsidR="007D6B31">
          <w:rPr>
            <w:noProof/>
            <w:webHidden/>
          </w:rPr>
          <w:instrText xml:space="preserve"> PAGEREF _Toc443569387 \h </w:instrText>
        </w:r>
        <w:r w:rsidR="007D6B31">
          <w:rPr>
            <w:noProof/>
            <w:webHidden/>
          </w:rPr>
        </w:r>
        <w:r w:rsidR="007D6B31">
          <w:rPr>
            <w:noProof/>
            <w:webHidden/>
          </w:rPr>
          <w:fldChar w:fldCharType="separate"/>
        </w:r>
        <w:r w:rsidR="005A49EB">
          <w:rPr>
            <w:noProof/>
            <w:webHidden/>
          </w:rPr>
          <w:t>124</w:t>
        </w:r>
        <w:r w:rsidR="007D6B31">
          <w:rPr>
            <w:noProof/>
            <w:webHidden/>
          </w:rPr>
          <w:fldChar w:fldCharType="end"/>
        </w:r>
      </w:hyperlink>
    </w:p>
    <w:p w14:paraId="4CEEAEAF"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388" w:history="1">
        <w:r w:rsidR="007D6B31" w:rsidRPr="00617398">
          <w:rPr>
            <w:rStyle w:val="Titre4Car"/>
          </w:rPr>
          <w:t>3.2.4.1.</w:t>
        </w:r>
        <w:r w:rsidR="007D6B31" w:rsidRPr="00617398">
          <w:rPr>
            <w:rStyle w:val="Titre4Car"/>
          </w:rPr>
          <w:tab/>
          <w:t>Le fonctionnement</w:t>
        </w:r>
        <w:r w:rsidR="007D6B31">
          <w:rPr>
            <w:noProof/>
            <w:webHidden/>
          </w:rPr>
          <w:tab/>
        </w:r>
        <w:r w:rsidR="007D6B31">
          <w:rPr>
            <w:noProof/>
            <w:webHidden/>
          </w:rPr>
          <w:fldChar w:fldCharType="begin"/>
        </w:r>
        <w:r w:rsidR="007D6B31">
          <w:rPr>
            <w:noProof/>
            <w:webHidden/>
          </w:rPr>
          <w:instrText xml:space="preserve"> PAGEREF _Toc443569388 \h </w:instrText>
        </w:r>
        <w:r w:rsidR="007D6B31">
          <w:rPr>
            <w:noProof/>
            <w:webHidden/>
          </w:rPr>
        </w:r>
        <w:r w:rsidR="007D6B31">
          <w:rPr>
            <w:noProof/>
            <w:webHidden/>
          </w:rPr>
          <w:fldChar w:fldCharType="separate"/>
        </w:r>
        <w:r w:rsidR="005A49EB">
          <w:rPr>
            <w:noProof/>
            <w:webHidden/>
          </w:rPr>
          <w:t>124</w:t>
        </w:r>
        <w:r w:rsidR="007D6B31">
          <w:rPr>
            <w:noProof/>
            <w:webHidden/>
          </w:rPr>
          <w:fldChar w:fldCharType="end"/>
        </w:r>
      </w:hyperlink>
    </w:p>
    <w:p w14:paraId="7BB03D6C"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389" w:history="1">
        <w:r w:rsidR="007D6B31" w:rsidRPr="00617398">
          <w:rPr>
            <w:rStyle w:val="Titre4Car"/>
          </w:rPr>
          <w:t>3.2.4.2.</w:t>
        </w:r>
        <w:r w:rsidR="007D6B31" w:rsidRPr="00617398">
          <w:rPr>
            <w:rStyle w:val="Titre4Car"/>
          </w:rPr>
          <w:tab/>
          <w:t>Les particularités</w:t>
        </w:r>
        <w:r w:rsidR="007D6B31">
          <w:rPr>
            <w:noProof/>
            <w:webHidden/>
          </w:rPr>
          <w:tab/>
        </w:r>
        <w:r w:rsidR="007D6B31">
          <w:rPr>
            <w:noProof/>
            <w:webHidden/>
          </w:rPr>
          <w:fldChar w:fldCharType="begin"/>
        </w:r>
        <w:r w:rsidR="007D6B31">
          <w:rPr>
            <w:noProof/>
            <w:webHidden/>
          </w:rPr>
          <w:instrText xml:space="preserve"> PAGEREF _Toc443569389 \h </w:instrText>
        </w:r>
        <w:r w:rsidR="007D6B31">
          <w:rPr>
            <w:noProof/>
            <w:webHidden/>
          </w:rPr>
        </w:r>
        <w:r w:rsidR="007D6B31">
          <w:rPr>
            <w:noProof/>
            <w:webHidden/>
          </w:rPr>
          <w:fldChar w:fldCharType="separate"/>
        </w:r>
        <w:r w:rsidR="005A49EB">
          <w:rPr>
            <w:noProof/>
            <w:webHidden/>
          </w:rPr>
          <w:t>125</w:t>
        </w:r>
        <w:r w:rsidR="007D6B31">
          <w:rPr>
            <w:noProof/>
            <w:webHidden/>
          </w:rPr>
          <w:fldChar w:fldCharType="end"/>
        </w:r>
      </w:hyperlink>
    </w:p>
    <w:p w14:paraId="33314DDF" w14:textId="77777777" w:rsidR="007D6B31" w:rsidRDefault="00573C95" w:rsidP="009D1796">
      <w:pPr>
        <w:pStyle w:val="TM3"/>
        <w:tabs>
          <w:tab w:val="left" w:pos="1440"/>
          <w:tab w:val="right" w:leader="dot" w:pos="12996"/>
        </w:tabs>
        <w:jc w:val="center"/>
        <w:rPr>
          <w:rFonts w:cstheme="minorBidi"/>
          <w:noProof/>
          <w:lang w:val="fr-CA" w:eastAsia="fr-CA"/>
        </w:rPr>
      </w:pPr>
      <w:hyperlink w:anchor="_Toc443569390" w:history="1">
        <w:r w:rsidR="007D6B31" w:rsidRPr="009D1796">
          <w:rPr>
            <w:rStyle w:val="Titre3Car"/>
          </w:rPr>
          <w:t>3.2.5.</w:t>
        </w:r>
        <w:r w:rsidR="007D6B31" w:rsidRPr="009D1796">
          <w:rPr>
            <w:rStyle w:val="Titre3Car"/>
          </w:rPr>
          <w:tab/>
          <w:t>Synthèse des régimes étudiés</w:t>
        </w:r>
        <w:r w:rsidR="007D6B31">
          <w:rPr>
            <w:noProof/>
            <w:webHidden/>
          </w:rPr>
          <w:tab/>
        </w:r>
        <w:r w:rsidR="007D6B31">
          <w:rPr>
            <w:noProof/>
            <w:webHidden/>
          </w:rPr>
          <w:fldChar w:fldCharType="begin"/>
        </w:r>
        <w:r w:rsidR="007D6B31">
          <w:rPr>
            <w:noProof/>
            <w:webHidden/>
          </w:rPr>
          <w:instrText xml:space="preserve"> PAGEREF _Toc443569390 \h </w:instrText>
        </w:r>
        <w:r w:rsidR="007D6B31">
          <w:rPr>
            <w:noProof/>
            <w:webHidden/>
          </w:rPr>
        </w:r>
        <w:r w:rsidR="007D6B31">
          <w:rPr>
            <w:noProof/>
            <w:webHidden/>
          </w:rPr>
          <w:fldChar w:fldCharType="separate"/>
        </w:r>
        <w:r w:rsidR="005A49EB">
          <w:rPr>
            <w:noProof/>
            <w:webHidden/>
          </w:rPr>
          <w:t>127</w:t>
        </w:r>
        <w:r w:rsidR="007D6B31">
          <w:rPr>
            <w:noProof/>
            <w:webHidden/>
          </w:rPr>
          <w:fldChar w:fldCharType="end"/>
        </w:r>
      </w:hyperlink>
    </w:p>
    <w:p w14:paraId="05854499" w14:textId="77777777" w:rsidR="007D6B31" w:rsidRDefault="00573C95" w:rsidP="009D1796">
      <w:pPr>
        <w:pStyle w:val="TM2"/>
        <w:tabs>
          <w:tab w:val="left" w:pos="960"/>
          <w:tab w:val="right" w:leader="dot" w:pos="12996"/>
        </w:tabs>
        <w:jc w:val="center"/>
        <w:rPr>
          <w:rFonts w:cstheme="minorBidi"/>
          <w:i w:val="0"/>
          <w:noProof/>
          <w:lang w:val="fr-CA" w:eastAsia="fr-CA"/>
        </w:rPr>
      </w:pPr>
      <w:hyperlink w:anchor="_Toc443569391" w:history="1">
        <w:r w:rsidR="007D6B31" w:rsidRPr="009D1796">
          <w:rPr>
            <w:rStyle w:val="Titre2Car"/>
          </w:rPr>
          <w:t>3.3.</w:t>
        </w:r>
        <w:r w:rsidR="007D6B31" w:rsidRPr="009D1796">
          <w:rPr>
            <w:rStyle w:val="Titre2Car"/>
          </w:rPr>
          <w:tab/>
          <w:t>Réflexions sur les régimes de pension</w:t>
        </w:r>
        <w:r w:rsidR="007D6B31">
          <w:rPr>
            <w:noProof/>
            <w:webHidden/>
          </w:rPr>
          <w:tab/>
        </w:r>
        <w:r w:rsidR="007D6B31">
          <w:rPr>
            <w:noProof/>
            <w:webHidden/>
          </w:rPr>
          <w:fldChar w:fldCharType="begin"/>
        </w:r>
        <w:r w:rsidR="007D6B31">
          <w:rPr>
            <w:noProof/>
            <w:webHidden/>
          </w:rPr>
          <w:instrText xml:space="preserve"> PAGEREF _Toc443569391 \h </w:instrText>
        </w:r>
        <w:r w:rsidR="007D6B31">
          <w:rPr>
            <w:noProof/>
            <w:webHidden/>
          </w:rPr>
        </w:r>
        <w:r w:rsidR="007D6B31">
          <w:rPr>
            <w:noProof/>
            <w:webHidden/>
          </w:rPr>
          <w:fldChar w:fldCharType="separate"/>
        </w:r>
        <w:r w:rsidR="005A49EB">
          <w:rPr>
            <w:noProof/>
            <w:webHidden/>
          </w:rPr>
          <w:t>128</w:t>
        </w:r>
        <w:r w:rsidR="007D6B31">
          <w:rPr>
            <w:noProof/>
            <w:webHidden/>
          </w:rPr>
          <w:fldChar w:fldCharType="end"/>
        </w:r>
      </w:hyperlink>
    </w:p>
    <w:p w14:paraId="64A55A3A" w14:textId="77777777" w:rsidR="007D6B31" w:rsidRDefault="00573C95" w:rsidP="009D1796">
      <w:pPr>
        <w:pStyle w:val="TM1"/>
        <w:tabs>
          <w:tab w:val="left" w:pos="480"/>
          <w:tab w:val="right" w:leader="dot" w:pos="12996"/>
        </w:tabs>
        <w:jc w:val="center"/>
        <w:rPr>
          <w:rFonts w:cstheme="minorBidi"/>
          <w:b w:val="0"/>
          <w:noProof/>
          <w:lang w:val="fr-CA" w:eastAsia="fr-CA"/>
        </w:rPr>
      </w:pPr>
      <w:hyperlink w:anchor="_Toc443569392" w:history="1">
        <w:r w:rsidR="007D6B31" w:rsidRPr="009D1796">
          <w:rPr>
            <w:rStyle w:val="Titre1Car"/>
            <w:noProof/>
          </w:rPr>
          <w:t>4.</w:t>
        </w:r>
        <w:r w:rsidR="007D6B31" w:rsidRPr="009D1796">
          <w:rPr>
            <w:rStyle w:val="Titre1Car"/>
            <w:noProof/>
          </w:rPr>
          <w:tab/>
          <w:t>Les régimes reliés à l’initiative des individus</w:t>
        </w:r>
        <w:r w:rsidR="007D6B31">
          <w:rPr>
            <w:noProof/>
            <w:webHidden/>
          </w:rPr>
          <w:tab/>
        </w:r>
        <w:r w:rsidR="007D6B31">
          <w:rPr>
            <w:noProof/>
            <w:webHidden/>
          </w:rPr>
          <w:fldChar w:fldCharType="begin"/>
        </w:r>
        <w:r w:rsidR="007D6B31">
          <w:rPr>
            <w:noProof/>
            <w:webHidden/>
          </w:rPr>
          <w:instrText xml:space="preserve"> PAGEREF _Toc443569392 \h </w:instrText>
        </w:r>
        <w:r w:rsidR="007D6B31">
          <w:rPr>
            <w:noProof/>
            <w:webHidden/>
          </w:rPr>
        </w:r>
        <w:r w:rsidR="007D6B31">
          <w:rPr>
            <w:noProof/>
            <w:webHidden/>
          </w:rPr>
          <w:fldChar w:fldCharType="separate"/>
        </w:r>
        <w:r w:rsidR="005A49EB">
          <w:rPr>
            <w:noProof/>
            <w:webHidden/>
          </w:rPr>
          <w:t>136</w:t>
        </w:r>
        <w:r w:rsidR="007D6B31">
          <w:rPr>
            <w:noProof/>
            <w:webHidden/>
          </w:rPr>
          <w:fldChar w:fldCharType="end"/>
        </w:r>
      </w:hyperlink>
    </w:p>
    <w:p w14:paraId="36834933" w14:textId="77777777" w:rsidR="007D6B31" w:rsidRDefault="00573C95" w:rsidP="009D1796">
      <w:pPr>
        <w:pStyle w:val="TM2"/>
        <w:tabs>
          <w:tab w:val="left" w:pos="960"/>
          <w:tab w:val="right" w:leader="dot" w:pos="12996"/>
        </w:tabs>
        <w:jc w:val="center"/>
        <w:rPr>
          <w:rFonts w:cstheme="minorBidi"/>
          <w:i w:val="0"/>
          <w:noProof/>
          <w:lang w:val="fr-CA" w:eastAsia="fr-CA"/>
        </w:rPr>
      </w:pPr>
      <w:hyperlink w:anchor="_Toc443569393" w:history="1">
        <w:r w:rsidR="007D6B31" w:rsidRPr="009D1796">
          <w:rPr>
            <w:rStyle w:val="Titre2Car"/>
          </w:rPr>
          <w:t>4.1.</w:t>
        </w:r>
        <w:r w:rsidR="007D6B31" w:rsidRPr="009D1796">
          <w:rPr>
            <w:rStyle w:val="Titre2Car"/>
          </w:rPr>
          <w:tab/>
          <w:t>Le contexte et les types de véhicules de retraite</w:t>
        </w:r>
        <w:r w:rsidR="007D6B31">
          <w:rPr>
            <w:noProof/>
            <w:webHidden/>
          </w:rPr>
          <w:tab/>
        </w:r>
        <w:r w:rsidR="007D6B31">
          <w:rPr>
            <w:noProof/>
            <w:webHidden/>
          </w:rPr>
          <w:fldChar w:fldCharType="begin"/>
        </w:r>
        <w:r w:rsidR="007D6B31">
          <w:rPr>
            <w:noProof/>
            <w:webHidden/>
          </w:rPr>
          <w:instrText xml:space="preserve"> PAGEREF _Toc443569393 \h </w:instrText>
        </w:r>
        <w:r w:rsidR="007D6B31">
          <w:rPr>
            <w:noProof/>
            <w:webHidden/>
          </w:rPr>
        </w:r>
        <w:r w:rsidR="007D6B31">
          <w:rPr>
            <w:noProof/>
            <w:webHidden/>
          </w:rPr>
          <w:fldChar w:fldCharType="separate"/>
        </w:r>
        <w:r w:rsidR="005A49EB">
          <w:rPr>
            <w:noProof/>
            <w:webHidden/>
          </w:rPr>
          <w:t>138</w:t>
        </w:r>
        <w:r w:rsidR="007D6B31">
          <w:rPr>
            <w:noProof/>
            <w:webHidden/>
          </w:rPr>
          <w:fldChar w:fldCharType="end"/>
        </w:r>
      </w:hyperlink>
    </w:p>
    <w:p w14:paraId="659BF31B" w14:textId="77777777" w:rsidR="007D6B31" w:rsidRDefault="00573C95" w:rsidP="009D1796">
      <w:pPr>
        <w:pStyle w:val="TM2"/>
        <w:tabs>
          <w:tab w:val="left" w:pos="960"/>
          <w:tab w:val="right" w:leader="dot" w:pos="12996"/>
        </w:tabs>
        <w:jc w:val="center"/>
        <w:rPr>
          <w:rFonts w:cstheme="minorBidi"/>
          <w:i w:val="0"/>
          <w:noProof/>
          <w:lang w:val="fr-CA" w:eastAsia="fr-CA"/>
        </w:rPr>
      </w:pPr>
      <w:hyperlink w:anchor="_Toc443569394" w:history="1">
        <w:r w:rsidR="007D6B31" w:rsidRPr="009D1796">
          <w:rPr>
            <w:rStyle w:val="Titre2Car"/>
          </w:rPr>
          <w:t>4.2.</w:t>
        </w:r>
        <w:r w:rsidR="007D6B31" w:rsidRPr="009D1796">
          <w:rPr>
            <w:rStyle w:val="Titre2Car"/>
          </w:rPr>
          <w:tab/>
          <w:t>Le REÉR</w:t>
        </w:r>
        <w:r w:rsidR="007D6B31">
          <w:rPr>
            <w:noProof/>
            <w:webHidden/>
          </w:rPr>
          <w:tab/>
        </w:r>
        <w:r w:rsidR="007D6B31">
          <w:rPr>
            <w:noProof/>
            <w:webHidden/>
          </w:rPr>
          <w:fldChar w:fldCharType="begin"/>
        </w:r>
        <w:r w:rsidR="007D6B31">
          <w:rPr>
            <w:noProof/>
            <w:webHidden/>
          </w:rPr>
          <w:instrText xml:space="preserve"> PAGEREF _Toc443569394 \h </w:instrText>
        </w:r>
        <w:r w:rsidR="007D6B31">
          <w:rPr>
            <w:noProof/>
            <w:webHidden/>
          </w:rPr>
        </w:r>
        <w:r w:rsidR="007D6B31">
          <w:rPr>
            <w:noProof/>
            <w:webHidden/>
          </w:rPr>
          <w:fldChar w:fldCharType="separate"/>
        </w:r>
        <w:r w:rsidR="005A49EB">
          <w:rPr>
            <w:noProof/>
            <w:webHidden/>
          </w:rPr>
          <w:t>140</w:t>
        </w:r>
        <w:r w:rsidR="007D6B31">
          <w:rPr>
            <w:noProof/>
            <w:webHidden/>
          </w:rPr>
          <w:fldChar w:fldCharType="end"/>
        </w:r>
      </w:hyperlink>
    </w:p>
    <w:p w14:paraId="2ACA3AE3" w14:textId="77777777" w:rsidR="007D6B31" w:rsidRDefault="00573C95" w:rsidP="009D1796">
      <w:pPr>
        <w:pStyle w:val="TM3"/>
        <w:tabs>
          <w:tab w:val="left" w:pos="1440"/>
          <w:tab w:val="right" w:leader="dot" w:pos="12996"/>
        </w:tabs>
        <w:jc w:val="center"/>
        <w:rPr>
          <w:rFonts w:cstheme="minorBidi"/>
          <w:noProof/>
          <w:lang w:val="fr-CA" w:eastAsia="fr-CA"/>
        </w:rPr>
      </w:pPr>
      <w:hyperlink w:anchor="_Toc443569395" w:history="1">
        <w:r w:rsidR="007D6B31" w:rsidRPr="009D1796">
          <w:rPr>
            <w:rStyle w:val="Titre3Car"/>
          </w:rPr>
          <w:t>4.2.1.</w:t>
        </w:r>
        <w:r w:rsidR="007D6B31" w:rsidRPr="009D1796">
          <w:rPr>
            <w:rStyle w:val="Titre3Car"/>
          </w:rPr>
          <w:tab/>
          <w:t>Les principes à respecter au moment de cotiser</w:t>
        </w:r>
        <w:r w:rsidR="007D6B31">
          <w:rPr>
            <w:noProof/>
            <w:webHidden/>
          </w:rPr>
          <w:tab/>
        </w:r>
        <w:r w:rsidR="007D6B31">
          <w:rPr>
            <w:noProof/>
            <w:webHidden/>
          </w:rPr>
          <w:fldChar w:fldCharType="begin"/>
        </w:r>
        <w:r w:rsidR="007D6B31">
          <w:rPr>
            <w:noProof/>
            <w:webHidden/>
          </w:rPr>
          <w:instrText xml:space="preserve"> PAGEREF _Toc443569395 \h </w:instrText>
        </w:r>
        <w:r w:rsidR="007D6B31">
          <w:rPr>
            <w:noProof/>
            <w:webHidden/>
          </w:rPr>
        </w:r>
        <w:r w:rsidR="007D6B31">
          <w:rPr>
            <w:noProof/>
            <w:webHidden/>
          </w:rPr>
          <w:fldChar w:fldCharType="separate"/>
        </w:r>
        <w:r w:rsidR="005A49EB">
          <w:rPr>
            <w:noProof/>
            <w:webHidden/>
          </w:rPr>
          <w:t>140</w:t>
        </w:r>
        <w:r w:rsidR="007D6B31">
          <w:rPr>
            <w:noProof/>
            <w:webHidden/>
          </w:rPr>
          <w:fldChar w:fldCharType="end"/>
        </w:r>
      </w:hyperlink>
    </w:p>
    <w:p w14:paraId="2B41D568"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396" w:history="1">
        <w:r w:rsidR="007D6B31" w:rsidRPr="00617398">
          <w:rPr>
            <w:rStyle w:val="Titre4Car"/>
          </w:rPr>
          <w:t>4.2.1.1.</w:t>
        </w:r>
        <w:r w:rsidR="007D6B31" w:rsidRPr="00617398">
          <w:rPr>
            <w:rStyle w:val="Titre4Car"/>
          </w:rPr>
          <w:tab/>
          <w:t>Devrais-je cotiser à mon REÉR ?</w:t>
        </w:r>
        <w:r w:rsidR="007D6B31">
          <w:rPr>
            <w:noProof/>
            <w:webHidden/>
          </w:rPr>
          <w:tab/>
        </w:r>
        <w:r w:rsidR="007D6B31">
          <w:rPr>
            <w:noProof/>
            <w:webHidden/>
          </w:rPr>
          <w:fldChar w:fldCharType="begin"/>
        </w:r>
        <w:r w:rsidR="007D6B31">
          <w:rPr>
            <w:noProof/>
            <w:webHidden/>
          </w:rPr>
          <w:instrText xml:space="preserve"> PAGEREF _Toc443569396 \h </w:instrText>
        </w:r>
        <w:r w:rsidR="007D6B31">
          <w:rPr>
            <w:noProof/>
            <w:webHidden/>
          </w:rPr>
        </w:r>
        <w:r w:rsidR="007D6B31">
          <w:rPr>
            <w:noProof/>
            <w:webHidden/>
          </w:rPr>
          <w:fldChar w:fldCharType="separate"/>
        </w:r>
        <w:r w:rsidR="005A49EB">
          <w:rPr>
            <w:noProof/>
            <w:webHidden/>
          </w:rPr>
          <w:t>141</w:t>
        </w:r>
        <w:r w:rsidR="007D6B31">
          <w:rPr>
            <w:noProof/>
            <w:webHidden/>
          </w:rPr>
          <w:fldChar w:fldCharType="end"/>
        </w:r>
      </w:hyperlink>
    </w:p>
    <w:p w14:paraId="17A4C070"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397" w:history="1">
        <w:r w:rsidR="007D6B31" w:rsidRPr="00617398">
          <w:rPr>
            <w:rStyle w:val="Titre4Car"/>
          </w:rPr>
          <w:t>4.2.1.2.</w:t>
        </w:r>
        <w:r w:rsidR="007D6B31" w:rsidRPr="00617398">
          <w:rPr>
            <w:rStyle w:val="Titre4Car"/>
          </w:rPr>
          <w:tab/>
          <w:t>Les placements admissibles</w:t>
        </w:r>
        <w:r w:rsidR="007D6B31">
          <w:rPr>
            <w:noProof/>
            <w:webHidden/>
          </w:rPr>
          <w:tab/>
        </w:r>
        <w:r w:rsidR="007D6B31">
          <w:rPr>
            <w:noProof/>
            <w:webHidden/>
          </w:rPr>
          <w:fldChar w:fldCharType="begin"/>
        </w:r>
        <w:r w:rsidR="007D6B31">
          <w:rPr>
            <w:noProof/>
            <w:webHidden/>
          </w:rPr>
          <w:instrText xml:space="preserve"> PAGEREF _Toc443569397 \h </w:instrText>
        </w:r>
        <w:r w:rsidR="007D6B31">
          <w:rPr>
            <w:noProof/>
            <w:webHidden/>
          </w:rPr>
        </w:r>
        <w:r w:rsidR="007D6B31">
          <w:rPr>
            <w:noProof/>
            <w:webHidden/>
          </w:rPr>
          <w:fldChar w:fldCharType="separate"/>
        </w:r>
        <w:r w:rsidR="005A49EB">
          <w:rPr>
            <w:noProof/>
            <w:webHidden/>
          </w:rPr>
          <w:t>150</w:t>
        </w:r>
        <w:r w:rsidR="007D6B31">
          <w:rPr>
            <w:noProof/>
            <w:webHidden/>
          </w:rPr>
          <w:fldChar w:fldCharType="end"/>
        </w:r>
      </w:hyperlink>
    </w:p>
    <w:p w14:paraId="2677515F"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398" w:history="1">
        <w:r w:rsidR="007D6B31" w:rsidRPr="00617398">
          <w:rPr>
            <w:rStyle w:val="Titre4Car"/>
          </w:rPr>
          <w:t>4.2.1.3.</w:t>
        </w:r>
        <w:r w:rsidR="007D6B31" w:rsidRPr="00617398">
          <w:rPr>
            <w:rStyle w:val="Titre4Car"/>
          </w:rPr>
          <w:tab/>
          <w:t>L'emprunt pour cotiser</w:t>
        </w:r>
        <w:r w:rsidR="007D6B31">
          <w:rPr>
            <w:noProof/>
            <w:webHidden/>
          </w:rPr>
          <w:tab/>
        </w:r>
        <w:r w:rsidR="007D6B31">
          <w:rPr>
            <w:noProof/>
            <w:webHidden/>
          </w:rPr>
          <w:fldChar w:fldCharType="begin"/>
        </w:r>
        <w:r w:rsidR="007D6B31">
          <w:rPr>
            <w:noProof/>
            <w:webHidden/>
          </w:rPr>
          <w:instrText xml:space="preserve"> PAGEREF _Toc443569398 \h </w:instrText>
        </w:r>
        <w:r w:rsidR="007D6B31">
          <w:rPr>
            <w:noProof/>
            <w:webHidden/>
          </w:rPr>
        </w:r>
        <w:r w:rsidR="007D6B31">
          <w:rPr>
            <w:noProof/>
            <w:webHidden/>
          </w:rPr>
          <w:fldChar w:fldCharType="separate"/>
        </w:r>
        <w:r w:rsidR="005A49EB">
          <w:rPr>
            <w:noProof/>
            <w:webHidden/>
          </w:rPr>
          <w:t>151</w:t>
        </w:r>
        <w:r w:rsidR="007D6B31">
          <w:rPr>
            <w:noProof/>
            <w:webHidden/>
          </w:rPr>
          <w:fldChar w:fldCharType="end"/>
        </w:r>
      </w:hyperlink>
    </w:p>
    <w:p w14:paraId="4A796455"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399" w:history="1">
        <w:r w:rsidR="007D6B31" w:rsidRPr="00617398">
          <w:rPr>
            <w:rStyle w:val="Titre4Car"/>
          </w:rPr>
          <w:t>4.2.1.4.</w:t>
        </w:r>
        <w:r w:rsidR="007D6B31" w:rsidRPr="00617398">
          <w:rPr>
            <w:rStyle w:val="Titre4Car"/>
          </w:rPr>
          <w:tab/>
          <w:t>La cotisation au profit du conjoint</w:t>
        </w:r>
        <w:r w:rsidR="007D6B31">
          <w:rPr>
            <w:noProof/>
            <w:webHidden/>
          </w:rPr>
          <w:tab/>
        </w:r>
        <w:r w:rsidR="007D6B31">
          <w:rPr>
            <w:noProof/>
            <w:webHidden/>
          </w:rPr>
          <w:fldChar w:fldCharType="begin"/>
        </w:r>
        <w:r w:rsidR="007D6B31">
          <w:rPr>
            <w:noProof/>
            <w:webHidden/>
          </w:rPr>
          <w:instrText xml:space="preserve"> PAGEREF _Toc443569399 \h </w:instrText>
        </w:r>
        <w:r w:rsidR="007D6B31">
          <w:rPr>
            <w:noProof/>
            <w:webHidden/>
          </w:rPr>
        </w:r>
        <w:r w:rsidR="007D6B31">
          <w:rPr>
            <w:noProof/>
            <w:webHidden/>
          </w:rPr>
          <w:fldChar w:fldCharType="separate"/>
        </w:r>
        <w:r w:rsidR="005A49EB">
          <w:rPr>
            <w:noProof/>
            <w:webHidden/>
          </w:rPr>
          <w:t>152</w:t>
        </w:r>
        <w:r w:rsidR="007D6B31">
          <w:rPr>
            <w:noProof/>
            <w:webHidden/>
          </w:rPr>
          <w:fldChar w:fldCharType="end"/>
        </w:r>
      </w:hyperlink>
    </w:p>
    <w:p w14:paraId="2E0ADAE9" w14:textId="77777777" w:rsidR="007D6B31" w:rsidRDefault="00573C95" w:rsidP="009D1796">
      <w:pPr>
        <w:pStyle w:val="TM3"/>
        <w:tabs>
          <w:tab w:val="left" w:pos="1440"/>
          <w:tab w:val="right" w:leader="dot" w:pos="12996"/>
        </w:tabs>
        <w:jc w:val="center"/>
        <w:rPr>
          <w:rFonts w:cstheme="minorBidi"/>
          <w:noProof/>
          <w:lang w:val="fr-CA" w:eastAsia="fr-CA"/>
        </w:rPr>
      </w:pPr>
      <w:hyperlink w:anchor="_Toc443569400" w:history="1">
        <w:r w:rsidR="007D6B31" w:rsidRPr="009D1796">
          <w:rPr>
            <w:rStyle w:val="Titre3Car"/>
          </w:rPr>
          <w:t>4.2.2.</w:t>
        </w:r>
        <w:r w:rsidR="007D6B31" w:rsidRPr="009D1796">
          <w:rPr>
            <w:rStyle w:val="Titre3Car"/>
          </w:rPr>
          <w:tab/>
          <w:t>Les principes à respecter au moment du décaissement</w:t>
        </w:r>
        <w:r w:rsidR="007D6B31">
          <w:rPr>
            <w:noProof/>
            <w:webHidden/>
          </w:rPr>
          <w:tab/>
        </w:r>
        <w:r w:rsidR="007D6B31">
          <w:rPr>
            <w:noProof/>
            <w:webHidden/>
          </w:rPr>
          <w:fldChar w:fldCharType="begin"/>
        </w:r>
        <w:r w:rsidR="007D6B31">
          <w:rPr>
            <w:noProof/>
            <w:webHidden/>
          </w:rPr>
          <w:instrText xml:space="preserve"> PAGEREF _Toc443569400 \h </w:instrText>
        </w:r>
        <w:r w:rsidR="007D6B31">
          <w:rPr>
            <w:noProof/>
            <w:webHidden/>
          </w:rPr>
        </w:r>
        <w:r w:rsidR="007D6B31">
          <w:rPr>
            <w:noProof/>
            <w:webHidden/>
          </w:rPr>
          <w:fldChar w:fldCharType="separate"/>
        </w:r>
        <w:r w:rsidR="005A49EB">
          <w:rPr>
            <w:noProof/>
            <w:webHidden/>
          </w:rPr>
          <w:t>157</w:t>
        </w:r>
        <w:r w:rsidR="007D6B31">
          <w:rPr>
            <w:noProof/>
            <w:webHidden/>
          </w:rPr>
          <w:fldChar w:fldCharType="end"/>
        </w:r>
      </w:hyperlink>
    </w:p>
    <w:p w14:paraId="717CE1CD" w14:textId="77777777" w:rsidR="007D6B31" w:rsidRDefault="00573C95" w:rsidP="009D1796">
      <w:pPr>
        <w:pStyle w:val="TM4"/>
        <w:tabs>
          <w:tab w:val="left" w:pos="1680"/>
          <w:tab w:val="right" w:leader="dot" w:pos="12996"/>
        </w:tabs>
        <w:jc w:val="center"/>
        <w:rPr>
          <w:rFonts w:cstheme="minorBidi"/>
          <w:noProof/>
          <w:sz w:val="22"/>
          <w:szCs w:val="22"/>
          <w:lang w:val="fr-CA" w:eastAsia="fr-CA"/>
        </w:rPr>
      </w:pPr>
      <w:hyperlink w:anchor="_Toc443569401" w:history="1">
        <w:r w:rsidR="007D6B31" w:rsidRPr="00617398">
          <w:rPr>
            <w:rStyle w:val="Titre4Car"/>
          </w:rPr>
          <w:t>4.2.2.1.</w:t>
        </w:r>
        <w:r w:rsidR="007D6B31" w:rsidRPr="00617398">
          <w:rPr>
            <w:rStyle w:val="Titre4Car"/>
          </w:rPr>
          <w:tab/>
          <w:t>Dois-je retirer des sommes de mon REÉR ?</w:t>
        </w:r>
        <w:r w:rsidR="007D6B31">
          <w:rPr>
            <w:noProof/>
            <w:webHidden/>
          </w:rPr>
          <w:tab/>
        </w:r>
        <w:r w:rsidR="007D6B31">
          <w:rPr>
            <w:noProof/>
            <w:webHidden/>
          </w:rPr>
          <w:fldChar w:fldCharType="begin"/>
        </w:r>
        <w:r w:rsidR="007D6B31">
          <w:rPr>
            <w:noProof/>
            <w:webHidden/>
          </w:rPr>
          <w:instrText xml:space="preserve"> PAGEREF _Toc443569401 \h </w:instrText>
        </w:r>
        <w:r w:rsidR="007D6B31">
          <w:rPr>
            <w:noProof/>
            <w:webHidden/>
          </w:rPr>
        </w:r>
        <w:r w:rsidR="007D6B31">
          <w:rPr>
            <w:noProof/>
            <w:webHidden/>
          </w:rPr>
          <w:fldChar w:fldCharType="separate"/>
        </w:r>
        <w:r w:rsidR="005A49EB">
          <w:rPr>
            <w:noProof/>
            <w:webHidden/>
          </w:rPr>
          <w:t>157</w:t>
        </w:r>
        <w:r w:rsidR="007D6B31">
          <w:rPr>
            <w:noProof/>
            <w:webHidden/>
          </w:rPr>
          <w:fldChar w:fldCharType="end"/>
        </w:r>
      </w:hyperlink>
    </w:p>
    <w:p w14:paraId="5EEF6869" w14:textId="77777777" w:rsidR="007D6B31" w:rsidRDefault="00573C95" w:rsidP="009D1796">
      <w:pPr>
        <w:pStyle w:val="TM2"/>
        <w:tabs>
          <w:tab w:val="left" w:pos="960"/>
          <w:tab w:val="right" w:leader="dot" w:pos="12996"/>
        </w:tabs>
        <w:jc w:val="center"/>
        <w:rPr>
          <w:rFonts w:cstheme="minorBidi"/>
          <w:i w:val="0"/>
          <w:noProof/>
          <w:lang w:val="fr-CA" w:eastAsia="fr-CA"/>
        </w:rPr>
      </w:pPr>
      <w:hyperlink w:anchor="_Toc443569402" w:history="1">
        <w:r w:rsidR="007D6B31" w:rsidRPr="009D1796">
          <w:rPr>
            <w:rStyle w:val="Titre2Car"/>
          </w:rPr>
          <w:t>4.3.</w:t>
        </w:r>
        <w:r w:rsidR="007D6B31" w:rsidRPr="009D1796">
          <w:rPr>
            <w:rStyle w:val="Titre2Car"/>
          </w:rPr>
          <w:tab/>
          <w:t>Le CÉLI</w:t>
        </w:r>
        <w:r w:rsidR="007D6B31">
          <w:rPr>
            <w:noProof/>
            <w:webHidden/>
          </w:rPr>
          <w:tab/>
        </w:r>
        <w:r w:rsidR="007D6B31">
          <w:rPr>
            <w:noProof/>
            <w:webHidden/>
          </w:rPr>
          <w:fldChar w:fldCharType="begin"/>
        </w:r>
        <w:r w:rsidR="007D6B31">
          <w:rPr>
            <w:noProof/>
            <w:webHidden/>
          </w:rPr>
          <w:instrText xml:space="preserve"> PAGEREF _Toc443569402 \h </w:instrText>
        </w:r>
        <w:r w:rsidR="007D6B31">
          <w:rPr>
            <w:noProof/>
            <w:webHidden/>
          </w:rPr>
        </w:r>
        <w:r w:rsidR="007D6B31">
          <w:rPr>
            <w:noProof/>
            <w:webHidden/>
          </w:rPr>
          <w:fldChar w:fldCharType="separate"/>
        </w:r>
        <w:r w:rsidR="005A49EB">
          <w:rPr>
            <w:noProof/>
            <w:webHidden/>
          </w:rPr>
          <w:t>184</w:t>
        </w:r>
        <w:r w:rsidR="007D6B31">
          <w:rPr>
            <w:noProof/>
            <w:webHidden/>
          </w:rPr>
          <w:fldChar w:fldCharType="end"/>
        </w:r>
      </w:hyperlink>
    </w:p>
    <w:p w14:paraId="2185766A" w14:textId="77777777" w:rsidR="007D6B31" w:rsidRDefault="00573C95" w:rsidP="009D1796">
      <w:pPr>
        <w:pStyle w:val="TM3"/>
        <w:tabs>
          <w:tab w:val="left" w:pos="1440"/>
          <w:tab w:val="right" w:leader="dot" w:pos="12996"/>
        </w:tabs>
        <w:jc w:val="center"/>
        <w:rPr>
          <w:rFonts w:cstheme="minorBidi"/>
          <w:noProof/>
          <w:lang w:val="fr-CA" w:eastAsia="fr-CA"/>
        </w:rPr>
      </w:pPr>
      <w:hyperlink w:anchor="_Toc443569403" w:history="1">
        <w:r w:rsidR="007D6B31" w:rsidRPr="009D1796">
          <w:rPr>
            <w:rStyle w:val="Titre3Car"/>
          </w:rPr>
          <w:t>4.3.1.</w:t>
        </w:r>
        <w:r w:rsidR="007D6B31" w:rsidRPr="009D1796">
          <w:rPr>
            <w:rStyle w:val="Titre3Car"/>
          </w:rPr>
          <w:tab/>
          <w:t>Le fonctionnement</w:t>
        </w:r>
        <w:r w:rsidR="007D6B31">
          <w:rPr>
            <w:noProof/>
            <w:webHidden/>
          </w:rPr>
          <w:tab/>
        </w:r>
        <w:r w:rsidR="007D6B31">
          <w:rPr>
            <w:noProof/>
            <w:webHidden/>
          </w:rPr>
          <w:fldChar w:fldCharType="begin"/>
        </w:r>
        <w:r w:rsidR="007D6B31">
          <w:rPr>
            <w:noProof/>
            <w:webHidden/>
          </w:rPr>
          <w:instrText xml:space="preserve"> PAGEREF _Toc443569403 \h </w:instrText>
        </w:r>
        <w:r w:rsidR="007D6B31">
          <w:rPr>
            <w:noProof/>
            <w:webHidden/>
          </w:rPr>
        </w:r>
        <w:r w:rsidR="007D6B31">
          <w:rPr>
            <w:noProof/>
            <w:webHidden/>
          </w:rPr>
          <w:fldChar w:fldCharType="separate"/>
        </w:r>
        <w:r w:rsidR="005A49EB">
          <w:rPr>
            <w:noProof/>
            <w:webHidden/>
          </w:rPr>
          <w:t>184</w:t>
        </w:r>
        <w:r w:rsidR="007D6B31">
          <w:rPr>
            <w:noProof/>
            <w:webHidden/>
          </w:rPr>
          <w:fldChar w:fldCharType="end"/>
        </w:r>
      </w:hyperlink>
    </w:p>
    <w:p w14:paraId="181C7410" w14:textId="77777777" w:rsidR="007D6B31" w:rsidRDefault="00573C95" w:rsidP="009D1796">
      <w:pPr>
        <w:pStyle w:val="TM3"/>
        <w:tabs>
          <w:tab w:val="left" w:pos="1440"/>
          <w:tab w:val="right" w:leader="dot" w:pos="12996"/>
        </w:tabs>
        <w:jc w:val="center"/>
        <w:rPr>
          <w:rFonts w:cstheme="minorBidi"/>
          <w:noProof/>
          <w:lang w:val="fr-CA" w:eastAsia="fr-CA"/>
        </w:rPr>
      </w:pPr>
      <w:hyperlink w:anchor="_Toc443569404" w:history="1">
        <w:r w:rsidR="007D6B31" w:rsidRPr="009D1796">
          <w:rPr>
            <w:rStyle w:val="Titre3Car"/>
          </w:rPr>
          <w:t>4.3.2.</w:t>
        </w:r>
        <w:r w:rsidR="007D6B31" w:rsidRPr="009D1796">
          <w:rPr>
            <w:rStyle w:val="Titre3Car"/>
          </w:rPr>
          <w:tab/>
          <w:t>Les scénarios distinctifs du CÉLI et du REÉR</w:t>
        </w:r>
        <w:r w:rsidR="007D6B31">
          <w:rPr>
            <w:noProof/>
            <w:webHidden/>
          </w:rPr>
          <w:tab/>
        </w:r>
        <w:r w:rsidR="007D6B31">
          <w:rPr>
            <w:noProof/>
            <w:webHidden/>
          </w:rPr>
          <w:fldChar w:fldCharType="begin"/>
        </w:r>
        <w:r w:rsidR="007D6B31">
          <w:rPr>
            <w:noProof/>
            <w:webHidden/>
          </w:rPr>
          <w:instrText xml:space="preserve"> PAGEREF _Toc443569404 \h </w:instrText>
        </w:r>
        <w:r w:rsidR="007D6B31">
          <w:rPr>
            <w:noProof/>
            <w:webHidden/>
          </w:rPr>
        </w:r>
        <w:r w:rsidR="007D6B31">
          <w:rPr>
            <w:noProof/>
            <w:webHidden/>
          </w:rPr>
          <w:fldChar w:fldCharType="separate"/>
        </w:r>
        <w:r w:rsidR="005A49EB">
          <w:rPr>
            <w:noProof/>
            <w:webHidden/>
          </w:rPr>
          <w:t>185</w:t>
        </w:r>
        <w:r w:rsidR="007D6B31">
          <w:rPr>
            <w:noProof/>
            <w:webHidden/>
          </w:rPr>
          <w:fldChar w:fldCharType="end"/>
        </w:r>
      </w:hyperlink>
    </w:p>
    <w:p w14:paraId="169D3C18" w14:textId="77777777" w:rsidR="007D6B31" w:rsidRDefault="00573C95" w:rsidP="009D1796">
      <w:pPr>
        <w:pStyle w:val="TM3"/>
        <w:tabs>
          <w:tab w:val="left" w:pos="1440"/>
          <w:tab w:val="right" w:leader="dot" w:pos="12996"/>
        </w:tabs>
        <w:jc w:val="center"/>
        <w:rPr>
          <w:rFonts w:cstheme="minorBidi"/>
          <w:noProof/>
          <w:lang w:val="fr-CA" w:eastAsia="fr-CA"/>
        </w:rPr>
      </w:pPr>
      <w:hyperlink w:anchor="_Toc443569405" w:history="1">
        <w:r w:rsidR="007D6B31" w:rsidRPr="009D1796">
          <w:rPr>
            <w:rStyle w:val="Titre3Car"/>
          </w:rPr>
          <w:t>4.3.3.</w:t>
        </w:r>
        <w:r w:rsidR="007D6B31" w:rsidRPr="009D1796">
          <w:rPr>
            <w:rStyle w:val="Titre3Car"/>
          </w:rPr>
          <w:tab/>
          <w:t>La défiscalisation du REÉR par le CÉLI</w:t>
        </w:r>
        <w:r w:rsidR="007D6B31">
          <w:rPr>
            <w:noProof/>
            <w:webHidden/>
          </w:rPr>
          <w:tab/>
        </w:r>
        <w:r w:rsidR="007D6B31">
          <w:rPr>
            <w:noProof/>
            <w:webHidden/>
          </w:rPr>
          <w:fldChar w:fldCharType="begin"/>
        </w:r>
        <w:r w:rsidR="007D6B31">
          <w:rPr>
            <w:noProof/>
            <w:webHidden/>
          </w:rPr>
          <w:instrText xml:space="preserve"> PAGEREF _Toc443569405 \h </w:instrText>
        </w:r>
        <w:r w:rsidR="007D6B31">
          <w:rPr>
            <w:noProof/>
            <w:webHidden/>
          </w:rPr>
        </w:r>
        <w:r w:rsidR="007D6B31">
          <w:rPr>
            <w:noProof/>
            <w:webHidden/>
          </w:rPr>
          <w:fldChar w:fldCharType="separate"/>
        </w:r>
        <w:r w:rsidR="005A49EB">
          <w:rPr>
            <w:noProof/>
            <w:webHidden/>
          </w:rPr>
          <w:t>187</w:t>
        </w:r>
        <w:r w:rsidR="007D6B31">
          <w:rPr>
            <w:noProof/>
            <w:webHidden/>
          </w:rPr>
          <w:fldChar w:fldCharType="end"/>
        </w:r>
      </w:hyperlink>
    </w:p>
    <w:p w14:paraId="291713A0" w14:textId="77777777" w:rsidR="007D6B31" w:rsidRDefault="00573C95" w:rsidP="009D1796">
      <w:pPr>
        <w:pStyle w:val="TM3"/>
        <w:tabs>
          <w:tab w:val="left" w:pos="1440"/>
          <w:tab w:val="right" w:leader="dot" w:pos="12996"/>
        </w:tabs>
        <w:jc w:val="center"/>
        <w:rPr>
          <w:rFonts w:cstheme="minorBidi"/>
          <w:noProof/>
          <w:lang w:val="fr-CA" w:eastAsia="fr-CA"/>
        </w:rPr>
      </w:pPr>
      <w:hyperlink w:anchor="_Toc443569406" w:history="1">
        <w:r w:rsidR="007D6B31" w:rsidRPr="009D1796">
          <w:rPr>
            <w:rStyle w:val="Titre3Car"/>
          </w:rPr>
          <w:t>4.3.4.</w:t>
        </w:r>
        <w:r w:rsidR="007D6B31" w:rsidRPr="009D1796">
          <w:rPr>
            <w:rStyle w:val="Titre3Car"/>
          </w:rPr>
          <w:tab/>
          <w:t>L'approche comportementale du CÉLI et du REÉR</w:t>
        </w:r>
        <w:r w:rsidR="007D6B31">
          <w:rPr>
            <w:noProof/>
            <w:webHidden/>
          </w:rPr>
          <w:tab/>
        </w:r>
        <w:r w:rsidR="007D6B31">
          <w:rPr>
            <w:noProof/>
            <w:webHidden/>
          </w:rPr>
          <w:fldChar w:fldCharType="begin"/>
        </w:r>
        <w:r w:rsidR="007D6B31">
          <w:rPr>
            <w:noProof/>
            <w:webHidden/>
          </w:rPr>
          <w:instrText xml:space="preserve"> PAGEREF _Toc443569406 \h </w:instrText>
        </w:r>
        <w:r w:rsidR="007D6B31">
          <w:rPr>
            <w:noProof/>
            <w:webHidden/>
          </w:rPr>
        </w:r>
        <w:r w:rsidR="007D6B31">
          <w:rPr>
            <w:noProof/>
            <w:webHidden/>
          </w:rPr>
          <w:fldChar w:fldCharType="separate"/>
        </w:r>
        <w:r w:rsidR="005A49EB">
          <w:rPr>
            <w:noProof/>
            <w:webHidden/>
          </w:rPr>
          <w:t>188</w:t>
        </w:r>
        <w:r w:rsidR="007D6B31">
          <w:rPr>
            <w:noProof/>
            <w:webHidden/>
          </w:rPr>
          <w:fldChar w:fldCharType="end"/>
        </w:r>
      </w:hyperlink>
    </w:p>
    <w:p w14:paraId="7558AFB9" w14:textId="77777777" w:rsidR="007D6B31" w:rsidRDefault="00573C95">
      <w:pPr>
        <w:pStyle w:val="TM2"/>
        <w:tabs>
          <w:tab w:val="left" w:pos="960"/>
          <w:tab w:val="right" w:leader="dot" w:pos="12996"/>
        </w:tabs>
        <w:rPr>
          <w:rFonts w:cstheme="minorBidi"/>
          <w:i w:val="0"/>
          <w:noProof/>
          <w:lang w:val="fr-CA" w:eastAsia="fr-CA"/>
        </w:rPr>
      </w:pPr>
      <w:hyperlink w:anchor="_Toc443569407" w:history="1">
        <w:r w:rsidR="007D6B31" w:rsidRPr="009D1796">
          <w:rPr>
            <w:rStyle w:val="Titre2Car"/>
          </w:rPr>
          <w:t>4.4.</w:t>
        </w:r>
        <w:r w:rsidR="007D6B31" w:rsidRPr="009D1796">
          <w:rPr>
            <w:rStyle w:val="Titre2Car"/>
          </w:rPr>
          <w:tab/>
          <w:t>Le REÉÉ</w:t>
        </w:r>
        <w:r w:rsidR="007D6B31">
          <w:rPr>
            <w:noProof/>
            <w:webHidden/>
          </w:rPr>
          <w:tab/>
        </w:r>
        <w:r w:rsidR="007D6B31">
          <w:rPr>
            <w:noProof/>
            <w:webHidden/>
          </w:rPr>
          <w:fldChar w:fldCharType="begin"/>
        </w:r>
        <w:r w:rsidR="007D6B31">
          <w:rPr>
            <w:noProof/>
            <w:webHidden/>
          </w:rPr>
          <w:instrText xml:space="preserve"> PAGEREF _Toc443569407 \h </w:instrText>
        </w:r>
        <w:r w:rsidR="007D6B31">
          <w:rPr>
            <w:noProof/>
            <w:webHidden/>
          </w:rPr>
        </w:r>
        <w:r w:rsidR="007D6B31">
          <w:rPr>
            <w:noProof/>
            <w:webHidden/>
          </w:rPr>
          <w:fldChar w:fldCharType="separate"/>
        </w:r>
        <w:r w:rsidR="005A49EB">
          <w:rPr>
            <w:noProof/>
            <w:webHidden/>
          </w:rPr>
          <w:t>189</w:t>
        </w:r>
        <w:r w:rsidR="007D6B31">
          <w:rPr>
            <w:noProof/>
            <w:webHidden/>
          </w:rPr>
          <w:fldChar w:fldCharType="end"/>
        </w:r>
      </w:hyperlink>
    </w:p>
    <w:p w14:paraId="665A3ACD" w14:textId="77777777" w:rsidR="007D6B31" w:rsidRDefault="00573C95">
      <w:pPr>
        <w:pStyle w:val="TM3"/>
        <w:tabs>
          <w:tab w:val="left" w:pos="1440"/>
          <w:tab w:val="right" w:leader="dot" w:pos="12996"/>
        </w:tabs>
        <w:rPr>
          <w:rFonts w:cstheme="minorBidi"/>
          <w:noProof/>
          <w:lang w:val="fr-CA" w:eastAsia="fr-CA"/>
        </w:rPr>
      </w:pPr>
      <w:hyperlink w:anchor="_Toc443569408" w:history="1">
        <w:r w:rsidR="007D6B31" w:rsidRPr="009D1796">
          <w:rPr>
            <w:rStyle w:val="Titre3Car"/>
          </w:rPr>
          <w:t>4.4.1.</w:t>
        </w:r>
        <w:r w:rsidR="007D6B31" w:rsidRPr="009D1796">
          <w:rPr>
            <w:rStyle w:val="Titre3Car"/>
          </w:rPr>
          <w:tab/>
          <w:t>Le fonctionnement</w:t>
        </w:r>
        <w:r w:rsidR="007D6B31">
          <w:rPr>
            <w:noProof/>
            <w:webHidden/>
          </w:rPr>
          <w:tab/>
        </w:r>
        <w:r w:rsidR="007D6B31">
          <w:rPr>
            <w:noProof/>
            <w:webHidden/>
          </w:rPr>
          <w:fldChar w:fldCharType="begin"/>
        </w:r>
        <w:r w:rsidR="007D6B31">
          <w:rPr>
            <w:noProof/>
            <w:webHidden/>
          </w:rPr>
          <w:instrText xml:space="preserve"> PAGEREF _Toc443569408 \h </w:instrText>
        </w:r>
        <w:r w:rsidR="007D6B31">
          <w:rPr>
            <w:noProof/>
            <w:webHidden/>
          </w:rPr>
        </w:r>
        <w:r w:rsidR="007D6B31">
          <w:rPr>
            <w:noProof/>
            <w:webHidden/>
          </w:rPr>
          <w:fldChar w:fldCharType="separate"/>
        </w:r>
        <w:r w:rsidR="005A49EB">
          <w:rPr>
            <w:noProof/>
            <w:webHidden/>
          </w:rPr>
          <w:t>189</w:t>
        </w:r>
        <w:r w:rsidR="007D6B31">
          <w:rPr>
            <w:noProof/>
            <w:webHidden/>
          </w:rPr>
          <w:fldChar w:fldCharType="end"/>
        </w:r>
      </w:hyperlink>
    </w:p>
    <w:p w14:paraId="2E8EA836" w14:textId="77777777" w:rsidR="007D6B31" w:rsidRDefault="00573C95">
      <w:pPr>
        <w:pStyle w:val="TM3"/>
        <w:tabs>
          <w:tab w:val="left" w:pos="1440"/>
          <w:tab w:val="right" w:leader="dot" w:pos="12996"/>
        </w:tabs>
        <w:rPr>
          <w:rFonts w:cstheme="minorBidi"/>
          <w:noProof/>
          <w:lang w:val="fr-CA" w:eastAsia="fr-CA"/>
        </w:rPr>
      </w:pPr>
      <w:hyperlink w:anchor="_Toc443569409" w:history="1">
        <w:r w:rsidR="007D6B31" w:rsidRPr="009D1796">
          <w:rPr>
            <w:rStyle w:val="Titre3Car"/>
          </w:rPr>
          <w:t>4.4.2.</w:t>
        </w:r>
        <w:r w:rsidR="007D6B31" w:rsidRPr="009D1796">
          <w:rPr>
            <w:rStyle w:val="Titre3Car"/>
          </w:rPr>
          <w:tab/>
          <w:t>Optimisation du REÉÉ</w:t>
        </w:r>
        <w:r w:rsidR="007D6B31">
          <w:rPr>
            <w:noProof/>
            <w:webHidden/>
          </w:rPr>
          <w:tab/>
        </w:r>
        <w:r w:rsidR="007D6B31">
          <w:rPr>
            <w:noProof/>
            <w:webHidden/>
          </w:rPr>
          <w:fldChar w:fldCharType="begin"/>
        </w:r>
        <w:r w:rsidR="007D6B31">
          <w:rPr>
            <w:noProof/>
            <w:webHidden/>
          </w:rPr>
          <w:instrText xml:space="preserve"> PAGEREF _Toc443569409 \h </w:instrText>
        </w:r>
        <w:r w:rsidR="007D6B31">
          <w:rPr>
            <w:noProof/>
            <w:webHidden/>
          </w:rPr>
        </w:r>
        <w:r w:rsidR="007D6B31">
          <w:rPr>
            <w:noProof/>
            <w:webHidden/>
          </w:rPr>
          <w:fldChar w:fldCharType="separate"/>
        </w:r>
        <w:r w:rsidR="005A49EB">
          <w:rPr>
            <w:noProof/>
            <w:webHidden/>
          </w:rPr>
          <w:t>192</w:t>
        </w:r>
        <w:r w:rsidR="007D6B31">
          <w:rPr>
            <w:noProof/>
            <w:webHidden/>
          </w:rPr>
          <w:fldChar w:fldCharType="end"/>
        </w:r>
      </w:hyperlink>
    </w:p>
    <w:p w14:paraId="31D7DC03" w14:textId="77777777" w:rsidR="007D6B31" w:rsidRDefault="00573C95">
      <w:pPr>
        <w:pStyle w:val="TM2"/>
        <w:tabs>
          <w:tab w:val="left" w:pos="960"/>
          <w:tab w:val="right" w:leader="dot" w:pos="12996"/>
        </w:tabs>
        <w:rPr>
          <w:rFonts w:cstheme="minorBidi"/>
          <w:i w:val="0"/>
          <w:noProof/>
          <w:lang w:val="fr-CA" w:eastAsia="fr-CA"/>
        </w:rPr>
      </w:pPr>
      <w:hyperlink w:anchor="_Toc443569410" w:history="1">
        <w:r w:rsidR="007D6B31" w:rsidRPr="009D1796">
          <w:rPr>
            <w:rStyle w:val="Titre2Car"/>
          </w:rPr>
          <w:t>4.5.</w:t>
        </w:r>
        <w:r w:rsidR="007D6B31" w:rsidRPr="009D1796">
          <w:rPr>
            <w:rStyle w:val="Titre2Car"/>
          </w:rPr>
          <w:tab/>
          <w:t>Conclusion et optimisation</w:t>
        </w:r>
        <w:r w:rsidR="007D6B31">
          <w:rPr>
            <w:noProof/>
            <w:webHidden/>
          </w:rPr>
          <w:tab/>
        </w:r>
        <w:r w:rsidR="007D6B31">
          <w:rPr>
            <w:noProof/>
            <w:webHidden/>
          </w:rPr>
          <w:fldChar w:fldCharType="begin"/>
        </w:r>
        <w:r w:rsidR="007D6B31">
          <w:rPr>
            <w:noProof/>
            <w:webHidden/>
          </w:rPr>
          <w:instrText xml:space="preserve"> PAGEREF _Toc443569410 \h </w:instrText>
        </w:r>
        <w:r w:rsidR="007D6B31">
          <w:rPr>
            <w:noProof/>
            <w:webHidden/>
          </w:rPr>
        </w:r>
        <w:r w:rsidR="007D6B31">
          <w:rPr>
            <w:noProof/>
            <w:webHidden/>
          </w:rPr>
          <w:fldChar w:fldCharType="separate"/>
        </w:r>
        <w:r w:rsidR="005A49EB">
          <w:rPr>
            <w:noProof/>
            <w:webHidden/>
          </w:rPr>
          <w:t>197</w:t>
        </w:r>
        <w:r w:rsidR="007D6B31">
          <w:rPr>
            <w:noProof/>
            <w:webHidden/>
          </w:rPr>
          <w:fldChar w:fldCharType="end"/>
        </w:r>
      </w:hyperlink>
    </w:p>
    <w:p w14:paraId="41202200" w14:textId="77777777" w:rsidR="007D6B31" w:rsidRDefault="00573C95">
      <w:pPr>
        <w:pStyle w:val="TM3"/>
        <w:tabs>
          <w:tab w:val="left" w:pos="1440"/>
          <w:tab w:val="right" w:leader="dot" w:pos="12996"/>
        </w:tabs>
        <w:rPr>
          <w:rFonts w:cstheme="minorBidi"/>
          <w:noProof/>
          <w:lang w:val="fr-CA" w:eastAsia="fr-CA"/>
        </w:rPr>
      </w:pPr>
      <w:hyperlink w:anchor="_Toc443569411" w:history="1">
        <w:r w:rsidR="007D6B31" w:rsidRPr="009D1796">
          <w:rPr>
            <w:rStyle w:val="Titre3Car"/>
          </w:rPr>
          <w:t>4.5.1.</w:t>
        </w:r>
        <w:r w:rsidR="007D6B31" w:rsidRPr="009D1796">
          <w:rPr>
            <w:rStyle w:val="Titre3Car"/>
          </w:rPr>
          <w:tab/>
          <w:t>REÉR, CÉLI ou REÉÉ</w:t>
        </w:r>
        <w:r w:rsidR="007D6B31">
          <w:rPr>
            <w:noProof/>
            <w:webHidden/>
          </w:rPr>
          <w:tab/>
        </w:r>
        <w:r w:rsidR="007D6B31">
          <w:rPr>
            <w:noProof/>
            <w:webHidden/>
          </w:rPr>
          <w:fldChar w:fldCharType="begin"/>
        </w:r>
        <w:r w:rsidR="007D6B31">
          <w:rPr>
            <w:noProof/>
            <w:webHidden/>
          </w:rPr>
          <w:instrText xml:space="preserve"> PAGEREF _Toc443569411 \h </w:instrText>
        </w:r>
        <w:r w:rsidR="007D6B31">
          <w:rPr>
            <w:noProof/>
            <w:webHidden/>
          </w:rPr>
        </w:r>
        <w:r w:rsidR="007D6B31">
          <w:rPr>
            <w:noProof/>
            <w:webHidden/>
          </w:rPr>
          <w:fldChar w:fldCharType="separate"/>
        </w:r>
        <w:r w:rsidR="005A49EB">
          <w:rPr>
            <w:noProof/>
            <w:webHidden/>
          </w:rPr>
          <w:t>197</w:t>
        </w:r>
        <w:r w:rsidR="007D6B31">
          <w:rPr>
            <w:noProof/>
            <w:webHidden/>
          </w:rPr>
          <w:fldChar w:fldCharType="end"/>
        </w:r>
      </w:hyperlink>
    </w:p>
    <w:p w14:paraId="08C53BB6" w14:textId="77777777" w:rsidR="007D6B31" w:rsidRDefault="00573C95">
      <w:pPr>
        <w:pStyle w:val="TM4"/>
        <w:tabs>
          <w:tab w:val="left" w:pos="1680"/>
          <w:tab w:val="right" w:leader="dot" w:pos="12996"/>
        </w:tabs>
        <w:rPr>
          <w:rFonts w:cstheme="minorBidi"/>
          <w:noProof/>
          <w:sz w:val="22"/>
          <w:szCs w:val="22"/>
          <w:lang w:val="fr-CA" w:eastAsia="fr-CA"/>
        </w:rPr>
      </w:pPr>
      <w:hyperlink w:anchor="_Toc443569412" w:history="1">
        <w:r w:rsidR="007D6B31" w:rsidRPr="00617398">
          <w:rPr>
            <w:rStyle w:val="Titre4Car"/>
          </w:rPr>
          <w:t>4.5.1.1.</w:t>
        </w:r>
        <w:r w:rsidR="007D6B31" w:rsidRPr="00617398">
          <w:rPr>
            <w:rStyle w:val="Titre4Car"/>
          </w:rPr>
          <w:tab/>
          <w:t>L'épargne hâtive</w:t>
        </w:r>
        <w:r w:rsidR="007D6B31">
          <w:rPr>
            <w:noProof/>
            <w:webHidden/>
          </w:rPr>
          <w:tab/>
        </w:r>
        <w:r w:rsidR="007D6B31">
          <w:rPr>
            <w:noProof/>
            <w:webHidden/>
          </w:rPr>
          <w:fldChar w:fldCharType="begin"/>
        </w:r>
        <w:r w:rsidR="007D6B31">
          <w:rPr>
            <w:noProof/>
            <w:webHidden/>
          </w:rPr>
          <w:instrText xml:space="preserve"> PAGEREF _Toc443569412 \h </w:instrText>
        </w:r>
        <w:r w:rsidR="007D6B31">
          <w:rPr>
            <w:noProof/>
            <w:webHidden/>
          </w:rPr>
        </w:r>
        <w:r w:rsidR="007D6B31">
          <w:rPr>
            <w:noProof/>
            <w:webHidden/>
          </w:rPr>
          <w:fldChar w:fldCharType="separate"/>
        </w:r>
        <w:r w:rsidR="005A49EB">
          <w:rPr>
            <w:noProof/>
            <w:webHidden/>
          </w:rPr>
          <w:t>198</w:t>
        </w:r>
        <w:r w:rsidR="007D6B31">
          <w:rPr>
            <w:noProof/>
            <w:webHidden/>
          </w:rPr>
          <w:fldChar w:fldCharType="end"/>
        </w:r>
      </w:hyperlink>
    </w:p>
    <w:p w14:paraId="11906334" w14:textId="77777777" w:rsidR="007D6B31" w:rsidRDefault="00573C95">
      <w:pPr>
        <w:pStyle w:val="TM4"/>
        <w:tabs>
          <w:tab w:val="left" w:pos="1680"/>
          <w:tab w:val="right" w:leader="dot" w:pos="12996"/>
        </w:tabs>
        <w:rPr>
          <w:rFonts w:cstheme="minorBidi"/>
          <w:noProof/>
          <w:sz w:val="22"/>
          <w:szCs w:val="22"/>
          <w:lang w:val="fr-CA" w:eastAsia="fr-CA"/>
        </w:rPr>
      </w:pPr>
      <w:hyperlink w:anchor="_Toc443569413" w:history="1">
        <w:r w:rsidR="007D6B31" w:rsidRPr="00617398">
          <w:rPr>
            <w:rStyle w:val="Titre4Car"/>
          </w:rPr>
          <w:t>4.5.1.2.</w:t>
        </w:r>
        <w:r w:rsidR="007D6B31" w:rsidRPr="00617398">
          <w:rPr>
            <w:rStyle w:val="Titre4Car"/>
          </w:rPr>
          <w:tab/>
          <w:t>La priorisation des véhicules d'épargne</w:t>
        </w:r>
        <w:r w:rsidR="007D6B31">
          <w:rPr>
            <w:noProof/>
            <w:webHidden/>
          </w:rPr>
          <w:tab/>
        </w:r>
        <w:r w:rsidR="007D6B31">
          <w:rPr>
            <w:noProof/>
            <w:webHidden/>
          </w:rPr>
          <w:fldChar w:fldCharType="begin"/>
        </w:r>
        <w:r w:rsidR="007D6B31">
          <w:rPr>
            <w:noProof/>
            <w:webHidden/>
          </w:rPr>
          <w:instrText xml:space="preserve"> PAGEREF _Toc443569413 \h </w:instrText>
        </w:r>
        <w:r w:rsidR="007D6B31">
          <w:rPr>
            <w:noProof/>
            <w:webHidden/>
          </w:rPr>
        </w:r>
        <w:r w:rsidR="007D6B31">
          <w:rPr>
            <w:noProof/>
            <w:webHidden/>
          </w:rPr>
          <w:fldChar w:fldCharType="separate"/>
        </w:r>
        <w:r w:rsidR="005A49EB">
          <w:rPr>
            <w:noProof/>
            <w:webHidden/>
          </w:rPr>
          <w:t>200</w:t>
        </w:r>
        <w:r w:rsidR="007D6B31">
          <w:rPr>
            <w:noProof/>
            <w:webHidden/>
          </w:rPr>
          <w:fldChar w:fldCharType="end"/>
        </w:r>
      </w:hyperlink>
    </w:p>
    <w:p w14:paraId="6B3A6A33" w14:textId="77777777" w:rsidR="007D6B31" w:rsidRDefault="00573C95">
      <w:pPr>
        <w:pStyle w:val="TM3"/>
        <w:tabs>
          <w:tab w:val="left" w:pos="1440"/>
          <w:tab w:val="right" w:leader="dot" w:pos="12996"/>
        </w:tabs>
        <w:rPr>
          <w:rFonts w:cstheme="minorBidi"/>
          <w:noProof/>
          <w:lang w:val="fr-CA" w:eastAsia="fr-CA"/>
        </w:rPr>
      </w:pPr>
      <w:hyperlink w:anchor="_Toc443569414" w:history="1">
        <w:r w:rsidR="007D6B31" w:rsidRPr="009D1796">
          <w:rPr>
            <w:rStyle w:val="Titre3Car"/>
          </w:rPr>
          <w:t>4.5.2.</w:t>
        </w:r>
        <w:r w:rsidR="007D6B31" w:rsidRPr="009D1796">
          <w:rPr>
            <w:rStyle w:val="Titre3Car"/>
          </w:rPr>
          <w:tab/>
          <w:t>Les régimes selon les types de revenus de placement</w:t>
        </w:r>
        <w:r w:rsidR="007D6B31">
          <w:rPr>
            <w:noProof/>
            <w:webHidden/>
          </w:rPr>
          <w:tab/>
        </w:r>
        <w:r w:rsidR="007D6B31">
          <w:rPr>
            <w:noProof/>
            <w:webHidden/>
          </w:rPr>
          <w:fldChar w:fldCharType="begin"/>
        </w:r>
        <w:r w:rsidR="007D6B31">
          <w:rPr>
            <w:noProof/>
            <w:webHidden/>
          </w:rPr>
          <w:instrText xml:space="preserve"> PAGEREF _Toc443569414 \h </w:instrText>
        </w:r>
        <w:r w:rsidR="007D6B31">
          <w:rPr>
            <w:noProof/>
            <w:webHidden/>
          </w:rPr>
        </w:r>
        <w:r w:rsidR="007D6B31">
          <w:rPr>
            <w:noProof/>
            <w:webHidden/>
          </w:rPr>
          <w:fldChar w:fldCharType="separate"/>
        </w:r>
        <w:r w:rsidR="005A49EB">
          <w:rPr>
            <w:noProof/>
            <w:webHidden/>
          </w:rPr>
          <w:t>201</w:t>
        </w:r>
        <w:r w:rsidR="007D6B31">
          <w:rPr>
            <w:noProof/>
            <w:webHidden/>
          </w:rPr>
          <w:fldChar w:fldCharType="end"/>
        </w:r>
      </w:hyperlink>
    </w:p>
    <w:p w14:paraId="3B091C17" w14:textId="77777777" w:rsidR="007D6B31" w:rsidRDefault="00573C95">
      <w:pPr>
        <w:pStyle w:val="TM3"/>
        <w:tabs>
          <w:tab w:val="left" w:pos="1440"/>
          <w:tab w:val="right" w:leader="dot" w:pos="12996"/>
        </w:tabs>
        <w:rPr>
          <w:rFonts w:cstheme="minorBidi"/>
          <w:noProof/>
          <w:lang w:val="fr-CA" w:eastAsia="fr-CA"/>
        </w:rPr>
      </w:pPr>
      <w:hyperlink w:anchor="_Toc443569415" w:history="1">
        <w:r w:rsidR="007D6B31" w:rsidRPr="009D1796">
          <w:rPr>
            <w:rStyle w:val="Titre3Car"/>
          </w:rPr>
          <w:t>4.5.3.</w:t>
        </w:r>
        <w:r w:rsidR="007D6B31" w:rsidRPr="009D1796">
          <w:rPr>
            <w:rStyle w:val="Titre3Car"/>
          </w:rPr>
          <w:tab/>
          <w:t>L'imprévisible comportement des humains</w:t>
        </w:r>
        <w:r w:rsidR="007D6B31">
          <w:rPr>
            <w:noProof/>
            <w:webHidden/>
          </w:rPr>
          <w:tab/>
        </w:r>
        <w:r w:rsidR="007D6B31">
          <w:rPr>
            <w:noProof/>
            <w:webHidden/>
          </w:rPr>
          <w:fldChar w:fldCharType="begin"/>
        </w:r>
        <w:r w:rsidR="007D6B31">
          <w:rPr>
            <w:noProof/>
            <w:webHidden/>
          </w:rPr>
          <w:instrText xml:space="preserve"> PAGEREF _Toc443569415 \h </w:instrText>
        </w:r>
        <w:r w:rsidR="007D6B31">
          <w:rPr>
            <w:noProof/>
            <w:webHidden/>
          </w:rPr>
        </w:r>
        <w:r w:rsidR="007D6B31">
          <w:rPr>
            <w:noProof/>
            <w:webHidden/>
          </w:rPr>
          <w:fldChar w:fldCharType="separate"/>
        </w:r>
        <w:r w:rsidR="005A49EB">
          <w:rPr>
            <w:noProof/>
            <w:webHidden/>
          </w:rPr>
          <w:t>204</w:t>
        </w:r>
        <w:r w:rsidR="007D6B31">
          <w:rPr>
            <w:noProof/>
            <w:webHidden/>
          </w:rPr>
          <w:fldChar w:fldCharType="end"/>
        </w:r>
      </w:hyperlink>
    </w:p>
    <w:p w14:paraId="6787780B" w14:textId="77777777" w:rsidR="007D6B31" w:rsidRDefault="00573C95">
      <w:pPr>
        <w:pStyle w:val="TM1"/>
        <w:tabs>
          <w:tab w:val="left" w:pos="480"/>
          <w:tab w:val="right" w:leader="dot" w:pos="12996"/>
        </w:tabs>
        <w:rPr>
          <w:rFonts w:cstheme="minorBidi"/>
          <w:b w:val="0"/>
          <w:noProof/>
          <w:lang w:val="fr-CA" w:eastAsia="fr-CA"/>
        </w:rPr>
      </w:pPr>
      <w:hyperlink w:anchor="_Toc443569416" w:history="1">
        <w:r w:rsidR="007D6B31" w:rsidRPr="009D1796">
          <w:rPr>
            <w:rStyle w:val="Titre1Car"/>
            <w:noProof/>
          </w:rPr>
          <w:t>5.</w:t>
        </w:r>
        <w:r w:rsidR="007D6B31" w:rsidRPr="009D1796">
          <w:rPr>
            <w:rStyle w:val="Titre1Car"/>
            <w:noProof/>
          </w:rPr>
          <w:tab/>
          <w:t>La gestion de  la dette</w:t>
        </w:r>
        <w:r w:rsidR="007D6B31">
          <w:rPr>
            <w:noProof/>
            <w:webHidden/>
          </w:rPr>
          <w:tab/>
        </w:r>
        <w:r w:rsidR="007D6B31">
          <w:rPr>
            <w:noProof/>
            <w:webHidden/>
          </w:rPr>
          <w:fldChar w:fldCharType="begin"/>
        </w:r>
        <w:r w:rsidR="007D6B31">
          <w:rPr>
            <w:noProof/>
            <w:webHidden/>
          </w:rPr>
          <w:instrText xml:space="preserve"> PAGEREF _Toc443569416 \h </w:instrText>
        </w:r>
        <w:r w:rsidR="007D6B31">
          <w:rPr>
            <w:noProof/>
            <w:webHidden/>
          </w:rPr>
        </w:r>
        <w:r w:rsidR="007D6B31">
          <w:rPr>
            <w:noProof/>
            <w:webHidden/>
          </w:rPr>
          <w:fldChar w:fldCharType="separate"/>
        </w:r>
        <w:r w:rsidR="005A49EB">
          <w:rPr>
            <w:noProof/>
            <w:webHidden/>
          </w:rPr>
          <w:t>209</w:t>
        </w:r>
        <w:r w:rsidR="007D6B31">
          <w:rPr>
            <w:noProof/>
            <w:webHidden/>
          </w:rPr>
          <w:fldChar w:fldCharType="end"/>
        </w:r>
      </w:hyperlink>
    </w:p>
    <w:p w14:paraId="53152818" w14:textId="77777777" w:rsidR="007D6B31" w:rsidRDefault="00573C95">
      <w:pPr>
        <w:pStyle w:val="TM2"/>
        <w:tabs>
          <w:tab w:val="left" w:pos="960"/>
          <w:tab w:val="right" w:leader="dot" w:pos="12996"/>
        </w:tabs>
        <w:rPr>
          <w:rFonts w:cstheme="minorBidi"/>
          <w:i w:val="0"/>
          <w:noProof/>
          <w:lang w:val="fr-CA" w:eastAsia="fr-CA"/>
        </w:rPr>
      </w:pPr>
      <w:hyperlink w:anchor="_Toc443569417" w:history="1">
        <w:r w:rsidR="007D6B31" w:rsidRPr="009D1796">
          <w:rPr>
            <w:rStyle w:val="Titre2Car"/>
          </w:rPr>
          <w:t>5.1.</w:t>
        </w:r>
        <w:r w:rsidR="007D6B31" w:rsidRPr="009D1796">
          <w:rPr>
            <w:rStyle w:val="Titre2Car"/>
          </w:rPr>
          <w:tab/>
          <w:t>Les types de dettes</w:t>
        </w:r>
        <w:r w:rsidR="007D6B31">
          <w:rPr>
            <w:noProof/>
            <w:webHidden/>
          </w:rPr>
          <w:tab/>
        </w:r>
        <w:r w:rsidR="007D6B31">
          <w:rPr>
            <w:noProof/>
            <w:webHidden/>
          </w:rPr>
          <w:fldChar w:fldCharType="begin"/>
        </w:r>
        <w:r w:rsidR="007D6B31">
          <w:rPr>
            <w:noProof/>
            <w:webHidden/>
          </w:rPr>
          <w:instrText xml:space="preserve"> PAGEREF _Toc443569417 \h </w:instrText>
        </w:r>
        <w:r w:rsidR="007D6B31">
          <w:rPr>
            <w:noProof/>
            <w:webHidden/>
          </w:rPr>
        </w:r>
        <w:r w:rsidR="007D6B31">
          <w:rPr>
            <w:noProof/>
            <w:webHidden/>
          </w:rPr>
          <w:fldChar w:fldCharType="separate"/>
        </w:r>
        <w:r w:rsidR="005A49EB">
          <w:rPr>
            <w:noProof/>
            <w:webHidden/>
          </w:rPr>
          <w:t>210</w:t>
        </w:r>
        <w:r w:rsidR="007D6B31">
          <w:rPr>
            <w:noProof/>
            <w:webHidden/>
          </w:rPr>
          <w:fldChar w:fldCharType="end"/>
        </w:r>
      </w:hyperlink>
    </w:p>
    <w:p w14:paraId="6DB00259" w14:textId="77777777" w:rsidR="007D6B31" w:rsidRDefault="00573C95">
      <w:pPr>
        <w:pStyle w:val="TM3"/>
        <w:tabs>
          <w:tab w:val="left" w:pos="1440"/>
          <w:tab w:val="right" w:leader="dot" w:pos="12996"/>
        </w:tabs>
        <w:rPr>
          <w:rFonts w:cstheme="minorBidi"/>
          <w:noProof/>
          <w:lang w:val="fr-CA" w:eastAsia="fr-CA"/>
        </w:rPr>
      </w:pPr>
      <w:hyperlink w:anchor="_Toc443569418" w:history="1">
        <w:r w:rsidR="007D6B31" w:rsidRPr="009D1796">
          <w:rPr>
            <w:rStyle w:val="Titre3Car"/>
          </w:rPr>
          <w:t>5.1.1.</w:t>
        </w:r>
        <w:r w:rsidR="007D6B31" w:rsidRPr="009D1796">
          <w:rPr>
            <w:rStyle w:val="Titre3Car"/>
          </w:rPr>
          <w:tab/>
          <w:t>Les dettes</w:t>
        </w:r>
        <w:r w:rsidR="007D6B31">
          <w:rPr>
            <w:noProof/>
            <w:webHidden/>
          </w:rPr>
          <w:tab/>
        </w:r>
        <w:r w:rsidR="007D6B31">
          <w:rPr>
            <w:noProof/>
            <w:webHidden/>
          </w:rPr>
          <w:fldChar w:fldCharType="begin"/>
        </w:r>
        <w:r w:rsidR="007D6B31">
          <w:rPr>
            <w:noProof/>
            <w:webHidden/>
          </w:rPr>
          <w:instrText xml:space="preserve"> PAGEREF _Toc443569418 \h </w:instrText>
        </w:r>
        <w:r w:rsidR="007D6B31">
          <w:rPr>
            <w:noProof/>
            <w:webHidden/>
          </w:rPr>
        </w:r>
        <w:r w:rsidR="007D6B31">
          <w:rPr>
            <w:noProof/>
            <w:webHidden/>
          </w:rPr>
          <w:fldChar w:fldCharType="separate"/>
        </w:r>
        <w:r w:rsidR="005A49EB">
          <w:rPr>
            <w:noProof/>
            <w:webHidden/>
          </w:rPr>
          <w:t>210</w:t>
        </w:r>
        <w:r w:rsidR="007D6B31">
          <w:rPr>
            <w:noProof/>
            <w:webHidden/>
          </w:rPr>
          <w:fldChar w:fldCharType="end"/>
        </w:r>
      </w:hyperlink>
    </w:p>
    <w:p w14:paraId="1457042D" w14:textId="77777777" w:rsidR="007D6B31" w:rsidRDefault="00573C95">
      <w:pPr>
        <w:pStyle w:val="TM3"/>
        <w:tabs>
          <w:tab w:val="left" w:pos="1440"/>
          <w:tab w:val="right" w:leader="dot" w:pos="12996"/>
        </w:tabs>
        <w:rPr>
          <w:rFonts w:cstheme="minorBidi"/>
          <w:noProof/>
          <w:lang w:val="fr-CA" w:eastAsia="fr-CA"/>
        </w:rPr>
      </w:pPr>
      <w:hyperlink w:anchor="_Toc443569419" w:history="1">
        <w:r w:rsidR="007D6B31" w:rsidRPr="009D1796">
          <w:rPr>
            <w:rStyle w:val="Titre3Car"/>
          </w:rPr>
          <w:t>5.1.2.</w:t>
        </w:r>
        <w:r w:rsidR="007D6B31" w:rsidRPr="009D1796">
          <w:rPr>
            <w:rStyle w:val="Titre3Car"/>
          </w:rPr>
          <w:tab/>
          <w:t>Classification de la dette selon l'usage</w:t>
        </w:r>
        <w:r w:rsidR="007D6B31">
          <w:rPr>
            <w:noProof/>
            <w:webHidden/>
          </w:rPr>
          <w:tab/>
        </w:r>
        <w:r w:rsidR="007D6B31">
          <w:rPr>
            <w:noProof/>
            <w:webHidden/>
          </w:rPr>
          <w:fldChar w:fldCharType="begin"/>
        </w:r>
        <w:r w:rsidR="007D6B31">
          <w:rPr>
            <w:noProof/>
            <w:webHidden/>
          </w:rPr>
          <w:instrText xml:space="preserve"> PAGEREF _Toc443569419 \h </w:instrText>
        </w:r>
        <w:r w:rsidR="007D6B31">
          <w:rPr>
            <w:noProof/>
            <w:webHidden/>
          </w:rPr>
        </w:r>
        <w:r w:rsidR="007D6B31">
          <w:rPr>
            <w:noProof/>
            <w:webHidden/>
          </w:rPr>
          <w:fldChar w:fldCharType="separate"/>
        </w:r>
        <w:r w:rsidR="005A49EB">
          <w:rPr>
            <w:noProof/>
            <w:webHidden/>
          </w:rPr>
          <w:t>214</w:t>
        </w:r>
        <w:r w:rsidR="007D6B31">
          <w:rPr>
            <w:noProof/>
            <w:webHidden/>
          </w:rPr>
          <w:fldChar w:fldCharType="end"/>
        </w:r>
      </w:hyperlink>
    </w:p>
    <w:p w14:paraId="6947DEC7" w14:textId="77777777" w:rsidR="007D6B31" w:rsidRDefault="00573C95">
      <w:pPr>
        <w:pStyle w:val="TM3"/>
        <w:tabs>
          <w:tab w:val="left" w:pos="1440"/>
          <w:tab w:val="right" w:leader="dot" w:pos="12996"/>
        </w:tabs>
        <w:rPr>
          <w:rFonts w:cstheme="minorBidi"/>
          <w:noProof/>
          <w:lang w:val="fr-CA" w:eastAsia="fr-CA"/>
        </w:rPr>
      </w:pPr>
      <w:hyperlink w:anchor="_Toc443569420" w:history="1">
        <w:r w:rsidR="007D6B31" w:rsidRPr="009D1796">
          <w:rPr>
            <w:rStyle w:val="Titre3Car"/>
          </w:rPr>
          <w:t>5.1.3.</w:t>
        </w:r>
        <w:r w:rsidR="007D6B31" w:rsidRPr="009D1796">
          <w:rPr>
            <w:rStyle w:val="Titre3Car"/>
          </w:rPr>
          <w:tab/>
          <w:t>La capacité d'emprunt</w:t>
        </w:r>
        <w:r w:rsidR="007D6B31">
          <w:rPr>
            <w:noProof/>
            <w:webHidden/>
          </w:rPr>
          <w:tab/>
        </w:r>
        <w:r w:rsidR="007D6B31">
          <w:rPr>
            <w:noProof/>
            <w:webHidden/>
          </w:rPr>
          <w:fldChar w:fldCharType="begin"/>
        </w:r>
        <w:r w:rsidR="007D6B31">
          <w:rPr>
            <w:noProof/>
            <w:webHidden/>
          </w:rPr>
          <w:instrText xml:space="preserve"> PAGEREF _Toc443569420 \h </w:instrText>
        </w:r>
        <w:r w:rsidR="007D6B31">
          <w:rPr>
            <w:noProof/>
            <w:webHidden/>
          </w:rPr>
        </w:r>
        <w:r w:rsidR="007D6B31">
          <w:rPr>
            <w:noProof/>
            <w:webHidden/>
          </w:rPr>
          <w:fldChar w:fldCharType="separate"/>
        </w:r>
        <w:r w:rsidR="005A49EB">
          <w:rPr>
            <w:noProof/>
            <w:webHidden/>
          </w:rPr>
          <w:t>235</w:t>
        </w:r>
        <w:r w:rsidR="007D6B31">
          <w:rPr>
            <w:noProof/>
            <w:webHidden/>
          </w:rPr>
          <w:fldChar w:fldCharType="end"/>
        </w:r>
      </w:hyperlink>
    </w:p>
    <w:p w14:paraId="053A6D7C" w14:textId="77777777" w:rsidR="007D6B31" w:rsidRDefault="00573C95">
      <w:pPr>
        <w:pStyle w:val="TM4"/>
        <w:tabs>
          <w:tab w:val="left" w:pos="1680"/>
          <w:tab w:val="right" w:leader="dot" w:pos="12996"/>
        </w:tabs>
        <w:rPr>
          <w:rFonts w:cstheme="minorBidi"/>
          <w:noProof/>
          <w:sz w:val="22"/>
          <w:szCs w:val="22"/>
          <w:lang w:val="fr-CA" w:eastAsia="fr-CA"/>
        </w:rPr>
      </w:pPr>
      <w:hyperlink w:anchor="_Toc443569421" w:history="1">
        <w:r w:rsidR="007D6B31" w:rsidRPr="00617398">
          <w:rPr>
            <w:rStyle w:val="Titre4Car"/>
          </w:rPr>
          <w:t>5.1.3.1.</w:t>
        </w:r>
        <w:r w:rsidR="007D6B31" w:rsidRPr="00617398">
          <w:rPr>
            <w:rStyle w:val="Titre4Car"/>
          </w:rPr>
          <w:tab/>
          <w:t>Les critères qualitatifs</w:t>
        </w:r>
        <w:r w:rsidR="007D6B31">
          <w:rPr>
            <w:noProof/>
            <w:webHidden/>
          </w:rPr>
          <w:tab/>
        </w:r>
        <w:r w:rsidR="007D6B31">
          <w:rPr>
            <w:noProof/>
            <w:webHidden/>
          </w:rPr>
          <w:fldChar w:fldCharType="begin"/>
        </w:r>
        <w:r w:rsidR="007D6B31">
          <w:rPr>
            <w:noProof/>
            <w:webHidden/>
          </w:rPr>
          <w:instrText xml:space="preserve"> PAGEREF _Toc443569421 \h </w:instrText>
        </w:r>
        <w:r w:rsidR="007D6B31">
          <w:rPr>
            <w:noProof/>
            <w:webHidden/>
          </w:rPr>
        </w:r>
        <w:r w:rsidR="007D6B31">
          <w:rPr>
            <w:noProof/>
            <w:webHidden/>
          </w:rPr>
          <w:fldChar w:fldCharType="separate"/>
        </w:r>
        <w:r w:rsidR="005A49EB">
          <w:rPr>
            <w:noProof/>
            <w:webHidden/>
          </w:rPr>
          <w:t>237</w:t>
        </w:r>
        <w:r w:rsidR="007D6B31">
          <w:rPr>
            <w:noProof/>
            <w:webHidden/>
          </w:rPr>
          <w:fldChar w:fldCharType="end"/>
        </w:r>
      </w:hyperlink>
    </w:p>
    <w:p w14:paraId="2D86E4D2" w14:textId="77777777" w:rsidR="007D6B31" w:rsidRDefault="00573C95">
      <w:pPr>
        <w:pStyle w:val="TM4"/>
        <w:tabs>
          <w:tab w:val="left" w:pos="1680"/>
          <w:tab w:val="right" w:leader="dot" w:pos="12996"/>
        </w:tabs>
        <w:rPr>
          <w:rFonts w:cstheme="minorBidi"/>
          <w:noProof/>
          <w:sz w:val="22"/>
          <w:szCs w:val="22"/>
          <w:lang w:val="fr-CA" w:eastAsia="fr-CA"/>
        </w:rPr>
      </w:pPr>
      <w:hyperlink w:anchor="_Toc443569422" w:history="1">
        <w:r w:rsidR="007D6B31" w:rsidRPr="00617398">
          <w:rPr>
            <w:rStyle w:val="Titre4Car"/>
          </w:rPr>
          <w:t>5.1.3.2.</w:t>
        </w:r>
        <w:r w:rsidR="007D6B31" w:rsidRPr="00617398">
          <w:rPr>
            <w:rStyle w:val="Titre4Car"/>
          </w:rPr>
          <w:tab/>
          <w:t>Les ratios d'endettement</w:t>
        </w:r>
        <w:r w:rsidR="007D6B31">
          <w:rPr>
            <w:noProof/>
            <w:webHidden/>
          </w:rPr>
          <w:tab/>
        </w:r>
        <w:r w:rsidR="007D6B31">
          <w:rPr>
            <w:noProof/>
            <w:webHidden/>
          </w:rPr>
          <w:fldChar w:fldCharType="begin"/>
        </w:r>
        <w:r w:rsidR="007D6B31">
          <w:rPr>
            <w:noProof/>
            <w:webHidden/>
          </w:rPr>
          <w:instrText xml:space="preserve"> PAGEREF _Toc443569422 \h </w:instrText>
        </w:r>
        <w:r w:rsidR="007D6B31">
          <w:rPr>
            <w:noProof/>
            <w:webHidden/>
          </w:rPr>
        </w:r>
        <w:r w:rsidR="007D6B31">
          <w:rPr>
            <w:noProof/>
            <w:webHidden/>
          </w:rPr>
          <w:fldChar w:fldCharType="separate"/>
        </w:r>
        <w:r w:rsidR="005A49EB">
          <w:rPr>
            <w:noProof/>
            <w:webHidden/>
          </w:rPr>
          <w:t>239</w:t>
        </w:r>
        <w:r w:rsidR="007D6B31">
          <w:rPr>
            <w:noProof/>
            <w:webHidden/>
          </w:rPr>
          <w:fldChar w:fldCharType="end"/>
        </w:r>
      </w:hyperlink>
    </w:p>
    <w:p w14:paraId="2B051DAA" w14:textId="77777777" w:rsidR="007D6B31" w:rsidRDefault="00573C95">
      <w:pPr>
        <w:pStyle w:val="TM4"/>
        <w:tabs>
          <w:tab w:val="left" w:pos="1680"/>
          <w:tab w:val="right" w:leader="dot" w:pos="12996"/>
        </w:tabs>
        <w:rPr>
          <w:rFonts w:cstheme="minorBidi"/>
          <w:noProof/>
          <w:sz w:val="22"/>
          <w:szCs w:val="22"/>
          <w:lang w:val="fr-CA" w:eastAsia="fr-CA"/>
        </w:rPr>
      </w:pPr>
      <w:hyperlink w:anchor="_Toc443569423" w:history="1">
        <w:r w:rsidR="007D6B31" w:rsidRPr="00617398">
          <w:rPr>
            <w:rStyle w:val="Titre4Car"/>
          </w:rPr>
          <w:t>5.1.3.3.</w:t>
        </w:r>
        <w:r w:rsidR="007D6B31" w:rsidRPr="00617398">
          <w:rPr>
            <w:rStyle w:val="Titre4Car"/>
          </w:rPr>
          <w:tab/>
          <w:t>Le dossier de crédit</w:t>
        </w:r>
        <w:r w:rsidR="007D6B31">
          <w:rPr>
            <w:noProof/>
            <w:webHidden/>
          </w:rPr>
          <w:tab/>
        </w:r>
        <w:r w:rsidR="007D6B31">
          <w:rPr>
            <w:noProof/>
            <w:webHidden/>
          </w:rPr>
          <w:fldChar w:fldCharType="begin"/>
        </w:r>
        <w:r w:rsidR="007D6B31">
          <w:rPr>
            <w:noProof/>
            <w:webHidden/>
          </w:rPr>
          <w:instrText xml:space="preserve"> PAGEREF _Toc443569423 \h </w:instrText>
        </w:r>
        <w:r w:rsidR="007D6B31">
          <w:rPr>
            <w:noProof/>
            <w:webHidden/>
          </w:rPr>
        </w:r>
        <w:r w:rsidR="007D6B31">
          <w:rPr>
            <w:noProof/>
            <w:webHidden/>
          </w:rPr>
          <w:fldChar w:fldCharType="separate"/>
        </w:r>
        <w:r w:rsidR="005A49EB">
          <w:rPr>
            <w:noProof/>
            <w:webHidden/>
          </w:rPr>
          <w:t>241</w:t>
        </w:r>
        <w:r w:rsidR="007D6B31">
          <w:rPr>
            <w:noProof/>
            <w:webHidden/>
          </w:rPr>
          <w:fldChar w:fldCharType="end"/>
        </w:r>
      </w:hyperlink>
    </w:p>
    <w:p w14:paraId="7E4FC045" w14:textId="77777777" w:rsidR="007D6B31" w:rsidRDefault="00573C95">
      <w:pPr>
        <w:pStyle w:val="TM2"/>
        <w:tabs>
          <w:tab w:val="left" w:pos="960"/>
          <w:tab w:val="right" w:leader="dot" w:pos="12996"/>
        </w:tabs>
        <w:rPr>
          <w:rFonts w:cstheme="minorBidi"/>
          <w:i w:val="0"/>
          <w:noProof/>
          <w:lang w:val="fr-CA" w:eastAsia="fr-CA"/>
        </w:rPr>
      </w:pPr>
      <w:hyperlink w:anchor="_Toc443569424" w:history="1">
        <w:r w:rsidR="007D6B31" w:rsidRPr="009D1796">
          <w:rPr>
            <w:rStyle w:val="Titre2Car"/>
          </w:rPr>
          <w:t>5.2.</w:t>
        </w:r>
        <w:r w:rsidR="007D6B31" w:rsidRPr="009D1796">
          <w:rPr>
            <w:rStyle w:val="Titre2Car"/>
          </w:rPr>
          <w:tab/>
          <w:t>La gestion des dettes – une question financière et comportementale</w:t>
        </w:r>
        <w:r w:rsidR="007D6B31">
          <w:rPr>
            <w:noProof/>
            <w:webHidden/>
          </w:rPr>
          <w:tab/>
        </w:r>
        <w:r w:rsidR="007D6B31">
          <w:rPr>
            <w:noProof/>
            <w:webHidden/>
          </w:rPr>
          <w:fldChar w:fldCharType="begin"/>
        </w:r>
        <w:r w:rsidR="007D6B31">
          <w:rPr>
            <w:noProof/>
            <w:webHidden/>
          </w:rPr>
          <w:instrText xml:space="preserve"> PAGEREF _Toc443569424 \h </w:instrText>
        </w:r>
        <w:r w:rsidR="007D6B31">
          <w:rPr>
            <w:noProof/>
            <w:webHidden/>
          </w:rPr>
        </w:r>
        <w:r w:rsidR="007D6B31">
          <w:rPr>
            <w:noProof/>
            <w:webHidden/>
          </w:rPr>
          <w:fldChar w:fldCharType="separate"/>
        </w:r>
        <w:r w:rsidR="005A49EB">
          <w:rPr>
            <w:noProof/>
            <w:webHidden/>
          </w:rPr>
          <w:t>243</w:t>
        </w:r>
        <w:r w:rsidR="007D6B31">
          <w:rPr>
            <w:noProof/>
            <w:webHidden/>
          </w:rPr>
          <w:fldChar w:fldCharType="end"/>
        </w:r>
      </w:hyperlink>
    </w:p>
    <w:p w14:paraId="54901C23" w14:textId="77777777" w:rsidR="007D6B31" w:rsidRDefault="00573C95">
      <w:pPr>
        <w:pStyle w:val="TM3"/>
        <w:tabs>
          <w:tab w:val="left" w:pos="1440"/>
          <w:tab w:val="right" w:leader="dot" w:pos="12996"/>
        </w:tabs>
        <w:rPr>
          <w:rFonts w:cstheme="minorBidi"/>
          <w:noProof/>
          <w:lang w:val="fr-CA" w:eastAsia="fr-CA"/>
        </w:rPr>
      </w:pPr>
      <w:hyperlink w:anchor="_Toc443569425" w:history="1">
        <w:r w:rsidR="007D6B31" w:rsidRPr="009D1796">
          <w:rPr>
            <w:rStyle w:val="Titre3Car"/>
          </w:rPr>
          <w:t>5.2.1.</w:t>
        </w:r>
        <w:r w:rsidR="007D6B31" w:rsidRPr="009D1796">
          <w:rPr>
            <w:rStyle w:val="Titre3Car"/>
          </w:rPr>
          <w:tab/>
          <w:t>Marge de crédit hypothécaire et consolidation de dettes</w:t>
        </w:r>
        <w:r w:rsidR="007D6B31">
          <w:rPr>
            <w:noProof/>
            <w:webHidden/>
          </w:rPr>
          <w:tab/>
        </w:r>
        <w:r w:rsidR="007D6B31">
          <w:rPr>
            <w:noProof/>
            <w:webHidden/>
          </w:rPr>
          <w:fldChar w:fldCharType="begin"/>
        </w:r>
        <w:r w:rsidR="007D6B31">
          <w:rPr>
            <w:noProof/>
            <w:webHidden/>
          </w:rPr>
          <w:instrText xml:space="preserve"> PAGEREF _Toc443569425 \h </w:instrText>
        </w:r>
        <w:r w:rsidR="007D6B31">
          <w:rPr>
            <w:noProof/>
            <w:webHidden/>
          </w:rPr>
        </w:r>
        <w:r w:rsidR="007D6B31">
          <w:rPr>
            <w:noProof/>
            <w:webHidden/>
          </w:rPr>
          <w:fldChar w:fldCharType="separate"/>
        </w:r>
        <w:r w:rsidR="005A49EB">
          <w:rPr>
            <w:noProof/>
            <w:webHidden/>
          </w:rPr>
          <w:t>245</w:t>
        </w:r>
        <w:r w:rsidR="007D6B31">
          <w:rPr>
            <w:noProof/>
            <w:webHidden/>
          </w:rPr>
          <w:fldChar w:fldCharType="end"/>
        </w:r>
      </w:hyperlink>
    </w:p>
    <w:p w14:paraId="37945B55" w14:textId="7BAB0CC8" w:rsidR="007D6B31" w:rsidRDefault="00573C95">
      <w:pPr>
        <w:pStyle w:val="TM3"/>
        <w:tabs>
          <w:tab w:val="left" w:pos="1440"/>
          <w:tab w:val="right" w:leader="dot" w:pos="12996"/>
        </w:tabs>
        <w:rPr>
          <w:rFonts w:cstheme="minorBidi"/>
          <w:noProof/>
          <w:lang w:val="fr-CA" w:eastAsia="fr-CA"/>
        </w:rPr>
      </w:pPr>
      <w:hyperlink w:anchor="_Toc443569426" w:history="1">
        <w:r w:rsidR="007D6B31" w:rsidRPr="009D1796">
          <w:rPr>
            <w:rStyle w:val="Titre3Car"/>
          </w:rPr>
          <w:t>5.2.2.</w:t>
        </w:r>
        <w:r w:rsidR="007D6B31" w:rsidRPr="009D1796">
          <w:rPr>
            <w:rStyle w:val="Titre3Car"/>
          </w:rPr>
          <w:tab/>
          <w:t>Le coût du financement</w:t>
        </w:r>
        <w:r w:rsidR="007D6B31">
          <w:rPr>
            <w:noProof/>
            <w:webHidden/>
          </w:rPr>
          <w:tab/>
        </w:r>
        <w:r w:rsidR="007D6B31">
          <w:rPr>
            <w:noProof/>
            <w:webHidden/>
          </w:rPr>
          <w:fldChar w:fldCharType="begin"/>
        </w:r>
        <w:r w:rsidR="007D6B31">
          <w:rPr>
            <w:noProof/>
            <w:webHidden/>
          </w:rPr>
          <w:instrText xml:space="preserve"> PAGEREF _Toc443569426 \h </w:instrText>
        </w:r>
        <w:r w:rsidR="007D6B31">
          <w:rPr>
            <w:noProof/>
            <w:webHidden/>
          </w:rPr>
        </w:r>
        <w:r w:rsidR="007D6B31">
          <w:rPr>
            <w:noProof/>
            <w:webHidden/>
          </w:rPr>
          <w:fldChar w:fldCharType="separate"/>
        </w:r>
        <w:r w:rsidR="005A49EB">
          <w:rPr>
            <w:noProof/>
            <w:webHidden/>
          </w:rPr>
          <w:t>252</w:t>
        </w:r>
        <w:r w:rsidR="007D6B31">
          <w:rPr>
            <w:noProof/>
            <w:webHidden/>
          </w:rPr>
          <w:fldChar w:fldCharType="end"/>
        </w:r>
      </w:hyperlink>
    </w:p>
    <w:p w14:paraId="5180A5F1" w14:textId="77777777" w:rsidR="007D6B31" w:rsidRDefault="00573C95">
      <w:pPr>
        <w:pStyle w:val="TM3"/>
        <w:tabs>
          <w:tab w:val="left" w:pos="1440"/>
          <w:tab w:val="right" w:leader="dot" w:pos="12996"/>
        </w:tabs>
        <w:rPr>
          <w:rFonts w:cstheme="minorBidi"/>
          <w:noProof/>
          <w:lang w:val="fr-CA" w:eastAsia="fr-CA"/>
        </w:rPr>
      </w:pPr>
      <w:hyperlink w:anchor="_Toc443569427" w:history="1">
        <w:r w:rsidR="007D6B31" w:rsidRPr="009D1796">
          <w:rPr>
            <w:rStyle w:val="Titre3Car"/>
          </w:rPr>
          <w:t>5.2.3.</w:t>
        </w:r>
        <w:r w:rsidR="007D6B31" w:rsidRPr="009D1796">
          <w:rPr>
            <w:rStyle w:val="Titre3Car"/>
          </w:rPr>
          <w:tab/>
          <w:t>Capacité d'emprunt</w:t>
        </w:r>
        <w:r w:rsidR="007D6B31">
          <w:rPr>
            <w:noProof/>
            <w:webHidden/>
          </w:rPr>
          <w:tab/>
        </w:r>
        <w:r w:rsidR="007D6B31">
          <w:rPr>
            <w:noProof/>
            <w:webHidden/>
          </w:rPr>
          <w:fldChar w:fldCharType="begin"/>
        </w:r>
        <w:r w:rsidR="007D6B31">
          <w:rPr>
            <w:noProof/>
            <w:webHidden/>
          </w:rPr>
          <w:instrText xml:space="preserve"> PAGEREF _Toc443569427 \h </w:instrText>
        </w:r>
        <w:r w:rsidR="007D6B31">
          <w:rPr>
            <w:noProof/>
            <w:webHidden/>
          </w:rPr>
        </w:r>
        <w:r w:rsidR="007D6B31">
          <w:rPr>
            <w:noProof/>
            <w:webHidden/>
          </w:rPr>
          <w:fldChar w:fldCharType="separate"/>
        </w:r>
        <w:r w:rsidR="005A49EB">
          <w:rPr>
            <w:noProof/>
            <w:webHidden/>
          </w:rPr>
          <w:t>260</w:t>
        </w:r>
        <w:r w:rsidR="007D6B31">
          <w:rPr>
            <w:noProof/>
            <w:webHidden/>
          </w:rPr>
          <w:fldChar w:fldCharType="end"/>
        </w:r>
      </w:hyperlink>
    </w:p>
    <w:p w14:paraId="4F6AF521" w14:textId="77777777" w:rsidR="007D6B31" w:rsidRDefault="00573C95">
      <w:pPr>
        <w:pStyle w:val="TM2"/>
        <w:tabs>
          <w:tab w:val="left" w:pos="960"/>
          <w:tab w:val="right" w:leader="dot" w:pos="12996"/>
        </w:tabs>
        <w:rPr>
          <w:rFonts w:cstheme="minorBidi"/>
          <w:i w:val="0"/>
          <w:noProof/>
          <w:lang w:val="fr-CA" w:eastAsia="fr-CA"/>
        </w:rPr>
      </w:pPr>
      <w:hyperlink w:anchor="_Toc443569428" w:history="1">
        <w:r w:rsidR="007D6B31" w:rsidRPr="009D1796">
          <w:rPr>
            <w:rStyle w:val="Titre2Car"/>
          </w:rPr>
          <w:t>5.3.</w:t>
        </w:r>
        <w:r w:rsidR="007D6B31" w:rsidRPr="009D1796">
          <w:rPr>
            <w:rStyle w:val="Titre2Car"/>
          </w:rPr>
          <w:tab/>
          <w:t>Optimisation</w:t>
        </w:r>
        <w:r w:rsidR="007D6B31">
          <w:rPr>
            <w:noProof/>
            <w:webHidden/>
          </w:rPr>
          <w:tab/>
        </w:r>
        <w:r w:rsidR="007D6B31">
          <w:rPr>
            <w:noProof/>
            <w:webHidden/>
          </w:rPr>
          <w:fldChar w:fldCharType="begin"/>
        </w:r>
        <w:r w:rsidR="007D6B31">
          <w:rPr>
            <w:noProof/>
            <w:webHidden/>
          </w:rPr>
          <w:instrText xml:space="preserve"> PAGEREF _Toc443569428 \h </w:instrText>
        </w:r>
        <w:r w:rsidR="007D6B31">
          <w:rPr>
            <w:noProof/>
            <w:webHidden/>
          </w:rPr>
        </w:r>
        <w:r w:rsidR="007D6B31">
          <w:rPr>
            <w:noProof/>
            <w:webHidden/>
          </w:rPr>
          <w:fldChar w:fldCharType="separate"/>
        </w:r>
        <w:r w:rsidR="005A49EB">
          <w:rPr>
            <w:noProof/>
            <w:webHidden/>
          </w:rPr>
          <w:t>260</w:t>
        </w:r>
        <w:r w:rsidR="007D6B31">
          <w:rPr>
            <w:noProof/>
            <w:webHidden/>
          </w:rPr>
          <w:fldChar w:fldCharType="end"/>
        </w:r>
      </w:hyperlink>
    </w:p>
    <w:p w14:paraId="554AC003" w14:textId="77777777" w:rsidR="007D6B31" w:rsidRDefault="00573C95">
      <w:pPr>
        <w:pStyle w:val="TM3"/>
        <w:tabs>
          <w:tab w:val="left" w:pos="1440"/>
          <w:tab w:val="right" w:leader="dot" w:pos="12996"/>
        </w:tabs>
        <w:rPr>
          <w:rFonts w:cstheme="minorBidi"/>
          <w:noProof/>
          <w:lang w:val="fr-CA" w:eastAsia="fr-CA"/>
        </w:rPr>
      </w:pPr>
      <w:hyperlink w:anchor="_Toc443569429" w:history="1">
        <w:r w:rsidR="007D6B31" w:rsidRPr="009D1796">
          <w:rPr>
            <w:rStyle w:val="Titre3Car"/>
          </w:rPr>
          <w:t>5.3.1.</w:t>
        </w:r>
        <w:r w:rsidR="007D6B31" w:rsidRPr="009D1796">
          <w:rPr>
            <w:rStyle w:val="Titre3Car"/>
          </w:rPr>
          <w:tab/>
          <w:t>Placements ou dettes, c'est une question de taux!</w:t>
        </w:r>
        <w:r w:rsidR="007D6B31">
          <w:rPr>
            <w:noProof/>
            <w:webHidden/>
          </w:rPr>
          <w:tab/>
        </w:r>
        <w:r w:rsidR="007D6B31">
          <w:rPr>
            <w:noProof/>
            <w:webHidden/>
          </w:rPr>
          <w:fldChar w:fldCharType="begin"/>
        </w:r>
        <w:r w:rsidR="007D6B31">
          <w:rPr>
            <w:noProof/>
            <w:webHidden/>
          </w:rPr>
          <w:instrText xml:space="preserve"> PAGEREF _Toc443569429 \h </w:instrText>
        </w:r>
        <w:r w:rsidR="007D6B31">
          <w:rPr>
            <w:noProof/>
            <w:webHidden/>
          </w:rPr>
        </w:r>
        <w:r w:rsidR="007D6B31">
          <w:rPr>
            <w:noProof/>
            <w:webHidden/>
          </w:rPr>
          <w:fldChar w:fldCharType="separate"/>
        </w:r>
        <w:r w:rsidR="005A49EB">
          <w:rPr>
            <w:noProof/>
            <w:webHidden/>
          </w:rPr>
          <w:t>261</w:t>
        </w:r>
        <w:r w:rsidR="007D6B31">
          <w:rPr>
            <w:noProof/>
            <w:webHidden/>
          </w:rPr>
          <w:fldChar w:fldCharType="end"/>
        </w:r>
      </w:hyperlink>
    </w:p>
    <w:p w14:paraId="2FB528CE" w14:textId="77777777" w:rsidR="007D6B31" w:rsidRDefault="00573C95">
      <w:pPr>
        <w:pStyle w:val="TM3"/>
        <w:tabs>
          <w:tab w:val="left" w:pos="1440"/>
          <w:tab w:val="right" w:leader="dot" w:pos="12996"/>
        </w:tabs>
        <w:rPr>
          <w:rFonts w:cstheme="minorBidi"/>
          <w:noProof/>
          <w:lang w:val="fr-CA" w:eastAsia="fr-CA"/>
        </w:rPr>
      </w:pPr>
      <w:hyperlink w:anchor="_Toc443569430" w:history="1">
        <w:r w:rsidR="007D6B31" w:rsidRPr="009D1796">
          <w:rPr>
            <w:rStyle w:val="Titre3Car"/>
          </w:rPr>
          <w:t>5.3.2.</w:t>
        </w:r>
        <w:r w:rsidR="007D6B31" w:rsidRPr="009D1796">
          <w:rPr>
            <w:rStyle w:val="Titre3Car"/>
          </w:rPr>
          <w:tab/>
          <w:t>Le prêt étudiant et la mise à part de l'argent</w:t>
        </w:r>
        <w:r w:rsidR="007D6B31">
          <w:rPr>
            <w:noProof/>
            <w:webHidden/>
          </w:rPr>
          <w:tab/>
        </w:r>
        <w:r w:rsidR="007D6B31">
          <w:rPr>
            <w:noProof/>
            <w:webHidden/>
          </w:rPr>
          <w:fldChar w:fldCharType="begin"/>
        </w:r>
        <w:r w:rsidR="007D6B31">
          <w:rPr>
            <w:noProof/>
            <w:webHidden/>
          </w:rPr>
          <w:instrText xml:space="preserve"> PAGEREF _Toc443569430 \h </w:instrText>
        </w:r>
        <w:r w:rsidR="007D6B31">
          <w:rPr>
            <w:noProof/>
            <w:webHidden/>
          </w:rPr>
        </w:r>
        <w:r w:rsidR="007D6B31">
          <w:rPr>
            <w:noProof/>
            <w:webHidden/>
          </w:rPr>
          <w:fldChar w:fldCharType="separate"/>
        </w:r>
        <w:r w:rsidR="005A49EB">
          <w:rPr>
            <w:noProof/>
            <w:webHidden/>
          </w:rPr>
          <w:t>267</w:t>
        </w:r>
        <w:r w:rsidR="007D6B31">
          <w:rPr>
            <w:noProof/>
            <w:webHidden/>
          </w:rPr>
          <w:fldChar w:fldCharType="end"/>
        </w:r>
      </w:hyperlink>
    </w:p>
    <w:p w14:paraId="53EB2806" w14:textId="77777777" w:rsidR="007D6B31" w:rsidRDefault="00573C95">
      <w:pPr>
        <w:pStyle w:val="TM3"/>
        <w:tabs>
          <w:tab w:val="left" w:pos="1440"/>
          <w:tab w:val="right" w:leader="dot" w:pos="12996"/>
        </w:tabs>
        <w:rPr>
          <w:rFonts w:cstheme="minorBidi"/>
          <w:noProof/>
          <w:lang w:val="fr-CA" w:eastAsia="fr-CA"/>
        </w:rPr>
      </w:pPr>
      <w:hyperlink w:anchor="_Toc443569431" w:history="1">
        <w:r w:rsidR="007D6B31" w:rsidRPr="009D1796">
          <w:rPr>
            <w:rStyle w:val="Titre3Car"/>
          </w:rPr>
          <w:t>5.3.3.</w:t>
        </w:r>
        <w:r w:rsidR="007D6B31" w:rsidRPr="009D1796">
          <w:rPr>
            <w:rStyle w:val="Titre3Car"/>
          </w:rPr>
          <w:tab/>
          <w:t>Pour en finir avec le duel du REÉR et du remboursement de l'hypothèque</w:t>
        </w:r>
        <w:r w:rsidR="007D6B31">
          <w:rPr>
            <w:noProof/>
            <w:webHidden/>
          </w:rPr>
          <w:tab/>
        </w:r>
        <w:r w:rsidR="007D6B31">
          <w:rPr>
            <w:noProof/>
            <w:webHidden/>
          </w:rPr>
          <w:fldChar w:fldCharType="begin"/>
        </w:r>
        <w:r w:rsidR="007D6B31">
          <w:rPr>
            <w:noProof/>
            <w:webHidden/>
          </w:rPr>
          <w:instrText xml:space="preserve"> PAGEREF _Toc443569431 \h </w:instrText>
        </w:r>
        <w:r w:rsidR="007D6B31">
          <w:rPr>
            <w:noProof/>
            <w:webHidden/>
          </w:rPr>
        </w:r>
        <w:r w:rsidR="007D6B31">
          <w:rPr>
            <w:noProof/>
            <w:webHidden/>
          </w:rPr>
          <w:fldChar w:fldCharType="separate"/>
        </w:r>
        <w:r w:rsidR="005A49EB">
          <w:rPr>
            <w:noProof/>
            <w:webHidden/>
          </w:rPr>
          <w:t>270</w:t>
        </w:r>
        <w:r w:rsidR="007D6B31">
          <w:rPr>
            <w:noProof/>
            <w:webHidden/>
          </w:rPr>
          <w:fldChar w:fldCharType="end"/>
        </w:r>
      </w:hyperlink>
    </w:p>
    <w:p w14:paraId="7F6B4910" w14:textId="77777777" w:rsidR="007D6B31" w:rsidRDefault="00573C95">
      <w:pPr>
        <w:pStyle w:val="TM1"/>
        <w:tabs>
          <w:tab w:val="left" w:pos="480"/>
          <w:tab w:val="right" w:leader="dot" w:pos="12996"/>
        </w:tabs>
        <w:rPr>
          <w:rFonts w:cstheme="minorBidi"/>
          <w:b w:val="0"/>
          <w:noProof/>
          <w:lang w:val="fr-CA" w:eastAsia="fr-CA"/>
        </w:rPr>
      </w:pPr>
      <w:hyperlink w:anchor="_Toc443569432" w:history="1">
        <w:r w:rsidR="007D6B31" w:rsidRPr="009D1796">
          <w:rPr>
            <w:rStyle w:val="Titre1Car"/>
            <w:noProof/>
          </w:rPr>
          <w:t>6.</w:t>
        </w:r>
        <w:r w:rsidR="007D6B31" w:rsidRPr="009D1796">
          <w:rPr>
            <w:rStyle w:val="Titre1Car"/>
            <w:noProof/>
          </w:rPr>
          <w:tab/>
          <w:t>Placements, rendements et risques</w:t>
        </w:r>
        <w:r w:rsidR="007D6B31">
          <w:rPr>
            <w:noProof/>
            <w:webHidden/>
          </w:rPr>
          <w:tab/>
        </w:r>
        <w:r w:rsidR="007D6B31">
          <w:rPr>
            <w:noProof/>
            <w:webHidden/>
          </w:rPr>
          <w:fldChar w:fldCharType="begin"/>
        </w:r>
        <w:r w:rsidR="007D6B31">
          <w:rPr>
            <w:noProof/>
            <w:webHidden/>
          </w:rPr>
          <w:instrText xml:space="preserve"> PAGEREF _Toc443569432 \h </w:instrText>
        </w:r>
        <w:r w:rsidR="007D6B31">
          <w:rPr>
            <w:noProof/>
            <w:webHidden/>
          </w:rPr>
        </w:r>
        <w:r w:rsidR="007D6B31">
          <w:rPr>
            <w:noProof/>
            <w:webHidden/>
          </w:rPr>
          <w:fldChar w:fldCharType="separate"/>
        </w:r>
        <w:r w:rsidR="005A49EB">
          <w:rPr>
            <w:noProof/>
            <w:webHidden/>
          </w:rPr>
          <w:t>272</w:t>
        </w:r>
        <w:r w:rsidR="007D6B31">
          <w:rPr>
            <w:noProof/>
            <w:webHidden/>
          </w:rPr>
          <w:fldChar w:fldCharType="end"/>
        </w:r>
      </w:hyperlink>
    </w:p>
    <w:p w14:paraId="51DEF7AD" w14:textId="77777777" w:rsidR="007D6B31" w:rsidRDefault="00573C95">
      <w:pPr>
        <w:pStyle w:val="TM2"/>
        <w:tabs>
          <w:tab w:val="left" w:pos="960"/>
          <w:tab w:val="right" w:leader="dot" w:pos="12996"/>
        </w:tabs>
        <w:rPr>
          <w:rFonts w:cstheme="minorBidi"/>
          <w:i w:val="0"/>
          <w:noProof/>
          <w:lang w:val="fr-CA" w:eastAsia="fr-CA"/>
        </w:rPr>
      </w:pPr>
      <w:hyperlink w:anchor="_Toc443569433" w:history="1">
        <w:r w:rsidR="007D6B31" w:rsidRPr="009D1796">
          <w:rPr>
            <w:rStyle w:val="Titre2Car"/>
          </w:rPr>
          <w:t>6.1.</w:t>
        </w:r>
        <w:r w:rsidR="007D6B31" w:rsidRPr="009D1796">
          <w:rPr>
            <w:rStyle w:val="Titre2Car"/>
          </w:rPr>
          <w:tab/>
          <w:t>Profil de l'investisseur</w:t>
        </w:r>
        <w:r w:rsidR="007D6B31">
          <w:rPr>
            <w:noProof/>
            <w:webHidden/>
          </w:rPr>
          <w:tab/>
        </w:r>
        <w:r w:rsidR="007D6B31">
          <w:rPr>
            <w:noProof/>
            <w:webHidden/>
          </w:rPr>
          <w:fldChar w:fldCharType="begin"/>
        </w:r>
        <w:r w:rsidR="007D6B31">
          <w:rPr>
            <w:noProof/>
            <w:webHidden/>
          </w:rPr>
          <w:instrText xml:space="preserve"> PAGEREF _Toc443569433 \h </w:instrText>
        </w:r>
        <w:r w:rsidR="007D6B31">
          <w:rPr>
            <w:noProof/>
            <w:webHidden/>
          </w:rPr>
        </w:r>
        <w:r w:rsidR="007D6B31">
          <w:rPr>
            <w:noProof/>
            <w:webHidden/>
          </w:rPr>
          <w:fldChar w:fldCharType="separate"/>
        </w:r>
        <w:r w:rsidR="005A49EB">
          <w:rPr>
            <w:noProof/>
            <w:webHidden/>
          </w:rPr>
          <w:t>273</w:t>
        </w:r>
        <w:r w:rsidR="007D6B31">
          <w:rPr>
            <w:noProof/>
            <w:webHidden/>
          </w:rPr>
          <w:fldChar w:fldCharType="end"/>
        </w:r>
      </w:hyperlink>
    </w:p>
    <w:p w14:paraId="71D09444" w14:textId="77777777" w:rsidR="007D6B31" w:rsidRDefault="00573C95">
      <w:pPr>
        <w:pStyle w:val="TM3"/>
        <w:tabs>
          <w:tab w:val="left" w:pos="1440"/>
          <w:tab w:val="right" w:leader="dot" w:pos="12996"/>
        </w:tabs>
        <w:rPr>
          <w:rFonts w:cstheme="minorBidi"/>
          <w:noProof/>
          <w:lang w:val="fr-CA" w:eastAsia="fr-CA"/>
        </w:rPr>
      </w:pPr>
      <w:hyperlink w:anchor="_Toc443569434" w:history="1">
        <w:r w:rsidR="007D6B31" w:rsidRPr="009D1796">
          <w:rPr>
            <w:rStyle w:val="Titre3Car"/>
          </w:rPr>
          <w:t>6.1.1.</w:t>
        </w:r>
        <w:r w:rsidR="007D6B31" w:rsidRPr="009D1796">
          <w:rPr>
            <w:rStyle w:val="Titre3Car"/>
          </w:rPr>
          <w:tab/>
          <w:t>La détermination de l'aversion au risque de l'investisseur (approche comportementale)</w:t>
        </w:r>
        <w:r w:rsidR="007D6B31">
          <w:rPr>
            <w:noProof/>
            <w:webHidden/>
          </w:rPr>
          <w:tab/>
        </w:r>
        <w:r w:rsidR="007D6B31">
          <w:rPr>
            <w:noProof/>
            <w:webHidden/>
          </w:rPr>
          <w:fldChar w:fldCharType="begin"/>
        </w:r>
        <w:r w:rsidR="007D6B31">
          <w:rPr>
            <w:noProof/>
            <w:webHidden/>
          </w:rPr>
          <w:instrText xml:space="preserve"> PAGEREF _Toc443569434 \h </w:instrText>
        </w:r>
        <w:r w:rsidR="007D6B31">
          <w:rPr>
            <w:noProof/>
            <w:webHidden/>
          </w:rPr>
        </w:r>
        <w:r w:rsidR="007D6B31">
          <w:rPr>
            <w:noProof/>
            <w:webHidden/>
          </w:rPr>
          <w:fldChar w:fldCharType="separate"/>
        </w:r>
        <w:r w:rsidR="005A49EB">
          <w:rPr>
            <w:noProof/>
            <w:webHidden/>
          </w:rPr>
          <w:t>275</w:t>
        </w:r>
        <w:r w:rsidR="007D6B31">
          <w:rPr>
            <w:noProof/>
            <w:webHidden/>
          </w:rPr>
          <w:fldChar w:fldCharType="end"/>
        </w:r>
      </w:hyperlink>
    </w:p>
    <w:p w14:paraId="69D4EE89" w14:textId="77777777" w:rsidR="007D6B31" w:rsidRDefault="00573C95">
      <w:pPr>
        <w:pStyle w:val="TM3"/>
        <w:tabs>
          <w:tab w:val="left" w:pos="1440"/>
          <w:tab w:val="right" w:leader="dot" w:pos="12996"/>
        </w:tabs>
        <w:rPr>
          <w:rFonts w:cstheme="minorBidi"/>
          <w:noProof/>
          <w:lang w:val="fr-CA" w:eastAsia="fr-CA"/>
        </w:rPr>
      </w:pPr>
      <w:hyperlink w:anchor="_Toc443569435" w:history="1">
        <w:r w:rsidR="007D6B31" w:rsidRPr="009D1796">
          <w:rPr>
            <w:rStyle w:val="Titre3Car"/>
          </w:rPr>
          <w:t>6.1.2.</w:t>
        </w:r>
        <w:r w:rsidR="007D6B31" w:rsidRPr="009D1796">
          <w:rPr>
            <w:rStyle w:val="Titre3Car"/>
          </w:rPr>
          <w:tab/>
          <w:t>Les phases de vie de l'investisseur</w:t>
        </w:r>
        <w:r w:rsidR="007D6B31">
          <w:rPr>
            <w:noProof/>
            <w:webHidden/>
          </w:rPr>
          <w:tab/>
        </w:r>
        <w:r w:rsidR="007D6B31">
          <w:rPr>
            <w:noProof/>
            <w:webHidden/>
          </w:rPr>
          <w:fldChar w:fldCharType="begin"/>
        </w:r>
        <w:r w:rsidR="007D6B31">
          <w:rPr>
            <w:noProof/>
            <w:webHidden/>
          </w:rPr>
          <w:instrText xml:space="preserve"> PAGEREF _Toc443569435 \h </w:instrText>
        </w:r>
        <w:r w:rsidR="007D6B31">
          <w:rPr>
            <w:noProof/>
            <w:webHidden/>
          </w:rPr>
        </w:r>
        <w:r w:rsidR="007D6B31">
          <w:rPr>
            <w:noProof/>
            <w:webHidden/>
          </w:rPr>
          <w:fldChar w:fldCharType="separate"/>
        </w:r>
        <w:r w:rsidR="005A49EB">
          <w:rPr>
            <w:noProof/>
            <w:webHidden/>
          </w:rPr>
          <w:t>277</w:t>
        </w:r>
        <w:r w:rsidR="007D6B31">
          <w:rPr>
            <w:noProof/>
            <w:webHidden/>
          </w:rPr>
          <w:fldChar w:fldCharType="end"/>
        </w:r>
      </w:hyperlink>
    </w:p>
    <w:p w14:paraId="28CFE4F3" w14:textId="77777777" w:rsidR="007D6B31" w:rsidRDefault="00573C95">
      <w:pPr>
        <w:pStyle w:val="TM3"/>
        <w:tabs>
          <w:tab w:val="left" w:pos="1440"/>
          <w:tab w:val="right" w:leader="dot" w:pos="12996"/>
        </w:tabs>
        <w:rPr>
          <w:rFonts w:cstheme="minorBidi"/>
          <w:noProof/>
          <w:lang w:val="fr-CA" w:eastAsia="fr-CA"/>
        </w:rPr>
      </w:pPr>
      <w:hyperlink w:anchor="_Toc443569436" w:history="1">
        <w:r w:rsidR="007D6B31" w:rsidRPr="009D1796">
          <w:rPr>
            <w:rStyle w:val="Titre3Car"/>
          </w:rPr>
          <w:t>6.1.3.</w:t>
        </w:r>
        <w:r w:rsidR="007D6B31" w:rsidRPr="009D1796">
          <w:rPr>
            <w:rStyle w:val="Titre3Car"/>
          </w:rPr>
          <w:tab/>
          <w:t>Les questionnaires</w:t>
        </w:r>
        <w:r w:rsidR="007D6B31">
          <w:rPr>
            <w:noProof/>
            <w:webHidden/>
          </w:rPr>
          <w:tab/>
        </w:r>
        <w:r w:rsidR="007D6B31">
          <w:rPr>
            <w:noProof/>
            <w:webHidden/>
          </w:rPr>
          <w:fldChar w:fldCharType="begin"/>
        </w:r>
        <w:r w:rsidR="007D6B31">
          <w:rPr>
            <w:noProof/>
            <w:webHidden/>
          </w:rPr>
          <w:instrText xml:space="preserve"> PAGEREF _Toc443569436 \h </w:instrText>
        </w:r>
        <w:r w:rsidR="007D6B31">
          <w:rPr>
            <w:noProof/>
            <w:webHidden/>
          </w:rPr>
        </w:r>
        <w:r w:rsidR="007D6B31">
          <w:rPr>
            <w:noProof/>
            <w:webHidden/>
          </w:rPr>
          <w:fldChar w:fldCharType="separate"/>
        </w:r>
        <w:r w:rsidR="005A49EB">
          <w:rPr>
            <w:noProof/>
            <w:webHidden/>
          </w:rPr>
          <w:t>278</w:t>
        </w:r>
        <w:r w:rsidR="007D6B31">
          <w:rPr>
            <w:noProof/>
            <w:webHidden/>
          </w:rPr>
          <w:fldChar w:fldCharType="end"/>
        </w:r>
      </w:hyperlink>
    </w:p>
    <w:p w14:paraId="4A8EF653" w14:textId="77777777" w:rsidR="007D6B31" w:rsidRDefault="00573C95">
      <w:pPr>
        <w:pStyle w:val="TM3"/>
        <w:tabs>
          <w:tab w:val="left" w:pos="1440"/>
          <w:tab w:val="right" w:leader="dot" w:pos="12996"/>
        </w:tabs>
        <w:rPr>
          <w:rFonts w:cstheme="minorBidi"/>
          <w:noProof/>
          <w:lang w:val="fr-CA" w:eastAsia="fr-CA"/>
        </w:rPr>
      </w:pPr>
      <w:hyperlink w:anchor="_Toc443569437" w:history="1">
        <w:r w:rsidR="007D6B31" w:rsidRPr="009D1796">
          <w:rPr>
            <w:rStyle w:val="Titre3Car"/>
          </w:rPr>
          <w:t>6.1.4.</w:t>
        </w:r>
        <w:r w:rsidR="007D6B31" w:rsidRPr="009D1796">
          <w:rPr>
            <w:rStyle w:val="Titre3Car"/>
          </w:rPr>
          <w:tab/>
          <w:t>La politique de placement</w:t>
        </w:r>
        <w:r w:rsidR="007D6B31">
          <w:rPr>
            <w:noProof/>
            <w:webHidden/>
          </w:rPr>
          <w:tab/>
        </w:r>
        <w:r w:rsidR="007D6B31">
          <w:rPr>
            <w:noProof/>
            <w:webHidden/>
          </w:rPr>
          <w:fldChar w:fldCharType="begin"/>
        </w:r>
        <w:r w:rsidR="007D6B31">
          <w:rPr>
            <w:noProof/>
            <w:webHidden/>
          </w:rPr>
          <w:instrText xml:space="preserve"> PAGEREF _Toc443569437 \h </w:instrText>
        </w:r>
        <w:r w:rsidR="007D6B31">
          <w:rPr>
            <w:noProof/>
            <w:webHidden/>
          </w:rPr>
        </w:r>
        <w:r w:rsidR="007D6B31">
          <w:rPr>
            <w:noProof/>
            <w:webHidden/>
          </w:rPr>
          <w:fldChar w:fldCharType="separate"/>
        </w:r>
        <w:r w:rsidR="005A49EB">
          <w:rPr>
            <w:noProof/>
            <w:webHidden/>
          </w:rPr>
          <w:t>283</w:t>
        </w:r>
        <w:r w:rsidR="007D6B31">
          <w:rPr>
            <w:noProof/>
            <w:webHidden/>
          </w:rPr>
          <w:fldChar w:fldCharType="end"/>
        </w:r>
      </w:hyperlink>
    </w:p>
    <w:p w14:paraId="698CA2E5" w14:textId="77777777" w:rsidR="007D6B31" w:rsidRDefault="00573C95">
      <w:pPr>
        <w:pStyle w:val="TM2"/>
        <w:tabs>
          <w:tab w:val="left" w:pos="960"/>
          <w:tab w:val="right" w:leader="dot" w:pos="12996"/>
        </w:tabs>
        <w:rPr>
          <w:rFonts w:cstheme="minorBidi"/>
          <w:i w:val="0"/>
          <w:noProof/>
          <w:lang w:val="fr-CA" w:eastAsia="fr-CA"/>
        </w:rPr>
      </w:pPr>
      <w:hyperlink w:anchor="_Toc443569438" w:history="1">
        <w:r w:rsidR="007D6B31" w:rsidRPr="009D1796">
          <w:rPr>
            <w:rStyle w:val="Titre2Car"/>
          </w:rPr>
          <w:t>6.2.</w:t>
        </w:r>
        <w:r w:rsidR="007D6B31" w:rsidRPr="009D1796">
          <w:rPr>
            <w:rStyle w:val="Titre2Car"/>
          </w:rPr>
          <w:tab/>
          <w:t>Les types de placements</w:t>
        </w:r>
        <w:r w:rsidR="007D6B31">
          <w:rPr>
            <w:noProof/>
            <w:webHidden/>
          </w:rPr>
          <w:tab/>
        </w:r>
        <w:r w:rsidR="007D6B31">
          <w:rPr>
            <w:noProof/>
            <w:webHidden/>
          </w:rPr>
          <w:fldChar w:fldCharType="begin"/>
        </w:r>
        <w:r w:rsidR="007D6B31">
          <w:rPr>
            <w:noProof/>
            <w:webHidden/>
          </w:rPr>
          <w:instrText xml:space="preserve"> PAGEREF _Toc443569438 \h </w:instrText>
        </w:r>
        <w:r w:rsidR="007D6B31">
          <w:rPr>
            <w:noProof/>
            <w:webHidden/>
          </w:rPr>
        </w:r>
        <w:r w:rsidR="007D6B31">
          <w:rPr>
            <w:noProof/>
            <w:webHidden/>
          </w:rPr>
          <w:fldChar w:fldCharType="separate"/>
        </w:r>
        <w:r w:rsidR="005A49EB">
          <w:rPr>
            <w:noProof/>
            <w:webHidden/>
          </w:rPr>
          <w:t>285</w:t>
        </w:r>
        <w:r w:rsidR="007D6B31">
          <w:rPr>
            <w:noProof/>
            <w:webHidden/>
          </w:rPr>
          <w:fldChar w:fldCharType="end"/>
        </w:r>
      </w:hyperlink>
    </w:p>
    <w:p w14:paraId="535215BD" w14:textId="77777777" w:rsidR="007D6B31" w:rsidRDefault="00573C95">
      <w:pPr>
        <w:pStyle w:val="TM3"/>
        <w:tabs>
          <w:tab w:val="left" w:pos="1440"/>
          <w:tab w:val="right" w:leader="dot" w:pos="12996"/>
        </w:tabs>
        <w:rPr>
          <w:rFonts w:cstheme="minorBidi"/>
          <w:noProof/>
          <w:lang w:val="fr-CA" w:eastAsia="fr-CA"/>
        </w:rPr>
      </w:pPr>
      <w:hyperlink w:anchor="_Toc443569439" w:history="1">
        <w:r w:rsidR="007D6B31" w:rsidRPr="009D1796">
          <w:rPr>
            <w:rStyle w:val="Titre3Car"/>
          </w:rPr>
          <w:t>6.2.1.</w:t>
        </w:r>
        <w:r w:rsidR="007D6B31" w:rsidRPr="009D1796">
          <w:rPr>
            <w:rStyle w:val="Titre3Car"/>
          </w:rPr>
          <w:tab/>
          <w:t>Le facteur risque</w:t>
        </w:r>
        <w:r w:rsidR="007D6B31">
          <w:rPr>
            <w:noProof/>
            <w:webHidden/>
          </w:rPr>
          <w:tab/>
        </w:r>
        <w:r w:rsidR="007D6B31">
          <w:rPr>
            <w:noProof/>
            <w:webHidden/>
          </w:rPr>
          <w:fldChar w:fldCharType="begin"/>
        </w:r>
        <w:r w:rsidR="007D6B31">
          <w:rPr>
            <w:noProof/>
            <w:webHidden/>
          </w:rPr>
          <w:instrText xml:space="preserve"> PAGEREF _Toc443569439 \h </w:instrText>
        </w:r>
        <w:r w:rsidR="007D6B31">
          <w:rPr>
            <w:noProof/>
            <w:webHidden/>
          </w:rPr>
        </w:r>
        <w:r w:rsidR="007D6B31">
          <w:rPr>
            <w:noProof/>
            <w:webHidden/>
          </w:rPr>
          <w:fldChar w:fldCharType="separate"/>
        </w:r>
        <w:r w:rsidR="005A49EB">
          <w:rPr>
            <w:noProof/>
            <w:webHidden/>
          </w:rPr>
          <w:t>285</w:t>
        </w:r>
        <w:r w:rsidR="007D6B31">
          <w:rPr>
            <w:noProof/>
            <w:webHidden/>
          </w:rPr>
          <w:fldChar w:fldCharType="end"/>
        </w:r>
      </w:hyperlink>
    </w:p>
    <w:p w14:paraId="0F18D8BE" w14:textId="77777777" w:rsidR="007D6B31" w:rsidRDefault="00573C95">
      <w:pPr>
        <w:pStyle w:val="TM3"/>
        <w:tabs>
          <w:tab w:val="left" w:pos="1440"/>
          <w:tab w:val="right" w:leader="dot" w:pos="12996"/>
        </w:tabs>
        <w:rPr>
          <w:rFonts w:cstheme="minorBidi"/>
          <w:noProof/>
          <w:lang w:val="fr-CA" w:eastAsia="fr-CA"/>
        </w:rPr>
      </w:pPr>
      <w:hyperlink w:anchor="_Toc443569440" w:history="1">
        <w:r w:rsidR="007D6B31" w:rsidRPr="009D1796">
          <w:rPr>
            <w:rStyle w:val="Titre3Car"/>
          </w:rPr>
          <w:t>6.2.2.</w:t>
        </w:r>
        <w:r w:rsidR="007D6B31" w:rsidRPr="009D1796">
          <w:rPr>
            <w:rStyle w:val="Titre3Car"/>
          </w:rPr>
          <w:tab/>
          <w:t>La catégorisation des placements</w:t>
        </w:r>
        <w:r w:rsidR="007D6B31">
          <w:rPr>
            <w:noProof/>
            <w:webHidden/>
          </w:rPr>
          <w:tab/>
        </w:r>
        <w:r w:rsidR="007D6B31">
          <w:rPr>
            <w:noProof/>
            <w:webHidden/>
          </w:rPr>
          <w:fldChar w:fldCharType="begin"/>
        </w:r>
        <w:r w:rsidR="007D6B31">
          <w:rPr>
            <w:noProof/>
            <w:webHidden/>
          </w:rPr>
          <w:instrText xml:space="preserve"> PAGEREF _Toc443569440 \h </w:instrText>
        </w:r>
        <w:r w:rsidR="007D6B31">
          <w:rPr>
            <w:noProof/>
            <w:webHidden/>
          </w:rPr>
        </w:r>
        <w:r w:rsidR="007D6B31">
          <w:rPr>
            <w:noProof/>
            <w:webHidden/>
          </w:rPr>
          <w:fldChar w:fldCharType="separate"/>
        </w:r>
        <w:r w:rsidR="005A49EB">
          <w:rPr>
            <w:noProof/>
            <w:webHidden/>
          </w:rPr>
          <w:t>287</w:t>
        </w:r>
        <w:r w:rsidR="007D6B31">
          <w:rPr>
            <w:noProof/>
            <w:webHidden/>
          </w:rPr>
          <w:fldChar w:fldCharType="end"/>
        </w:r>
      </w:hyperlink>
    </w:p>
    <w:p w14:paraId="473FA5C6" w14:textId="77777777" w:rsidR="007D6B31" w:rsidRDefault="00573C95">
      <w:pPr>
        <w:pStyle w:val="TM3"/>
        <w:tabs>
          <w:tab w:val="left" w:pos="1440"/>
          <w:tab w:val="right" w:leader="dot" w:pos="12996"/>
        </w:tabs>
        <w:rPr>
          <w:rFonts w:cstheme="minorBidi"/>
          <w:noProof/>
          <w:lang w:val="fr-CA" w:eastAsia="fr-CA"/>
        </w:rPr>
      </w:pPr>
      <w:hyperlink w:anchor="_Toc443569441" w:history="1">
        <w:r w:rsidR="007D6B31" w:rsidRPr="009D1796">
          <w:rPr>
            <w:rStyle w:val="Titre3Car"/>
          </w:rPr>
          <w:t>6.2.3.</w:t>
        </w:r>
        <w:r w:rsidR="007D6B31" w:rsidRPr="009D1796">
          <w:rPr>
            <w:rStyle w:val="Titre3Car"/>
          </w:rPr>
          <w:tab/>
          <w:t>Les placements</w:t>
        </w:r>
        <w:r w:rsidR="007D6B31">
          <w:rPr>
            <w:noProof/>
            <w:webHidden/>
          </w:rPr>
          <w:tab/>
        </w:r>
        <w:r w:rsidR="007D6B31">
          <w:rPr>
            <w:noProof/>
            <w:webHidden/>
          </w:rPr>
          <w:fldChar w:fldCharType="begin"/>
        </w:r>
        <w:r w:rsidR="007D6B31">
          <w:rPr>
            <w:noProof/>
            <w:webHidden/>
          </w:rPr>
          <w:instrText xml:space="preserve"> PAGEREF _Toc443569441 \h </w:instrText>
        </w:r>
        <w:r w:rsidR="007D6B31">
          <w:rPr>
            <w:noProof/>
            <w:webHidden/>
          </w:rPr>
        </w:r>
        <w:r w:rsidR="007D6B31">
          <w:rPr>
            <w:noProof/>
            <w:webHidden/>
          </w:rPr>
          <w:fldChar w:fldCharType="separate"/>
        </w:r>
        <w:r w:rsidR="005A49EB">
          <w:rPr>
            <w:noProof/>
            <w:webHidden/>
          </w:rPr>
          <w:t>288</w:t>
        </w:r>
        <w:r w:rsidR="007D6B31">
          <w:rPr>
            <w:noProof/>
            <w:webHidden/>
          </w:rPr>
          <w:fldChar w:fldCharType="end"/>
        </w:r>
      </w:hyperlink>
    </w:p>
    <w:p w14:paraId="6FC771F9" w14:textId="77777777" w:rsidR="007D6B31" w:rsidRDefault="00573C95">
      <w:pPr>
        <w:pStyle w:val="TM4"/>
        <w:tabs>
          <w:tab w:val="left" w:pos="1680"/>
          <w:tab w:val="right" w:leader="dot" w:pos="12996"/>
        </w:tabs>
        <w:rPr>
          <w:rFonts w:cstheme="minorBidi"/>
          <w:noProof/>
          <w:sz w:val="22"/>
          <w:szCs w:val="22"/>
          <w:lang w:val="fr-CA" w:eastAsia="fr-CA"/>
        </w:rPr>
      </w:pPr>
      <w:hyperlink w:anchor="_Toc443569442" w:history="1">
        <w:r w:rsidR="007D6B31" w:rsidRPr="00617398">
          <w:rPr>
            <w:rStyle w:val="Titre4Car"/>
          </w:rPr>
          <w:t>6.2.3.1.</w:t>
        </w:r>
        <w:r w:rsidR="007D6B31" w:rsidRPr="00617398">
          <w:rPr>
            <w:rStyle w:val="Titre4Car"/>
          </w:rPr>
          <w:tab/>
          <w:t>Les liquidités et les obligations</w:t>
        </w:r>
        <w:r w:rsidR="007D6B31">
          <w:rPr>
            <w:noProof/>
            <w:webHidden/>
          </w:rPr>
          <w:tab/>
        </w:r>
        <w:r w:rsidR="007D6B31">
          <w:rPr>
            <w:noProof/>
            <w:webHidden/>
          </w:rPr>
          <w:fldChar w:fldCharType="begin"/>
        </w:r>
        <w:r w:rsidR="007D6B31">
          <w:rPr>
            <w:noProof/>
            <w:webHidden/>
          </w:rPr>
          <w:instrText xml:space="preserve"> PAGEREF _Toc443569442 \h </w:instrText>
        </w:r>
        <w:r w:rsidR="007D6B31">
          <w:rPr>
            <w:noProof/>
            <w:webHidden/>
          </w:rPr>
        </w:r>
        <w:r w:rsidR="007D6B31">
          <w:rPr>
            <w:noProof/>
            <w:webHidden/>
          </w:rPr>
          <w:fldChar w:fldCharType="separate"/>
        </w:r>
        <w:r w:rsidR="005A49EB">
          <w:rPr>
            <w:noProof/>
            <w:webHidden/>
          </w:rPr>
          <w:t>289</w:t>
        </w:r>
        <w:r w:rsidR="007D6B31">
          <w:rPr>
            <w:noProof/>
            <w:webHidden/>
          </w:rPr>
          <w:fldChar w:fldCharType="end"/>
        </w:r>
      </w:hyperlink>
    </w:p>
    <w:p w14:paraId="516C3D84" w14:textId="77777777" w:rsidR="007D6B31" w:rsidRDefault="00573C95">
      <w:pPr>
        <w:pStyle w:val="TM4"/>
        <w:tabs>
          <w:tab w:val="left" w:pos="1680"/>
          <w:tab w:val="right" w:leader="dot" w:pos="12996"/>
        </w:tabs>
        <w:rPr>
          <w:rFonts w:cstheme="minorBidi"/>
          <w:noProof/>
          <w:sz w:val="22"/>
          <w:szCs w:val="22"/>
          <w:lang w:val="fr-CA" w:eastAsia="fr-CA"/>
        </w:rPr>
      </w:pPr>
      <w:hyperlink w:anchor="_Toc443569443" w:history="1">
        <w:r w:rsidR="007D6B31" w:rsidRPr="00617398">
          <w:rPr>
            <w:rStyle w:val="Titre4Car"/>
          </w:rPr>
          <w:t>6.2.3.2.</w:t>
        </w:r>
        <w:r w:rsidR="007D6B31" w:rsidRPr="00617398">
          <w:rPr>
            <w:rStyle w:val="Titre4Car"/>
          </w:rPr>
          <w:tab/>
          <w:t>Les actions</w:t>
        </w:r>
        <w:r w:rsidR="007D6B31">
          <w:rPr>
            <w:noProof/>
            <w:webHidden/>
          </w:rPr>
          <w:tab/>
        </w:r>
        <w:r w:rsidR="007D6B31">
          <w:rPr>
            <w:noProof/>
            <w:webHidden/>
          </w:rPr>
          <w:fldChar w:fldCharType="begin"/>
        </w:r>
        <w:r w:rsidR="007D6B31">
          <w:rPr>
            <w:noProof/>
            <w:webHidden/>
          </w:rPr>
          <w:instrText xml:space="preserve"> PAGEREF _Toc443569443 \h </w:instrText>
        </w:r>
        <w:r w:rsidR="007D6B31">
          <w:rPr>
            <w:noProof/>
            <w:webHidden/>
          </w:rPr>
        </w:r>
        <w:r w:rsidR="007D6B31">
          <w:rPr>
            <w:noProof/>
            <w:webHidden/>
          </w:rPr>
          <w:fldChar w:fldCharType="separate"/>
        </w:r>
        <w:r w:rsidR="005A49EB">
          <w:rPr>
            <w:noProof/>
            <w:webHidden/>
          </w:rPr>
          <w:t>290</w:t>
        </w:r>
        <w:r w:rsidR="007D6B31">
          <w:rPr>
            <w:noProof/>
            <w:webHidden/>
          </w:rPr>
          <w:fldChar w:fldCharType="end"/>
        </w:r>
      </w:hyperlink>
    </w:p>
    <w:p w14:paraId="4080C58C" w14:textId="77777777" w:rsidR="007D6B31" w:rsidRDefault="00573C95">
      <w:pPr>
        <w:pStyle w:val="TM4"/>
        <w:tabs>
          <w:tab w:val="left" w:pos="1680"/>
          <w:tab w:val="right" w:leader="dot" w:pos="12996"/>
        </w:tabs>
        <w:rPr>
          <w:rFonts w:cstheme="minorBidi"/>
          <w:noProof/>
          <w:sz w:val="22"/>
          <w:szCs w:val="22"/>
          <w:lang w:val="fr-CA" w:eastAsia="fr-CA"/>
        </w:rPr>
      </w:pPr>
      <w:hyperlink w:anchor="_Toc443569444" w:history="1">
        <w:r w:rsidR="007D6B31" w:rsidRPr="00617398">
          <w:rPr>
            <w:rStyle w:val="Titre4Car"/>
          </w:rPr>
          <w:t>6.2.3.3.</w:t>
        </w:r>
        <w:r w:rsidR="007D6B31" w:rsidRPr="00617398">
          <w:rPr>
            <w:rStyle w:val="Titre4Car"/>
          </w:rPr>
          <w:tab/>
          <w:t>Les fonds communs de placements</w:t>
        </w:r>
        <w:r w:rsidR="007D6B31">
          <w:rPr>
            <w:noProof/>
            <w:webHidden/>
          </w:rPr>
          <w:tab/>
        </w:r>
        <w:r w:rsidR="007D6B31">
          <w:rPr>
            <w:noProof/>
            <w:webHidden/>
          </w:rPr>
          <w:fldChar w:fldCharType="begin"/>
        </w:r>
        <w:r w:rsidR="007D6B31">
          <w:rPr>
            <w:noProof/>
            <w:webHidden/>
          </w:rPr>
          <w:instrText xml:space="preserve"> PAGEREF _Toc443569444 \h </w:instrText>
        </w:r>
        <w:r w:rsidR="007D6B31">
          <w:rPr>
            <w:noProof/>
            <w:webHidden/>
          </w:rPr>
        </w:r>
        <w:r w:rsidR="007D6B31">
          <w:rPr>
            <w:noProof/>
            <w:webHidden/>
          </w:rPr>
          <w:fldChar w:fldCharType="separate"/>
        </w:r>
        <w:r w:rsidR="005A49EB">
          <w:rPr>
            <w:noProof/>
            <w:webHidden/>
          </w:rPr>
          <w:t>291</w:t>
        </w:r>
        <w:r w:rsidR="007D6B31">
          <w:rPr>
            <w:noProof/>
            <w:webHidden/>
          </w:rPr>
          <w:fldChar w:fldCharType="end"/>
        </w:r>
      </w:hyperlink>
    </w:p>
    <w:p w14:paraId="27276879" w14:textId="77777777" w:rsidR="007D6B31" w:rsidRDefault="00573C95">
      <w:pPr>
        <w:pStyle w:val="TM4"/>
        <w:tabs>
          <w:tab w:val="left" w:pos="1680"/>
          <w:tab w:val="right" w:leader="dot" w:pos="12996"/>
        </w:tabs>
        <w:rPr>
          <w:rFonts w:cstheme="minorBidi"/>
          <w:noProof/>
          <w:sz w:val="22"/>
          <w:szCs w:val="22"/>
          <w:lang w:val="fr-CA" w:eastAsia="fr-CA"/>
        </w:rPr>
      </w:pPr>
      <w:hyperlink w:anchor="_Toc443569445" w:history="1">
        <w:r w:rsidR="007D6B31" w:rsidRPr="00617398">
          <w:rPr>
            <w:rStyle w:val="Titre4Car"/>
          </w:rPr>
          <w:t>6.2.3.4.</w:t>
        </w:r>
        <w:r w:rsidR="007D6B31" w:rsidRPr="00617398">
          <w:rPr>
            <w:rStyle w:val="Titre4Car"/>
          </w:rPr>
          <w:tab/>
          <w:t>Les produits dérivés et alternatifs</w:t>
        </w:r>
        <w:r w:rsidR="007D6B31">
          <w:rPr>
            <w:noProof/>
            <w:webHidden/>
          </w:rPr>
          <w:tab/>
        </w:r>
        <w:r w:rsidR="007D6B31">
          <w:rPr>
            <w:noProof/>
            <w:webHidden/>
          </w:rPr>
          <w:fldChar w:fldCharType="begin"/>
        </w:r>
        <w:r w:rsidR="007D6B31">
          <w:rPr>
            <w:noProof/>
            <w:webHidden/>
          </w:rPr>
          <w:instrText xml:space="preserve"> PAGEREF _Toc443569445 \h </w:instrText>
        </w:r>
        <w:r w:rsidR="007D6B31">
          <w:rPr>
            <w:noProof/>
            <w:webHidden/>
          </w:rPr>
        </w:r>
        <w:r w:rsidR="007D6B31">
          <w:rPr>
            <w:noProof/>
            <w:webHidden/>
          </w:rPr>
          <w:fldChar w:fldCharType="separate"/>
        </w:r>
        <w:r w:rsidR="005A49EB">
          <w:rPr>
            <w:noProof/>
            <w:webHidden/>
          </w:rPr>
          <w:t>292</w:t>
        </w:r>
        <w:r w:rsidR="007D6B31">
          <w:rPr>
            <w:noProof/>
            <w:webHidden/>
          </w:rPr>
          <w:fldChar w:fldCharType="end"/>
        </w:r>
      </w:hyperlink>
    </w:p>
    <w:p w14:paraId="2DDFB0EA" w14:textId="77777777" w:rsidR="007D6B31" w:rsidRDefault="00573C95">
      <w:pPr>
        <w:pStyle w:val="TM3"/>
        <w:tabs>
          <w:tab w:val="left" w:pos="1440"/>
          <w:tab w:val="right" w:leader="dot" w:pos="12996"/>
        </w:tabs>
        <w:rPr>
          <w:rFonts w:cstheme="minorBidi"/>
          <w:noProof/>
          <w:lang w:val="fr-CA" w:eastAsia="fr-CA"/>
        </w:rPr>
      </w:pPr>
      <w:hyperlink w:anchor="_Toc443569446" w:history="1">
        <w:r w:rsidR="007D6B31" w:rsidRPr="009D1796">
          <w:rPr>
            <w:rStyle w:val="Titre3Car"/>
          </w:rPr>
          <w:t>6.2.4.</w:t>
        </w:r>
        <w:r w:rsidR="007D6B31" w:rsidRPr="009D1796">
          <w:rPr>
            <w:rStyle w:val="Titre3Car"/>
          </w:rPr>
          <w:tab/>
          <w:t>Le coût et les frais de gestion</w:t>
        </w:r>
        <w:r w:rsidR="007D6B31">
          <w:rPr>
            <w:noProof/>
            <w:webHidden/>
          </w:rPr>
          <w:tab/>
        </w:r>
        <w:r w:rsidR="007D6B31">
          <w:rPr>
            <w:noProof/>
            <w:webHidden/>
          </w:rPr>
          <w:fldChar w:fldCharType="begin"/>
        </w:r>
        <w:r w:rsidR="007D6B31">
          <w:rPr>
            <w:noProof/>
            <w:webHidden/>
          </w:rPr>
          <w:instrText xml:space="preserve"> PAGEREF _Toc443569446 \h </w:instrText>
        </w:r>
        <w:r w:rsidR="007D6B31">
          <w:rPr>
            <w:noProof/>
            <w:webHidden/>
          </w:rPr>
        </w:r>
        <w:r w:rsidR="007D6B31">
          <w:rPr>
            <w:noProof/>
            <w:webHidden/>
          </w:rPr>
          <w:fldChar w:fldCharType="separate"/>
        </w:r>
        <w:r w:rsidR="005A49EB">
          <w:rPr>
            <w:noProof/>
            <w:webHidden/>
          </w:rPr>
          <w:t>294</w:t>
        </w:r>
        <w:r w:rsidR="007D6B31">
          <w:rPr>
            <w:noProof/>
            <w:webHidden/>
          </w:rPr>
          <w:fldChar w:fldCharType="end"/>
        </w:r>
      </w:hyperlink>
    </w:p>
    <w:p w14:paraId="7992DB5E" w14:textId="77777777" w:rsidR="007D6B31" w:rsidRDefault="00573C95">
      <w:pPr>
        <w:pStyle w:val="TM2"/>
        <w:tabs>
          <w:tab w:val="left" w:pos="960"/>
          <w:tab w:val="right" w:leader="dot" w:pos="12996"/>
        </w:tabs>
        <w:rPr>
          <w:rFonts w:cstheme="minorBidi"/>
          <w:i w:val="0"/>
          <w:noProof/>
          <w:lang w:val="fr-CA" w:eastAsia="fr-CA"/>
        </w:rPr>
      </w:pPr>
      <w:hyperlink w:anchor="_Toc443569447" w:history="1">
        <w:r w:rsidR="007D6B31" w:rsidRPr="009D1796">
          <w:rPr>
            <w:rStyle w:val="Titre2Car"/>
          </w:rPr>
          <w:t>6.3.</w:t>
        </w:r>
        <w:r w:rsidR="007D6B31" w:rsidRPr="009D1796">
          <w:rPr>
            <w:rStyle w:val="Titre2Car"/>
          </w:rPr>
          <w:tab/>
          <w:t>Réflexions, historique et stratégies</w:t>
        </w:r>
        <w:r w:rsidR="007D6B31">
          <w:rPr>
            <w:noProof/>
            <w:webHidden/>
          </w:rPr>
          <w:tab/>
        </w:r>
        <w:r w:rsidR="007D6B31">
          <w:rPr>
            <w:noProof/>
            <w:webHidden/>
          </w:rPr>
          <w:fldChar w:fldCharType="begin"/>
        </w:r>
        <w:r w:rsidR="007D6B31">
          <w:rPr>
            <w:noProof/>
            <w:webHidden/>
          </w:rPr>
          <w:instrText xml:space="preserve"> PAGEREF _Toc443569447 \h </w:instrText>
        </w:r>
        <w:r w:rsidR="007D6B31">
          <w:rPr>
            <w:noProof/>
            <w:webHidden/>
          </w:rPr>
        </w:r>
        <w:r w:rsidR="007D6B31">
          <w:rPr>
            <w:noProof/>
            <w:webHidden/>
          </w:rPr>
          <w:fldChar w:fldCharType="separate"/>
        </w:r>
        <w:r w:rsidR="005A49EB">
          <w:rPr>
            <w:noProof/>
            <w:webHidden/>
          </w:rPr>
          <w:t>294</w:t>
        </w:r>
        <w:r w:rsidR="007D6B31">
          <w:rPr>
            <w:noProof/>
            <w:webHidden/>
          </w:rPr>
          <w:fldChar w:fldCharType="end"/>
        </w:r>
      </w:hyperlink>
    </w:p>
    <w:p w14:paraId="11F6A79A" w14:textId="77777777" w:rsidR="007D6B31" w:rsidRDefault="00573C95">
      <w:pPr>
        <w:pStyle w:val="TM3"/>
        <w:tabs>
          <w:tab w:val="left" w:pos="1440"/>
          <w:tab w:val="right" w:leader="dot" w:pos="12996"/>
        </w:tabs>
        <w:rPr>
          <w:rFonts w:cstheme="minorBidi"/>
          <w:noProof/>
          <w:lang w:val="fr-CA" w:eastAsia="fr-CA"/>
        </w:rPr>
      </w:pPr>
      <w:hyperlink w:anchor="_Toc443569448" w:history="1">
        <w:r w:rsidR="007D6B31" w:rsidRPr="009D1796">
          <w:rPr>
            <w:rStyle w:val="Titre3Car"/>
          </w:rPr>
          <w:t>6.3.1.</w:t>
        </w:r>
        <w:r w:rsidR="007D6B31" w:rsidRPr="009D1796">
          <w:rPr>
            <w:rStyle w:val="Titre3Car"/>
          </w:rPr>
          <w:tab/>
          <w:t>Une approche réfléchie et à long terme</w:t>
        </w:r>
        <w:r w:rsidR="007D6B31">
          <w:rPr>
            <w:noProof/>
            <w:webHidden/>
          </w:rPr>
          <w:tab/>
        </w:r>
        <w:r w:rsidR="007D6B31">
          <w:rPr>
            <w:noProof/>
            <w:webHidden/>
          </w:rPr>
          <w:fldChar w:fldCharType="begin"/>
        </w:r>
        <w:r w:rsidR="007D6B31">
          <w:rPr>
            <w:noProof/>
            <w:webHidden/>
          </w:rPr>
          <w:instrText xml:space="preserve"> PAGEREF _Toc443569448 \h </w:instrText>
        </w:r>
        <w:r w:rsidR="007D6B31">
          <w:rPr>
            <w:noProof/>
            <w:webHidden/>
          </w:rPr>
        </w:r>
        <w:r w:rsidR="007D6B31">
          <w:rPr>
            <w:noProof/>
            <w:webHidden/>
          </w:rPr>
          <w:fldChar w:fldCharType="separate"/>
        </w:r>
        <w:r w:rsidR="005A49EB">
          <w:rPr>
            <w:noProof/>
            <w:webHidden/>
          </w:rPr>
          <w:t>295</w:t>
        </w:r>
        <w:r w:rsidR="007D6B31">
          <w:rPr>
            <w:noProof/>
            <w:webHidden/>
          </w:rPr>
          <w:fldChar w:fldCharType="end"/>
        </w:r>
      </w:hyperlink>
    </w:p>
    <w:p w14:paraId="3E887B90" w14:textId="77777777" w:rsidR="007D6B31" w:rsidRDefault="00573C95">
      <w:pPr>
        <w:pStyle w:val="TM3"/>
        <w:tabs>
          <w:tab w:val="left" w:pos="1440"/>
          <w:tab w:val="right" w:leader="dot" w:pos="12996"/>
        </w:tabs>
        <w:rPr>
          <w:rFonts w:cstheme="minorBidi"/>
          <w:noProof/>
          <w:lang w:val="fr-CA" w:eastAsia="fr-CA"/>
        </w:rPr>
      </w:pPr>
      <w:hyperlink w:anchor="_Toc443569449" w:history="1">
        <w:r w:rsidR="007D6B31" w:rsidRPr="009D1796">
          <w:rPr>
            <w:rStyle w:val="Titre3Car"/>
          </w:rPr>
          <w:t>6.3.2.</w:t>
        </w:r>
        <w:r w:rsidR="007D6B31" w:rsidRPr="009D1796">
          <w:rPr>
            <w:rStyle w:val="Titre3Car"/>
          </w:rPr>
          <w:tab/>
          <w:t>Une vue historique</w:t>
        </w:r>
        <w:r w:rsidR="007D6B31">
          <w:rPr>
            <w:noProof/>
            <w:webHidden/>
          </w:rPr>
          <w:tab/>
        </w:r>
        <w:r w:rsidR="007D6B31">
          <w:rPr>
            <w:noProof/>
            <w:webHidden/>
          </w:rPr>
          <w:fldChar w:fldCharType="begin"/>
        </w:r>
        <w:r w:rsidR="007D6B31">
          <w:rPr>
            <w:noProof/>
            <w:webHidden/>
          </w:rPr>
          <w:instrText xml:space="preserve"> PAGEREF _Toc443569449 \h </w:instrText>
        </w:r>
        <w:r w:rsidR="007D6B31">
          <w:rPr>
            <w:noProof/>
            <w:webHidden/>
          </w:rPr>
        </w:r>
        <w:r w:rsidR="007D6B31">
          <w:rPr>
            <w:noProof/>
            <w:webHidden/>
          </w:rPr>
          <w:fldChar w:fldCharType="separate"/>
        </w:r>
        <w:r w:rsidR="005A49EB">
          <w:rPr>
            <w:noProof/>
            <w:webHidden/>
          </w:rPr>
          <w:t>306</w:t>
        </w:r>
        <w:r w:rsidR="007D6B31">
          <w:rPr>
            <w:noProof/>
            <w:webHidden/>
          </w:rPr>
          <w:fldChar w:fldCharType="end"/>
        </w:r>
      </w:hyperlink>
    </w:p>
    <w:p w14:paraId="14F91B22" w14:textId="77777777" w:rsidR="007D6B31" w:rsidRDefault="00573C95">
      <w:pPr>
        <w:pStyle w:val="TM4"/>
        <w:tabs>
          <w:tab w:val="left" w:pos="1680"/>
          <w:tab w:val="right" w:leader="dot" w:pos="12996"/>
        </w:tabs>
        <w:rPr>
          <w:rFonts w:cstheme="minorBidi"/>
          <w:noProof/>
          <w:sz w:val="22"/>
          <w:szCs w:val="22"/>
          <w:lang w:val="fr-CA" w:eastAsia="fr-CA"/>
        </w:rPr>
      </w:pPr>
      <w:hyperlink w:anchor="_Toc443569450" w:history="1">
        <w:r w:rsidR="007D6B31" w:rsidRPr="00617398">
          <w:rPr>
            <w:rStyle w:val="Titre4Car"/>
          </w:rPr>
          <w:t>6.3.2.1.</w:t>
        </w:r>
        <w:r w:rsidR="007D6B31" w:rsidRPr="00617398">
          <w:rPr>
            <w:rStyle w:val="Titre4Car"/>
          </w:rPr>
          <w:tab/>
          <w:t>Le cycle économique</w:t>
        </w:r>
        <w:r w:rsidR="007D6B31">
          <w:rPr>
            <w:noProof/>
            <w:webHidden/>
          </w:rPr>
          <w:tab/>
        </w:r>
        <w:r w:rsidR="007D6B31">
          <w:rPr>
            <w:noProof/>
            <w:webHidden/>
          </w:rPr>
          <w:fldChar w:fldCharType="begin"/>
        </w:r>
        <w:r w:rsidR="007D6B31">
          <w:rPr>
            <w:noProof/>
            <w:webHidden/>
          </w:rPr>
          <w:instrText xml:space="preserve"> PAGEREF _Toc443569450 \h </w:instrText>
        </w:r>
        <w:r w:rsidR="007D6B31">
          <w:rPr>
            <w:noProof/>
            <w:webHidden/>
          </w:rPr>
        </w:r>
        <w:r w:rsidR="007D6B31">
          <w:rPr>
            <w:noProof/>
            <w:webHidden/>
          </w:rPr>
          <w:fldChar w:fldCharType="separate"/>
        </w:r>
        <w:r w:rsidR="005A49EB">
          <w:rPr>
            <w:noProof/>
            <w:webHidden/>
          </w:rPr>
          <w:t>306</w:t>
        </w:r>
        <w:r w:rsidR="007D6B31">
          <w:rPr>
            <w:noProof/>
            <w:webHidden/>
          </w:rPr>
          <w:fldChar w:fldCharType="end"/>
        </w:r>
      </w:hyperlink>
    </w:p>
    <w:p w14:paraId="33929655" w14:textId="77777777" w:rsidR="007D6B31" w:rsidRDefault="00573C95">
      <w:pPr>
        <w:pStyle w:val="TM4"/>
        <w:tabs>
          <w:tab w:val="left" w:pos="1680"/>
          <w:tab w:val="right" w:leader="dot" w:pos="12996"/>
        </w:tabs>
        <w:rPr>
          <w:rFonts w:cstheme="minorBidi"/>
          <w:noProof/>
          <w:sz w:val="22"/>
          <w:szCs w:val="22"/>
          <w:lang w:val="fr-CA" w:eastAsia="fr-CA"/>
        </w:rPr>
      </w:pPr>
      <w:hyperlink w:anchor="_Toc443569451" w:history="1">
        <w:r w:rsidR="007D6B31" w:rsidRPr="00617398">
          <w:rPr>
            <w:rStyle w:val="Titre4Car"/>
          </w:rPr>
          <w:t>6.3.2.2.</w:t>
        </w:r>
        <w:r w:rsidR="007D6B31" w:rsidRPr="00617398">
          <w:rPr>
            <w:rStyle w:val="Titre4Car"/>
          </w:rPr>
          <w:tab/>
          <w:t>L’évolution des cycles boursiers</w:t>
        </w:r>
        <w:r w:rsidR="007D6B31">
          <w:rPr>
            <w:noProof/>
            <w:webHidden/>
          </w:rPr>
          <w:tab/>
        </w:r>
        <w:r w:rsidR="007D6B31">
          <w:rPr>
            <w:noProof/>
            <w:webHidden/>
          </w:rPr>
          <w:fldChar w:fldCharType="begin"/>
        </w:r>
        <w:r w:rsidR="007D6B31">
          <w:rPr>
            <w:noProof/>
            <w:webHidden/>
          </w:rPr>
          <w:instrText xml:space="preserve"> PAGEREF _Toc443569451 \h </w:instrText>
        </w:r>
        <w:r w:rsidR="007D6B31">
          <w:rPr>
            <w:noProof/>
            <w:webHidden/>
          </w:rPr>
        </w:r>
        <w:r w:rsidR="007D6B31">
          <w:rPr>
            <w:noProof/>
            <w:webHidden/>
          </w:rPr>
          <w:fldChar w:fldCharType="separate"/>
        </w:r>
        <w:r w:rsidR="005A49EB">
          <w:rPr>
            <w:noProof/>
            <w:webHidden/>
          </w:rPr>
          <w:t>308</w:t>
        </w:r>
        <w:r w:rsidR="007D6B31">
          <w:rPr>
            <w:noProof/>
            <w:webHidden/>
          </w:rPr>
          <w:fldChar w:fldCharType="end"/>
        </w:r>
      </w:hyperlink>
    </w:p>
    <w:p w14:paraId="199E1073" w14:textId="77777777" w:rsidR="007D6B31" w:rsidRDefault="00573C95">
      <w:pPr>
        <w:pStyle w:val="TM4"/>
        <w:tabs>
          <w:tab w:val="left" w:pos="1680"/>
          <w:tab w:val="right" w:leader="dot" w:pos="12996"/>
        </w:tabs>
        <w:rPr>
          <w:rFonts w:cstheme="minorBidi"/>
          <w:noProof/>
          <w:sz w:val="22"/>
          <w:szCs w:val="22"/>
          <w:lang w:val="fr-CA" w:eastAsia="fr-CA"/>
        </w:rPr>
      </w:pPr>
      <w:hyperlink w:anchor="_Toc443569452" w:history="1">
        <w:r w:rsidR="007D6B31" w:rsidRPr="00617398">
          <w:rPr>
            <w:rStyle w:val="Titre4Car"/>
          </w:rPr>
          <w:t>6.3.2.3.</w:t>
        </w:r>
        <w:r w:rsidR="007D6B31" w:rsidRPr="00617398">
          <w:rPr>
            <w:rStyle w:val="Titre4Car"/>
          </w:rPr>
          <w:tab/>
          <w:t>Conclusion sur l'historique des cycles</w:t>
        </w:r>
        <w:r w:rsidR="007D6B31">
          <w:rPr>
            <w:noProof/>
            <w:webHidden/>
          </w:rPr>
          <w:tab/>
        </w:r>
        <w:r w:rsidR="007D6B31">
          <w:rPr>
            <w:noProof/>
            <w:webHidden/>
          </w:rPr>
          <w:fldChar w:fldCharType="begin"/>
        </w:r>
        <w:r w:rsidR="007D6B31">
          <w:rPr>
            <w:noProof/>
            <w:webHidden/>
          </w:rPr>
          <w:instrText xml:space="preserve"> PAGEREF _Toc443569452 \h </w:instrText>
        </w:r>
        <w:r w:rsidR="007D6B31">
          <w:rPr>
            <w:noProof/>
            <w:webHidden/>
          </w:rPr>
        </w:r>
        <w:r w:rsidR="007D6B31">
          <w:rPr>
            <w:noProof/>
            <w:webHidden/>
          </w:rPr>
          <w:fldChar w:fldCharType="separate"/>
        </w:r>
        <w:r w:rsidR="005A49EB">
          <w:rPr>
            <w:noProof/>
            <w:webHidden/>
          </w:rPr>
          <w:t>314</w:t>
        </w:r>
        <w:r w:rsidR="007D6B31">
          <w:rPr>
            <w:noProof/>
            <w:webHidden/>
          </w:rPr>
          <w:fldChar w:fldCharType="end"/>
        </w:r>
      </w:hyperlink>
    </w:p>
    <w:p w14:paraId="5FE9CFE3" w14:textId="77777777" w:rsidR="007D6B31" w:rsidRDefault="00573C95">
      <w:pPr>
        <w:pStyle w:val="TM3"/>
        <w:tabs>
          <w:tab w:val="left" w:pos="1440"/>
          <w:tab w:val="right" w:leader="dot" w:pos="12996"/>
        </w:tabs>
        <w:rPr>
          <w:rFonts w:cstheme="minorBidi"/>
          <w:noProof/>
          <w:lang w:val="fr-CA" w:eastAsia="fr-CA"/>
        </w:rPr>
      </w:pPr>
      <w:hyperlink w:anchor="_Toc443569453" w:history="1">
        <w:r w:rsidR="007D6B31" w:rsidRPr="009D1796">
          <w:rPr>
            <w:rStyle w:val="Titre3Car"/>
          </w:rPr>
          <w:t>6.3.3.</w:t>
        </w:r>
        <w:r w:rsidR="007D6B31" w:rsidRPr="009D1796">
          <w:rPr>
            <w:rStyle w:val="Titre3Car"/>
          </w:rPr>
          <w:tab/>
          <w:t>Conseils</w:t>
        </w:r>
        <w:r w:rsidR="007D6B31">
          <w:rPr>
            <w:noProof/>
            <w:webHidden/>
          </w:rPr>
          <w:tab/>
        </w:r>
        <w:r w:rsidR="007D6B31">
          <w:rPr>
            <w:noProof/>
            <w:webHidden/>
          </w:rPr>
          <w:fldChar w:fldCharType="begin"/>
        </w:r>
        <w:r w:rsidR="007D6B31">
          <w:rPr>
            <w:noProof/>
            <w:webHidden/>
          </w:rPr>
          <w:instrText xml:space="preserve"> PAGEREF _Toc443569453 \h </w:instrText>
        </w:r>
        <w:r w:rsidR="007D6B31">
          <w:rPr>
            <w:noProof/>
            <w:webHidden/>
          </w:rPr>
        </w:r>
        <w:r w:rsidR="007D6B31">
          <w:rPr>
            <w:noProof/>
            <w:webHidden/>
          </w:rPr>
          <w:fldChar w:fldCharType="separate"/>
        </w:r>
        <w:r w:rsidR="005A49EB">
          <w:rPr>
            <w:noProof/>
            <w:webHidden/>
          </w:rPr>
          <w:t>316</w:t>
        </w:r>
        <w:r w:rsidR="007D6B31">
          <w:rPr>
            <w:noProof/>
            <w:webHidden/>
          </w:rPr>
          <w:fldChar w:fldCharType="end"/>
        </w:r>
      </w:hyperlink>
    </w:p>
    <w:p w14:paraId="236A0547" w14:textId="765E0E1B" w:rsidR="00930FAF" w:rsidRDefault="007D6B31" w:rsidP="00F00434">
      <w:pPr>
        <w:rPr>
          <w:sz w:val="22"/>
          <w:szCs w:val="22"/>
        </w:rPr>
      </w:pPr>
      <w:r>
        <w:rPr>
          <w:b/>
          <w:sz w:val="22"/>
          <w:szCs w:val="22"/>
        </w:rPr>
        <w:fldChar w:fldCharType="end"/>
      </w:r>
    </w:p>
    <w:p w14:paraId="3C1C6631" w14:textId="77777777" w:rsidR="00930FAF" w:rsidRDefault="00930FAF" w:rsidP="00F00434">
      <w:pPr>
        <w:rPr>
          <w:sz w:val="22"/>
          <w:szCs w:val="22"/>
        </w:rPr>
      </w:pPr>
      <w:r>
        <w:rPr>
          <w:sz w:val="22"/>
          <w:szCs w:val="22"/>
        </w:rPr>
        <w:t>INFOGRAPHIE</w:t>
      </w:r>
    </w:p>
    <w:p w14:paraId="17190658" w14:textId="29CAE51B" w:rsidR="00E27951" w:rsidRDefault="00930FAF" w:rsidP="00F00434">
      <w:r>
        <w:rPr>
          <w:sz w:val="22"/>
          <w:szCs w:val="22"/>
        </w:rPr>
        <w:t>LISTE DES ABRÉVIATIONS</w:t>
      </w:r>
      <w:r w:rsidR="00E27951">
        <w:br w:type="page"/>
      </w:r>
    </w:p>
    <w:p w14:paraId="7F2F72A6" w14:textId="338A1866" w:rsidR="007F03C5" w:rsidRPr="007F03C5" w:rsidRDefault="00A4329F" w:rsidP="007F03C5">
      <w:pPr>
        <w:jc w:val="right"/>
        <w:rPr>
          <w:i/>
        </w:rPr>
      </w:pPr>
      <w:r>
        <w:rPr>
          <w:i/>
        </w:rPr>
        <w:lastRenderedPageBreak/>
        <w:t>« </w:t>
      </w:r>
      <w:r w:rsidR="007F03C5" w:rsidRPr="007F03C5">
        <w:rPr>
          <w:i/>
        </w:rPr>
        <w:t>N'apprenez pas seulement comment on gagne, apprenez aussi comment on épargne</w:t>
      </w:r>
      <w:r w:rsidR="007F03C5">
        <w:rPr>
          <w:i/>
        </w:rPr>
        <w:t>. »</w:t>
      </w:r>
    </w:p>
    <w:p w14:paraId="04AE6314" w14:textId="311B9AFB" w:rsidR="007F03C5" w:rsidRPr="007F03C5" w:rsidRDefault="007F03C5" w:rsidP="007F03C5">
      <w:pPr>
        <w:jc w:val="right"/>
      </w:pPr>
      <w:r>
        <w:t>Benjamin Franklin</w:t>
      </w:r>
    </w:p>
    <w:p w14:paraId="0DCFD26F" w14:textId="77777777" w:rsidR="00650C43" w:rsidRDefault="00650C43" w:rsidP="00650C43"/>
    <w:p w14:paraId="482D52D7" w14:textId="77777777" w:rsidR="00650C43" w:rsidRDefault="00650C43" w:rsidP="00650C43">
      <w:r>
        <w:t>LA VUE D’ENSEMBLE</w:t>
      </w:r>
    </w:p>
    <w:p w14:paraId="1895DC33" w14:textId="77777777" w:rsidR="00650C43" w:rsidRDefault="00650C43" w:rsidP="001D0F2A"/>
    <w:p w14:paraId="6DAA74E2" w14:textId="2D90DA70" w:rsidR="001D0F2A" w:rsidRPr="00AB4839" w:rsidRDefault="00BE24A9" w:rsidP="00BE24A9">
      <w:pPr>
        <w:jc w:val="both"/>
        <w:rPr>
          <w:color w:val="FF6700" w:themeColor="accent3"/>
        </w:rPr>
      </w:pPr>
      <w:r w:rsidRPr="00AB4839">
        <w:t>L</w:t>
      </w:r>
      <w:r w:rsidR="001D0F2A" w:rsidRPr="00AB4839">
        <w:t xml:space="preserve">a vie répond à un cycle qui exige que </w:t>
      </w:r>
      <w:r w:rsidRPr="00AB4839">
        <w:t>les gens</w:t>
      </w:r>
      <w:r w:rsidR="001D0F2A" w:rsidRPr="00AB4839">
        <w:t xml:space="preserve"> fassent preuve de prévoyance. Notre capacité à générer</w:t>
      </w:r>
      <w:r w:rsidRPr="00AB4839">
        <w:t xml:space="preserve"> des revenus par notre travail et à s’organiser pour réduire notre dépendance aux autres s’</w:t>
      </w:r>
      <w:r w:rsidR="00A50283">
        <w:t>amenuise</w:t>
      </w:r>
      <w:r w:rsidRPr="00AB4839">
        <w:t xml:space="preserve"> dans le temps. Ce double constat</w:t>
      </w:r>
      <w:r w:rsidR="00971AD6" w:rsidRPr="00AB4839">
        <w:t xml:space="preserve"> où les revenus travaillés diminuent et les dépenses d’entretien et de soin augmentent rend le geste d’</w:t>
      </w:r>
      <w:r w:rsidR="00971AD6" w:rsidRPr="00AB4839">
        <w:rPr>
          <w:color w:val="FF6700" w:themeColor="accent3"/>
        </w:rPr>
        <w:t>ÉPARGNE</w:t>
      </w:r>
      <w:r w:rsidRPr="00AB4839">
        <w:rPr>
          <w:color w:val="FF6700" w:themeColor="accent3"/>
        </w:rPr>
        <w:t xml:space="preserve"> </w:t>
      </w:r>
      <w:r w:rsidR="00971AD6" w:rsidRPr="00AB4839">
        <w:t>incontournable.</w:t>
      </w:r>
      <w:r w:rsidR="00A3523B" w:rsidRPr="00AB4839">
        <w:t xml:space="preserve"> Défaillir à ce geste correspond</w:t>
      </w:r>
      <w:r w:rsidR="001244F6" w:rsidRPr="00AB4839">
        <w:t>,</w:t>
      </w:r>
      <w:r w:rsidR="00A3523B" w:rsidRPr="00AB4839">
        <w:t xml:space="preserve"> ni plus ni moins</w:t>
      </w:r>
      <w:r w:rsidR="001244F6" w:rsidRPr="00AB4839">
        <w:t>,</w:t>
      </w:r>
      <w:r w:rsidR="00A3523B" w:rsidRPr="00AB4839">
        <w:t xml:space="preserve"> à nier que nos </w:t>
      </w:r>
      <w:r w:rsidR="000B45D5" w:rsidRPr="00AB4839">
        <w:t xml:space="preserve">ressources et </w:t>
      </w:r>
      <w:r w:rsidR="002E148E">
        <w:t xml:space="preserve">nos </w:t>
      </w:r>
      <w:r w:rsidR="00A3523B" w:rsidRPr="00AB4839">
        <w:t>capacités sont vouées à diminuer dans le temps et à taire le lien qui existe entre notre propre personne</w:t>
      </w:r>
      <w:r w:rsidR="002E025D" w:rsidRPr="00AB4839">
        <w:t xml:space="preserve"> au moment présent et celle qui se présentera, dans le futur, au seuil de la </w:t>
      </w:r>
      <w:r w:rsidR="002E025D" w:rsidRPr="00AB4839">
        <w:rPr>
          <w:color w:val="FF6700" w:themeColor="accent3"/>
        </w:rPr>
        <w:t>RETRAITE.</w:t>
      </w:r>
    </w:p>
    <w:p w14:paraId="273F8C3C" w14:textId="77777777" w:rsidR="001244F6" w:rsidRPr="00AB4839" w:rsidRDefault="001244F6" w:rsidP="00BE24A9">
      <w:pPr>
        <w:jc w:val="both"/>
        <w:rPr>
          <w:color w:val="FF6700" w:themeColor="accent3"/>
        </w:rPr>
      </w:pPr>
    </w:p>
    <w:p w14:paraId="4BF391C5" w14:textId="5432D6FE" w:rsidR="001244F6" w:rsidRPr="00AB4839" w:rsidRDefault="00E20974" w:rsidP="00BE24A9">
      <w:pPr>
        <w:jc w:val="both"/>
      </w:pPr>
      <w:r w:rsidRPr="00AB4839">
        <w:t>Une fois le principe de l’épargne accepté, il demeure que l’environnement, les stratégies et les choix qui s’offrent aux individus sont multiples, complexes et facile</w:t>
      </w:r>
      <w:r w:rsidR="00A0333C" w:rsidRPr="00AB4839">
        <w:t>s</w:t>
      </w:r>
      <w:r w:rsidRPr="00AB4839">
        <w:t xml:space="preserve"> à confondre. </w:t>
      </w:r>
      <w:r w:rsidR="00BA4CB7" w:rsidRPr="00AB4839">
        <w:t xml:space="preserve">Une portion des montants épargnés s’effectuera sans douleur et sans effort puisqu’elle fera l’objet de prélèvements ou de cotisations automatiques et obligatoires. C’est le cas notamment des régimes publics qui font office de </w:t>
      </w:r>
      <w:r w:rsidR="00BA4CB7" w:rsidRPr="007B19BD">
        <w:rPr>
          <w:color w:val="FF6700" w:themeColor="accent3"/>
        </w:rPr>
        <w:t>FILET SOCIAL</w:t>
      </w:r>
      <w:r w:rsidR="00BA4CB7" w:rsidRPr="00AB4839">
        <w:t xml:space="preserve"> afin d</w:t>
      </w:r>
      <w:r w:rsidR="00D24E15" w:rsidRPr="00AB4839">
        <w:t xml:space="preserve">’offrir </w:t>
      </w:r>
      <w:r w:rsidR="00BA4CB7" w:rsidRPr="00AB4839">
        <w:t xml:space="preserve">un minimum de </w:t>
      </w:r>
      <w:r w:rsidR="00D24E15" w:rsidRPr="00AB4839">
        <w:t>ressources financières</w:t>
      </w:r>
      <w:r w:rsidR="00BA4CB7" w:rsidRPr="00AB4839">
        <w:t xml:space="preserve"> </w:t>
      </w:r>
      <w:r w:rsidR="000B45D5" w:rsidRPr="00AB4839">
        <w:t>au moment de</w:t>
      </w:r>
      <w:r w:rsidR="00BA4CB7" w:rsidRPr="00AB4839">
        <w:t xml:space="preserve"> la retra</w:t>
      </w:r>
      <w:r w:rsidR="008517D5" w:rsidRPr="00AB4839">
        <w:t xml:space="preserve">ite des gens moins fortunés. </w:t>
      </w:r>
      <w:r w:rsidR="000B45D5" w:rsidRPr="00AB4839">
        <w:t>Cependant, p</w:t>
      </w:r>
      <w:r w:rsidR="00D24E15" w:rsidRPr="00AB4839">
        <w:t xml:space="preserve">our la majorité des individus, ce seuil minimal n’est pas suffisant et ne correspond </w:t>
      </w:r>
      <w:r w:rsidR="000B45D5" w:rsidRPr="00AB4839">
        <w:t xml:space="preserve">pas </w:t>
      </w:r>
      <w:r w:rsidR="00D24E15" w:rsidRPr="00AB4839">
        <w:t>aux objectifs de retraite que ceux-ci se sont fixés. Il faut alors compléter le montage financier du plan de retraite par un engagement d’épargne</w:t>
      </w:r>
      <w:r w:rsidR="00BA4CB7" w:rsidRPr="00AB4839">
        <w:t xml:space="preserve"> </w:t>
      </w:r>
      <w:r w:rsidR="00D24E15" w:rsidRPr="00AB4839">
        <w:t xml:space="preserve">qui exige de la discipline et dans lequel l’épargnant doit distinguer </w:t>
      </w:r>
      <w:r w:rsidR="005425E0" w:rsidRPr="00AB4839">
        <w:t xml:space="preserve">et choisir </w:t>
      </w:r>
      <w:r w:rsidR="00D24E15" w:rsidRPr="00AB4839">
        <w:t>les véhicules de placement qui lui convien</w:t>
      </w:r>
      <w:r w:rsidR="005425E0" w:rsidRPr="00AB4839">
        <w:t>nen</w:t>
      </w:r>
      <w:r w:rsidR="00D24E15" w:rsidRPr="00AB4839">
        <w:t>t le mieux.</w:t>
      </w:r>
      <w:r w:rsidR="005425E0" w:rsidRPr="00AB4839">
        <w:t xml:space="preserve"> Cet </w:t>
      </w:r>
      <w:r w:rsidR="00A50283">
        <w:t>exercice</w:t>
      </w:r>
      <w:r w:rsidR="00D24E15" w:rsidRPr="00AB4839">
        <w:t xml:space="preserve"> </w:t>
      </w:r>
      <w:r w:rsidR="000B45D5" w:rsidRPr="00AB4839">
        <w:t xml:space="preserve">témoigne d’une vie active responsable, capable de doser, à la fois, les besoins immédiats et la prévoyance au profit d’une retraite </w:t>
      </w:r>
      <w:r w:rsidR="00AB4839">
        <w:t>qui s</w:t>
      </w:r>
      <w:r w:rsidR="001C6109">
        <w:t>’</w:t>
      </w:r>
      <w:r w:rsidR="00AB4839">
        <w:t>e</w:t>
      </w:r>
      <w:r w:rsidR="001C6109">
        <w:t>xprime</w:t>
      </w:r>
      <w:r w:rsidR="0018386F">
        <w:t>ra</w:t>
      </w:r>
      <w:r w:rsidR="00AB4839">
        <w:t xml:space="preserve"> </w:t>
      </w:r>
      <w:r w:rsidR="000B45D5" w:rsidRPr="00AB4839">
        <w:t xml:space="preserve">en pleine </w:t>
      </w:r>
      <w:r w:rsidR="00A50283">
        <w:t>quiétude</w:t>
      </w:r>
      <w:r w:rsidR="000B45D5" w:rsidRPr="00AB4839">
        <w:t xml:space="preserve">. </w:t>
      </w:r>
      <w:r w:rsidR="00D24E15" w:rsidRPr="00AB4839">
        <w:t xml:space="preserve"> </w:t>
      </w:r>
    </w:p>
    <w:p w14:paraId="79714456" w14:textId="4506F4EB" w:rsidR="002E025D" w:rsidRDefault="002E025D" w:rsidP="00BE24A9">
      <w:pPr>
        <w:jc w:val="both"/>
        <w:rPr>
          <w:color w:val="FF6700" w:themeColor="accent3"/>
        </w:rPr>
      </w:pPr>
    </w:p>
    <w:p w14:paraId="09578757" w14:textId="19D1ACA1" w:rsidR="002E025D" w:rsidRDefault="002E025D" w:rsidP="00BE24A9">
      <w:pPr>
        <w:jc w:val="both"/>
      </w:pPr>
    </w:p>
    <w:p w14:paraId="2DB2D688" w14:textId="5D296195" w:rsidR="00D30697" w:rsidRDefault="00D30697"/>
    <w:p w14:paraId="45C96D97" w14:textId="77777777" w:rsidR="009D7BE0" w:rsidRDefault="009D7BE0"/>
    <w:p w14:paraId="5B7E0861" w14:textId="77777777" w:rsidR="009D7BE0" w:rsidRDefault="009D7BE0"/>
    <w:p w14:paraId="0D1458DE" w14:textId="4B53B5B9" w:rsidR="009D7BE0" w:rsidRDefault="009D7BE0"/>
    <w:p w14:paraId="60A1F824" w14:textId="77777777" w:rsidR="009D7BE0" w:rsidRDefault="009D7BE0"/>
    <w:p w14:paraId="40B95F76" w14:textId="77777777" w:rsidR="009D7BE0" w:rsidRDefault="009D7BE0"/>
    <w:p w14:paraId="228FF84D" w14:textId="74E0A17D" w:rsidR="009D7BE0" w:rsidRDefault="009D7BE0"/>
    <w:p w14:paraId="189AC198" w14:textId="77777777" w:rsidR="00F561C3" w:rsidRPr="002A6D59" w:rsidRDefault="00F561C3" w:rsidP="00F561C3">
      <w:r>
        <w:t>LES OBJECTIFS</w:t>
      </w:r>
    </w:p>
    <w:p w14:paraId="4F58947A" w14:textId="77777777" w:rsidR="00F561C3" w:rsidRDefault="00F561C3"/>
    <w:tbl>
      <w:tblPr>
        <w:tblStyle w:val="Listeclaire-Accent3"/>
        <w:tblW w:w="0" w:type="auto"/>
        <w:tblLook w:val="04A0" w:firstRow="1" w:lastRow="0" w:firstColumn="1" w:lastColumn="0" w:noHBand="0" w:noVBand="1"/>
      </w:tblPr>
      <w:tblGrid>
        <w:gridCol w:w="6573"/>
        <w:gridCol w:w="1615"/>
      </w:tblGrid>
      <w:tr w:rsidR="006D272E" w14:paraId="1558ED4D" w14:textId="77777777" w:rsidTr="00BB52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bottom w:val="nil"/>
            </w:tcBorders>
          </w:tcPr>
          <w:p w14:paraId="0F945B66" w14:textId="77777777" w:rsidR="006D272E" w:rsidRDefault="006D272E"/>
          <w:p w14:paraId="498302EA" w14:textId="77777777" w:rsidR="006D272E" w:rsidRDefault="006D272E" w:rsidP="003467FA">
            <w:pPr>
              <w:ind w:firstLine="708"/>
            </w:pPr>
          </w:p>
          <w:p w14:paraId="5B5E421E" w14:textId="190D5996" w:rsidR="006D272E" w:rsidRDefault="006D272E"/>
        </w:tc>
        <w:tc>
          <w:tcPr>
            <w:tcW w:w="1615" w:type="dxa"/>
            <w:tcBorders>
              <w:bottom w:val="nil"/>
            </w:tcBorders>
          </w:tcPr>
          <w:p w14:paraId="4A1B5356" w14:textId="2D4F3B0E" w:rsidR="006D272E" w:rsidRDefault="006D272E">
            <w:pPr>
              <w:cnfStyle w:val="100000000000" w:firstRow="1" w:lastRow="0" w:firstColumn="0" w:lastColumn="0" w:oddVBand="0" w:evenVBand="0" w:oddHBand="0" w:evenHBand="0" w:firstRowFirstColumn="0" w:firstRowLastColumn="0" w:lastRowFirstColumn="0" w:lastRowLastColumn="0"/>
            </w:pPr>
          </w:p>
        </w:tc>
      </w:tr>
      <w:tr w:rsidR="00F561C3" w14:paraId="08CF64A7" w14:textId="77777777" w:rsidTr="00BB5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02030586" w14:textId="0780D895" w:rsidR="006D272E" w:rsidRPr="00372BDD" w:rsidRDefault="006D272E">
            <w:pPr>
              <w:rPr>
                <w:b w:val="0"/>
              </w:rPr>
            </w:pPr>
          </w:p>
          <w:p w14:paraId="4F9C594E" w14:textId="77777777" w:rsidR="0082340B" w:rsidRDefault="0082340B">
            <w:pPr>
              <w:rPr>
                <w:b w:val="0"/>
              </w:rPr>
            </w:pPr>
          </w:p>
          <w:p w14:paraId="668FE38F" w14:textId="77777777" w:rsidR="00F561C3" w:rsidRPr="00372BDD" w:rsidRDefault="00F561C3">
            <w:pPr>
              <w:rPr>
                <w:b w:val="0"/>
              </w:rPr>
            </w:pPr>
            <w:r w:rsidRPr="00372BDD">
              <w:rPr>
                <w:b w:val="0"/>
              </w:rPr>
              <w:t>Comprendre l’importance et le rôle de l’épargne</w:t>
            </w:r>
          </w:p>
          <w:p w14:paraId="69F9892E" w14:textId="0A5D1B31" w:rsidR="00F561C3" w:rsidRPr="00372BDD" w:rsidRDefault="00F561C3">
            <w:pPr>
              <w:rPr>
                <w:b w:val="0"/>
              </w:rPr>
            </w:pPr>
          </w:p>
        </w:tc>
        <w:tc>
          <w:tcPr>
            <w:tcW w:w="1615" w:type="dxa"/>
            <w:tcBorders>
              <w:top w:val="nil"/>
              <w:bottom w:val="nil"/>
              <w:right w:val="nil"/>
            </w:tcBorders>
          </w:tcPr>
          <w:p w14:paraId="25109922" w14:textId="539958DC" w:rsidR="00F561C3" w:rsidRDefault="0082340B">
            <w:pPr>
              <w:cnfStyle w:val="000000100000" w:firstRow="0" w:lastRow="0" w:firstColumn="0" w:lastColumn="0" w:oddVBand="0" w:evenVBand="0" w:oddHBand="1" w:evenHBand="0" w:firstRowFirstColumn="0" w:firstRowLastColumn="0" w:lastRowFirstColumn="0" w:lastRowLastColumn="0"/>
            </w:pPr>
            <w:r>
              <w:rPr>
                <w:noProof/>
                <w:lang w:eastAsia="fr-FR"/>
              </w:rPr>
              <w:drawing>
                <wp:anchor distT="0" distB="0" distL="114300" distR="114300" simplePos="0" relativeHeight="251763712" behindDoc="0" locked="0" layoutInCell="1" allowOverlap="1" wp14:anchorId="5A0F8F81" wp14:editId="3CF2C26B">
                  <wp:simplePos x="0" y="0"/>
                  <wp:positionH relativeFrom="column">
                    <wp:posOffset>-59055</wp:posOffset>
                  </wp:positionH>
                  <wp:positionV relativeFrom="paragraph">
                    <wp:posOffset>81915</wp:posOffset>
                  </wp:positionV>
                  <wp:extent cx="685800" cy="681990"/>
                  <wp:effectExtent l="0" t="0" r="0" b="381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15-06-02 à 10.11.10.png"/>
                          <pic:cNvPicPr/>
                        </pic:nvPicPr>
                        <pic:blipFill rotWithShape="1">
                          <a:blip r:embed="rId15">
                            <a:alphaModFix/>
                            <a:extLst>
                              <a:ext uri="{28A0092B-C50C-407E-A947-70E740481C1C}">
                                <a14:useLocalDpi xmlns:a14="http://schemas.microsoft.com/office/drawing/2010/main" val="0"/>
                              </a:ext>
                            </a:extLst>
                          </a:blip>
                          <a:srcRect l="-2050" r="1676"/>
                          <a:stretch/>
                        </pic:blipFill>
                        <pic:spPr bwMode="auto">
                          <a:xfrm>
                            <a:off x="0" y="0"/>
                            <a:ext cx="685800" cy="68199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tc>
      </w:tr>
      <w:tr w:rsidR="00F561C3" w14:paraId="6CCFBA14" w14:textId="77777777" w:rsidTr="00BB5254">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48F7A777" w14:textId="77777777" w:rsidR="006D272E" w:rsidRPr="00372BDD" w:rsidRDefault="006D272E" w:rsidP="00F561C3">
            <w:pPr>
              <w:rPr>
                <w:b w:val="0"/>
              </w:rPr>
            </w:pPr>
          </w:p>
          <w:p w14:paraId="48195C2F" w14:textId="77777777" w:rsidR="0082340B" w:rsidRDefault="0082340B" w:rsidP="00F561C3">
            <w:pPr>
              <w:rPr>
                <w:b w:val="0"/>
              </w:rPr>
            </w:pPr>
          </w:p>
          <w:p w14:paraId="3C1AF042" w14:textId="77777777" w:rsidR="0082340B" w:rsidRDefault="0082340B" w:rsidP="00F561C3">
            <w:pPr>
              <w:rPr>
                <w:b w:val="0"/>
              </w:rPr>
            </w:pPr>
          </w:p>
          <w:p w14:paraId="707FF588" w14:textId="77777777" w:rsidR="0082340B" w:rsidRDefault="0082340B" w:rsidP="00F561C3">
            <w:pPr>
              <w:rPr>
                <w:b w:val="0"/>
              </w:rPr>
            </w:pPr>
          </w:p>
          <w:p w14:paraId="2C03D9B2" w14:textId="7FE05037" w:rsidR="00F561C3" w:rsidRPr="00372BDD" w:rsidRDefault="00F561C3" w:rsidP="00F561C3">
            <w:pPr>
              <w:rPr>
                <w:b w:val="0"/>
              </w:rPr>
            </w:pPr>
            <w:r w:rsidRPr="00372BDD">
              <w:rPr>
                <w:b w:val="0"/>
              </w:rPr>
              <w:t xml:space="preserve">Distinguer les régimes fédéral et provincial </w:t>
            </w:r>
            <w:r w:rsidR="004C687B">
              <w:rPr>
                <w:b w:val="0"/>
              </w:rPr>
              <w:t>(</w:t>
            </w:r>
            <w:r w:rsidRPr="00372BDD">
              <w:rPr>
                <w:b w:val="0"/>
              </w:rPr>
              <w:t>filet social</w:t>
            </w:r>
            <w:r w:rsidR="004C687B">
              <w:rPr>
                <w:b w:val="0"/>
              </w:rPr>
              <w:t>)</w:t>
            </w:r>
          </w:p>
          <w:p w14:paraId="17551018" w14:textId="46B04801" w:rsidR="00F561C3" w:rsidRPr="00372BDD" w:rsidRDefault="00F561C3" w:rsidP="00F561C3">
            <w:pPr>
              <w:rPr>
                <w:b w:val="0"/>
              </w:rPr>
            </w:pPr>
          </w:p>
        </w:tc>
        <w:tc>
          <w:tcPr>
            <w:tcW w:w="1615" w:type="dxa"/>
            <w:tcBorders>
              <w:top w:val="nil"/>
              <w:bottom w:val="nil"/>
              <w:right w:val="nil"/>
            </w:tcBorders>
          </w:tcPr>
          <w:p w14:paraId="35572FC0" w14:textId="0FF264B3" w:rsidR="00F561C3" w:rsidRDefault="0082340B">
            <w:pPr>
              <w:cnfStyle w:val="000000000000" w:firstRow="0" w:lastRow="0" w:firstColumn="0" w:lastColumn="0" w:oddVBand="0" w:evenVBand="0" w:oddHBand="0" w:evenHBand="0" w:firstRowFirstColumn="0" w:firstRowLastColumn="0" w:lastRowFirstColumn="0" w:lastRowLastColumn="0"/>
            </w:pPr>
            <w:r>
              <w:rPr>
                <w:noProof/>
                <w:lang w:eastAsia="fr-FR"/>
              </w:rPr>
              <w:drawing>
                <wp:anchor distT="0" distB="0" distL="114300" distR="114300" simplePos="0" relativeHeight="251765760" behindDoc="0" locked="0" layoutInCell="1" allowOverlap="1" wp14:anchorId="610DD089" wp14:editId="45147E2B">
                  <wp:simplePos x="0" y="0"/>
                  <wp:positionH relativeFrom="column">
                    <wp:posOffset>-59055</wp:posOffset>
                  </wp:positionH>
                  <wp:positionV relativeFrom="paragraph">
                    <wp:posOffset>477520</wp:posOffset>
                  </wp:positionV>
                  <wp:extent cx="685800" cy="681990"/>
                  <wp:effectExtent l="0" t="0" r="0" b="381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15-06-02 à 10.11.10.png"/>
                          <pic:cNvPicPr/>
                        </pic:nvPicPr>
                        <pic:blipFill rotWithShape="1">
                          <a:blip r:embed="rId15">
                            <a:alphaModFix/>
                            <a:extLst>
                              <a:ext uri="{28A0092B-C50C-407E-A947-70E740481C1C}">
                                <a14:useLocalDpi xmlns:a14="http://schemas.microsoft.com/office/drawing/2010/main" val="0"/>
                              </a:ext>
                            </a:extLst>
                          </a:blip>
                          <a:srcRect l="-2050" r="1676"/>
                          <a:stretch/>
                        </pic:blipFill>
                        <pic:spPr bwMode="auto">
                          <a:xfrm>
                            <a:off x="0" y="0"/>
                            <a:ext cx="685800" cy="68199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tc>
      </w:tr>
      <w:tr w:rsidR="00F561C3" w14:paraId="4A0BC4A4" w14:textId="77777777" w:rsidTr="00BB5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5FE06C81" w14:textId="77777777" w:rsidR="006D272E" w:rsidRDefault="006D272E" w:rsidP="00F561C3">
            <w:pPr>
              <w:rPr>
                <w:b w:val="0"/>
              </w:rPr>
            </w:pPr>
          </w:p>
          <w:p w14:paraId="269DB4F1" w14:textId="77777777" w:rsidR="0082340B" w:rsidRPr="00372BDD" w:rsidRDefault="0082340B" w:rsidP="00F561C3">
            <w:pPr>
              <w:rPr>
                <w:b w:val="0"/>
              </w:rPr>
            </w:pPr>
          </w:p>
          <w:p w14:paraId="77FB4F46" w14:textId="77777777" w:rsidR="0082340B" w:rsidRDefault="0082340B" w:rsidP="00F561C3">
            <w:pPr>
              <w:rPr>
                <w:b w:val="0"/>
              </w:rPr>
            </w:pPr>
          </w:p>
          <w:p w14:paraId="2B7E80C1" w14:textId="77777777" w:rsidR="0082340B" w:rsidRDefault="0082340B" w:rsidP="00F561C3">
            <w:pPr>
              <w:rPr>
                <w:b w:val="0"/>
              </w:rPr>
            </w:pPr>
          </w:p>
          <w:p w14:paraId="1EF9EAD2" w14:textId="3D6EAC02" w:rsidR="00F561C3" w:rsidRPr="00372BDD" w:rsidRDefault="00F561C3" w:rsidP="00F561C3">
            <w:pPr>
              <w:rPr>
                <w:b w:val="0"/>
              </w:rPr>
            </w:pPr>
            <w:r w:rsidRPr="00372BDD">
              <w:rPr>
                <w:b w:val="0"/>
              </w:rPr>
              <w:t>Comprendre le fonctionnement des différents véhicules de placement</w:t>
            </w:r>
          </w:p>
          <w:p w14:paraId="78228F97" w14:textId="7970EA5D" w:rsidR="00F561C3" w:rsidRPr="00372BDD" w:rsidRDefault="00F561C3" w:rsidP="00F561C3">
            <w:pPr>
              <w:rPr>
                <w:b w:val="0"/>
              </w:rPr>
            </w:pPr>
          </w:p>
        </w:tc>
        <w:tc>
          <w:tcPr>
            <w:tcW w:w="1615" w:type="dxa"/>
            <w:tcBorders>
              <w:top w:val="nil"/>
              <w:bottom w:val="nil"/>
              <w:right w:val="nil"/>
            </w:tcBorders>
          </w:tcPr>
          <w:p w14:paraId="60EB9DA6" w14:textId="0B333807" w:rsidR="00F561C3" w:rsidRDefault="0082340B">
            <w:pPr>
              <w:cnfStyle w:val="000000100000" w:firstRow="0" w:lastRow="0" w:firstColumn="0" w:lastColumn="0" w:oddVBand="0" w:evenVBand="0" w:oddHBand="1" w:evenHBand="0" w:firstRowFirstColumn="0" w:firstRowLastColumn="0" w:lastRowFirstColumn="0" w:lastRowLastColumn="0"/>
            </w:pPr>
            <w:r>
              <w:rPr>
                <w:noProof/>
                <w:lang w:eastAsia="fr-FR"/>
              </w:rPr>
              <w:drawing>
                <wp:anchor distT="0" distB="0" distL="114300" distR="114300" simplePos="0" relativeHeight="251767808" behindDoc="0" locked="0" layoutInCell="1" allowOverlap="1" wp14:anchorId="46F91A0B" wp14:editId="1054EBA9">
                  <wp:simplePos x="0" y="0"/>
                  <wp:positionH relativeFrom="column">
                    <wp:posOffset>-59055</wp:posOffset>
                  </wp:positionH>
                  <wp:positionV relativeFrom="paragraph">
                    <wp:posOffset>499110</wp:posOffset>
                  </wp:positionV>
                  <wp:extent cx="685800" cy="681990"/>
                  <wp:effectExtent l="0" t="0" r="0" b="381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15-06-02 à 10.11.10.png"/>
                          <pic:cNvPicPr/>
                        </pic:nvPicPr>
                        <pic:blipFill rotWithShape="1">
                          <a:blip r:embed="rId15">
                            <a:alphaModFix/>
                            <a:extLst>
                              <a:ext uri="{28A0092B-C50C-407E-A947-70E740481C1C}">
                                <a14:useLocalDpi xmlns:a14="http://schemas.microsoft.com/office/drawing/2010/main" val="0"/>
                              </a:ext>
                            </a:extLst>
                          </a:blip>
                          <a:srcRect l="-2050" r="1676"/>
                          <a:stretch/>
                        </pic:blipFill>
                        <pic:spPr bwMode="auto">
                          <a:xfrm>
                            <a:off x="0" y="0"/>
                            <a:ext cx="685800" cy="68199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tc>
      </w:tr>
      <w:tr w:rsidR="00F561C3" w14:paraId="4E523761" w14:textId="77777777" w:rsidTr="00BB5254">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3FAF6D66" w14:textId="77777777" w:rsidR="006D272E" w:rsidRDefault="006D272E" w:rsidP="00F561C3">
            <w:pPr>
              <w:rPr>
                <w:b w:val="0"/>
              </w:rPr>
            </w:pPr>
          </w:p>
          <w:p w14:paraId="7871A4BD" w14:textId="77777777" w:rsidR="0082340B" w:rsidRPr="00372BDD" w:rsidRDefault="0082340B" w:rsidP="00F561C3">
            <w:pPr>
              <w:rPr>
                <w:b w:val="0"/>
              </w:rPr>
            </w:pPr>
          </w:p>
          <w:p w14:paraId="7F1D2DC8" w14:textId="77777777" w:rsidR="0082340B" w:rsidRDefault="0082340B" w:rsidP="00F561C3">
            <w:pPr>
              <w:rPr>
                <w:b w:val="0"/>
              </w:rPr>
            </w:pPr>
          </w:p>
          <w:p w14:paraId="2F1E3AF0" w14:textId="77777777" w:rsidR="0082340B" w:rsidRDefault="0082340B" w:rsidP="00F561C3">
            <w:pPr>
              <w:rPr>
                <w:b w:val="0"/>
              </w:rPr>
            </w:pPr>
          </w:p>
          <w:p w14:paraId="73FCB994" w14:textId="38395A53" w:rsidR="00F561C3" w:rsidRPr="00372BDD" w:rsidRDefault="00F561C3" w:rsidP="00F561C3">
            <w:pPr>
              <w:rPr>
                <w:b w:val="0"/>
              </w:rPr>
            </w:pPr>
            <w:r w:rsidRPr="00372BDD">
              <w:rPr>
                <w:b w:val="0"/>
              </w:rPr>
              <w:t>Optimiser les scénarios d’épargne</w:t>
            </w:r>
            <w:r w:rsidR="004C687B">
              <w:rPr>
                <w:b w:val="0"/>
              </w:rPr>
              <w:t xml:space="preserve"> dans des contextes diversifiés</w:t>
            </w:r>
          </w:p>
          <w:p w14:paraId="4083B187" w14:textId="7E78422E" w:rsidR="00F561C3" w:rsidRPr="00372BDD" w:rsidRDefault="00F561C3" w:rsidP="00F561C3">
            <w:pPr>
              <w:rPr>
                <w:b w:val="0"/>
              </w:rPr>
            </w:pPr>
          </w:p>
        </w:tc>
        <w:tc>
          <w:tcPr>
            <w:tcW w:w="1615" w:type="dxa"/>
            <w:tcBorders>
              <w:top w:val="nil"/>
              <w:bottom w:val="nil"/>
              <w:right w:val="nil"/>
            </w:tcBorders>
          </w:tcPr>
          <w:p w14:paraId="173E5BBE" w14:textId="3AC9EC1C" w:rsidR="00F561C3" w:rsidRDefault="0082340B">
            <w:pPr>
              <w:cnfStyle w:val="000000000000" w:firstRow="0" w:lastRow="0" w:firstColumn="0" w:lastColumn="0" w:oddVBand="0" w:evenVBand="0" w:oddHBand="0" w:evenHBand="0" w:firstRowFirstColumn="0" w:firstRowLastColumn="0" w:lastRowFirstColumn="0" w:lastRowLastColumn="0"/>
            </w:pPr>
            <w:r>
              <w:rPr>
                <w:noProof/>
                <w:lang w:eastAsia="fr-FR"/>
              </w:rPr>
              <w:drawing>
                <wp:anchor distT="0" distB="0" distL="114300" distR="114300" simplePos="0" relativeHeight="251769856" behindDoc="0" locked="0" layoutInCell="1" allowOverlap="1" wp14:anchorId="6F73B4FA" wp14:editId="50DBCF86">
                  <wp:simplePos x="0" y="0"/>
                  <wp:positionH relativeFrom="column">
                    <wp:posOffset>-59055</wp:posOffset>
                  </wp:positionH>
                  <wp:positionV relativeFrom="paragraph">
                    <wp:posOffset>562610</wp:posOffset>
                  </wp:positionV>
                  <wp:extent cx="685800" cy="681990"/>
                  <wp:effectExtent l="0" t="0" r="0" b="381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15-06-02 à 10.11.10.png"/>
                          <pic:cNvPicPr/>
                        </pic:nvPicPr>
                        <pic:blipFill rotWithShape="1">
                          <a:blip r:embed="rId15">
                            <a:alphaModFix/>
                            <a:extLst>
                              <a:ext uri="{28A0092B-C50C-407E-A947-70E740481C1C}">
                                <a14:useLocalDpi xmlns:a14="http://schemas.microsoft.com/office/drawing/2010/main" val="0"/>
                              </a:ext>
                            </a:extLst>
                          </a:blip>
                          <a:srcRect l="-2050" r="1676"/>
                          <a:stretch/>
                        </pic:blipFill>
                        <pic:spPr bwMode="auto">
                          <a:xfrm>
                            <a:off x="0" y="0"/>
                            <a:ext cx="685800" cy="68199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tc>
      </w:tr>
    </w:tbl>
    <w:p w14:paraId="19159A50" w14:textId="335D3D7C" w:rsidR="00F561C3" w:rsidRDefault="00F561C3" w:rsidP="00F561C3"/>
    <w:p w14:paraId="5B7A85E0" w14:textId="21638E1B" w:rsidR="0054569B" w:rsidRDefault="00FB0802" w:rsidP="006C34CF">
      <w:pPr>
        <w:pStyle w:val="Titre1"/>
        <w:numPr>
          <w:ilvl w:val="0"/>
          <w:numId w:val="2"/>
        </w:numPr>
      </w:pPr>
      <w:bookmarkStart w:id="4" w:name="_Toc314397809"/>
      <w:bookmarkStart w:id="5" w:name="_Toc443569353"/>
      <w:r>
        <w:lastRenderedPageBreak/>
        <w:t>L</w:t>
      </w:r>
      <w:r w:rsidR="000B58B4">
        <w:t>’</w:t>
      </w:r>
      <w:r w:rsidR="009951CC">
        <w:t>épargne</w:t>
      </w:r>
      <w:bookmarkEnd w:id="4"/>
      <w:bookmarkEnd w:id="5"/>
    </w:p>
    <w:p w14:paraId="6494C0E5" w14:textId="77777777" w:rsidR="005C3A85" w:rsidRDefault="005C3A85" w:rsidP="005C3A85"/>
    <w:p w14:paraId="2744FB5E" w14:textId="59C9AB7B" w:rsidR="005C3A85" w:rsidRDefault="005C3A85" w:rsidP="005C3A85">
      <w:pPr>
        <w:jc w:val="both"/>
        <w:rPr>
          <w:rFonts w:ascii="Avenir Next Regular" w:hAnsi="Avenir Next Regular"/>
        </w:rPr>
      </w:pPr>
      <w:r>
        <w:t>Dans la perspective des finances personnelles, il arrive très souvent que l’on parle de l’épargne. Ce concept fait l’objet de multiples interprétations et définitions de la part de la population en général. Pour l’un, un RE</w:t>
      </w:r>
      <w:r w:rsidR="00D4374B">
        <w:t>É</w:t>
      </w:r>
      <w:r>
        <w:t xml:space="preserve">R constitue </w:t>
      </w:r>
      <w:r w:rsidR="00E011A2">
        <w:t xml:space="preserve">l’expression </w:t>
      </w:r>
      <w:r w:rsidR="00EC3D88">
        <w:t xml:space="preserve">ultime </w:t>
      </w:r>
      <w:r>
        <w:t xml:space="preserve">de l’épargne, alors que pour d’autres, la volonté de mettre de l’argent de côté pour se payer une croisière de rêve exprime également l’action d’épargner. </w:t>
      </w:r>
      <w:r w:rsidR="00EC3D88">
        <w:t xml:space="preserve">Dans </w:t>
      </w:r>
      <w:r w:rsidR="00025D95">
        <w:t>notre</w:t>
      </w:r>
      <w:r w:rsidR="00EC3D88">
        <w:t xml:space="preserve"> cadre</w:t>
      </w:r>
      <w:r w:rsidR="0018386F">
        <w:t xml:space="preserve"> d'étude</w:t>
      </w:r>
      <w:r w:rsidR="00EC3D88">
        <w:t>, o</w:t>
      </w:r>
      <w:r>
        <w:t xml:space="preserve">ù se situe exactement le concept de </w:t>
      </w:r>
      <w:proofErr w:type="gramStart"/>
      <w:r>
        <w:t>l’épargne</w:t>
      </w:r>
      <w:r w:rsidRPr="007B19BD">
        <w:rPr>
          <w:rFonts w:ascii="Avenir Next Regular" w:hAnsi="Avenir Next Regular"/>
        </w:rPr>
        <w:t>?</w:t>
      </w:r>
      <w:proofErr w:type="gramEnd"/>
    </w:p>
    <w:p w14:paraId="34ECFED9" w14:textId="1D48B535" w:rsidR="00B015BC" w:rsidRPr="00B015BC" w:rsidRDefault="00B015BC" w:rsidP="006C34CF">
      <w:pPr>
        <w:pStyle w:val="Titre2"/>
        <w:numPr>
          <w:ilvl w:val="1"/>
          <w:numId w:val="2"/>
        </w:numPr>
        <w:ind w:left="284" w:hanging="284"/>
      </w:pPr>
      <w:bookmarkStart w:id="6" w:name="_Toc314397810"/>
      <w:bookmarkStart w:id="7" w:name="_Toc443569354"/>
      <w:r>
        <w:t>Quelques définitions</w:t>
      </w:r>
      <w:bookmarkEnd w:id="6"/>
      <w:bookmarkEnd w:id="7"/>
    </w:p>
    <w:p w14:paraId="7B0F3B01" w14:textId="77777777" w:rsidR="00387965" w:rsidRDefault="00387965" w:rsidP="00E92BB2">
      <w:pPr>
        <w:jc w:val="both"/>
      </w:pPr>
    </w:p>
    <w:p w14:paraId="7078848D" w14:textId="02FED5DD" w:rsidR="00F31B08" w:rsidRDefault="007D30D0" w:rsidP="00E92BB2">
      <w:pPr>
        <w:jc w:val="both"/>
      </w:pPr>
      <w:r>
        <w:t xml:space="preserve">Une première définition de l’épargne </w:t>
      </w:r>
      <w:r w:rsidR="00E92BB2" w:rsidRPr="00E92BB2">
        <w:t>est celle de Keynes,</w:t>
      </w:r>
      <w:r>
        <w:t xml:space="preserve"> </w:t>
      </w:r>
      <w:r w:rsidR="00E92BB2" w:rsidRPr="00E92BB2">
        <w:t xml:space="preserve">pour qui </w:t>
      </w:r>
      <w:r>
        <w:t>celle-ci correspond à</w:t>
      </w:r>
      <w:r w:rsidR="00E92BB2" w:rsidRPr="00E92BB2">
        <w:t xml:space="preserve"> l'excédent du </w:t>
      </w:r>
      <w:r>
        <w:rPr>
          <w:color w:val="FF6700" w:themeColor="accent3"/>
        </w:rPr>
        <w:t>REVENU DISPONIBLE</w:t>
      </w:r>
      <w:r w:rsidR="00E92BB2" w:rsidRPr="00E92BB2">
        <w:t xml:space="preserve"> sur la consommation (Keynes, 1936). L'épargne peut </w:t>
      </w:r>
      <w:r>
        <w:t xml:space="preserve">également être </w:t>
      </w:r>
      <w:r w:rsidR="00E92BB2" w:rsidRPr="00E92BB2">
        <w:t>représent</w:t>
      </w:r>
      <w:r>
        <w:t>ée par</w:t>
      </w:r>
      <w:r w:rsidR="00E92BB2" w:rsidRPr="00E92BB2">
        <w:t xml:space="preserve"> la fraction de revenus</w:t>
      </w:r>
      <w:r w:rsidR="006F2A3A">
        <w:t xml:space="preserve"> </w:t>
      </w:r>
      <w:r w:rsidR="00E92BB2" w:rsidRPr="00E92BB2">
        <w:t xml:space="preserve">placée, voire investie dans le but de disposer d'un </w:t>
      </w:r>
      <w:r>
        <w:rPr>
          <w:color w:val="FF6700" w:themeColor="accent3"/>
        </w:rPr>
        <w:t>POUVOIR D’ACHAT</w:t>
      </w:r>
      <w:r w:rsidR="00E92BB2" w:rsidRPr="00E92BB2">
        <w:t xml:space="preserve"> plus important dans le futur (Barel </w:t>
      </w:r>
      <w:r w:rsidR="00C029EE" w:rsidRPr="00E83500">
        <w:t>et</w:t>
      </w:r>
      <w:r w:rsidR="00C029EE">
        <w:rPr>
          <w:i/>
        </w:rPr>
        <w:t xml:space="preserve"> coll.</w:t>
      </w:r>
      <w:r w:rsidR="00E92BB2" w:rsidRPr="00E92BB2">
        <w:t>,</w:t>
      </w:r>
      <w:r w:rsidR="00E92BB2">
        <w:t xml:space="preserve"> 1</w:t>
      </w:r>
      <w:r w:rsidR="00E92BB2" w:rsidRPr="00E92BB2">
        <w:t>997)</w:t>
      </w:r>
      <w:r>
        <w:t>.</w:t>
      </w:r>
      <w:r w:rsidR="007E2E2A">
        <w:t xml:space="preserve"> </w:t>
      </w:r>
      <w:r w:rsidR="001B294B">
        <w:t xml:space="preserve">La juxtaposition de ces deux définitions </w:t>
      </w:r>
      <w:r w:rsidR="00C029EE">
        <w:t>met</w:t>
      </w:r>
      <w:r w:rsidR="001B294B">
        <w:t xml:space="preserve"> en relief deux aspects </w:t>
      </w:r>
      <w:r w:rsidR="00341E63">
        <w:t>essentiels</w:t>
      </w:r>
      <w:r w:rsidR="001B294B">
        <w:t xml:space="preserve"> de l’épargne :</w:t>
      </w:r>
    </w:p>
    <w:p w14:paraId="60F3B736" w14:textId="77777777" w:rsidR="001B294B" w:rsidRDefault="001B294B" w:rsidP="001B294B">
      <w:pPr>
        <w:jc w:val="both"/>
      </w:pPr>
    </w:p>
    <w:p w14:paraId="38DF2064" w14:textId="68E25ADC" w:rsidR="001B294B" w:rsidRDefault="001B294B" w:rsidP="006C34CF">
      <w:pPr>
        <w:pStyle w:val="Paragraphedeliste"/>
        <w:numPr>
          <w:ilvl w:val="0"/>
          <w:numId w:val="1"/>
        </w:numPr>
        <w:jc w:val="both"/>
      </w:pPr>
      <w:r>
        <w:t>Pour la constituer</w:t>
      </w:r>
      <w:r w:rsidR="00341E63">
        <w:t>,</w:t>
      </w:r>
      <w:r>
        <w:t xml:space="preserve"> le train de vie de l’individu doit être inférieur à l’ensemble de ses revenus après impôts</w:t>
      </w:r>
    </w:p>
    <w:p w14:paraId="59D236C6" w14:textId="77777777" w:rsidR="001B294B" w:rsidRDefault="001B294B" w:rsidP="001B294B">
      <w:pPr>
        <w:jc w:val="both"/>
      </w:pPr>
    </w:p>
    <w:p w14:paraId="43035058" w14:textId="67506ED1" w:rsidR="001B294B" w:rsidRDefault="001B294B" w:rsidP="006C34CF">
      <w:pPr>
        <w:pStyle w:val="Paragraphedeliste"/>
        <w:numPr>
          <w:ilvl w:val="0"/>
          <w:numId w:val="1"/>
        </w:numPr>
        <w:jc w:val="both"/>
      </w:pPr>
      <w:r>
        <w:t xml:space="preserve">L’objectif </w:t>
      </w:r>
      <w:r w:rsidR="00341E63">
        <w:t xml:space="preserve">ultime </w:t>
      </w:r>
      <w:r>
        <w:t>de constituer de l’épargne</w:t>
      </w:r>
      <w:r w:rsidR="00341E63">
        <w:t xml:space="preserve"> au présent</w:t>
      </w:r>
      <w:r>
        <w:t xml:space="preserve"> </w:t>
      </w:r>
      <w:r w:rsidR="00341E63">
        <w:t>est de permettre de consommer dans le futur</w:t>
      </w:r>
    </w:p>
    <w:p w14:paraId="13B82511" w14:textId="77777777" w:rsidR="00341E63" w:rsidRDefault="00341E63" w:rsidP="00341E63">
      <w:pPr>
        <w:jc w:val="both"/>
      </w:pPr>
    </w:p>
    <w:p w14:paraId="35E318F1" w14:textId="49CD6293" w:rsidR="000569B3" w:rsidRDefault="0018386F" w:rsidP="00341E63">
      <w:pPr>
        <w:jc w:val="both"/>
      </w:pPr>
      <w:r w:rsidRPr="00322911">
        <w:rPr>
          <w:noProof/>
          <w:lang w:eastAsia="fr-FR"/>
        </w:rPr>
        <w:drawing>
          <wp:anchor distT="0" distB="0" distL="114300" distR="114300" simplePos="0" relativeHeight="251771904" behindDoc="0" locked="0" layoutInCell="1" allowOverlap="1" wp14:anchorId="149F7D27" wp14:editId="674B7C70">
            <wp:simplePos x="0" y="0"/>
            <wp:positionH relativeFrom="column">
              <wp:posOffset>-800100</wp:posOffset>
            </wp:positionH>
            <wp:positionV relativeFrom="paragraph">
              <wp:posOffset>1274445</wp:posOffset>
            </wp:positionV>
            <wp:extent cx="685800" cy="779145"/>
            <wp:effectExtent l="0" t="0" r="0" b="8255"/>
            <wp:wrapNone/>
            <wp:docPr id="41" name="Image 41"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41E63">
        <w:t xml:space="preserve">C’est donc dire que l’épargne constitue le geste de se priver aujourd’hui d’un dollar, </w:t>
      </w:r>
      <w:r w:rsidR="006F0D95">
        <w:t xml:space="preserve">en le soustrayant à la tentation de le consommer, pour le préserver dans un lieu de placement avec l’objectif de générer des revenus qui permettront à l’individu d’assumer son </w:t>
      </w:r>
      <w:r w:rsidR="006F0D95">
        <w:rPr>
          <w:color w:val="FF6700" w:themeColor="accent3"/>
        </w:rPr>
        <w:t>TRAIN DE VIE</w:t>
      </w:r>
      <w:r w:rsidR="006F0D95">
        <w:t xml:space="preserve"> futur.</w:t>
      </w:r>
      <w:r w:rsidR="005A4C1E">
        <w:t xml:space="preserve"> Afin de bien </w:t>
      </w:r>
      <w:r w:rsidR="00C029EE">
        <w:t>circonscrire</w:t>
      </w:r>
      <w:r w:rsidR="005A4C1E">
        <w:t xml:space="preserve"> la situation, il vaut mieux préciser que la période de l’épargne correspond à la vie active </w:t>
      </w:r>
      <w:r w:rsidR="000569B3">
        <w:t>(période où les revenus proviennent surtout des efforts travaillés) alors que le moment futur où l’on consomme le fruit de l’épargne représente le moment de la retraite (les revenus proviennent alors surtout du capital accumulé</w:t>
      </w:r>
      <w:r>
        <w:t xml:space="preserve"> et de son rendement</w:t>
      </w:r>
      <w:r w:rsidR="000569B3">
        <w:t xml:space="preserve">). </w:t>
      </w:r>
    </w:p>
    <w:p w14:paraId="1F508F9E" w14:textId="453529B6" w:rsidR="000569B3" w:rsidRDefault="000569B3" w:rsidP="00341E63">
      <w:pPr>
        <w:jc w:val="both"/>
      </w:pPr>
    </w:p>
    <w:p w14:paraId="56146415" w14:textId="7546C3E7" w:rsidR="00341E63" w:rsidRDefault="007669F2" w:rsidP="00341E63">
      <w:pPr>
        <w:jc w:val="both"/>
        <w:rPr>
          <w:color w:val="FF0000"/>
        </w:rPr>
      </w:pPr>
      <w:r>
        <w:t xml:space="preserve">Prenons le </w:t>
      </w:r>
      <w:r w:rsidR="000569B3">
        <w:t xml:space="preserve">cas où </w:t>
      </w:r>
      <w:r w:rsidR="00BA28F6">
        <w:rPr>
          <w:color w:val="FF0000"/>
        </w:rPr>
        <w:t xml:space="preserve">Jean </w:t>
      </w:r>
      <w:r w:rsidR="000569B3" w:rsidRPr="003E0116">
        <w:rPr>
          <w:color w:val="FF0000"/>
        </w:rPr>
        <w:t>Faucher</w:t>
      </w:r>
      <w:r w:rsidR="000569B3">
        <w:t xml:space="preserve"> </w:t>
      </w:r>
      <w:r w:rsidR="00C029EE">
        <w:t xml:space="preserve">réussit </w:t>
      </w:r>
      <w:r w:rsidR="000569B3">
        <w:t xml:space="preserve">à prélever </w:t>
      </w:r>
      <w:r w:rsidR="00261131">
        <w:t>1</w:t>
      </w:r>
      <w:r w:rsidR="000569B3">
        <w:t xml:space="preserve">00 $ </w:t>
      </w:r>
      <w:r w:rsidR="00331135">
        <w:t>à chacune de ses</w:t>
      </w:r>
      <w:r w:rsidR="000569B3">
        <w:t xml:space="preserve"> paie</w:t>
      </w:r>
      <w:r w:rsidR="00331135">
        <w:t>s</w:t>
      </w:r>
      <w:r w:rsidR="000569B3">
        <w:t xml:space="preserve"> </w:t>
      </w:r>
      <w:r w:rsidR="00331135">
        <w:t xml:space="preserve">pour </w:t>
      </w:r>
      <w:r>
        <w:t xml:space="preserve">en faire </w:t>
      </w:r>
      <w:r w:rsidR="00331135">
        <w:t>le dép</w:t>
      </w:r>
      <w:r>
        <w:t>ôt</w:t>
      </w:r>
      <w:r w:rsidR="00331135">
        <w:t xml:space="preserve"> dans un C</w:t>
      </w:r>
      <w:r w:rsidR="00D4374B">
        <w:t>É</w:t>
      </w:r>
      <w:r w:rsidR="00331135">
        <w:t xml:space="preserve">LI </w:t>
      </w:r>
      <w:r w:rsidR="00261131">
        <w:t>dans le but de débourser 5 200 $ pour se payer un voyage paradis</w:t>
      </w:r>
      <w:r w:rsidR="00C65039">
        <w:t>i</w:t>
      </w:r>
      <w:r w:rsidR="00261131">
        <w:t>aque sur l’ile de Bali</w:t>
      </w:r>
      <w:r>
        <w:t xml:space="preserve"> dans deux ans.</w:t>
      </w:r>
      <w:r w:rsidR="00261131">
        <w:t xml:space="preserve"> </w:t>
      </w:r>
      <w:r>
        <w:t xml:space="preserve">Bien que nous convenons tous que ce plan </w:t>
      </w:r>
      <w:r w:rsidR="00C029EE">
        <w:t>est</w:t>
      </w:r>
      <w:r>
        <w:t xml:space="preserve"> davantage louable que d’envisager la réalisation immédiate de ce désir par l</w:t>
      </w:r>
      <w:r w:rsidR="00C65039">
        <w:t>e financement d’un tel voyage par l</w:t>
      </w:r>
      <w:r>
        <w:t>’utilisation d</w:t>
      </w:r>
      <w:r w:rsidR="0018386F">
        <w:t>'une</w:t>
      </w:r>
      <w:r>
        <w:t xml:space="preserve"> marge de crédit, </w:t>
      </w:r>
      <w:r w:rsidR="00C65039">
        <w:t xml:space="preserve">il ne faut pas confondre </w:t>
      </w:r>
      <w:r w:rsidR="00C65039">
        <w:lastRenderedPageBreak/>
        <w:t xml:space="preserve">cette stratégie à celle de l’épargne. </w:t>
      </w:r>
      <w:r w:rsidR="00C029EE">
        <w:t xml:space="preserve">Dans le cas présent, </w:t>
      </w:r>
      <w:r w:rsidR="00A4329F">
        <w:t>il</w:t>
      </w:r>
      <w:r w:rsidR="00C65039">
        <w:t xml:space="preserve"> </w:t>
      </w:r>
      <w:r w:rsidR="00C029EE">
        <w:t xml:space="preserve">ne </w:t>
      </w:r>
      <w:r w:rsidR="00C65039">
        <w:t xml:space="preserve">s’agit, ni plus, ni moins, </w:t>
      </w:r>
      <w:r w:rsidR="00C029EE">
        <w:t xml:space="preserve">que </w:t>
      </w:r>
      <w:r w:rsidR="00C65039">
        <w:t xml:space="preserve">d’un report </w:t>
      </w:r>
      <w:r w:rsidR="00D62229">
        <w:t>de dépenses associées au train de vie de Monsieur Faucher.</w:t>
      </w:r>
      <w:r w:rsidR="00403CF8">
        <w:t xml:space="preserve"> </w:t>
      </w:r>
    </w:p>
    <w:p w14:paraId="340B26D8" w14:textId="77777777" w:rsidR="000B58B4" w:rsidRDefault="000B58B4" w:rsidP="00341E63">
      <w:pPr>
        <w:jc w:val="both"/>
      </w:pPr>
    </w:p>
    <w:p w14:paraId="10611AFA" w14:textId="206C1610" w:rsidR="003E0116" w:rsidRDefault="00B864CC" w:rsidP="00341E63">
      <w:pPr>
        <w:jc w:val="both"/>
      </w:pPr>
      <w:r>
        <w:t xml:space="preserve">Il n’y a pas de doute que l’épargne constitue une expression de </w:t>
      </w:r>
      <w:r w:rsidR="00E43429">
        <w:rPr>
          <w:color w:val="FF6700" w:themeColor="accent3"/>
        </w:rPr>
        <w:t>DUALITÉ</w:t>
      </w:r>
      <w:r w:rsidR="00C622B3">
        <w:t xml:space="preserve">. Elle </w:t>
      </w:r>
      <w:r w:rsidR="00357388">
        <w:t>propose</w:t>
      </w:r>
      <w:r w:rsidR="00C622B3">
        <w:t xml:space="preserve"> une joute qui existe entre notre propre personne actuelle et la projection de cette même personne dans le temps. Lorsque nous consommons aujourd’hui, nous réalisons cette action pour répondre à un besoin immédiat au dé</w:t>
      </w:r>
      <w:r w:rsidR="000E695D">
        <w:t>pend</w:t>
      </w:r>
      <w:r w:rsidR="00C622B3">
        <w:t xml:space="preserve"> d’un besoin futur qui sera à combler. Cette conception de la consommation et de </w:t>
      </w:r>
      <w:r w:rsidR="00E8291A">
        <w:t>l’</w:t>
      </w:r>
      <w:r w:rsidR="00C622B3">
        <w:t xml:space="preserve">épargne qui nous représente comme étant constamment en état de prêter (épargne) ou d’emprunter (consommation) à notre futur moi a été </w:t>
      </w:r>
      <w:r w:rsidR="00E8291A">
        <w:t>brillamment</w:t>
      </w:r>
      <w:r w:rsidR="00C622B3">
        <w:t xml:space="preserve"> illustré par Daniel Goldstein</w:t>
      </w:r>
      <w:r w:rsidR="00E8291A">
        <w:t xml:space="preserve"> (Chercheur principal</w:t>
      </w:r>
      <w:r w:rsidR="00E8291A" w:rsidRPr="00E8291A">
        <w:t>, Microsoft Research, New York City</w:t>
      </w:r>
      <w:r w:rsidR="00E8291A">
        <w:t>)</w:t>
      </w:r>
      <w:r w:rsidR="00C622B3">
        <w:t>. V</w:t>
      </w:r>
      <w:r w:rsidR="00025D95">
        <w:t>oici</w:t>
      </w:r>
      <w:r w:rsidR="00C622B3">
        <w:t xml:space="preserve"> une conférence TED qu’il a </w:t>
      </w:r>
      <w:r w:rsidR="00E8291A">
        <w:t>présentée</w:t>
      </w:r>
      <w:r w:rsidR="00A36F84">
        <w:t xml:space="preserve"> en 2011sur ce sujet.</w:t>
      </w:r>
    </w:p>
    <w:p w14:paraId="58199AA6" w14:textId="7D829EFC" w:rsidR="009C5DFE" w:rsidRDefault="006E3E26" w:rsidP="00341E63">
      <w:pPr>
        <w:jc w:val="both"/>
      </w:pPr>
      <w:r>
        <w:rPr>
          <w:noProof/>
          <w:lang w:eastAsia="fr-FR"/>
        </w:rPr>
        <w:drawing>
          <wp:anchor distT="0" distB="0" distL="114300" distR="114300" simplePos="0" relativeHeight="251773952" behindDoc="0" locked="0" layoutInCell="1" allowOverlap="1" wp14:anchorId="660535B8" wp14:editId="6E522A4E">
            <wp:simplePos x="0" y="0"/>
            <wp:positionH relativeFrom="column">
              <wp:posOffset>5372100</wp:posOffset>
            </wp:positionH>
            <wp:positionV relativeFrom="paragraph">
              <wp:posOffset>74295</wp:posOffset>
            </wp:positionV>
            <wp:extent cx="685800" cy="681990"/>
            <wp:effectExtent l="0" t="0" r="0" b="3810"/>
            <wp:wrapNone/>
            <wp:docPr id="43" name="Image 43" descr="Macintosh HD:Users:marcbachand:Desktop:Capture d’écran 2015-06-08 à 17.04.54.png">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76A8FBE" w14:textId="77777777" w:rsidR="006E3E26" w:rsidRDefault="006E3E26" w:rsidP="00341E63">
      <w:pPr>
        <w:jc w:val="both"/>
      </w:pPr>
    </w:p>
    <w:p w14:paraId="1E145F31" w14:textId="6A1CEF2E" w:rsidR="00172F78" w:rsidRPr="00701CD6" w:rsidRDefault="00573C95" w:rsidP="00341E63">
      <w:pPr>
        <w:jc w:val="both"/>
        <w:rPr>
          <w:color w:val="FF6600"/>
        </w:rPr>
      </w:pPr>
      <w:hyperlink r:id="rId19" w:history="1">
        <w:r w:rsidR="00172F78" w:rsidRPr="00701CD6">
          <w:rPr>
            <w:rStyle w:val="Lienhypertexte"/>
            <w:color w:val="FF6600"/>
          </w:rPr>
          <w:t>Daniel Goldstein : la bataille entre votre moi actuel et votre futur moi</w:t>
        </w:r>
      </w:hyperlink>
      <w:r w:rsidR="00172F78" w:rsidRPr="00701CD6">
        <w:rPr>
          <w:color w:val="FF6600"/>
        </w:rPr>
        <w:t xml:space="preserve"> </w:t>
      </w:r>
    </w:p>
    <w:p w14:paraId="1B885460" w14:textId="77777777" w:rsidR="009C5DFE" w:rsidRDefault="009C5DFE" w:rsidP="00341E63">
      <w:pPr>
        <w:jc w:val="both"/>
        <w:rPr>
          <w:color w:val="FC00E1"/>
        </w:rPr>
      </w:pPr>
    </w:p>
    <w:p w14:paraId="1CC02B25" w14:textId="539BC972" w:rsidR="009D5475" w:rsidRDefault="009D5475" w:rsidP="006C34CF">
      <w:pPr>
        <w:pStyle w:val="Titre2"/>
        <w:numPr>
          <w:ilvl w:val="1"/>
          <w:numId w:val="2"/>
        </w:numPr>
        <w:ind w:left="284" w:hanging="284"/>
      </w:pPr>
      <w:bookmarkStart w:id="8" w:name="_Toc314397811"/>
      <w:bookmarkStart w:id="9" w:name="_Toc443569355"/>
      <w:r>
        <w:t>Le cycle de la vie</w:t>
      </w:r>
      <w:bookmarkEnd w:id="8"/>
      <w:bookmarkEnd w:id="9"/>
      <w:r w:rsidR="009E4080" w:rsidRPr="009E4080">
        <w:rPr>
          <w:noProof/>
          <w:lang w:eastAsia="fr-FR"/>
        </w:rPr>
        <w:t xml:space="preserve"> </w:t>
      </w:r>
    </w:p>
    <w:p w14:paraId="685A1191" w14:textId="77777777" w:rsidR="00C47B12" w:rsidRDefault="00C47B12" w:rsidP="00387965"/>
    <w:p w14:paraId="372607BB" w14:textId="77777777" w:rsidR="00DB2161" w:rsidRDefault="0008520C" w:rsidP="00DB2161">
      <w:pPr>
        <w:jc w:val="both"/>
      </w:pPr>
      <w:r>
        <w:t xml:space="preserve">Les objectifs personnels que nous nous fixons au cours de notre vie peuvent varier selon nos personnalités, nos valeurs, nos aspirations, nos expériences passées et tout ce qui est de fortuit dans nos cheminements. </w:t>
      </w:r>
      <w:r w:rsidR="00DB2161">
        <w:t xml:space="preserve">Bien que l'on désigne souvent la vie comme étant un phénomène cyclique où la fragilité du début s'unit à celle de la fin de nos vies, </w:t>
      </w:r>
      <w:r>
        <w:t xml:space="preserve">les </w:t>
      </w:r>
      <w:r w:rsidR="00DB2161">
        <w:t>étapes entre le commencement et la fin ne se définissent pas de manière linéaire et unique dans le temps.</w:t>
      </w:r>
    </w:p>
    <w:p w14:paraId="21CE05FF" w14:textId="77777777" w:rsidR="00DB2161" w:rsidRDefault="00DB2161" w:rsidP="00DB2161">
      <w:pPr>
        <w:jc w:val="both"/>
      </w:pPr>
    </w:p>
    <w:p w14:paraId="40CE9091" w14:textId="0DB14457" w:rsidR="0008520C" w:rsidRDefault="00DB2161" w:rsidP="00DB2161">
      <w:pPr>
        <w:jc w:val="both"/>
      </w:pPr>
      <w:r>
        <w:t>Cependant</w:t>
      </w:r>
      <w:r w:rsidR="00FD13DF">
        <w:t>,</w:t>
      </w:r>
      <w:r>
        <w:t xml:space="preserve"> lorsque nous abordons de manière plus spécifique no</w:t>
      </w:r>
      <w:r w:rsidR="00DC70C6">
        <w:t xml:space="preserve">s </w:t>
      </w:r>
      <w:r w:rsidR="00DC70C6">
        <w:rPr>
          <w:color w:val="FF6700" w:themeColor="accent3"/>
        </w:rPr>
        <w:t>OBJECTIFS FINANCIERS</w:t>
      </w:r>
      <w:r w:rsidR="00DC70C6">
        <w:t xml:space="preserve"> et nos parcours pour les atteindre, ceux-ci répondent davantage à un cheminement immuable où il est facile d'identifier les principales étapes.</w:t>
      </w:r>
      <w:r w:rsidR="00D63535">
        <w:t xml:space="preserve"> Celles-ci présupposent une certaine chronologie puisqu'elles sont à la fois interdépendantes et préalables les unes aux autres. Par exemple, il serait impossible de se retrouver dans la phase du désinvestissement (utiliser les revenus provenant de nos placements) sans préalablement avoir consacré une partie de notre vie à épargner pour </w:t>
      </w:r>
      <w:r w:rsidR="00B416D5">
        <w:t>constituer ces mêmes placements.</w:t>
      </w:r>
    </w:p>
    <w:p w14:paraId="5C29C499" w14:textId="77777777" w:rsidR="00B416D5" w:rsidRDefault="00B416D5" w:rsidP="00DB2161">
      <w:pPr>
        <w:jc w:val="both"/>
      </w:pPr>
    </w:p>
    <w:p w14:paraId="2F63116D" w14:textId="77777777" w:rsidR="00395A01" w:rsidRDefault="00395A01" w:rsidP="00B416D5">
      <w:pPr>
        <w:ind w:left="708"/>
        <w:jc w:val="both"/>
        <w:rPr>
          <w:color w:val="FF6700" w:themeColor="accent3"/>
        </w:rPr>
      </w:pPr>
    </w:p>
    <w:p w14:paraId="06A03FBE" w14:textId="77777777" w:rsidR="00395A01" w:rsidRDefault="00395A01" w:rsidP="00B416D5">
      <w:pPr>
        <w:ind w:left="708"/>
        <w:jc w:val="both"/>
        <w:rPr>
          <w:color w:val="FF6700" w:themeColor="accent3"/>
        </w:rPr>
      </w:pPr>
    </w:p>
    <w:p w14:paraId="5EB8251C" w14:textId="3CF2123C" w:rsidR="006539DC" w:rsidRDefault="006539DC" w:rsidP="006539DC">
      <w:pPr>
        <w:rPr>
          <w:color w:val="FF6700" w:themeColor="accent3"/>
        </w:rPr>
      </w:pPr>
      <w:r w:rsidRPr="003E0116">
        <w:rPr>
          <w:color w:val="FF6700" w:themeColor="accent3"/>
        </w:rPr>
        <w:lastRenderedPageBreak/>
        <w:t>I</w:t>
      </w:r>
      <w:r w:rsidR="006C4C47">
        <w:rPr>
          <w:color w:val="FF6700" w:themeColor="accent3"/>
        </w:rPr>
        <w:t>MAGE</w:t>
      </w:r>
      <w:r w:rsidRPr="003E0116">
        <w:rPr>
          <w:color w:val="FF6700" w:themeColor="accent3"/>
        </w:rPr>
        <w:t xml:space="preserve"> 7-</w:t>
      </w:r>
      <w:r>
        <w:rPr>
          <w:color w:val="FF6700" w:themeColor="accent3"/>
        </w:rPr>
        <w:t>1</w:t>
      </w:r>
      <w:r w:rsidR="006C4C47">
        <w:rPr>
          <w:color w:val="FF6700" w:themeColor="accent3"/>
        </w:rPr>
        <w:tab/>
      </w:r>
      <w:r>
        <w:rPr>
          <w:color w:val="FF6700" w:themeColor="accent3"/>
        </w:rPr>
        <w:t>Étapes</w:t>
      </w:r>
      <w:r w:rsidRPr="003E0116">
        <w:rPr>
          <w:color w:val="FF6700" w:themeColor="accent3"/>
        </w:rPr>
        <w:t xml:space="preserve"> de la vie </w:t>
      </w:r>
      <w:r>
        <w:rPr>
          <w:color w:val="FF6700" w:themeColor="accent3"/>
        </w:rPr>
        <w:t>financière</w:t>
      </w:r>
    </w:p>
    <w:p w14:paraId="0966E4B3" w14:textId="77777777" w:rsidR="00DD3117" w:rsidRPr="003E0116" w:rsidRDefault="00DD3117" w:rsidP="006539DC">
      <w:pPr>
        <w:rPr>
          <w:color w:val="FF6700" w:themeColor="accent3"/>
        </w:rPr>
      </w:pPr>
    </w:p>
    <w:p w14:paraId="41FD194F" w14:textId="757C2463" w:rsidR="00137E81" w:rsidRDefault="006539DC" w:rsidP="00137E81">
      <w:pPr>
        <w:ind w:left="708"/>
        <w:jc w:val="both"/>
        <w:rPr>
          <w:color w:val="FF6700" w:themeColor="accent3"/>
        </w:rPr>
      </w:pPr>
      <w:r>
        <w:rPr>
          <w:noProof/>
          <w:lang w:eastAsia="fr-FR"/>
        </w:rPr>
        <w:drawing>
          <wp:anchor distT="0" distB="0" distL="114300" distR="114300" simplePos="0" relativeHeight="251716608" behindDoc="0" locked="0" layoutInCell="1" allowOverlap="1" wp14:anchorId="68C3F32D" wp14:editId="6EF509EF">
            <wp:simplePos x="0" y="0"/>
            <wp:positionH relativeFrom="column">
              <wp:posOffset>-228600</wp:posOffset>
            </wp:positionH>
            <wp:positionV relativeFrom="paragraph">
              <wp:posOffset>197485</wp:posOffset>
            </wp:positionV>
            <wp:extent cx="4109726" cy="4114800"/>
            <wp:effectExtent l="0" t="0" r="508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5-06-01 à 11.45.58.png"/>
                    <pic:cNvPicPr/>
                  </pic:nvPicPr>
                  <pic:blipFill>
                    <a:blip r:embed="rId20">
                      <a:extLst>
                        <a:ext uri="{28A0092B-C50C-407E-A947-70E740481C1C}">
                          <a14:useLocalDpi xmlns:a14="http://schemas.microsoft.com/office/drawing/2010/main" val="0"/>
                        </a:ext>
                      </a:extLst>
                    </a:blip>
                    <a:stretch>
                      <a:fillRect/>
                    </a:stretch>
                  </pic:blipFill>
                  <pic:spPr>
                    <a:xfrm>
                      <a:off x="0" y="0"/>
                      <a:ext cx="4109726" cy="41148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37E81">
        <w:rPr>
          <w:color w:val="FF6700" w:themeColor="accent3"/>
        </w:rPr>
        <w:tab/>
      </w:r>
      <w:r w:rsidR="00137E81">
        <w:rPr>
          <w:color w:val="FF6700" w:themeColor="accent3"/>
        </w:rPr>
        <w:tab/>
      </w:r>
      <w:r w:rsidR="00137E81">
        <w:rPr>
          <w:color w:val="FF6700" w:themeColor="accent3"/>
        </w:rPr>
        <w:tab/>
      </w:r>
      <w:r w:rsidR="00137E81">
        <w:rPr>
          <w:color w:val="FF6700" w:themeColor="accent3"/>
        </w:rPr>
        <w:tab/>
      </w:r>
      <w:r w:rsidR="00137E81">
        <w:rPr>
          <w:color w:val="FF6700" w:themeColor="accent3"/>
        </w:rPr>
        <w:tab/>
      </w:r>
      <w:r w:rsidR="00137E81">
        <w:rPr>
          <w:color w:val="FF6700" w:themeColor="accent3"/>
        </w:rPr>
        <w:tab/>
      </w:r>
      <w:r w:rsidR="00137E81">
        <w:rPr>
          <w:color w:val="FF6700" w:themeColor="accent3"/>
        </w:rPr>
        <w:tab/>
      </w:r>
      <w:r w:rsidR="00137E81">
        <w:rPr>
          <w:color w:val="FF6700" w:themeColor="accent3"/>
        </w:rPr>
        <w:tab/>
        <w:t>L'ÉDUCATION</w:t>
      </w:r>
    </w:p>
    <w:p w14:paraId="25C0D0EE" w14:textId="77777777" w:rsidR="00137E81" w:rsidRDefault="00137E81" w:rsidP="00137E81">
      <w:pPr>
        <w:ind w:left="708"/>
        <w:jc w:val="both"/>
      </w:pPr>
    </w:p>
    <w:p w14:paraId="711BFD25" w14:textId="77777777" w:rsidR="00137E81" w:rsidRDefault="00137E81" w:rsidP="00137E81">
      <w:pPr>
        <w:ind w:left="708"/>
        <w:jc w:val="both"/>
      </w:pPr>
      <w:r>
        <w:t xml:space="preserve">Cette phase témoigne des années les plus formatrices de nos vies. Autant celles qui se déroulent par les acquis scolaires que celles qui se transmettent par la famille et nos réseaux d'influence. C'est l'incroyable potentiel de la vie humaine qui s'y développe en nous fournissant les outils pour nous permettre de s'accomplir dans l'autonomie (notamment financière) et l'atteinte de nos aspirations. C'est une période où nos valeurs se définissent, où nos intérêts prennent forme, où l'on cherche et trouve réponse à nos choix de carrière. Sans pour autant affirmer que tout s'y joue, ces longues années sont déterminantes sur au moins deux aspects qui seront des assises à nos finances </w:t>
      </w:r>
      <w:proofErr w:type="gramStart"/>
      <w:r>
        <w:t>personnelles:</w:t>
      </w:r>
      <w:proofErr w:type="gramEnd"/>
    </w:p>
    <w:p w14:paraId="59CB679B" w14:textId="77777777" w:rsidR="00137E81" w:rsidRDefault="00137E81" w:rsidP="00137E81">
      <w:pPr>
        <w:ind w:left="708"/>
        <w:jc w:val="both"/>
      </w:pPr>
    </w:p>
    <w:p w14:paraId="6B528630" w14:textId="77777777" w:rsidR="00137E81" w:rsidRDefault="00137E81" w:rsidP="006C34CF">
      <w:pPr>
        <w:pStyle w:val="Paragraphedeliste"/>
        <w:numPr>
          <w:ilvl w:val="0"/>
          <w:numId w:val="3"/>
        </w:numPr>
        <w:jc w:val="both"/>
      </w:pPr>
      <w:r>
        <w:t>Notre potentiel à générer des revenus</w:t>
      </w:r>
    </w:p>
    <w:p w14:paraId="23538373" w14:textId="77777777" w:rsidR="002374DD" w:rsidRDefault="002374DD" w:rsidP="002374DD">
      <w:pPr>
        <w:ind w:left="1068"/>
        <w:jc w:val="both"/>
      </w:pPr>
    </w:p>
    <w:p w14:paraId="57F2DA52" w14:textId="66A57B68" w:rsidR="00137E81" w:rsidRDefault="00137E81" w:rsidP="006C34CF">
      <w:pPr>
        <w:pStyle w:val="Paragraphedeliste"/>
        <w:numPr>
          <w:ilvl w:val="0"/>
          <w:numId w:val="3"/>
        </w:numPr>
        <w:jc w:val="both"/>
      </w:pPr>
      <w:r>
        <w:t xml:space="preserve">Notre style de vie et notre désir à consommer </w:t>
      </w:r>
      <w:r>
        <w:tab/>
      </w:r>
      <w:r>
        <w:tab/>
        <w:t>des biens et des services</w:t>
      </w:r>
    </w:p>
    <w:p w14:paraId="1AAE516F" w14:textId="77777777" w:rsidR="00137E81" w:rsidRDefault="00137E81" w:rsidP="00137E81">
      <w:pPr>
        <w:ind w:left="1068"/>
        <w:jc w:val="both"/>
      </w:pPr>
    </w:p>
    <w:p w14:paraId="16DF1A33" w14:textId="1E35B7F8" w:rsidR="00137E81" w:rsidRDefault="00137E81" w:rsidP="00137E81">
      <w:pPr>
        <w:ind w:left="708"/>
        <w:jc w:val="both"/>
        <w:rPr>
          <w:color w:val="FF6700" w:themeColor="accent3"/>
        </w:rPr>
      </w:pPr>
      <w:r>
        <w:t>Dans l'optique d'assurer à nos vies une voie productive, emplie de sens et de valeur, les périodes consacrées à l'éducation constituent l'investissement ultime.</w:t>
      </w:r>
      <w:r w:rsidRPr="00137E81">
        <w:rPr>
          <w:color w:val="FF6700" w:themeColor="accent3"/>
        </w:rPr>
        <w:t xml:space="preserve"> </w:t>
      </w:r>
    </w:p>
    <w:p w14:paraId="0B3413A1" w14:textId="77777777" w:rsidR="00137E81" w:rsidRDefault="00137E81" w:rsidP="00137E81">
      <w:pPr>
        <w:ind w:left="708"/>
        <w:jc w:val="both"/>
        <w:rPr>
          <w:color w:val="FF6700" w:themeColor="accent3"/>
        </w:rPr>
      </w:pPr>
    </w:p>
    <w:p w14:paraId="6C43B4F5" w14:textId="77777777" w:rsidR="002374DD" w:rsidRDefault="002374DD" w:rsidP="00137E81">
      <w:pPr>
        <w:ind w:left="708"/>
        <w:jc w:val="both"/>
        <w:rPr>
          <w:color w:val="FF6700" w:themeColor="accent3"/>
        </w:rPr>
      </w:pPr>
    </w:p>
    <w:p w14:paraId="7C820C38" w14:textId="77777777" w:rsidR="002374DD" w:rsidRDefault="002374DD" w:rsidP="00137E81">
      <w:pPr>
        <w:ind w:left="708"/>
        <w:jc w:val="both"/>
        <w:rPr>
          <w:color w:val="FF6700" w:themeColor="accent3"/>
        </w:rPr>
      </w:pPr>
    </w:p>
    <w:p w14:paraId="483440D3" w14:textId="77777777" w:rsidR="004B55C1" w:rsidRDefault="004B55C1" w:rsidP="00137E81">
      <w:pPr>
        <w:ind w:left="708"/>
        <w:jc w:val="both"/>
        <w:rPr>
          <w:color w:val="FF6700" w:themeColor="accent3"/>
        </w:rPr>
      </w:pPr>
    </w:p>
    <w:p w14:paraId="17A7B63F" w14:textId="77777777" w:rsidR="004B55C1" w:rsidRDefault="004B55C1" w:rsidP="00137E81">
      <w:pPr>
        <w:ind w:left="708"/>
        <w:jc w:val="both"/>
        <w:rPr>
          <w:color w:val="FF6700" w:themeColor="accent3"/>
        </w:rPr>
      </w:pPr>
    </w:p>
    <w:p w14:paraId="17D65232" w14:textId="07FCE043" w:rsidR="00137E81" w:rsidRDefault="00137E81" w:rsidP="00137E81">
      <w:pPr>
        <w:ind w:left="708"/>
        <w:jc w:val="both"/>
        <w:rPr>
          <w:color w:val="FF6700" w:themeColor="accent3"/>
        </w:rPr>
      </w:pPr>
      <w:r>
        <w:rPr>
          <w:color w:val="FF6700" w:themeColor="accent3"/>
        </w:rPr>
        <w:lastRenderedPageBreak/>
        <w:t>CONSOMMATION/ÉPARGNE</w:t>
      </w:r>
    </w:p>
    <w:p w14:paraId="141C0922" w14:textId="77777777" w:rsidR="00137E81" w:rsidRDefault="00137E81" w:rsidP="00137E81">
      <w:pPr>
        <w:ind w:left="708"/>
        <w:jc w:val="both"/>
      </w:pPr>
    </w:p>
    <w:p w14:paraId="1297087A" w14:textId="77777777" w:rsidR="00137E81" w:rsidRDefault="00137E81" w:rsidP="002374DD">
      <w:pPr>
        <w:ind w:firstLine="1"/>
        <w:jc w:val="both"/>
      </w:pPr>
      <w:r>
        <w:t xml:space="preserve">Une fois l'étape de l’enfance et de la jeunesse, certains diront surmontée, l'heure est désormais aux grandes premières décisions. Celles-ci se multiplient, et parfois malheureusement, se bousculent. </w:t>
      </w:r>
    </w:p>
    <w:p w14:paraId="472CE51B" w14:textId="77777777" w:rsidR="00137E81" w:rsidRDefault="00137E81" w:rsidP="00137E81">
      <w:pPr>
        <w:ind w:left="708"/>
        <w:jc w:val="both"/>
      </w:pPr>
    </w:p>
    <w:p w14:paraId="205E2885" w14:textId="77777777" w:rsidR="00137E81" w:rsidRDefault="00137E81" w:rsidP="002374DD">
      <w:pPr>
        <w:jc w:val="both"/>
        <w:rPr>
          <w:color w:val="E80E89"/>
        </w:rPr>
      </w:pPr>
      <w:r w:rsidRPr="002E475B">
        <w:rPr>
          <w:color w:val="3366FF"/>
        </w:rPr>
        <w:t>Le début d'une carrière</w:t>
      </w:r>
      <w:r>
        <w:t xml:space="preserve">, </w:t>
      </w:r>
      <w:r w:rsidRPr="002E475B">
        <w:rPr>
          <w:color w:val="008000"/>
        </w:rPr>
        <w:t>le choix d'un conjoint</w:t>
      </w:r>
      <w:r>
        <w:t xml:space="preserve">, </w:t>
      </w:r>
      <w:r w:rsidRPr="002E475B">
        <w:rPr>
          <w:color w:val="FF0000"/>
        </w:rPr>
        <w:t>l</w:t>
      </w:r>
      <w:r>
        <w:rPr>
          <w:color w:val="FF0000"/>
        </w:rPr>
        <w:t>'état</w:t>
      </w:r>
      <w:r w:rsidRPr="002E475B">
        <w:rPr>
          <w:color w:val="FF0000"/>
        </w:rPr>
        <w:t xml:space="preserve"> </w:t>
      </w:r>
      <w:r>
        <w:rPr>
          <w:color w:val="FF0000"/>
        </w:rPr>
        <w:t>civil</w:t>
      </w:r>
      <w:r w:rsidRPr="002E475B">
        <w:rPr>
          <w:color w:val="FF0000"/>
        </w:rPr>
        <w:t xml:space="preserve"> à donner à cette relation</w:t>
      </w:r>
      <w:r>
        <w:t xml:space="preserve">, </w:t>
      </w:r>
      <w:r w:rsidRPr="002E475B">
        <w:rPr>
          <w:color w:val="8222D2"/>
        </w:rPr>
        <w:t>la première maison</w:t>
      </w:r>
      <w:r>
        <w:t xml:space="preserve">, </w:t>
      </w:r>
      <w:r w:rsidRPr="002E475B">
        <w:rPr>
          <w:color w:val="E80E89"/>
        </w:rPr>
        <w:t>la venue des enfants</w:t>
      </w:r>
      <w:r>
        <w:rPr>
          <w:color w:val="E80E89"/>
        </w:rPr>
        <w:t>.</w:t>
      </w:r>
    </w:p>
    <w:p w14:paraId="682D59B5" w14:textId="5A4A01D7" w:rsidR="00137E81" w:rsidRDefault="00137E81" w:rsidP="002374DD">
      <w:pPr>
        <w:jc w:val="both"/>
      </w:pPr>
    </w:p>
    <w:p w14:paraId="20FA84DD" w14:textId="0DDF7558" w:rsidR="002E475B" w:rsidRPr="002E475B" w:rsidRDefault="002E475B" w:rsidP="002374DD">
      <w:pPr>
        <w:jc w:val="both"/>
      </w:pPr>
      <w:r>
        <w:t>Chacune de ces décisions aura des conséquences sur le style de vie qui sera adopté et influencera grandement l'environnement économique et financier. La modernité amenant les gens à prendre des décisions rapidement et à satisfaire leurs besoins et envies presq</w:t>
      </w:r>
      <w:r w:rsidR="00174EFC">
        <w:t xml:space="preserve">ue instantanément, </w:t>
      </w:r>
      <w:r w:rsidR="003A0654">
        <w:t xml:space="preserve">il n'est pas étonnant d'observer que </w:t>
      </w:r>
      <w:r w:rsidR="00174EFC">
        <w:t xml:space="preserve">la situation financière qui résulte de cette période est souvent plombée d'obligations financières importantes. Cette période de grands déboursés et </w:t>
      </w:r>
      <w:r w:rsidR="003A0654">
        <w:t xml:space="preserve">de </w:t>
      </w:r>
      <w:r w:rsidR="00174EFC">
        <w:rPr>
          <w:color w:val="FF6700" w:themeColor="accent3"/>
        </w:rPr>
        <w:t xml:space="preserve">GRANDE CONSOMMATION </w:t>
      </w:r>
      <w:r w:rsidR="00174EFC">
        <w:t xml:space="preserve">s'effectue trop souvent par une </w:t>
      </w:r>
      <w:r w:rsidR="00A4329F">
        <w:t>sur</w:t>
      </w:r>
      <w:r w:rsidR="00FD13DF">
        <w:t>-</w:t>
      </w:r>
      <w:r w:rsidR="00A4329F">
        <w:t>utilisation</w:t>
      </w:r>
      <w:r w:rsidR="00174EFC">
        <w:t xml:space="preserve"> du crédit, reportant ainsi à plus tard l'</w:t>
      </w:r>
      <w:r w:rsidR="000B5C7F">
        <w:rPr>
          <w:color w:val="FF6700" w:themeColor="accent3"/>
        </w:rPr>
        <w:t>ÉPARGNE</w:t>
      </w:r>
      <w:r w:rsidR="00174EFC">
        <w:t>.</w:t>
      </w:r>
      <w:r w:rsidR="003A0654">
        <w:t xml:space="preserve"> Cette dynamique nuit à la création d'un patrimoine qui sera dédié à fournir des revenus au moment de la retraite.</w:t>
      </w:r>
      <w:r w:rsidR="004A338A">
        <w:t xml:space="preserve"> C'est un peu la fable de</w:t>
      </w:r>
      <w:r w:rsidR="00BA554C">
        <w:t xml:space="preserve"> la </w:t>
      </w:r>
      <w:proofErr w:type="gramStart"/>
      <w:r w:rsidR="00BA554C">
        <w:t>F</w:t>
      </w:r>
      <w:r w:rsidR="004A338A">
        <w:t>ontaine</w:t>
      </w:r>
      <w:r w:rsidR="00BA554C">
        <w:t>:</w:t>
      </w:r>
      <w:proofErr w:type="gramEnd"/>
      <w:r w:rsidR="004A338A">
        <w:t xml:space="preserve"> la </w:t>
      </w:r>
      <w:r w:rsidR="00BA554C">
        <w:t>C</w:t>
      </w:r>
      <w:r w:rsidR="004A338A">
        <w:t xml:space="preserve">igale </w:t>
      </w:r>
      <w:r w:rsidR="00BA554C">
        <w:t>e</w:t>
      </w:r>
      <w:r w:rsidR="004A338A">
        <w:t xml:space="preserve">t la </w:t>
      </w:r>
      <w:r w:rsidR="00BA554C">
        <w:t>F</w:t>
      </w:r>
      <w:r w:rsidR="004A338A">
        <w:t>ourmi, aux</w:t>
      </w:r>
      <w:r w:rsidR="000B5C7F">
        <w:t xml:space="preserve"> yeux</w:t>
      </w:r>
      <w:r w:rsidR="004A338A">
        <w:t xml:space="preserve"> de jeunes adultes,</w:t>
      </w:r>
      <w:r w:rsidR="003A0654">
        <w:t xml:space="preserve"> la retraite est si loin</w:t>
      </w:r>
      <w:r w:rsidR="000B5C7F">
        <w:t>taine</w:t>
      </w:r>
      <w:r w:rsidR="003A0654">
        <w:t xml:space="preserve"> et le moment présent est si doux!  </w:t>
      </w:r>
      <w:r w:rsidR="00174EFC">
        <w:t xml:space="preserve">  </w:t>
      </w:r>
      <w:r>
        <w:t xml:space="preserve"> </w:t>
      </w:r>
    </w:p>
    <w:p w14:paraId="75DF2077" w14:textId="32CE8472" w:rsidR="00BE590D" w:rsidRPr="00B416D5" w:rsidRDefault="00BE590D" w:rsidP="00B416D5">
      <w:pPr>
        <w:ind w:left="708"/>
        <w:jc w:val="both"/>
      </w:pPr>
    </w:p>
    <w:p w14:paraId="7FA7FAFF" w14:textId="1BFCB5EF" w:rsidR="003D6BC9" w:rsidRDefault="003D6BC9" w:rsidP="003D6BC9">
      <w:pPr>
        <w:ind w:left="708"/>
        <w:jc w:val="both"/>
        <w:rPr>
          <w:color w:val="FF6700" w:themeColor="accent3"/>
        </w:rPr>
      </w:pPr>
      <w:r>
        <w:rPr>
          <w:color w:val="FF6700" w:themeColor="accent3"/>
        </w:rPr>
        <w:t>ÉPARGNE/CONSOMMATION</w:t>
      </w:r>
    </w:p>
    <w:p w14:paraId="44C7CFA3" w14:textId="77777777" w:rsidR="00C136CD" w:rsidRDefault="00C136CD" w:rsidP="003D6BC9">
      <w:pPr>
        <w:ind w:left="708"/>
        <w:jc w:val="both"/>
        <w:rPr>
          <w:color w:val="FF6700" w:themeColor="accent3"/>
        </w:rPr>
      </w:pPr>
    </w:p>
    <w:p w14:paraId="40758BF6" w14:textId="5263226B" w:rsidR="00C136CD" w:rsidRDefault="00C136CD" w:rsidP="00C136CD">
      <w:pPr>
        <w:jc w:val="both"/>
        <w:rPr>
          <w:color w:val="FF6700" w:themeColor="accent3"/>
        </w:rPr>
      </w:pPr>
      <w:r>
        <w:t>Puis, avec le temps qui fuit si rapidement vient d'autres grands bouleversements qui aboutissent normalement à une période de plus grande stabilité.</w:t>
      </w:r>
    </w:p>
    <w:p w14:paraId="2A932C5C" w14:textId="77777777" w:rsidR="000B5C7F" w:rsidRDefault="000B5C7F" w:rsidP="00387965"/>
    <w:p w14:paraId="0DFA33F0" w14:textId="3DA7E994" w:rsidR="00DA0D9A" w:rsidRDefault="00DA0D9A" w:rsidP="00C136CD">
      <w:pPr>
        <w:jc w:val="both"/>
        <w:rPr>
          <w:color w:val="E80E89"/>
        </w:rPr>
      </w:pPr>
      <w:r>
        <w:rPr>
          <w:color w:val="3366FF"/>
        </w:rPr>
        <w:t xml:space="preserve">Une </w:t>
      </w:r>
      <w:r w:rsidRPr="002E475B">
        <w:rPr>
          <w:color w:val="3366FF"/>
        </w:rPr>
        <w:t>carrière</w:t>
      </w:r>
      <w:r>
        <w:rPr>
          <w:color w:val="3366FF"/>
        </w:rPr>
        <w:t xml:space="preserve"> bien établie</w:t>
      </w:r>
      <w:r w:rsidR="00CD1041">
        <w:rPr>
          <w:color w:val="3366FF"/>
        </w:rPr>
        <w:t xml:space="preserve"> </w:t>
      </w:r>
      <w:r w:rsidR="009468AB">
        <w:rPr>
          <w:color w:val="3366FF"/>
        </w:rPr>
        <w:t>qui atteint</w:t>
      </w:r>
      <w:r w:rsidR="00CD1041">
        <w:rPr>
          <w:color w:val="3366FF"/>
        </w:rPr>
        <w:t xml:space="preserve"> le sommet de no</w:t>
      </w:r>
      <w:r w:rsidR="009468AB">
        <w:rPr>
          <w:color w:val="3366FF"/>
        </w:rPr>
        <w:t>tre potentiel de</w:t>
      </w:r>
      <w:r w:rsidR="00CD1041">
        <w:rPr>
          <w:color w:val="3366FF"/>
        </w:rPr>
        <w:t xml:space="preserve"> rémunération</w:t>
      </w:r>
      <w:r>
        <w:t xml:space="preserve">, </w:t>
      </w:r>
      <w:r w:rsidRPr="002E475B">
        <w:rPr>
          <w:color w:val="8222D2"/>
        </w:rPr>
        <w:t>la maison</w:t>
      </w:r>
      <w:r w:rsidR="009468AB">
        <w:rPr>
          <w:color w:val="8222D2"/>
        </w:rPr>
        <w:t xml:space="preserve"> qui est payée</w:t>
      </w:r>
      <w:r>
        <w:t xml:space="preserve">, </w:t>
      </w:r>
      <w:r w:rsidRPr="002E475B">
        <w:rPr>
          <w:color w:val="E80E89"/>
        </w:rPr>
        <w:t>l</w:t>
      </w:r>
      <w:r w:rsidR="009468AB">
        <w:rPr>
          <w:color w:val="E80E89"/>
        </w:rPr>
        <w:t>e départ des</w:t>
      </w:r>
      <w:r w:rsidRPr="002E475B">
        <w:rPr>
          <w:color w:val="E80E89"/>
        </w:rPr>
        <w:t xml:space="preserve"> enfants</w:t>
      </w:r>
      <w:r w:rsidR="006D6F31">
        <w:rPr>
          <w:color w:val="E80E89"/>
        </w:rPr>
        <w:t xml:space="preserve"> (et peut-être des études à financer en partie par les parents)</w:t>
      </w:r>
      <w:r>
        <w:rPr>
          <w:color w:val="E80E89"/>
        </w:rPr>
        <w:t>.</w:t>
      </w:r>
    </w:p>
    <w:p w14:paraId="4F2A71AA" w14:textId="77777777" w:rsidR="009468AB" w:rsidRDefault="009468AB" w:rsidP="00DA0D9A">
      <w:pPr>
        <w:ind w:left="708"/>
        <w:jc w:val="both"/>
        <w:rPr>
          <w:color w:val="E80E89"/>
        </w:rPr>
      </w:pPr>
    </w:p>
    <w:p w14:paraId="2A576C96" w14:textId="18D49204" w:rsidR="009468AB" w:rsidRDefault="009468AB" w:rsidP="00C136CD">
      <w:pPr>
        <w:jc w:val="both"/>
      </w:pPr>
      <w:r>
        <w:t>Normalement, cette période devrait permettre de dégager un revenu disponible</w:t>
      </w:r>
      <w:r w:rsidR="002A6776">
        <w:t>,</w:t>
      </w:r>
      <w:r>
        <w:t xml:space="preserve"> après </w:t>
      </w:r>
      <w:r w:rsidR="002A6776">
        <w:t>avoir assumé le train de vie, plus important. Cet excédent sera alors consacré à un</w:t>
      </w:r>
      <w:r w:rsidR="00FD3A91">
        <w:t>e</w:t>
      </w:r>
      <w:r w:rsidR="002A6776">
        <w:t xml:space="preserve"> épargne qui sera plus ou moins pressant</w:t>
      </w:r>
      <w:r w:rsidR="00FD3A91">
        <w:t>e</w:t>
      </w:r>
      <w:r w:rsidR="002A6776">
        <w:t xml:space="preserve"> </w:t>
      </w:r>
      <w:r w:rsidR="00A4329F">
        <w:rPr>
          <w:lang w:val="fr-CA"/>
        </w:rPr>
        <w:t>dépendamment</w:t>
      </w:r>
      <w:r w:rsidR="002A6776">
        <w:t xml:space="preserve"> de la situation financière qui prévaudra à la sortie de l'étape de vie précédente (CONSOMMATION/ÉPARGNE)</w:t>
      </w:r>
      <w:r w:rsidR="00A4329F">
        <w:t>. Tel</w:t>
      </w:r>
      <w:r w:rsidR="002A6776">
        <w:t xml:space="preserve"> que nous le commentions précédemment, les étapes de vie sont à la fois interdépendantes et préalables les unes aux autres.</w:t>
      </w:r>
    </w:p>
    <w:p w14:paraId="0FAF5332" w14:textId="77777777" w:rsidR="001E7EAD" w:rsidRDefault="001E7EAD" w:rsidP="00DA0D9A">
      <w:pPr>
        <w:ind w:left="708"/>
        <w:jc w:val="both"/>
      </w:pPr>
    </w:p>
    <w:p w14:paraId="541750B2" w14:textId="6BCE56F7" w:rsidR="001E7EAD" w:rsidRDefault="001E7EAD" w:rsidP="00C136CD">
      <w:pPr>
        <w:jc w:val="both"/>
      </w:pPr>
      <w:r>
        <w:lastRenderedPageBreak/>
        <w:t>Pour illustrer le plus parfaitement possible</w:t>
      </w:r>
      <w:r w:rsidR="00CD1974">
        <w:t xml:space="preserve"> l'interdépendance entre les différentes étapes de vie, examinons ensemble la portion de vie dite </w:t>
      </w:r>
      <w:r w:rsidR="00A4329F">
        <w:rPr>
          <w:color w:val="FF6700" w:themeColor="accent3"/>
        </w:rPr>
        <w:t>« </w:t>
      </w:r>
      <w:r w:rsidR="00CD1974">
        <w:rPr>
          <w:color w:val="FF6700" w:themeColor="accent3"/>
        </w:rPr>
        <w:t>ACTIVE</w:t>
      </w:r>
      <w:r w:rsidR="00A4329F">
        <w:rPr>
          <w:color w:val="FF6700" w:themeColor="accent3"/>
        </w:rPr>
        <w:t> »</w:t>
      </w:r>
      <w:r w:rsidR="00CD1974">
        <w:t xml:space="preserve">. Cette période se définit comme étant celle qui débute avec l'entrée sur le marché du travail et se termine par la prise de la retraite. C'est durant cet intervalle que le capital nécessaire à la retraite se doit d'être constitué par l'épargne. </w:t>
      </w:r>
      <w:r w:rsidR="0056555F">
        <w:t xml:space="preserve">La croissance du </w:t>
      </w:r>
      <w:proofErr w:type="gramStart"/>
      <w:r w:rsidR="0056555F">
        <w:t>capital  issu</w:t>
      </w:r>
      <w:r w:rsidR="00970427">
        <w:t>e</w:t>
      </w:r>
      <w:proofErr w:type="gramEnd"/>
      <w:r w:rsidR="0056555F">
        <w:t xml:space="preserve"> de l'épargne s</w:t>
      </w:r>
      <w:r w:rsidR="00970427">
        <w:t>'érige s</w:t>
      </w:r>
      <w:r w:rsidR="0056555F">
        <w:t xml:space="preserve">ur </w:t>
      </w:r>
      <w:r w:rsidR="00970427">
        <w:t>trois variables:</w:t>
      </w:r>
    </w:p>
    <w:p w14:paraId="5877071D" w14:textId="77777777" w:rsidR="00970427" w:rsidRDefault="00970427" w:rsidP="00DA0D9A">
      <w:pPr>
        <w:ind w:left="708"/>
        <w:jc w:val="both"/>
      </w:pPr>
    </w:p>
    <w:p w14:paraId="10766EBC" w14:textId="699DE9FB" w:rsidR="00970427" w:rsidRDefault="00970427" w:rsidP="006C34CF">
      <w:pPr>
        <w:pStyle w:val="Paragraphedeliste"/>
        <w:numPr>
          <w:ilvl w:val="0"/>
          <w:numId w:val="4"/>
        </w:numPr>
        <w:jc w:val="both"/>
      </w:pPr>
      <w:r>
        <w:t>Le montant investi</w:t>
      </w:r>
    </w:p>
    <w:p w14:paraId="036C379B" w14:textId="570A55F1" w:rsidR="00970427" w:rsidRDefault="00970427" w:rsidP="006C34CF">
      <w:pPr>
        <w:pStyle w:val="Paragraphedeliste"/>
        <w:numPr>
          <w:ilvl w:val="0"/>
          <w:numId w:val="4"/>
        </w:numPr>
        <w:jc w:val="both"/>
      </w:pPr>
      <w:r>
        <w:t xml:space="preserve">Le temps </w:t>
      </w:r>
    </w:p>
    <w:p w14:paraId="6A26369F" w14:textId="2295AFB4" w:rsidR="00970427" w:rsidRDefault="00970427" w:rsidP="006C34CF">
      <w:pPr>
        <w:pStyle w:val="Paragraphedeliste"/>
        <w:numPr>
          <w:ilvl w:val="0"/>
          <w:numId w:val="4"/>
        </w:numPr>
        <w:jc w:val="both"/>
      </w:pPr>
      <w:r>
        <w:t>Le rendement</w:t>
      </w:r>
    </w:p>
    <w:p w14:paraId="2A558528" w14:textId="41C6C7B4" w:rsidR="00A26409" w:rsidRDefault="00A26409" w:rsidP="00970427">
      <w:pPr>
        <w:ind w:left="708"/>
        <w:jc w:val="both"/>
      </w:pPr>
    </w:p>
    <w:p w14:paraId="66458626" w14:textId="77777777" w:rsidR="00BE2A7E" w:rsidRDefault="00027E0B" w:rsidP="00C136CD">
      <w:pPr>
        <w:jc w:val="both"/>
      </w:pPr>
      <w:r>
        <w:t>O</w:t>
      </w:r>
      <w:r w:rsidR="008C25EE">
        <w:t>r, pour un rendement égal</w:t>
      </w:r>
      <w:r w:rsidR="00EF68C2">
        <w:t>, la somme à investir est moindre, si ce montant est épargné plus tôt que plus tard. Voici un exemple qui met en opposition des sommes épargnées à compter de 28 ans (période CONSOMMATION/ÉPARGNE) versus des sommes épargnées à compter de 50 ans (période ÉPARGNE/CONSOMMATION)</w:t>
      </w:r>
      <w:r w:rsidR="00BE2A7E">
        <w:t>.</w:t>
      </w:r>
    </w:p>
    <w:p w14:paraId="4743932A" w14:textId="77777777" w:rsidR="00C93B9D" w:rsidRDefault="00C93B9D" w:rsidP="00970427">
      <w:pPr>
        <w:ind w:left="708"/>
        <w:jc w:val="both"/>
      </w:pPr>
    </w:p>
    <w:p w14:paraId="10ACAD6B" w14:textId="77777777" w:rsidR="00DF17E2" w:rsidRPr="00CD1974" w:rsidRDefault="00EF68C2" w:rsidP="00970427">
      <w:pPr>
        <w:ind w:left="708"/>
        <w:jc w:val="both"/>
      </w:pPr>
      <w:r>
        <w:t xml:space="preserve"> </w:t>
      </w:r>
    </w:p>
    <w:tbl>
      <w:tblPr>
        <w:tblStyle w:val="Tramemoyenne2-Accent3"/>
        <w:tblW w:w="0" w:type="auto"/>
        <w:tblInd w:w="817" w:type="dxa"/>
        <w:tblLook w:val="04A0" w:firstRow="1" w:lastRow="0" w:firstColumn="1" w:lastColumn="0" w:noHBand="0" w:noVBand="1"/>
      </w:tblPr>
      <w:tblGrid>
        <w:gridCol w:w="1812"/>
        <w:gridCol w:w="2629"/>
        <w:gridCol w:w="2629"/>
        <w:gridCol w:w="2629"/>
        <w:gridCol w:w="2630"/>
      </w:tblGrid>
      <w:tr w:rsidR="001860FC" w14:paraId="75F42E7D" w14:textId="77777777" w:rsidTr="007E7F0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2" w:type="dxa"/>
          </w:tcPr>
          <w:p w14:paraId="6059942A" w14:textId="2F22B10D" w:rsidR="00DF17E2" w:rsidRDefault="00DF17E2" w:rsidP="00DF17E2">
            <w:pPr>
              <w:jc w:val="center"/>
            </w:pPr>
            <w:r>
              <w:t>Âge - début</w:t>
            </w:r>
          </w:p>
        </w:tc>
        <w:tc>
          <w:tcPr>
            <w:tcW w:w="2629" w:type="dxa"/>
          </w:tcPr>
          <w:p w14:paraId="6795FBAD" w14:textId="545AA9CC" w:rsidR="00DF17E2" w:rsidRDefault="00DF17E2" w:rsidP="00DF17E2">
            <w:pPr>
              <w:jc w:val="center"/>
              <w:cnfStyle w:val="100000000000" w:firstRow="1" w:lastRow="0" w:firstColumn="0" w:lastColumn="0" w:oddVBand="0" w:evenVBand="0" w:oddHBand="0" w:evenHBand="0" w:firstRowFirstColumn="0" w:firstRowLastColumn="0" w:lastRowFirstColumn="0" w:lastRowLastColumn="0"/>
            </w:pPr>
            <w:r>
              <w:t>Âge - fin</w:t>
            </w:r>
          </w:p>
        </w:tc>
        <w:tc>
          <w:tcPr>
            <w:tcW w:w="2629" w:type="dxa"/>
          </w:tcPr>
          <w:p w14:paraId="7FE515AD" w14:textId="0B7E7479" w:rsidR="00DF17E2" w:rsidRDefault="00DF17E2" w:rsidP="00DF17E2">
            <w:pPr>
              <w:jc w:val="center"/>
              <w:cnfStyle w:val="100000000000" w:firstRow="1" w:lastRow="0" w:firstColumn="0" w:lastColumn="0" w:oddVBand="0" w:evenVBand="0" w:oddHBand="0" w:evenHBand="0" w:firstRowFirstColumn="0" w:firstRowLastColumn="0" w:lastRowFirstColumn="0" w:lastRowLastColumn="0"/>
            </w:pPr>
            <w:r>
              <w:t xml:space="preserve">Épargne </w:t>
            </w:r>
            <w:r w:rsidR="00A4329F">
              <w:t>annuelle</w:t>
            </w:r>
            <w:r w:rsidR="009E4711">
              <w:rPr>
                <w:rStyle w:val="Marquenotebasdepage"/>
              </w:rPr>
              <w:footnoteReference w:id="1"/>
            </w:r>
          </w:p>
        </w:tc>
        <w:tc>
          <w:tcPr>
            <w:tcW w:w="2629" w:type="dxa"/>
          </w:tcPr>
          <w:p w14:paraId="127D9B64" w14:textId="4DA95285" w:rsidR="00DF17E2" w:rsidRDefault="00DF17E2" w:rsidP="00DF17E2">
            <w:pPr>
              <w:jc w:val="center"/>
              <w:cnfStyle w:val="100000000000" w:firstRow="1" w:lastRow="0" w:firstColumn="0" w:lastColumn="0" w:oddVBand="0" w:evenVBand="0" w:oddHBand="0" w:evenHBand="0" w:firstRowFirstColumn="0" w:firstRowLastColumn="0" w:lastRowFirstColumn="0" w:lastRowLastColumn="0"/>
            </w:pPr>
            <w:r>
              <w:t>Rendement</w:t>
            </w:r>
          </w:p>
        </w:tc>
        <w:tc>
          <w:tcPr>
            <w:tcW w:w="2630" w:type="dxa"/>
          </w:tcPr>
          <w:p w14:paraId="77BF0372" w14:textId="73CFA6D5" w:rsidR="00DF17E2" w:rsidRDefault="00DF17E2" w:rsidP="00DF17E2">
            <w:pPr>
              <w:jc w:val="center"/>
              <w:cnfStyle w:val="100000000000" w:firstRow="1" w:lastRow="0" w:firstColumn="0" w:lastColumn="0" w:oddVBand="0" w:evenVBand="0" w:oddHBand="0" w:evenHBand="0" w:firstRowFirstColumn="0" w:firstRowLastColumn="0" w:lastRowFirstColumn="0" w:lastRowLastColumn="0"/>
            </w:pPr>
            <w:r>
              <w:t>Capital à 65 ans</w:t>
            </w:r>
          </w:p>
        </w:tc>
      </w:tr>
      <w:tr w:rsidR="00DF17E2" w14:paraId="36A95EE8" w14:textId="77777777" w:rsidTr="007E7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14:paraId="33A857D7" w14:textId="00403683" w:rsidR="00DF17E2" w:rsidRPr="00DF17E2" w:rsidRDefault="00DF17E2" w:rsidP="001F7156">
            <w:pPr>
              <w:jc w:val="center"/>
              <w:rPr>
                <w:b w:val="0"/>
              </w:rPr>
            </w:pPr>
            <w:r w:rsidRPr="00DF17E2">
              <w:rPr>
                <w:b w:val="0"/>
              </w:rPr>
              <w:t>28</w:t>
            </w:r>
          </w:p>
        </w:tc>
        <w:tc>
          <w:tcPr>
            <w:tcW w:w="2629" w:type="dxa"/>
          </w:tcPr>
          <w:p w14:paraId="5C3E9245" w14:textId="28AE8E17" w:rsidR="00DF17E2" w:rsidRDefault="00DF17E2" w:rsidP="001F7156">
            <w:pPr>
              <w:jc w:val="center"/>
              <w:cnfStyle w:val="000000100000" w:firstRow="0" w:lastRow="0" w:firstColumn="0" w:lastColumn="0" w:oddVBand="0" w:evenVBand="0" w:oddHBand="1" w:evenHBand="0" w:firstRowFirstColumn="0" w:firstRowLastColumn="0" w:lastRowFirstColumn="0" w:lastRowLastColumn="0"/>
            </w:pPr>
            <w:r>
              <w:t>65</w:t>
            </w:r>
          </w:p>
        </w:tc>
        <w:tc>
          <w:tcPr>
            <w:tcW w:w="2629" w:type="dxa"/>
          </w:tcPr>
          <w:p w14:paraId="677E3FA0" w14:textId="6FBF96C4" w:rsidR="00DF17E2" w:rsidRDefault="00591E11" w:rsidP="0095219E">
            <w:pPr>
              <w:jc w:val="center"/>
              <w:cnfStyle w:val="000000100000" w:firstRow="0" w:lastRow="0" w:firstColumn="0" w:lastColumn="0" w:oddVBand="0" w:evenVBand="0" w:oddHBand="1" w:evenHBand="0" w:firstRowFirstColumn="0" w:firstRowLastColumn="0" w:lastRowFirstColumn="0" w:lastRowLastColumn="0"/>
            </w:pPr>
            <w:r>
              <w:t xml:space="preserve">   </w:t>
            </w:r>
            <w:r w:rsidR="00DF17E2">
              <w:t>3 000 $</w:t>
            </w:r>
            <w:r w:rsidR="009E4711">
              <w:rPr>
                <w:rStyle w:val="Marquenotebasdepage"/>
              </w:rPr>
              <w:footnoteReference w:id="2"/>
            </w:r>
            <w:r w:rsidR="009E4711">
              <w:rPr>
                <w:rStyle w:val="Marquenotebasdepage"/>
              </w:rPr>
              <w:t>,</w:t>
            </w:r>
            <w:r w:rsidR="001516CA">
              <w:rPr>
                <w:rStyle w:val="Marquenotebasdepage"/>
              </w:rPr>
              <w:footnoteReference w:customMarkFollows="1" w:id="3"/>
              <w:t>3</w:t>
            </w:r>
          </w:p>
        </w:tc>
        <w:tc>
          <w:tcPr>
            <w:tcW w:w="2629" w:type="dxa"/>
          </w:tcPr>
          <w:p w14:paraId="715BBFCE" w14:textId="41C236F0" w:rsidR="00DF17E2" w:rsidRDefault="00DF17E2" w:rsidP="001F7156">
            <w:pPr>
              <w:jc w:val="center"/>
              <w:cnfStyle w:val="000000100000" w:firstRow="0" w:lastRow="0" w:firstColumn="0" w:lastColumn="0" w:oddVBand="0" w:evenVBand="0" w:oddHBand="1" w:evenHBand="0" w:firstRowFirstColumn="0" w:firstRowLastColumn="0" w:lastRowFirstColumn="0" w:lastRowLastColumn="0"/>
            </w:pPr>
            <w:r>
              <w:t>5 %</w:t>
            </w:r>
          </w:p>
        </w:tc>
        <w:tc>
          <w:tcPr>
            <w:tcW w:w="2630" w:type="dxa"/>
          </w:tcPr>
          <w:p w14:paraId="67DA2424" w14:textId="494D2C04" w:rsidR="00DF17E2" w:rsidRDefault="001F7156" w:rsidP="002D2B4F">
            <w:pPr>
              <w:jc w:val="center"/>
              <w:cnfStyle w:val="000000100000" w:firstRow="0" w:lastRow="0" w:firstColumn="0" w:lastColumn="0" w:oddVBand="0" w:evenVBand="0" w:oddHBand="1" w:evenHBand="0" w:firstRowFirstColumn="0" w:firstRowLastColumn="0" w:lastRowFirstColumn="0" w:lastRowLastColumn="0"/>
            </w:pPr>
            <w:r>
              <w:t>3</w:t>
            </w:r>
            <w:r w:rsidR="002D2B4F">
              <w:t>20 128</w:t>
            </w:r>
            <w:r>
              <w:t xml:space="preserve"> $</w:t>
            </w:r>
          </w:p>
        </w:tc>
      </w:tr>
      <w:tr w:rsidR="00DF17E2" w14:paraId="5ACA29E8" w14:textId="77777777" w:rsidTr="007E7F06">
        <w:tc>
          <w:tcPr>
            <w:cnfStyle w:val="001000000000" w:firstRow="0" w:lastRow="0" w:firstColumn="1" w:lastColumn="0" w:oddVBand="0" w:evenVBand="0" w:oddHBand="0" w:evenHBand="0" w:firstRowFirstColumn="0" w:firstRowLastColumn="0" w:lastRowFirstColumn="0" w:lastRowLastColumn="0"/>
            <w:tcW w:w="1812" w:type="dxa"/>
          </w:tcPr>
          <w:p w14:paraId="1AAABE5A" w14:textId="3A780041" w:rsidR="00DF17E2" w:rsidRPr="00DF17E2" w:rsidRDefault="00DF17E2" w:rsidP="001F7156">
            <w:pPr>
              <w:jc w:val="center"/>
              <w:rPr>
                <w:b w:val="0"/>
              </w:rPr>
            </w:pPr>
            <w:r w:rsidRPr="00DF17E2">
              <w:rPr>
                <w:b w:val="0"/>
              </w:rPr>
              <w:t>50</w:t>
            </w:r>
          </w:p>
        </w:tc>
        <w:tc>
          <w:tcPr>
            <w:tcW w:w="2629" w:type="dxa"/>
          </w:tcPr>
          <w:p w14:paraId="235554E5" w14:textId="4B8DCD5D" w:rsidR="00DF17E2" w:rsidRDefault="00DF17E2" w:rsidP="001F7156">
            <w:pPr>
              <w:jc w:val="center"/>
              <w:cnfStyle w:val="000000000000" w:firstRow="0" w:lastRow="0" w:firstColumn="0" w:lastColumn="0" w:oddVBand="0" w:evenVBand="0" w:oddHBand="0" w:evenHBand="0" w:firstRowFirstColumn="0" w:firstRowLastColumn="0" w:lastRowFirstColumn="0" w:lastRowLastColumn="0"/>
            </w:pPr>
            <w:r>
              <w:t>65</w:t>
            </w:r>
          </w:p>
        </w:tc>
        <w:tc>
          <w:tcPr>
            <w:tcW w:w="2629" w:type="dxa"/>
          </w:tcPr>
          <w:p w14:paraId="1BA692A3" w14:textId="7A96D6FB" w:rsidR="00DF17E2" w:rsidRDefault="00DF17E2" w:rsidP="006A6211">
            <w:pPr>
              <w:jc w:val="center"/>
              <w:cnfStyle w:val="000000000000" w:firstRow="0" w:lastRow="0" w:firstColumn="0" w:lastColumn="0" w:oddVBand="0" w:evenVBand="0" w:oddHBand="0" w:evenHBand="0" w:firstRowFirstColumn="0" w:firstRowLastColumn="0" w:lastRowFirstColumn="0" w:lastRowLastColumn="0"/>
            </w:pPr>
            <w:r>
              <w:t>7 400 $</w:t>
            </w:r>
            <w:r w:rsidR="00883069">
              <w:rPr>
                <w:rStyle w:val="Marquenotebasdepage"/>
              </w:rPr>
              <w:footnoteReference w:customMarkFollows="1" w:id="4"/>
              <w:t>3</w:t>
            </w:r>
          </w:p>
        </w:tc>
        <w:tc>
          <w:tcPr>
            <w:tcW w:w="2629" w:type="dxa"/>
          </w:tcPr>
          <w:p w14:paraId="60542897" w14:textId="65A0AA12" w:rsidR="00DF17E2" w:rsidRDefault="00DF17E2" w:rsidP="001F7156">
            <w:pPr>
              <w:jc w:val="center"/>
              <w:cnfStyle w:val="000000000000" w:firstRow="0" w:lastRow="0" w:firstColumn="0" w:lastColumn="0" w:oddVBand="0" w:evenVBand="0" w:oddHBand="0" w:evenHBand="0" w:firstRowFirstColumn="0" w:firstRowLastColumn="0" w:lastRowFirstColumn="0" w:lastRowLastColumn="0"/>
            </w:pPr>
            <w:r>
              <w:t>5 %</w:t>
            </w:r>
          </w:p>
        </w:tc>
        <w:tc>
          <w:tcPr>
            <w:tcW w:w="2630" w:type="dxa"/>
          </w:tcPr>
          <w:p w14:paraId="17A61D99" w14:textId="76A6443F" w:rsidR="00DF17E2" w:rsidRDefault="001F7156" w:rsidP="009E4711">
            <w:pPr>
              <w:jc w:val="center"/>
              <w:cnfStyle w:val="000000000000" w:firstRow="0" w:lastRow="0" w:firstColumn="0" w:lastColumn="0" w:oddVBand="0" w:evenVBand="0" w:oddHBand="0" w:evenHBand="0" w:firstRowFirstColumn="0" w:firstRowLastColumn="0" w:lastRowFirstColumn="0" w:lastRowLastColumn="0"/>
            </w:pPr>
            <w:r>
              <w:t>1</w:t>
            </w:r>
            <w:r w:rsidR="009E4711">
              <w:t>67 665</w:t>
            </w:r>
            <w:r>
              <w:t xml:space="preserve"> $</w:t>
            </w:r>
          </w:p>
        </w:tc>
      </w:tr>
    </w:tbl>
    <w:p w14:paraId="3B4D706A" w14:textId="63952BAE" w:rsidR="00BE0860" w:rsidRDefault="00FE70E1" w:rsidP="003D6BC9">
      <w:pPr>
        <w:ind w:left="708"/>
        <w:jc w:val="both"/>
        <w:rPr>
          <w:color w:val="FF6700" w:themeColor="accent3"/>
        </w:rPr>
      </w:pPr>
      <w:r>
        <w:rPr>
          <w:noProof/>
          <w:lang w:eastAsia="fr-FR"/>
        </w:rPr>
        <w:drawing>
          <wp:anchor distT="0" distB="0" distL="114300" distR="114300" simplePos="0" relativeHeight="251776000" behindDoc="0" locked="0" layoutInCell="1" allowOverlap="1" wp14:anchorId="1816A1DB" wp14:editId="5DA302D1">
            <wp:simplePos x="0" y="0"/>
            <wp:positionH relativeFrom="column">
              <wp:posOffset>7543800</wp:posOffset>
            </wp:positionH>
            <wp:positionV relativeFrom="paragraph">
              <wp:posOffset>19685</wp:posOffset>
            </wp:positionV>
            <wp:extent cx="508000" cy="685800"/>
            <wp:effectExtent l="0" t="0" r="0" b="0"/>
            <wp:wrapNone/>
            <wp:docPr id="44" name="Image 44" descr="Macintosh HD:Users:marcbachand:Desktop:Capture d’écran 2015-06-08 à 17.18.41.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371897B" w14:textId="77777777" w:rsidR="00FE70E1" w:rsidRDefault="00A175AE" w:rsidP="003D6BC9">
      <w:pPr>
        <w:ind w:left="708"/>
        <w:jc w:val="both"/>
      </w:pPr>
      <w:r>
        <w:tab/>
      </w:r>
      <w:r>
        <w:tab/>
      </w:r>
      <w:r>
        <w:tab/>
      </w:r>
      <w:r>
        <w:tab/>
      </w:r>
      <w:r>
        <w:tab/>
      </w:r>
      <w:r>
        <w:tab/>
      </w:r>
      <w:r>
        <w:tab/>
      </w:r>
      <w:r>
        <w:tab/>
      </w:r>
      <w:r>
        <w:tab/>
      </w:r>
      <w:r>
        <w:tab/>
      </w:r>
      <w:r>
        <w:tab/>
      </w:r>
      <w:r>
        <w:tab/>
      </w:r>
      <w:r>
        <w:tab/>
      </w:r>
    </w:p>
    <w:p w14:paraId="24DE5C64" w14:textId="2D38BF36" w:rsidR="00BE0860" w:rsidRPr="00701CD6" w:rsidRDefault="00FE70E1" w:rsidP="003D6BC9">
      <w:pPr>
        <w:ind w:left="708"/>
        <w:jc w:val="both"/>
        <w:rPr>
          <w:color w:val="FF6700" w:themeColor="accent3"/>
        </w:rPr>
      </w:pPr>
      <w:r>
        <w:tab/>
      </w:r>
      <w:r>
        <w:tab/>
      </w:r>
      <w:r>
        <w:tab/>
      </w:r>
      <w:r>
        <w:tab/>
      </w:r>
      <w:r>
        <w:tab/>
      </w:r>
      <w:r>
        <w:tab/>
      </w:r>
      <w:r>
        <w:tab/>
      </w:r>
      <w:r>
        <w:tab/>
      </w:r>
      <w:r>
        <w:tab/>
      </w:r>
      <w:r>
        <w:tab/>
      </w:r>
      <w:r>
        <w:tab/>
      </w:r>
      <w:r>
        <w:tab/>
      </w:r>
      <w:hyperlink r:id="rId22" w:anchor="/epargne" w:history="1">
        <w:r w:rsidR="00DA7497">
          <w:rPr>
            <w:rStyle w:val="Lienhypertexte"/>
            <w:color w:val="FF6700" w:themeColor="accent3"/>
          </w:rPr>
          <w:t>Calculatrice - Épargne</w:t>
        </w:r>
      </w:hyperlink>
      <w:r w:rsidR="00A175AE" w:rsidRPr="00701CD6">
        <w:rPr>
          <w:color w:val="FF6700" w:themeColor="accent3"/>
        </w:rPr>
        <w:t xml:space="preserve"> </w:t>
      </w:r>
    </w:p>
    <w:p w14:paraId="768A24F2" w14:textId="77777777" w:rsidR="00A175AE" w:rsidRPr="0070719A" w:rsidRDefault="00A175AE" w:rsidP="003D6BC9">
      <w:pPr>
        <w:ind w:left="708"/>
        <w:jc w:val="both"/>
        <w:rPr>
          <w:color w:val="F8370B"/>
        </w:rPr>
      </w:pPr>
    </w:p>
    <w:p w14:paraId="0387E8F0" w14:textId="77777777" w:rsidR="00FE70E1" w:rsidRDefault="00FE70E1" w:rsidP="003D6BC9">
      <w:pPr>
        <w:ind w:left="708"/>
        <w:jc w:val="both"/>
      </w:pPr>
    </w:p>
    <w:p w14:paraId="07631C0E" w14:textId="08162A6F" w:rsidR="00E34432" w:rsidRPr="00E34432" w:rsidRDefault="00E34432" w:rsidP="00C136CD">
      <w:pPr>
        <w:jc w:val="both"/>
      </w:pPr>
      <w:r>
        <w:lastRenderedPageBreak/>
        <w:t xml:space="preserve">Cette démonstration est </w:t>
      </w:r>
      <w:r w:rsidR="00BE3A79">
        <w:t>saisissante</w:t>
      </w:r>
      <w:r>
        <w:t xml:space="preserve"> </w:t>
      </w:r>
      <w:r w:rsidR="00BE3A79">
        <w:t>et</w:t>
      </w:r>
      <w:r>
        <w:t xml:space="preserve"> </w:t>
      </w:r>
      <w:r w:rsidR="00BA13FB">
        <w:t xml:space="preserve">exprime </w:t>
      </w:r>
      <w:r>
        <w:t xml:space="preserve">toute l'importance d'introduire très tôt dans sa vie l'habitude de l'épargne. Salutation aux petites fourmis et mise en </w:t>
      </w:r>
      <w:r w:rsidR="00DC304F">
        <w:t>garde aux cigales.</w:t>
      </w:r>
    </w:p>
    <w:p w14:paraId="18074F54" w14:textId="77777777" w:rsidR="004B55C1" w:rsidRDefault="004B55C1" w:rsidP="003D6BC9">
      <w:pPr>
        <w:ind w:left="708"/>
        <w:jc w:val="both"/>
        <w:rPr>
          <w:color w:val="FF6700" w:themeColor="accent3"/>
        </w:rPr>
      </w:pPr>
    </w:p>
    <w:p w14:paraId="6A550E75" w14:textId="77BD5B80" w:rsidR="003D6BC9" w:rsidRDefault="003D6BC9" w:rsidP="003D6BC9">
      <w:pPr>
        <w:ind w:left="708"/>
        <w:jc w:val="both"/>
        <w:rPr>
          <w:color w:val="FF6700" w:themeColor="accent3"/>
        </w:rPr>
      </w:pPr>
      <w:r>
        <w:rPr>
          <w:color w:val="FF6700" w:themeColor="accent3"/>
        </w:rPr>
        <w:t>DÉSINVESTISSEMENT</w:t>
      </w:r>
    </w:p>
    <w:p w14:paraId="28E69066" w14:textId="77777777" w:rsidR="00BE3A79" w:rsidRDefault="00BE3A79" w:rsidP="003D6BC9">
      <w:pPr>
        <w:ind w:left="708"/>
        <w:jc w:val="both"/>
        <w:rPr>
          <w:color w:val="FF6700" w:themeColor="accent3"/>
        </w:rPr>
      </w:pPr>
    </w:p>
    <w:p w14:paraId="303E6EA0" w14:textId="474C1AFE" w:rsidR="00BE3A79" w:rsidRPr="00EF7B6C" w:rsidRDefault="00EF7B6C" w:rsidP="00C136CD">
      <w:pPr>
        <w:jc w:val="both"/>
      </w:pPr>
      <w:r>
        <w:t>L'étape du désinvestissement débute avec la prise de la retraite. C</w:t>
      </w:r>
      <w:r w:rsidR="008819DC">
        <w:t xml:space="preserve">'est le moment où l'on cesse en grande partie le travail rémunérateur pour entamer une vie où nos revenus correspondront à l'encaissement progressif de nos actifs qui sont dédiés au financement de notre retraite. Ce sont les fruits de nos efforts d'épargne qui </w:t>
      </w:r>
      <w:r w:rsidR="006354FA">
        <w:t>ont pris</w:t>
      </w:r>
      <w:r w:rsidR="008819DC">
        <w:t xml:space="preserve"> la forme de RE</w:t>
      </w:r>
      <w:r w:rsidR="00D4374B">
        <w:t>É</w:t>
      </w:r>
      <w:r w:rsidR="008819DC">
        <w:t>R, FERR, RPA, C</w:t>
      </w:r>
      <w:r w:rsidR="00D4374B">
        <w:t>É</w:t>
      </w:r>
      <w:r w:rsidR="008819DC">
        <w:t>LI, résidence absout</w:t>
      </w:r>
      <w:r w:rsidR="00D4374B">
        <w:t>e</w:t>
      </w:r>
      <w:r w:rsidR="008819DC">
        <w:t xml:space="preserve"> de dette hypothécaire.</w:t>
      </w:r>
      <w:r w:rsidR="006354FA">
        <w:t xml:space="preserve"> Pour ceux et celles qui auront bien planifié leur retraite, la bonne santé le permettant, ces années seront celles du repos bien mérité et du temps enfin retrouvé </w:t>
      </w:r>
      <w:r w:rsidR="00CC316E">
        <w:t>pour réaliser des projets qui nous sont chers</w:t>
      </w:r>
      <w:r w:rsidR="00A4329F">
        <w:t xml:space="preserve">. </w:t>
      </w:r>
      <w:r w:rsidR="00CC316E">
        <w:t>Au niveau financier, c'est une période où les obligations importantes et les dettes devraient être résorbées et où notre train de vie devrait être réduit compte tenu, principalement, que nous n'avons plus à constituer d'épargne et à rembourser de dettes.</w:t>
      </w:r>
      <w:r w:rsidR="00195C11">
        <w:t xml:space="preserve"> </w:t>
      </w:r>
    </w:p>
    <w:p w14:paraId="4BED736B" w14:textId="77777777" w:rsidR="002608BF" w:rsidRDefault="002608BF" w:rsidP="00387965"/>
    <w:p w14:paraId="27CBE376" w14:textId="6A8349B3" w:rsidR="003D6BC9" w:rsidRDefault="003D6BC9" w:rsidP="003D6BC9">
      <w:pPr>
        <w:ind w:left="708"/>
        <w:jc w:val="both"/>
        <w:rPr>
          <w:color w:val="FF6700" w:themeColor="accent3"/>
        </w:rPr>
      </w:pPr>
      <w:r>
        <w:rPr>
          <w:color w:val="FF6700" w:themeColor="accent3"/>
        </w:rPr>
        <w:t>ÉPUISEMENT DU CAPITAL/TRANSMISSION</w:t>
      </w:r>
    </w:p>
    <w:p w14:paraId="3FB6493A" w14:textId="77777777" w:rsidR="002374DD" w:rsidRDefault="00195C11" w:rsidP="00195C11">
      <w:pPr>
        <w:jc w:val="both"/>
      </w:pPr>
      <w:r>
        <w:tab/>
      </w:r>
    </w:p>
    <w:p w14:paraId="38F468F4" w14:textId="6682CAFF" w:rsidR="00853900" w:rsidRDefault="00195C11" w:rsidP="00195C11">
      <w:pPr>
        <w:jc w:val="both"/>
      </w:pPr>
      <w:r>
        <w:t>Ultimement, le grand âge s'annonce</w:t>
      </w:r>
      <w:r w:rsidR="00676204">
        <w:t xml:space="preserve">, </w:t>
      </w:r>
      <w:r>
        <w:t xml:space="preserve">laissant sur son passage une période où </w:t>
      </w:r>
      <w:r w:rsidR="00C136CD">
        <w:t>l'</w:t>
      </w:r>
      <w:r>
        <w:t xml:space="preserve">autonomie </w:t>
      </w:r>
      <w:r>
        <w:tab/>
        <w:t>s'amenuise et où la quête de sérénité s'impose comme ce qui est le plus important. Cette dernière phase</w:t>
      </w:r>
      <w:r w:rsidR="00C136CD">
        <w:t xml:space="preserve"> </w:t>
      </w:r>
      <w:r w:rsidR="00D254F5">
        <w:t>apporte</w:t>
      </w:r>
      <w:r>
        <w:t xml:space="preserve"> </w:t>
      </w:r>
      <w:r w:rsidR="00D254F5">
        <w:t xml:space="preserve">les derniers grands </w:t>
      </w:r>
      <w:r>
        <w:t>changements</w:t>
      </w:r>
      <w:r w:rsidR="00D254F5">
        <w:t xml:space="preserve"> d'une vie, notamment, l'abandon de </w:t>
      </w:r>
      <w:r w:rsidR="00676204">
        <w:t>son</w:t>
      </w:r>
      <w:r w:rsidR="00D254F5">
        <w:t xml:space="preserve"> chez-soi pour une</w:t>
      </w:r>
      <w:r w:rsidR="00C136CD">
        <w:t xml:space="preserve"> </w:t>
      </w:r>
      <w:r w:rsidR="00D254F5">
        <w:t>une résidence de personne</w:t>
      </w:r>
      <w:r w:rsidR="00676204">
        <w:t>s</w:t>
      </w:r>
      <w:r w:rsidR="00D254F5">
        <w:t xml:space="preserve"> âgées. Au niveau financier, cette dernière étape libère le capital de la </w:t>
      </w:r>
      <w:r w:rsidR="00676204">
        <w:tab/>
      </w:r>
      <w:r w:rsidR="00D254F5">
        <w:t xml:space="preserve">vente de la maison pour financer les derniers moments de notre vie. Au décès, le patrimoine financier </w:t>
      </w:r>
      <w:r w:rsidR="00676204">
        <w:tab/>
      </w:r>
      <w:r w:rsidR="00D254F5">
        <w:t xml:space="preserve">sera </w:t>
      </w:r>
      <w:r w:rsidR="00D254F5">
        <w:tab/>
        <w:t xml:space="preserve">transmis aux </w:t>
      </w:r>
      <w:r w:rsidR="00A4329F">
        <w:t xml:space="preserve">héritiers </w:t>
      </w:r>
      <w:r w:rsidR="00D254F5">
        <w:t xml:space="preserve">selon les </w:t>
      </w:r>
      <w:r w:rsidR="00405D99">
        <w:t xml:space="preserve">dernières </w:t>
      </w:r>
      <w:r w:rsidR="00D254F5">
        <w:t>volontés consignées au testament ou</w:t>
      </w:r>
      <w:r w:rsidR="00405D99">
        <w:t>,</w:t>
      </w:r>
      <w:r w:rsidR="00D254F5">
        <w:t xml:space="preserve"> en son absence</w:t>
      </w:r>
      <w:r w:rsidR="00405D99">
        <w:t>,</w:t>
      </w:r>
      <w:r w:rsidR="00D254F5">
        <w:t xml:space="preserve"> </w:t>
      </w:r>
      <w:r w:rsidR="00405D99">
        <w:tab/>
      </w:r>
      <w:r w:rsidR="00D254F5">
        <w:t xml:space="preserve">selon les règles </w:t>
      </w:r>
      <w:r w:rsidR="00D01030">
        <w:t>prévue</w:t>
      </w:r>
      <w:r w:rsidR="00EA1810">
        <w:t>s</w:t>
      </w:r>
      <w:r w:rsidR="00D01030">
        <w:t xml:space="preserve"> au</w:t>
      </w:r>
      <w:r w:rsidR="00D254F5">
        <w:t xml:space="preserve"> C</w:t>
      </w:r>
      <w:r w:rsidR="0080138C">
        <w:t>ode civil du Québec</w:t>
      </w:r>
      <w:r w:rsidR="00D254F5">
        <w:t>.</w:t>
      </w:r>
    </w:p>
    <w:p w14:paraId="187CD321" w14:textId="77777777" w:rsidR="00921AB4" w:rsidRDefault="00921AB4" w:rsidP="00387965">
      <w:pPr>
        <w:rPr>
          <w:color w:val="FF6700" w:themeColor="accent3"/>
        </w:rPr>
      </w:pPr>
    </w:p>
    <w:p w14:paraId="07BC5130" w14:textId="77777777" w:rsidR="00921AB4" w:rsidRDefault="00921AB4" w:rsidP="00387965">
      <w:pPr>
        <w:rPr>
          <w:color w:val="FF6700" w:themeColor="accent3"/>
        </w:rPr>
      </w:pPr>
    </w:p>
    <w:p w14:paraId="5E835AC1" w14:textId="77777777" w:rsidR="00921AB4" w:rsidRDefault="00921AB4" w:rsidP="00387965">
      <w:pPr>
        <w:rPr>
          <w:color w:val="FF6700" w:themeColor="accent3"/>
        </w:rPr>
      </w:pPr>
    </w:p>
    <w:p w14:paraId="252E5E34" w14:textId="77777777" w:rsidR="003C4901" w:rsidRDefault="003C4901" w:rsidP="00387965">
      <w:pPr>
        <w:rPr>
          <w:color w:val="FF6700" w:themeColor="accent3"/>
        </w:rPr>
      </w:pPr>
    </w:p>
    <w:p w14:paraId="3B154256" w14:textId="77777777" w:rsidR="003C4901" w:rsidRDefault="003C4901" w:rsidP="00387965">
      <w:pPr>
        <w:rPr>
          <w:color w:val="FF6700" w:themeColor="accent3"/>
        </w:rPr>
      </w:pPr>
    </w:p>
    <w:p w14:paraId="399EAA45" w14:textId="77777777" w:rsidR="003C4901" w:rsidRDefault="003C4901" w:rsidP="00387965">
      <w:pPr>
        <w:rPr>
          <w:color w:val="FF6700" w:themeColor="accent3"/>
        </w:rPr>
      </w:pPr>
    </w:p>
    <w:p w14:paraId="703D806B" w14:textId="77777777" w:rsidR="00921AB4" w:rsidRDefault="00921AB4" w:rsidP="00387965">
      <w:pPr>
        <w:rPr>
          <w:color w:val="FF6700" w:themeColor="accent3"/>
        </w:rPr>
      </w:pPr>
    </w:p>
    <w:p w14:paraId="02746EB4" w14:textId="77777777" w:rsidR="00921AB4" w:rsidRDefault="00921AB4" w:rsidP="00387965">
      <w:pPr>
        <w:rPr>
          <w:color w:val="FF6700" w:themeColor="accent3"/>
        </w:rPr>
      </w:pPr>
    </w:p>
    <w:p w14:paraId="47C79D2C" w14:textId="77777777" w:rsidR="00921AB4" w:rsidRDefault="00921AB4" w:rsidP="00387965">
      <w:pPr>
        <w:rPr>
          <w:color w:val="FF6700" w:themeColor="accent3"/>
        </w:rPr>
      </w:pPr>
    </w:p>
    <w:p w14:paraId="4FE57A27" w14:textId="77777777" w:rsidR="00921AB4" w:rsidRDefault="00921AB4" w:rsidP="00387965">
      <w:pPr>
        <w:rPr>
          <w:color w:val="FF6700" w:themeColor="accent3"/>
        </w:rPr>
      </w:pPr>
    </w:p>
    <w:p w14:paraId="318BFA7E" w14:textId="77777777" w:rsidR="00921AB4" w:rsidRDefault="00921AB4" w:rsidP="00387965">
      <w:pPr>
        <w:rPr>
          <w:color w:val="FF6700" w:themeColor="accent3"/>
        </w:rPr>
      </w:pPr>
    </w:p>
    <w:p w14:paraId="3A3A8A4C" w14:textId="2D22172A" w:rsidR="00084C40" w:rsidRPr="003E0116" w:rsidRDefault="00746418" w:rsidP="00387965">
      <w:pPr>
        <w:rPr>
          <w:color w:val="FF6700" w:themeColor="accent3"/>
        </w:rPr>
      </w:pPr>
      <w:r w:rsidRPr="003E0116">
        <w:rPr>
          <w:color w:val="FF6700" w:themeColor="accent3"/>
        </w:rPr>
        <w:t>I</w:t>
      </w:r>
      <w:r w:rsidR="006C4C47">
        <w:rPr>
          <w:color w:val="FF6700" w:themeColor="accent3"/>
        </w:rPr>
        <w:t>MAGE</w:t>
      </w:r>
      <w:r w:rsidRPr="003E0116">
        <w:rPr>
          <w:color w:val="FF6700" w:themeColor="accent3"/>
        </w:rPr>
        <w:t xml:space="preserve"> 7-</w:t>
      </w:r>
      <w:r w:rsidR="00853900">
        <w:rPr>
          <w:color w:val="FF6700" w:themeColor="accent3"/>
        </w:rPr>
        <w:t>2</w:t>
      </w:r>
      <w:r w:rsidRPr="003E0116">
        <w:rPr>
          <w:color w:val="FF6700" w:themeColor="accent3"/>
        </w:rPr>
        <w:tab/>
      </w:r>
      <w:r w:rsidR="00C7381D" w:rsidRPr="003E0116">
        <w:rPr>
          <w:color w:val="FF6700" w:themeColor="accent3"/>
        </w:rPr>
        <w:t>La théorie du cycle de</w:t>
      </w:r>
      <w:r w:rsidR="00B668F5">
        <w:rPr>
          <w:color w:val="FF6700" w:themeColor="accent3"/>
        </w:rPr>
        <w:t xml:space="preserve"> </w:t>
      </w:r>
      <w:r w:rsidR="00C7381D" w:rsidRPr="003E0116">
        <w:rPr>
          <w:color w:val="FF6700" w:themeColor="accent3"/>
        </w:rPr>
        <w:t>vie (Modigliani, 1963)</w:t>
      </w:r>
    </w:p>
    <w:p w14:paraId="6D582027" w14:textId="606E9AE4" w:rsidR="00084C40" w:rsidRDefault="00FE70E1" w:rsidP="00387965">
      <w:r>
        <w:rPr>
          <w:noProof/>
          <w:lang w:eastAsia="fr-FR"/>
        </w:rPr>
        <w:drawing>
          <wp:anchor distT="0" distB="0" distL="114300" distR="114300" simplePos="0" relativeHeight="251717632" behindDoc="0" locked="0" layoutInCell="1" allowOverlap="1" wp14:anchorId="32389CAF" wp14:editId="0E3913F8">
            <wp:simplePos x="0" y="0"/>
            <wp:positionH relativeFrom="column">
              <wp:posOffset>0</wp:posOffset>
            </wp:positionH>
            <wp:positionV relativeFrom="paragraph">
              <wp:posOffset>127000</wp:posOffset>
            </wp:positionV>
            <wp:extent cx="4572000" cy="2775585"/>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8257_1412275535429.png"/>
                    <pic:cNvPicPr/>
                  </pic:nvPicPr>
                  <pic:blipFill>
                    <a:blip r:embed="rId23">
                      <a:extLst>
                        <a:ext uri="{28A0092B-C50C-407E-A947-70E740481C1C}">
                          <a14:useLocalDpi xmlns:a14="http://schemas.microsoft.com/office/drawing/2010/main" val="0"/>
                        </a:ext>
                      </a:extLst>
                    </a:blip>
                    <a:stretch>
                      <a:fillRect/>
                    </a:stretch>
                  </pic:blipFill>
                  <pic:spPr>
                    <a:xfrm>
                      <a:off x="0" y="0"/>
                      <a:ext cx="4572000" cy="277558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84C40">
        <w:tab/>
      </w:r>
      <w:r w:rsidR="00084C40">
        <w:tab/>
      </w:r>
    </w:p>
    <w:p w14:paraId="68D66410" w14:textId="5B8D8D32" w:rsidR="00084C40" w:rsidRDefault="00084C40" w:rsidP="00387965"/>
    <w:p w14:paraId="03C9A93C" w14:textId="1A2FD6BD" w:rsidR="00084C40" w:rsidRDefault="00084C40" w:rsidP="00387965"/>
    <w:p w14:paraId="6A6E1A17" w14:textId="551EA66F" w:rsidR="00084C40" w:rsidRDefault="00084C40" w:rsidP="00387965">
      <w:r>
        <w:rPr>
          <w:noProof/>
          <w:lang w:eastAsia="fr-FR"/>
        </w:rPr>
        <w:tab/>
      </w:r>
      <w:r>
        <w:rPr>
          <w:noProof/>
          <w:lang w:eastAsia="fr-FR"/>
        </w:rPr>
        <w:tab/>
      </w:r>
      <w:r>
        <w:rPr>
          <w:noProof/>
          <w:lang w:eastAsia="fr-FR"/>
        </w:rPr>
        <w:tab/>
      </w:r>
    </w:p>
    <w:p w14:paraId="1CEBE682" w14:textId="77777777" w:rsidR="00084C40" w:rsidRDefault="00084C40" w:rsidP="00387965"/>
    <w:p w14:paraId="20F6D043" w14:textId="77777777" w:rsidR="00084C40" w:rsidRDefault="00084C40" w:rsidP="00387965"/>
    <w:p w14:paraId="37A0554F" w14:textId="77777777" w:rsidR="00084C40" w:rsidRDefault="00084C40" w:rsidP="00387965"/>
    <w:p w14:paraId="1CF58FAB" w14:textId="77777777" w:rsidR="00084C40" w:rsidRDefault="00084C40" w:rsidP="00387965"/>
    <w:p w14:paraId="1395500A" w14:textId="77777777" w:rsidR="00084C40" w:rsidRDefault="00084C40" w:rsidP="00387965"/>
    <w:p w14:paraId="622C5CF5" w14:textId="77777777" w:rsidR="00084C40" w:rsidRDefault="00084C40" w:rsidP="00387965"/>
    <w:p w14:paraId="416E5753" w14:textId="77777777" w:rsidR="00387965" w:rsidRDefault="00387965" w:rsidP="00387965"/>
    <w:p w14:paraId="44C6985F" w14:textId="77777777" w:rsidR="00365105" w:rsidRDefault="00365105" w:rsidP="00387965"/>
    <w:p w14:paraId="11D04EE1" w14:textId="77777777" w:rsidR="00365105" w:rsidRDefault="00365105" w:rsidP="00387965"/>
    <w:p w14:paraId="7F6EC375" w14:textId="77777777" w:rsidR="00365105" w:rsidRDefault="00365105" w:rsidP="00387965"/>
    <w:p w14:paraId="574D68C5" w14:textId="77777777" w:rsidR="00365105" w:rsidRDefault="00365105" w:rsidP="00387965"/>
    <w:p w14:paraId="72D8C348" w14:textId="77777777" w:rsidR="00137E81" w:rsidRDefault="00137E81" w:rsidP="00387965"/>
    <w:p w14:paraId="50A607A7" w14:textId="77777777" w:rsidR="00137E81" w:rsidRDefault="00137E81" w:rsidP="00387965"/>
    <w:p w14:paraId="080A1962" w14:textId="593CA929" w:rsidR="000C74F4" w:rsidRDefault="00FE70E1" w:rsidP="00387965">
      <w:r>
        <w:rPr>
          <w:noProof/>
          <w:lang w:eastAsia="fr-FR"/>
        </w:rPr>
        <w:drawing>
          <wp:anchor distT="0" distB="0" distL="114300" distR="114300" simplePos="0" relativeHeight="251778048" behindDoc="0" locked="0" layoutInCell="1" allowOverlap="1" wp14:anchorId="187AD82A" wp14:editId="518FE51C">
            <wp:simplePos x="0" y="0"/>
            <wp:positionH relativeFrom="column">
              <wp:posOffset>5486400</wp:posOffset>
            </wp:positionH>
            <wp:positionV relativeFrom="paragraph">
              <wp:posOffset>67945</wp:posOffset>
            </wp:positionV>
            <wp:extent cx="579120" cy="571500"/>
            <wp:effectExtent l="0" t="0" r="5080" b="12700"/>
            <wp:wrapNone/>
            <wp:docPr id="47" name="Image 47">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BA80761" w14:textId="0C356116" w:rsidR="000C74F4" w:rsidRDefault="00573C95" w:rsidP="000C74F4">
      <w:pPr>
        <w:rPr>
          <w:noProof/>
          <w:color w:val="BF0918"/>
          <w:lang w:eastAsia="fr-FR"/>
        </w:rPr>
      </w:pPr>
      <w:hyperlink r:id="rId25" w:history="1">
        <w:r w:rsidR="001C74B3" w:rsidRPr="005776D1">
          <w:rPr>
            <w:rStyle w:val="Lienhypertexte"/>
            <w:color w:val="BF0918"/>
          </w:rPr>
          <w:t xml:space="preserve">Capsule </w:t>
        </w:r>
        <w:r w:rsidR="000C74F4" w:rsidRPr="005776D1">
          <w:rPr>
            <w:rStyle w:val="Lienhypertexte"/>
            <w:color w:val="BF0918"/>
          </w:rPr>
          <w:t>7</w:t>
        </w:r>
        <w:r w:rsidR="001C74B3" w:rsidRPr="005776D1">
          <w:rPr>
            <w:rStyle w:val="Lienhypertexte"/>
            <w:color w:val="BF0918"/>
          </w:rPr>
          <w:t>-1</w:t>
        </w:r>
        <w:r w:rsidR="001C74B3" w:rsidRPr="005776D1">
          <w:rPr>
            <w:rStyle w:val="Lienhypertexte"/>
            <w:color w:val="BF0918"/>
          </w:rPr>
          <w:tab/>
          <w:t>Explications sur la</w:t>
        </w:r>
        <w:r w:rsidR="000C74F4" w:rsidRPr="005776D1">
          <w:rPr>
            <w:rStyle w:val="Lienhypertexte"/>
            <w:color w:val="BF0918"/>
          </w:rPr>
          <w:t xml:space="preserve"> théorie du cycle de vie (Modigliani, 1963)</w:t>
        </w:r>
      </w:hyperlink>
      <w:r w:rsidR="001C74B3" w:rsidRPr="005776D1">
        <w:rPr>
          <w:noProof/>
          <w:color w:val="BF0918"/>
          <w:lang w:eastAsia="fr-FR"/>
        </w:rPr>
        <w:t xml:space="preserve"> </w:t>
      </w:r>
    </w:p>
    <w:p w14:paraId="15AB3539" w14:textId="77777777" w:rsidR="00137E81" w:rsidRDefault="00137E81" w:rsidP="000C74F4">
      <w:pPr>
        <w:rPr>
          <w:noProof/>
          <w:color w:val="BF0918"/>
          <w:lang w:eastAsia="fr-FR"/>
        </w:rPr>
      </w:pPr>
    </w:p>
    <w:p w14:paraId="1010E2C8" w14:textId="77777777" w:rsidR="00137E81" w:rsidRDefault="00137E81" w:rsidP="000C74F4">
      <w:pPr>
        <w:rPr>
          <w:color w:val="BF0918"/>
        </w:rPr>
      </w:pPr>
    </w:p>
    <w:p w14:paraId="00C89CF1" w14:textId="77777777" w:rsidR="00137E81" w:rsidRDefault="00137E81" w:rsidP="000C74F4">
      <w:pPr>
        <w:rPr>
          <w:color w:val="BF0918"/>
        </w:rPr>
      </w:pPr>
    </w:p>
    <w:p w14:paraId="2B397FBA" w14:textId="77777777" w:rsidR="00137E81" w:rsidRDefault="00137E81" w:rsidP="000C74F4">
      <w:pPr>
        <w:rPr>
          <w:color w:val="BF0918"/>
        </w:rPr>
      </w:pPr>
    </w:p>
    <w:p w14:paraId="57E5C28F" w14:textId="77777777" w:rsidR="00137E81" w:rsidRDefault="00137E81" w:rsidP="000C74F4">
      <w:pPr>
        <w:rPr>
          <w:color w:val="BF0918"/>
        </w:rPr>
      </w:pPr>
    </w:p>
    <w:p w14:paraId="2465D1F0" w14:textId="77777777" w:rsidR="00137E81" w:rsidRDefault="00137E81" w:rsidP="000C74F4">
      <w:pPr>
        <w:rPr>
          <w:color w:val="BF0918"/>
        </w:rPr>
      </w:pPr>
    </w:p>
    <w:p w14:paraId="47DF4227" w14:textId="77777777" w:rsidR="00B248D5" w:rsidRPr="00F83590" w:rsidRDefault="00B248D5" w:rsidP="000C74F4">
      <w:pPr>
        <w:rPr>
          <w:color w:val="BF0918"/>
          <w:u w:val="single"/>
        </w:rPr>
      </w:pPr>
    </w:p>
    <w:p w14:paraId="7133A838" w14:textId="77777777" w:rsidR="00137E81" w:rsidRDefault="00137E81" w:rsidP="000C74F4">
      <w:pPr>
        <w:rPr>
          <w:color w:val="BF0918"/>
        </w:rPr>
      </w:pPr>
    </w:p>
    <w:p w14:paraId="65C969D9" w14:textId="77777777" w:rsidR="00137E81" w:rsidRDefault="00137E81" w:rsidP="000C74F4">
      <w:pPr>
        <w:rPr>
          <w:color w:val="BF0918"/>
        </w:rPr>
      </w:pPr>
    </w:p>
    <w:p w14:paraId="7AEE8D42" w14:textId="77777777" w:rsidR="00137E81" w:rsidRDefault="00137E81" w:rsidP="000C74F4">
      <w:pPr>
        <w:rPr>
          <w:color w:val="BF0918"/>
        </w:rPr>
      </w:pPr>
    </w:p>
    <w:p w14:paraId="1343EC3B" w14:textId="447B74DB" w:rsidR="009D5475" w:rsidRDefault="000B6495" w:rsidP="006C34CF">
      <w:pPr>
        <w:pStyle w:val="Titre2"/>
        <w:numPr>
          <w:ilvl w:val="1"/>
          <w:numId w:val="2"/>
        </w:numPr>
        <w:ind w:left="284" w:hanging="284"/>
      </w:pPr>
      <w:bookmarkStart w:id="10" w:name="_Toc314397812"/>
      <w:bookmarkStart w:id="11" w:name="_Toc443569356"/>
      <w:r>
        <w:t>L’épargne et les placements – catégorisation et classement</w:t>
      </w:r>
      <w:bookmarkEnd w:id="10"/>
      <w:bookmarkEnd w:id="11"/>
    </w:p>
    <w:p w14:paraId="371D8E31" w14:textId="4F3EE055" w:rsidR="00151F0D" w:rsidRDefault="007B0A4B" w:rsidP="00151F0D">
      <w:r>
        <w:rPr>
          <w:noProof/>
          <w:lang w:eastAsia="fr-FR"/>
        </w:rPr>
        <w:drawing>
          <wp:anchor distT="0" distB="0" distL="114300" distR="114300" simplePos="0" relativeHeight="251721728" behindDoc="0" locked="0" layoutInCell="1" allowOverlap="1" wp14:anchorId="1F753DDD" wp14:editId="3A30F080">
            <wp:simplePos x="0" y="0"/>
            <wp:positionH relativeFrom="column">
              <wp:posOffset>457200</wp:posOffset>
            </wp:positionH>
            <wp:positionV relativeFrom="paragraph">
              <wp:posOffset>10795</wp:posOffset>
            </wp:positionV>
            <wp:extent cx="5039995" cy="2171700"/>
            <wp:effectExtent l="0" t="0" r="14605" b="0"/>
            <wp:wrapNone/>
            <wp:docPr id="27" name="Diagramme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14:sizeRelH relativeFrom="page">
              <wp14:pctWidth>0</wp14:pctWidth>
            </wp14:sizeRelH>
            <wp14:sizeRelV relativeFrom="page">
              <wp14:pctHeight>0</wp14:pctHeight>
            </wp14:sizeRelV>
          </wp:anchor>
        </w:drawing>
      </w:r>
    </w:p>
    <w:p w14:paraId="2ABAB95D" w14:textId="00F71E12" w:rsidR="000B1828" w:rsidRDefault="00F603BB" w:rsidP="00AB11A7">
      <w:pPr>
        <w:jc w:val="both"/>
        <w:rPr>
          <w:color w:val="FF6700" w:themeColor="accent3"/>
        </w:rPr>
      </w:pPr>
      <w:r>
        <w:t>L’épargne et les placements sont des concepts mainte</w:t>
      </w:r>
      <w:r w:rsidR="00EA1810">
        <w:t>s fois</w:t>
      </w:r>
      <w:r>
        <w:t xml:space="preserve"> confondus. Pour arriver à bien les </w:t>
      </w:r>
      <w:r w:rsidR="00A4329F">
        <w:t>distinguer,</w:t>
      </w:r>
      <w:r w:rsidR="000B1828">
        <w:t xml:space="preserve"> examinons une ligne de temps qui présente, à la fois, l’</w:t>
      </w:r>
      <w:r w:rsidR="000B1828">
        <w:rPr>
          <w:color w:val="FF6700" w:themeColor="accent3"/>
        </w:rPr>
        <w:t>ÉPARGNE</w:t>
      </w:r>
      <w:r w:rsidR="000B1828">
        <w:t xml:space="preserve">, les </w:t>
      </w:r>
      <w:r w:rsidR="000B1828">
        <w:rPr>
          <w:color w:val="FF6700" w:themeColor="accent3"/>
        </w:rPr>
        <w:t>PLACEMENTS</w:t>
      </w:r>
      <w:r w:rsidR="000B1828">
        <w:t xml:space="preserve"> et le </w:t>
      </w:r>
      <w:r w:rsidR="000B1828">
        <w:rPr>
          <w:color w:val="FF6700" w:themeColor="accent3"/>
        </w:rPr>
        <w:t>PATRIMOINE</w:t>
      </w:r>
      <w:r w:rsidR="000B1828" w:rsidRPr="006E6CC3">
        <w:t>.</w:t>
      </w:r>
    </w:p>
    <w:p w14:paraId="5B7BB695" w14:textId="285BC31D" w:rsidR="000B1828" w:rsidRDefault="000B1828" w:rsidP="00AB11A7">
      <w:pPr>
        <w:jc w:val="both"/>
        <w:rPr>
          <w:color w:val="FF6700" w:themeColor="accent3"/>
        </w:rPr>
      </w:pPr>
    </w:p>
    <w:p w14:paraId="65F10678" w14:textId="0208B2B6" w:rsidR="007B0A4B" w:rsidRPr="00BA74C1" w:rsidRDefault="007B0A4B" w:rsidP="00AB11A7">
      <w:pPr>
        <w:jc w:val="both"/>
        <w:rPr>
          <w:color w:val="FF6700" w:themeColor="accent3"/>
          <w:lang w:val="fr-CA"/>
        </w:rPr>
      </w:pPr>
    </w:p>
    <w:p w14:paraId="5D345D2F" w14:textId="20783D70" w:rsidR="000B1828" w:rsidRDefault="000B1828" w:rsidP="00AB11A7">
      <w:pPr>
        <w:jc w:val="both"/>
      </w:pPr>
    </w:p>
    <w:p w14:paraId="3CE7B33C" w14:textId="56706D12" w:rsidR="000B1828" w:rsidRDefault="000B1828" w:rsidP="00AB11A7">
      <w:pPr>
        <w:jc w:val="both"/>
      </w:pPr>
    </w:p>
    <w:p w14:paraId="2366929B" w14:textId="77777777" w:rsidR="007B0A4B" w:rsidRDefault="007B0A4B" w:rsidP="00AB11A7">
      <w:pPr>
        <w:jc w:val="both"/>
      </w:pPr>
    </w:p>
    <w:p w14:paraId="3E8C0DA9" w14:textId="77777777" w:rsidR="007B0A4B" w:rsidRDefault="007B0A4B" w:rsidP="00AB11A7">
      <w:pPr>
        <w:jc w:val="both"/>
      </w:pPr>
    </w:p>
    <w:p w14:paraId="35496267" w14:textId="4F65F692" w:rsidR="000429EC" w:rsidRDefault="00E84570" w:rsidP="00AB11A7">
      <w:pPr>
        <w:jc w:val="both"/>
      </w:pPr>
      <w:r>
        <w:t>Tel que nous l’avons présenté au début sujet, l’épargne représente le geste de soustraire des revenus à la consommation aujourd’hui afin de préserver des montants en vue de pouvoir consommer plus tard, soit au moment de la retraite. L’</w:t>
      </w:r>
      <w:r w:rsidR="00FC57D4">
        <w:rPr>
          <w:color w:val="FF6700" w:themeColor="accent3"/>
        </w:rPr>
        <w:t>ÉPARGNE</w:t>
      </w:r>
      <w:r w:rsidR="00FC57D4">
        <w:t xml:space="preserve"> </w:t>
      </w:r>
      <w:r>
        <w:t xml:space="preserve">est donc ce qui initie tout le </w:t>
      </w:r>
      <w:r w:rsidR="00A4329F">
        <w:t xml:space="preserve">processus </w:t>
      </w:r>
      <w:r>
        <w:t xml:space="preserve">de la </w:t>
      </w:r>
      <w:r w:rsidR="00A43BAB">
        <w:rPr>
          <w:lang w:val="fr-CA"/>
        </w:rPr>
        <w:t xml:space="preserve">prise de </w:t>
      </w:r>
      <w:r>
        <w:t xml:space="preserve">retraite. Sans épargne, pas de retraite convenable. </w:t>
      </w:r>
    </w:p>
    <w:p w14:paraId="6134142A" w14:textId="77777777" w:rsidR="00E84570" w:rsidRDefault="00E84570" w:rsidP="00AB11A7">
      <w:pPr>
        <w:jc w:val="both"/>
      </w:pPr>
    </w:p>
    <w:p w14:paraId="25F68652" w14:textId="191A645F" w:rsidR="00E84570" w:rsidRDefault="00E84570" w:rsidP="00AB11A7">
      <w:pPr>
        <w:jc w:val="both"/>
      </w:pPr>
      <w:r>
        <w:t>Par la suite, les montants épargnés doivent faire l’objet d’une stratégie, d’un plan afin d’en soutirer un maximum de bénéfice et ainsi pér</w:t>
      </w:r>
      <w:r w:rsidR="00AB11A7">
        <w:t>en</w:t>
      </w:r>
      <w:r>
        <w:t xml:space="preserve">niser les objectifs de retraite. </w:t>
      </w:r>
      <w:r w:rsidR="00AB11A7">
        <w:t xml:space="preserve">Ces choix sont nombreux et constituent ce que l’on appelle </w:t>
      </w:r>
      <w:r w:rsidR="00C136CD">
        <w:t xml:space="preserve">la </w:t>
      </w:r>
      <w:r w:rsidR="00AB11A7">
        <w:t>stratégie de</w:t>
      </w:r>
      <w:r w:rsidR="006E6CC3">
        <w:t xml:space="preserve"> </w:t>
      </w:r>
      <w:r w:rsidR="006E6CC3">
        <w:rPr>
          <w:color w:val="FF6700" w:themeColor="accent3"/>
        </w:rPr>
        <w:t>PLACEMENT</w:t>
      </w:r>
      <w:r w:rsidR="00AB11A7">
        <w:t xml:space="preserve">. C’est-à-dire, qu’il existe plusieurs formes de placement pour accueillir les montants épargnés. Afin d’y mettre un peu d’ordre et d’en </w:t>
      </w:r>
      <w:r w:rsidR="00A43BAB">
        <w:t>faciliter</w:t>
      </w:r>
      <w:r w:rsidR="00AB11A7">
        <w:t xml:space="preserve"> la compréhension, nous aborderons différentes façons de classifier et catégoriser les placements.</w:t>
      </w:r>
    </w:p>
    <w:p w14:paraId="6C6876CE" w14:textId="77777777" w:rsidR="00AB11A7" w:rsidRDefault="00AB11A7" w:rsidP="00AB11A7">
      <w:pPr>
        <w:jc w:val="both"/>
      </w:pPr>
    </w:p>
    <w:p w14:paraId="7EA2AA14" w14:textId="22FF2250" w:rsidR="00AB11A7" w:rsidRDefault="00AB11A7" w:rsidP="00AB11A7">
      <w:pPr>
        <w:jc w:val="both"/>
      </w:pPr>
      <w:r>
        <w:t xml:space="preserve">Quant au </w:t>
      </w:r>
      <w:r w:rsidR="006E6CC3">
        <w:rPr>
          <w:color w:val="FF6700" w:themeColor="accent3"/>
        </w:rPr>
        <w:t>PATRIMOINE</w:t>
      </w:r>
      <w:r>
        <w:t>, aussi appelé le capital de retraite, il représente en quelque sort</w:t>
      </w:r>
      <w:r w:rsidR="00B87F30">
        <w:t>e</w:t>
      </w:r>
      <w:r>
        <w:t xml:space="preserve"> l’accumulation de tous les placements qui sont bonifiés dans le temps par les rendements qu’ils procurent. Ce patrimoine qui se bâtit au fil des ans</w:t>
      </w:r>
      <w:r w:rsidR="00184D74">
        <w:t xml:space="preserve"> deviendra</w:t>
      </w:r>
      <w:r w:rsidR="00930D2B">
        <w:t xml:space="preserve"> ensuite</w:t>
      </w:r>
      <w:r w:rsidR="00184D74">
        <w:t xml:space="preserve"> l</w:t>
      </w:r>
      <w:r w:rsidR="00FC57D4">
        <w:t xml:space="preserve">a fondation </w:t>
      </w:r>
      <w:r w:rsidR="00184D74">
        <w:t>sur l</w:t>
      </w:r>
      <w:r w:rsidR="00FC57D4">
        <w:t>a</w:t>
      </w:r>
      <w:r w:rsidR="00184D74">
        <w:t>quel</w:t>
      </w:r>
      <w:r w:rsidR="00FC57D4">
        <w:t>le</w:t>
      </w:r>
      <w:r w:rsidR="00184D74">
        <w:t xml:space="preserve"> se </w:t>
      </w:r>
      <w:r w:rsidR="00A4329F">
        <w:t>prélèveront</w:t>
      </w:r>
      <w:r w:rsidR="00184D74">
        <w:t xml:space="preserve"> les revenus qui seront nécessaires au moment de la retraite.</w:t>
      </w:r>
    </w:p>
    <w:p w14:paraId="1C3F39D7" w14:textId="77777777" w:rsidR="000B1828" w:rsidRDefault="000B1828" w:rsidP="00151F0D"/>
    <w:p w14:paraId="03E4AE3E" w14:textId="57736052" w:rsidR="00151F0D" w:rsidRDefault="00F603BB" w:rsidP="00FC57D4">
      <w:pPr>
        <w:jc w:val="both"/>
      </w:pPr>
      <w:r>
        <w:t xml:space="preserve">Une fois </w:t>
      </w:r>
      <w:r w:rsidR="00C05807">
        <w:t>q</w:t>
      </w:r>
      <w:r w:rsidR="00FF1FA9">
        <w:t>u</w:t>
      </w:r>
      <w:r w:rsidR="00C05807">
        <w:t xml:space="preserve">e nous avons </w:t>
      </w:r>
      <w:r>
        <w:t xml:space="preserve">bien intégré l’idée de l’épargne et que nous sommes à même de la distinguer des placements, </w:t>
      </w:r>
      <w:r w:rsidR="00FC57D4">
        <w:t xml:space="preserve">examinons ceux-ci et </w:t>
      </w:r>
      <w:r w:rsidR="00C05807">
        <w:t>pr</w:t>
      </w:r>
      <w:r w:rsidR="00E00B0E">
        <w:t>o</w:t>
      </w:r>
      <w:r w:rsidR="00C05807">
        <w:t>posons</w:t>
      </w:r>
      <w:r w:rsidR="00EA1810">
        <w:t xml:space="preserve"> </w:t>
      </w:r>
      <w:r w:rsidR="00C05807">
        <w:t xml:space="preserve">en </w:t>
      </w:r>
      <w:r w:rsidR="00672798">
        <w:t>différentes</w:t>
      </w:r>
      <w:r w:rsidR="00C05807">
        <w:t xml:space="preserve"> forme</w:t>
      </w:r>
      <w:r w:rsidR="00672798">
        <w:t>s</w:t>
      </w:r>
      <w:r w:rsidR="00C05807">
        <w:t xml:space="preserve"> de </w:t>
      </w:r>
      <w:r w:rsidR="00672798">
        <w:t xml:space="preserve">catégorisation et de </w:t>
      </w:r>
      <w:r w:rsidR="00C05807">
        <w:t>classement</w:t>
      </w:r>
      <w:r w:rsidR="00FC57D4">
        <w:t>.</w:t>
      </w:r>
    </w:p>
    <w:p w14:paraId="3BBF4B15" w14:textId="77777777" w:rsidR="00D84978" w:rsidRDefault="00D84978" w:rsidP="00FC57D4">
      <w:pPr>
        <w:jc w:val="both"/>
      </w:pPr>
    </w:p>
    <w:p w14:paraId="14D840B3" w14:textId="77777777" w:rsidR="00682DEB" w:rsidRDefault="00682DEB" w:rsidP="00FC57D4">
      <w:pPr>
        <w:jc w:val="both"/>
      </w:pPr>
    </w:p>
    <w:p w14:paraId="65AA66D0" w14:textId="77777777" w:rsidR="00921AB4" w:rsidRDefault="00921AB4" w:rsidP="00921AB4">
      <w:pPr>
        <w:jc w:val="both"/>
        <w:rPr>
          <w:b/>
        </w:rPr>
      </w:pPr>
    </w:p>
    <w:p w14:paraId="46D14755" w14:textId="144B1632" w:rsidR="00921AB4" w:rsidRPr="002E1C25" w:rsidRDefault="00921AB4" w:rsidP="00921AB4">
      <w:pPr>
        <w:jc w:val="both"/>
        <w:rPr>
          <w:b/>
        </w:rPr>
      </w:pPr>
      <w:r w:rsidRPr="002E1C25">
        <w:rPr>
          <w:b/>
        </w:rPr>
        <w:t>Propos</w:t>
      </w:r>
      <w:r w:rsidR="006E1B64">
        <w:rPr>
          <w:b/>
        </w:rPr>
        <w:t>I</w:t>
      </w:r>
      <w:r w:rsidRPr="002E1C25">
        <w:rPr>
          <w:b/>
        </w:rPr>
        <w:t>tion 1 - Classement selon la forme, la nature et la durée de détention</w:t>
      </w:r>
    </w:p>
    <w:p w14:paraId="791C9901" w14:textId="527AFAED" w:rsidR="006A53B4" w:rsidRDefault="006A53B4" w:rsidP="00FC57D4">
      <w:pPr>
        <w:jc w:val="both"/>
      </w:pPr>
    </w:p>
    <w:p w14:paraId="6E7CEF88" w14:textId="52F94870" w:rsidR="00921AB4" w:rsidRDefault="00F0239D" w:rsidP="00921AB4">
      <w:pPr>
        <w:jc w:val="both"/>
      </w:pPr>
      <w:r>
        <w:rPr>
          <w:noProof/>
          <w:lang w:eastAsia="fr-FR"/>
        </w:rPr>
        <mc:AlternateContent>
          <mc:Choice Requires="wps">
            <w:drawing>
              <wp:anchor distT="0" distB="0" distL="114300" distR="114300" simplePos="0" relativeHeight="253429760" behindDoc="0" locked="0" layoutInCell="1" allowOverlap="1" wp14:anchorId="450982BE" wp14:editId="405CD192">
                <wp:simplePos x="0" y="0"/>
                <wp:positionH relativeFrom="column">
                  <wp:posOffset>-4749800</wp:posOffset>
                </wp:positionH>
                <wp:positionV relativeFrom="paragraph">
                  <wp:posOffset>83185</wp:posOffset>
                </wp:positionV>
                <wp:extent cx="333375" cy="276225"/>
                <wp:effectExtent l="76200" t="76200" r="73025" b="79375"/>
                <wp:wrapNone/>
                <wp:docPr id="928" name="Rectangle 928"/>
                <wp:cNvGraphicFramePr/>
                <a:graphic xmlns:a="http://schemas.openxmlformats.org/drawingml/2006/main">
                  <a:graphicData uri="http://schemas.microsoft.com/office/word/2010/wordprocessingShape">
                    <wps:wsp>
                      <wps:cNvSpPr/>
                      <wps:spPr>
                        <a:xfrm>
                          <a:off x="0" y="0"/>
                          <a:ext cx="333375" cy="276225"/>
                        </a:xfrm>
                        <a:prstGeom prst="rect">
                          <a:avLst/>
                        </a:prstGeom>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id="Rectangle 928" o:spid="_x0000_s1026" style="position:absolute;margin-left:-373.95pt;margin-top:6.55pt;width:26.25pt;height:21.75pt;z-index:2534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" fillcolor="#94c600 [3204]" strokecolor="#94c600 [3204]">
                <v:fill color2="#84b100 [2884]" rotate="t" focus="100%" type="gradient">
                  <o:fill v:ext="view" type="gradientUnscaled"/>
                </v:fill>
              </v:rect>
            </w:pict>
          </mc:Fallback>
        </mc:AlternateContent>
      </w:r>
      <w:r w:rsidR="00921AB4">
        <w:rPr>
          <w:b/>
          <w:noProof/>
          <w:lang w:eastAsia="fr-FR"/>
        </w:rPr>
        <w:drawing>
          <wp:anchor distT="0" distB="0" distL="114300" distR="114300" simplePos="0" relativeHeight="251791360" behindDoc="0" locked="0" layoutInCell="1" allowOverlap="1" wp14:anchorId="37569706" wp14:editId="63A1AAAF">
            <wp:simplePos x="0" y="0"/>
            <wp:positionH relativeFrom="column">
              <wp:posOffset>-457200</wp:posOffset>
            </wp:positionH>
            <wp:positionV relativeFrom="paragraph">
              <wp:posOffset>-1270</wp:posOffset>
            </wp:positionV>
            <wp:extent cx="4743450" cy="4656455"/>
            <wp:effectExtent l="0" t="0" r="6350" b="0"/>
            <wp:wrapSquare wrapText="bothSides"/>
            <wp:docPr id="3" name="Image 3" descr="Macintosh HD:Users:marcbachand:Desktop:Capture d’écran 2015-06-10 à 08.0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10 à 08.04.3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43450" cy="46564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21AB4">
        <w:t xml:space="preserve">La catégorisation selon la </w:t>
      </w:r>
      <w:r w:rsidR="00921AB4">
        <w:rPr>
          <w:color w:val="FF6700" w:themeColor="accent3"/>
        </w:rPr>
        <w:t>FORME</w:t>
      </w:r>
      <w:r w:rsidR="00921AB4">
        <w:t xml:space="preserve"> vise à reconnaître en premier lieu la description du placement, son caractère intrinsèque dans sa plus simple expression. En réalité, les formes de placements sont beaucoup plus nombreuses et la sophistication des marchés financiers génère un nombre impressionnant de produits diversifiés (p. ex. les options d’achat d’actions, les contrats à terme sur les denrées, les fiducies de revenus, etc.). Nous présentons</w:t>
      </w:r>
      <w:r w:rsidR="00114B40">
        <w:t xml:space="preserve"> ici</w:t>
      </w:r>
      <w:r w:rsidR="00921AB4">
        <w:t xml:space="preserve"> les formes de placements les plus usuel</w:t>
      </w:r>
      <w:r w:rsidR="00114B40">
        <w:t>s</w:t>
      </w:r>
      <w:r w:rsidR="00921AB4">
        <w:t xml:space="preserve">. Ceux-ci feront l’objet d’explications plus approfondies dans la </w:t>
      </w:r>
      <w:r w:rsidR="00921AB4" w:rsidRPr="006B18D8">
        <w:rPr>
          <w:color w:val="008000"/>
        </w:rPr>
        <w:t xml:space="preserve">PARTIE </w:t>
      </w:r>
      <w:r w:rsidR="00397EFC">
        <w:rPr>
          <w:color w:val="008000"/>
        </w:rPr>
        <w:t>6</w:t>
      </w:r>
      <w:r w:rsidR="00921AB4">
        <w:t xml:space="preserve"> du présent sujet.  </w:t>
      </w:r>
    </w:p>
    <w:p w14:paraId="49FE2FAA" w14:textId="77777777" w:rsidR="00921AB4" w:rsidRDefault="00921AB4">
      <w:pPr>
        <w:rPr>
          <w:b/>
        </w:rPr>
      </w:pPr>
    </w:p>
    <w:p w14:paraId="79829A71" w14:textId="62AE59A4" w:rsidR="00921AB4" w:rsidRPr="004C5DE3" w:rsidRDefault="00921AB4" w:rsidP="00921AB4">
      <w:pPr>
        <w:jc w:val="both"/>
      </w:pPr>
      <w:r>
        <w:t xml:space="preserve">La </w:t>
      </w:r>
      <w:r>
        <w:rPr>
          <w:color w:val="FF6700" w:themeColor="accent3"/>
        </w:rPr>
        <w:t>NATURE</w:t>
      </w:r>
      <w:r>
        <w:t xml:space="preserve"> quant à elle vise à distinguer l’utilisation qui est faite du produit. Même si à titre de placement, tous les biens identifiés à la proposition 1 possèdent la même finalité de produire des revenus et/ou de voir sa valeur accroître, certains d’entre eux ont </w:t>
      </w:r>
      <w:r w:rsidR="00114B40">
        <w:t xml:space="preserve">également </w:t>
      </w:r>
      <w:r>
        <w:t xml:space="preserve">la particularité de procurer un contentement personnel. Par exemple, les résidences sont de cette nature. Par ailleurs, nous n’avons pas inclus d’autres biens personnels tels les voitures ou les meubles puisque ceux-ci n’offrent pas une possibilité de rendement et ne sont donc pas des </w:t>
      </w:r>
      <w:r w:rsidR="00DF6C2C">
        <w:t>placements,</w:t>
      </w:r>
      <w:r>
        <w:t xml:space="preserve"> mais bien des dépenses. Le cas le plus complexe à définir quant à sa capacité de générer des revenus est celui des résidences. Cette complexité est </w:t>
      </w:r>
      <w:r w:rsidR="00DF6C2C">
        <w:t>due</w:t>
      </w:r>
      <w:r>
        <w:t xml:space="preserve"> à la double nature de ce type de bien. S’il existe une composante </w:t>
      </w:r>
      <w:r>
        <w:lastRenderedPageBreak/>
        <w:t xml:space="preserve">placement, avec un potentiel de gain, à l’égard des résidences, il est tout aussi manifeste que le plaisir que l’on soutire d’une résidence </w:t>
      </w:r>
      <w:r w:rsidR="008944AA">
        <w:t>a</w:t>
      </w:r>
      <w:r>
        <w:t xml:space="preserve"> un coût. Nous aborderons cette fascinante question de la dualité de la résidence au </w:t>
      </w:r>
      <w:r w:rsidRPr="006B18D8">
        <w:rPr>
          <w:color w:val="008000"/>
        </w:rPr>
        <w:t>SUJET 8</w:t>
      </w:r>
      <w:r>
        <w:t>.</w:t>
      </w:r>
    </w:p>
    <w:p w14:paraId="2883D80C" w14:textId="77777777" w:rsidR="00FE4D2C" w:rsidRDefault="00FE4D2C" w:rsidP="004C4D62">
      <w:pPr>
        <w:jc w:val="both"/>
      </w:pPr>
    </w:p>
    <w:p w14:paraId="42A8F2B6" w14:textId="40292A6B" w:rsidR="00CE142D" w:rsidRDefault="00FE4D2C" w:rsidP="009974BD">
      <w:pPr>
        <w:jc w:val="both"/>
      </w:pPr>
      <w:r>
        <w:t xml:space="preserve">La </w:t>
      </w:r>
      <w:r w:rsidR="007B34C5">
        <w:rPr>
          <w:color w:val="FF6700" w:themeColor="accent3"/>
        </w:rPr>
        <w:t>DURÉE</w:t>
      </w:r>
      <w:r>
        <w:t xml:space="preserve"> de détention</w:t>
      </w:r>
      <w:r w:rsidR="00775053">
        <w:t xml:space="preserve"> tente d’apprécier le temps</w:t>
      </w:r>
      <w:r w:rsidR="00224A86">
        <w:t xml:space="preserve"> </w:t>
      </w:r>
      <w:r w:rsidR="00775053">
        <w:t>qui s’écoulera entre l’achat et la vente du bien</w:t>
      </w:r>
      <w:r w:rsidR="003D6B2E">
        <w:t xml:space="preserve">. Ces périodes </w:t>
      </w:r>
      <w:r w:rsidR="00DF6C2C">
        <w:t>peuvent</w:t>
      </w:r>
      <w:r w:rsidR="003D6B2E">
        <w:t xml:space="preserve"> varier, mais de manière générale, le court terme fait référence à des échéances inférieures à une année. Les biens détenus à court terme sont bien sûr les plus liquides, ils peuvent donc faire l’objet d’encaissement pour faire face à des imprévus ou à saisir des </w:t>
      </w:r>
      <w:r w:rsidR="00DF6C2C">
        <w:t xml:space="preserve">opportunités </w:t>
      </w:r>
      <w:r w:rsidR="003D6B2E">
        <w:t xml:space="preserve">sans </w:t>
      </w:r>
      <w:r w:rsidR="00DF6C2C">
        <w:t>occasionner</w:t>
      </w:r>
      <w:r w:rsidR="003D6B2E">
        <w:t xml:space="preserve"> de grandes pénalités ou de préjudices financiers. Leur potentiel de revenu est cependant restreint en terme de rendement et se limite à des revenus</w:t>
      </w:r>
      <w:r w:rsidR="00FA2781">
        <w:t xml:space="preserve"> qui sont sous forme</w:t>
      </w:r>
      <w:r w:rsidR="003D6B2E">
        <w:t xml:space="preserve"> d’intérêts.</w:t>
      </w:r>
      <w:r w:rsidR="001C1C88">
        <w:t xml:space="preserve"> Certains individus, au profil extrêmement conservateur, adopteront une stratégie de placement à long terme misant sur </w:t>
      </w:r>
      <w:r w:rsidR="00B72F80">
        <w:t>d</w:t>
      </w:r>
      <w:r w:rsidR="001C1C88">
        <w:t>es biens qui sont normalement détenus à court terme. Cette approc</w:t>
      </w:r>
      <w:r w:rsidR="00B72F80">
        <w:t xml:space="preserve">he, surtout si elle est adoptée </w:t>
      </w:r>
      <w:r w:rsidR="0000649D">
        <w:t>à</w:t>
      </w:r>
      <w:r w:rsidR="00B72F80">
        <w:t xml:space="preserve"> un très jeune âge,</w:t>
      </w:r>
      <w:r w:rsidR="001C1C88">
        <w:t xml:space="preserve"> sera pénalisante et même, parfois, conduira à une forme d’appauvrissement lorsque le rendement sera inférieur au taux d’inflation. </w:t>
      </w:r>
      <w:r w:rsidR="00CE142D">
        <w:t>Voici un exemple qui met en lumière l’importance d’obtenir un rendement minimalement acceptable lorsque vient le temps de se constituer un capi</w:t>
      </w:r>
      <w:r w:rsidR="00D046CD">
        <w:t>ta</w:t>
      </w:r>
      <w:r w:rsidR="00CE142D">
        <w:t xml:space="preserve">l </w:t>
      </w:r>
      <w:r w:rsidR="00D046CD">
        <w:t xml:space="preserve">de </w:t>
      </w:r>
      <w:r w:rsidR="00CE142D">
        <w:t>retraite.</w:t>
      </w:r>
    </w:p>
    <w:p w14:paraId="41C337D3" w14:textId="77777777" w:rsidR="009974BD" w:rsidRDefault="009974BD" w:rsidP="009974BD">
      <w:pPr>
        <w:jc w:val="both"/>
      </w:pPr>
    </w:p>
    <w:p w14:paraId="3F1231ED" w14:textId="65993C70" w:rsidR="001C1C88" w:rsidRDefault="001C1C88" w:rsidP="004C4D62">
      <w:pPr>
        <w:jc w:val="both"/>
      </w:pPr>
    </w:p>
    <w:tbl>
      <w:tblPr>
        <w:tblStyle w:val="Tramemoyenne2-Accent3"/>
        <w:tblW w:w="0" w:type="auto"/>
        <w:tblInd w:w="108" w:type="dxa"/>
        <w:tblLook w:val="04A0" w:firstRow="1" w:lastRow="0" w:firstColumn="1" w:lastColumn="0" w:noHBand="0" w:noVBand="1"/>
      </w:tblPr>
      <w:tblGrid>
        <w:gridCol w:w="2272"/>
        <w:gridCol w:w="2099"/>
        <w:gridCol w:w="2243"/>
        <w:gridCol w:w="1966"/>
        <w:gridCol w:w="2335"/>
        <w:gridCol w:w="2199"/>
      </w:tblGrid>
      <w:tr w:rsidR="009974BD" w14:paraId="1364D594" w14:textId="77777777" w:rsidTr="00B21EB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72" w:type="dxa"/>
          </w:tcPr>
          <w:p w14:paraId="7C244B9D" w14:textId="77777777" w:rsidR="009974BD" w:rsidRDefault="009974BD" w:rsidP="00CE142D">
            <w:pPr>
              <w:jc w:val="center"/>
            </w:pPr>
            <w:r>
              <w:t>Âge - début</w:t>
            </w:r>
          </w:p>
        </w:tc>
        <w:tc>
          <w:tcPr>
            <w:tcW w:w="2099" w:type="dxa"/>
          </w:tcPr>
          <w:p w14:paraId="1775D12E" w14:textId="77777777" w:rsidR="009974BD" w:rsidRDefault="009974BD" w:rsidP="00CE142D">
            <w:pPr>
              <w:jc w:val="center"/>
              <w:cnfStyle w:val="100000000000" w:firstRow="1" w:lastRow="0" w:firstColumn="0" w:lastColumn="0" w:oddVBand="0" w:evenVBand="0" w:oddHBand="0" w:evenHBand="0" w:firstRowFirstColumn="0" w:firstRowLastColumn="0" w:lastRowFirstColumn="0" w:lastRowLastColumn="0"/>
            </w:pPr>
            <w:r>
              <w:t>Âge - fin</w:t>
            </w:r>
          </w:p>
        </w:tc>
        <w:tc>
          <w:tcPr>
            <w:tcW w:w="2243" w:type="dxa"/>
          </w:tcPr>
          <w:p w14:paraId="1DE69107" w14:textId="5C810074" w:rsidR="009974BD" w:rsidRDefault="009974BD" w:rsidP="00D046CD">
            <w:pPr>
              <w:jc w:val="center"/>
              <w:cnfStyle w:val="100000000000" w:firstRow="1" w:lastRow="0" w:firstColumn="0" w:lastColumn="0" w:oddVBand="0" w:evenVBand="0" w:oddHBand="0" w:evenHBand="0" w:firstRowFirstColumn="0" w:firstRowLastColumn="0" w:lastRowFirstColumn="0" w:lastRowLastColumn="0"/>
            </w:pPr>
            <w:r>
              <w:t>Épargne annuelle</w:t>
            </w:r>
          </w:p>
        </w:tc>
        <w:tc>
          <w:tcPr>
            <w:tcW w:w="1966" w:type="dxa"/>
          </w:tcPr>
          <w:p w14:paraId="4CB2A8F0" w14:textId="77777777" w:rsidR="009974BD" w:rsidRDefault="009974BD" w:rsidP="00CE142D">
            <w:pPr>
              <w:jc w:val="center"/>
              <w:cnfStyle w:val="100000000000" w:firstRow="1" w:lastRow="0" w:firstColumn="0" w:lastColumn="0" w:oddVBand="0" w:evenVBand="0" w:oddHBand="0" w:evenHBand="0" w:firstRowFirstColumn="0" w:firstRowLastColumn="0" w:lastRowFirstColumn="0" w:lastRowLastColumn="0"/>
            </w:pPr>
            <w:r>
              <w:t>Épargne</w:t>
            </w:r>
          </w:p>
          <w:p w14:paraId="1BCFDF59" w14:textId="5A801507" w:rsidR="009974BD" w:rsidRDefault="00DF6C2C" w:rsidP="00CE142D">
            <w:pPr>
              <w:jc w:val="center"/>
              <w:cnfStyle w:val="100000000000" w:firstRow="1" w:lastRow="0" w:firstColumn="0" w:lastColumn="0" w:oddVBand="0" w:evenVBand="0" w:oddHBand="0" w:evenHBand="0" w:firstRowFirstColumn="0" w:firstRowLastColumn="0" w:lastRowFirstColumn="0" w:lastRowLastColumn="0"/>
            </w:pPr>
            <w:r>
              <w:t>totale</w:t>
            </w:r>
          </w:p>
        </w:tc>
        <w:tc>
          <w:tcPr>
            <w:tcW w:w="2335" w:type="dxa"/>
          </w:tcPr>
          <w:p w14:paraId="31567FAD" w14:textId="07FB2D62" w:rsidR="009974BD" w:rsidRDefault="00734A1F" w:rsidP="00CE142D">
            <w:pPr>
              <w:jc w:val="center"/>
              <w:cnfStyle w:val="100000000000" w:firstRow="1"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1799552" behindDoc="0" locked="0" layoutInCell="1" allowOverlap="1" wp14:anchorId="18435B9C" wp14:editId="4A08AB85">
                      <wp:simplePos x="0" y="0"/>
                      <wp:positionH relativeFrom="column">
                        <wp:posOffset>1341120</wp:posOffset>
                      </wp:positionH>
                      <wp:positionV relativeFrom="paragraph">
                        <wp:posOffset>327025</wp:posOffset>
                      </wp:positionV>
                      <wp:extent cx="328930" cy="223520"/>
                      <wp:effectExtent l="76200" t="76200" r="0" b="55880"/>
                      <wp:wrapNone/>
                      <wp:docPr id="21" name="Flèche vers la gauche 21"/>
                      <wp:cNvGraphicFramePr/>
                      <a:graphic xmlns:a="http://schemas.openxmlformats.org/drawingml/2006/main">
                        <a:graphicData uri="http://schemas.microsoft.com/office/word/2010/wordprocessingShape">
                          <wps:wsp>
                            <wps:cNvSpPr/>
                            <wps:spPr>
                              <a:xfrm rot="10800000">
                                <a:off x="0" y="0"/>
                                <a:ext cx="328930" cy="223520"/>
                              </a:xfrm>
                              <a:prstGeom prst="leftArrow">
                                <a:avLst/>
                              </a:prstGeom>
                              <a:solidFill>
                                <a:srgbClr val="800000"/>
                              </a:solidFill>
                              <a:ln>
                                <a:solidFill>
                                  <a:schemeClr val="bg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66" coordsize="21600,21600" o:spt="66" adj="5400,5400" path="m@0,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vers la gauche 21" o:spid="_x0000_s1026" type="#_x0000_t66" style="position:absolute;margin-left:105.6pt;margin-top:25.75pt;width:25.9pt;height:17.6pt;rotation:18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" adj="7339" fillcolor="maroon" strokecolor="white [3212]"/>
                  </w:pict>
                </mc:Fallback>
              </mc:AlternateContent>
            </w:r>
            <w:r w:rsidR="009974BD">
              <w:t>Rendement</w:t>
            </w:r>
          </w:p>
        </w:tc>
        <w:tc>
          <w:tcPr>
            <w:tcW w:w="2199" w:type="dxa"/>
          </w:tcPr>
          <w:p w14:paraId="5E6CEA49" w14:textId="77777777" w:rsidR="009974BD" w:rsidRDefault="009974BD" w:rsidP="00CE142D">
            <w:pPr>
              <w:jc w:val="center"/>
              <w:cnfStyle w:val="100000000000" w:firstRow="1" w:lastRow="0" w:firstColumn="0" w:lastColumn="0" w:oddVBand="0" w:evenVBand="0" w:oddHBand="0" w:evenHBand="0" w:firstRowFirstColumn="0" w:firstRowLastColumn="0" w:lastRowFirstColumn="0" w:lastRowLastColumn="0"/>
            </w:pPr>
            <w:r>
              <w:t>Capital à 65 ans</w:t>
            </w:r>
          </w:p>
        </w:tc>
      </w:tr>
      <w:tr w:rsidR="009974BD" w14:paraId="157A103B" w14:textId="77777777" w:rsidTr="00B21E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2" w:type="dxa"/>
          </w:tcPr>
          <w:p w14:paraId="1E624730" w14:textId="7D07EDA1" w:rsidR="009974BD" w:rsidRPr="00DF17E2" w:rsidRDefault="009974BD" w:rsidP="00CE142D">
            <w:pPr>
              <w:jc w:val="center"/>
              <w:rPr>
                <w:b w:val="0"/>
              </w:rPr>
            </w:pPr>
            <w:r w:rsidRPr="00DF17E2">
              <w:rPr>
                <w:b w:val="0"/>
              </w:rPr>
              <w:t>28</w:t>
            </w:r>
          </w:p>
        </w:tc>
        <w:tc>
          <w:tcPr>
            <w:tcW w:w="2099" w:type="dxa"/>
          </w:tcPr>
          <w:p w14:paraId="3B51CDA9" w14:textId="77777777" w:rsidR="009974BD" w:rsidRDefault="009974BD" w:rsidP="00CE142D">
            <w:pPr>
              <w:jc w:val="center"/>
              <w:cnfStyle w:val="000000100000" w:firstRow="0" w:lastRow="0" w:firstColumn="0" w:lastColumn="0" w:oddVBand="0" w:evenVBand="0" w:oddHBand="1" w:evenHBand="0" w:firstRowFirstColumn="0" w:firstRowLastColumn="0" w:lastRowFirstColumn="0" w:lastRowLastColumn="0"/>
            </w:pPr>
            <w:r>
              <w:t>65</w:t>
            </w:r>
          </w:p>
        </w:tc>
        <w:tc>
          <w:tcPr>
            <w:tcW w:w="2243" w:type="dxa"/>
          </w:tcPr>
          <w:p w14:paraId="4C4BA256" w14:textId="2489DAED" w:rsidR="009974BD" w:rsidRDefault="009974BD" w:rsidP="00D046CD">
            <w:pPr>
              <w:jc w:val="center"/>
              <w:cnfStyle w:val="000000100000" w:firstRow="0" w:lastRow="0" w:firstColumn="0" w:lastColumn="0" w:oddVBand="0" w:evenVBand="0" w:oddHBand="1" w:evenHBand="0" w:firstRowFirstColumn="0" w:firstRowLastColumn="0" w:lastRowFirstColumn="0" w:lastRowLastColumn="0"/>
            </w:pPr>
            <w:r>
              <w:t>2 000 $</w:t>
            </w:r>
          </w:p>
        </w:tc>
        <w:tc>
          <w:tcPr>
            <w:tcW w:w="1966" w:type="dxa"/>
          </w:tcPr>
          <w:p w14:paraId="0398FE4C" w14:textId="5114DE60" w:rsidR="009974BD" w:rsidRDefault="009974BD" w:rsidP="00CE142D">
            <w:pPr>
              <w:jc w:val="center"/>
              <w:cnfStyle w:val="000000100000" w:firstRow="0" w:lastRow="0" w:firstColumn="0" w:lastColumn="0" w:oddVBand="0" w:evenVBand="0" w:oddHBand="1" w:evenHBand="0" w:firstRowFirstColumn="0" w:firstRowLastColumn="0" w:lastRowFirstColumn="0" w:lastRowLastColumn="0"/>
            </w:pPr>
            <w:r>
              <w:t>74 000 $</w:t>
            </w:r>
          </w:p>
        </w:tc>
        <w:tc>
          <w:tcPr>
            <w:tcW w:w="2335" w:type="dxa"/>
          </w:tcPr>
          <w:p w14:paraId="0C9FA432" w14:textId="10B82610" w:rsidR="009974BD" w:rsidRDefault="009974BD" w:rsidP="00CE142D">
            <w:pPr>
              <w:jc w:val="center"/>
              <w:cnfStyle w:val="000000100000" w:firstRow="0" w:lastRow="0" w:firstColumn="0" w:lastColumn="0" w:oddVBand="0" w:evenVBand="0" w:oddHBand="1" w:evenHBand="0" w:firstRowFirstColumn="0" w:firstRowLastColumn="0" w:lastRowFirstColumn="0" w:lastRowLastColumn="0"/>
            </w:pPr>
            <w:r>
              <w:t>2 %</w:t>
            </w:r>
          </w:p>
        </w:tc>
        <w:tc>
          <w:tcPr>
            <w:tcW w:w="2199" w:type="dxa"/>
          </w:tcPr>
          <w:p w14:paraId="636ADBAB" w14:textId="774C163D" w:rsidR="009974BD" w:rsidRPr="00734A1F" w:rsidRDefault="00734A1F" w:rsidP="00D046CD">
            <w:pPr>
              <w:jc w:val="cente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795456" behindDoc="0" locked="0" layoutInCell="1" allowOverlap="1" wp14:anchorId="7F4F2096" wp14:editId="3CFE1314">
                      <wp:simplePos x="0" y="0"/>
                      <wp:positionH relativeFrom="column">
                        <wp:posOffset>1001395</wp:posOffset>
                      </wp:positionH>
                      <wp:positionV relativeFrom="paragraph">
                        <wp:posOffset>153670</wp:posOffset>
                      </wp:positionV>
                      <wp:extent cx="328930" cy="223520"/>
                      <wp:effectExtent l="76200" t="76200" r="0" b="55880"/>
                      <wp:wrapNone/>
                      <wp:docPr id="9" name="Flèche vers la gauche 9"/>
                      <wp:cNvGraphicFramePr/>
                      <a:graphic xmlns:a="http://schemas.openxmlformats.org/drawingml/2006/main">
                        <a:graphicData uri="http://schemas.microsoft.com/office/word/2010/wordprocessingShape">
                          <wps:wsp>
                            <wps:cNvSpPr/>
                            <wps:spPr>
                              <a:xfrm>
                                <a:off x="0" y="0"/>
                                <a:ext cx="328930" cy="223520"/>
                              </a:xfrm>
                              <a:prstGeom prst="leftArrow">
                                <a:avLst/>
                              </a:prstGeom>
                              <a:solidFill>
                                <a:srgbClr val="008000"/>
                              </a:solidFill>
                              <a:ln>
                                <a:solidFill>
                                  <a:schemeClr val="bg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lèche vers la gauche 9" o:spid="_x0000_s1026" type="#_x0000_t66" style="position:absolute;margin-left:78.85pt;margin-top:12.1pt;width:25.9pt;height:17.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" adj="7339" fillcolor="green" strokecolor="white [3212]"/>
                  </w:pict>
                </mc:Fallback>
              </mc:AlternateContent>
            </w:r>
            <w:r w:rsidR="009974BD" w:rsidRPr="00734A1F">
              <w:t>110 230 $</w:t>
            </w:r>
          </w:p>
        </w:tc>
      </w:tr>
      <w:tr w:rsidR="009974BD" w14:paraId="7FECB1EF" w14:textId="77777777" w:rsidTr="00B21EBE">
        <w:tc>
          <w:tcPr>
            <w:cnfStyle w:val="001000000000" w:firstRow="0" w:lastRow="0" w:firstColumn="1" w:lastColumn="0" w:oddVBand="0" w:evenVBand="0" w:oddHBand="0" w:evenHBand="0" w:firstRowFirstColumn="0" w:firstRowLastColumn="0" w:lastRowFirstColumn="0" w:lastRowLastColumn="0"/>
            <w:tcW w:w="2272" w:type="dxa"/>
          </w:tcPr>
          <w:p w14:paraId="35310C1F" w14:textId="374F24F7" w:rsidR="009974BD" w:rsidRPr="00DF17E2" w:rsidRDefault="009974BD" w:rsidP="00CE142D">
            <w:pPr>
              <w:jc w:val="center"/>
              <w:rPr>
                <w:b w:val="0"/>
              </w:rPr>
            </w:pPr>
            <w:r>
              <w:rPr>
                <w:b w:val="0"/>
              </w:rPr>
              <w:t>28</w:t>
            </w:r>
          </w:p>
        </w:tc>
        <w:tc>
          <w:tcPr>
            <w:tcW w:w="2099" w:type="dxa"/>
          </w:tcPr>
          <w:p w14:paraId="35AADC60" w14:textId="7249F0D1"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65</w:t>
            </w:r>
          </w:p>
        </w:tc>
        <w:tc>
          <w:tcPr>
            <w:tcW w:w="2243" w:type="dxa"/>
          </w:tcPr>
          <w:p w14:paraId="76D523EA" w14:textId="57A08E96" w:rsidR="009974BD" w:rsidRDefault="009974BD" w:rsidP="00D046CD">
            <w:pPr>
              <w:jc w:val="center"/>
              <w:cnfStyle w:val="000000000000" w:firstRow="0" w:lastRow="0" w:firstColumn="0" w:lastColumn="0" w:oddVBand="0" w:evenVBand="0" w:oddHBand="0" w:evenHBand="0" w:firstRowFirstColumn="0" w:firstRowLastColumn="0" w:lastRowFirstColumn="0" w:lastRowLastColumn="0"/>
            </w:pPr>
            <w:r>
              <w:t xml:space="preserve">2 000 $ </w:t>
            </w:r>
          </w:p>
        </w:tc>
        <w:tc>
          <w:tcPr>
            <w:tcW w:w="1966" w:type="dxa"/>
          </w:tcPr>
          <w:p w14:paraId="4C4AC469" w14:textId="28A3F85F"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74 000 $</w:t>
            </w:r>
          </w:p>
        </w:tc>
        <w:tc>
          <w:tcPr>
            <w:tcW w:w="2335" w:type="dxa"/>
          </w:tcPr>
          <w:p w14:paraId="69CFCE6D" w14:textId="1F604BDB"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5 %</w:t>
            </w:r>
          </w:p>
        </w:tc>
        <w:tc>
          <w:tcPr>
            <w:tcW w:w="2199" w:type="dxa"/>
          </w:tcPr>
          <w:p w14:paraId="642F26B4" w14:textId="75CDB69E" w:rsidR="009974BD" w:rsidRPr="00734A1F" w:rsidRDefault="009974BD" w:rsidP="00CE142D">
            <w:pPr>
              <w:jc w:val="center"/>
              <w:cnfStyle w:val="000000000000" w:firstRow="0" w:lastRow="0" w:firstColumn="0" w:lastColumn="0" w:oddVBand="0" w:evenVBand="0" w:oddHBand="0" w:evenHBand="0" w:firstRowFirstColumn="0" w:firstRowLastColumn="0" w:lastRowFirstColumn="0" w:lastRowLastColumn="0"/>
            </w:pPr>
            <w:r w:rsidRPr="00734A1F">
              <w:t>213 419 $</w:t>
            </w:r>
          </w:p>
        </w:tc>
      </w:tr>
      <w:tr w:rsidR="009974BD" w14:paraId="61A7171D" w14:textId="77777777" w:rsidTr="00B21E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2" w:type="dxa"/>
          </w:tcPr>
          <w:p w14:paraId="3AC55662" w14:textId="622EAA38" w:rsidR="009974BD" w:rsidRDefault="009974BD" w:rsidP="00CE142D">
            <w:pPr>
              <w:jc w:val="center"/>
              <w:rPr>
                <w:b w:val="0"/>
              </w:rPr>
            </w:pPr>
            <w:r>
              <w:rPr>
                <w:b w:val="0"/>
              </w:rPr>
              <w:t>50</w:t>
            </w:r>
          </w:p>
        </w:tc>
        <w:tc>
          <w:tcPr>
            <w:tcW w:w="2099" w:type="dxa"/>
          </w:tcPr>
          <w:p w14:paraId="3F8FD30E" w14:textId="33451BC2" w:rsidR="009974BD" w:rsidRDefault="009974BD" w:rsidP="00CE142D">
            <w:pPr>
              <w:jc w:val="center"/>
              <w:cnfStyle w:val="000000100000" w:firstRow="0" w:lastRow="0" w:firstColumn="0" w:lastColumn="0" w:oddVBand="0" w:evenVBand="0" w:oddHBand="1" w:evenHBand="0" w:firstRowFirstColumn="0" w:firstRowLastColumn="0" w:lastRowFirstColumn="0" w:lastRowLastColumn="0"/>
            </w:pPr>
            <w:r>
              <w:t>65</w:t>
            </w:r>
          </w:p>
        </w:tc>
        <w:tc>
          <w:tcPr>
            <w:tcW w:w="2243" w:type="dxa"/>
          </w:tcPr>
          <w:p w14:paraId="0BA097AE" w14:textId="7D46AD27" w:rsidR="009974BD" w:rsidRDefault="009974BD" w:rsidP="00D046CD">
            <w:pPr>
              <w:jc w:val="center"/>
              <w:cnfStyle w:val="000000100000" w:firstRow="0" w:lastRow="0" w:firstColumn="0" w:lastColumn="0" w:oddVBand="0" w:evenVBand="0" w:oddHBand="1" w:evenHBand="0" w:firstRowFirstColumn="0" w:firstRowLastColumn="0" w:lastRowFirstColumn="0" w:lastRowLastColumn="0"/>
            </w:pPr>
            <w:r>
              <w:t>7 400 $</w:t>
            </w:r>
          </w:p>
        </w:tc>
        <w:tc>
          <w:tcPr>
            <w:tcW w:w="1966" w:type="dxa"/>
          </w:tcPr>
          <w:p w14:paraId="2AE7AEA7" w14:textId="1B6D9C8B" w:rsidR="009974BD" w:rsidRDefault="009974BD" w:rsidP="00CE142D">
            <w:pPr>
              <w:jc w:val="center"/>
              <w:cnfStyle w:val="000000100000" w:firstRow="0" w:lastRow="0" w:firstColumn="0" w:lastColumn="0" w:oddVBand="0" w:evenVBand="0" w:oddHBand="1" w:evenHBand="0" w:firstRowFirstColumn="0" w:firstRowLastColumn="0" w:lastRowFirstColumn="0" w:lastRowLastColumn="0"/>
            </w:pPr>
            <w:r>
              <w:t>111 000 $</w:t>
            </w:r>
          </w:p>
        </w:tc>
        <w:tc>
          <w:tcPr>
            <w:tcW w:w="2335" w:type="dxa"/>
          </w:tcPr>
          <w:p w14:paraId="1523F83D" w14:textId="0BB6DF33" w:rsidR="009974BD" w:rsidRDefault="001E32F0" w:rsidP="00CE142D">
            <w:pPr>
              <w:jc w:val="cente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801600" behindDoc="0" locked="0" layoutInCell="1" allowOverlap="1" wp14:anchorId="2B79DECF" wp14:editId="019D5B28">
                      <wp:simplePos x="0" y="0"/>
                      <wp:positionH relativeFrom="column">
                        <wp:posOffset>1341120</wp:posOffset>
                      </wp:positionH>
                      <wp:positionV relativeFrom="paragraph">
                        <wp:posOffset>8255</wp:posOffset>
                      </wp:positionV>
                      <wp:extent cx="328930" cy="223520"/>
                      <wp:effectExtent l="76200" t="76200" r="0" b="55880"/>
                      <wp:wrapNone/>
                      <wp:docPr id="23" name="Flèche vers la gauche 23"/>
                      <wp:cNvGraphicFramePr/>
                      <a:graphic xmlns:a="http://schemas.openxmlformats.org/drawingml/2006/main">
                        <a:graphicData uri="http://schemas.microsoft.com/office/word/2010/wordprocessingShape">
                          <wps:wsp>
                            <wps:cNvSpPr/>
                            <wps:spPr>
                              <a:xfrm rot="10800000">
                                <a:off x="0" y="0"/>
                                <a:ext cx="328930" cy="223520"/>
                              </a:xfrm>
                              <a:prstGeom prst="leftArrow">
                                <a:avLst/>
                              </a:prstGeom>
                              <a:solidFill>
                                <a:srgbClr val="800000"/>
                              </a:solidFill>
                              <a:ln>
                                <a:solidFill>
                                  <a:schemeClr val="bg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lèche vers la gauche 23" o:spid="_x0000_s1026" type="#_x0000_t66" style="position:absolute;margin-left:105.6pt;margin-top:.65pt;width:25.9pt;height:17.6pt;rotation:18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" adj="7339" fillcolor="maroon" strokecolor="white [3212]"/>
                  </w:pict>
                </mc:Fallback>
              </mc:AlternateContent>
            </w:r>
            <w:r w:rsidR="009974BD">
              <w:t>2 %</w:t>
            </w:r>
          </w:p>
        </w:tc>
        <w:tc>
          <w:tcPr>
            <w:tcW w:w="2199" w:type="dxa"/>
          </w:tcPr>
          <w:p w14:paraId="1FF6FF26" w14:textId="64A7C442" w:rsidR="009974BD" w:rsidRPr="00734A1F" w:rsidRDefault="00734A1F" w:rsidP="00CE142D">
            <w:pPr>
              <w:jc w:val="cente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797504" behindDoc="0" locked="0" layoutInCell="1" allowOverlap="1" wp14:anchorId="37C92439" wp14:editId="75DAA334">
                      <wp:simplePos x="0" y="0"/>
                      <wp:positionH relativeFrom="column">
                        <wp:posOffset>1001395</wp:posOffset>
                      </wp:positionH>
                      <wp:positionV relativeFrom="paragraph">
                        <wp:posOffset>122555</wp:posOffset>
                      </wp:positionV>
                      <wp:extent cx="328930" cy="223520"/>
                      <wp:effectExtent l="76200" t="76200" r="0" b="55880"/>
                      <wp:wrapNone/>
                      <wp:docPr id="13" name="Flèche vers la gauche 13"/>
                      <wp:cNvGraphicFramePr/>
                      <a:graphic xmlns:a="http://schemas.openxmlformats.org/drawingml/2006/main">
                        <a:graphicData uri="http://schemas.microsoft.com/office/word/2010/wordprocessingShape">
                          <wps:wsp>
                            <wps:cNvSpPr/>
                            <wps:spPr>
                              <a:xfrm>
                                <a:off x="0" y="0"/>
                                <a:ext cx="328930" cy="223520"/>
                              </a:xfrm>
                              <a:prstGeom prst="leftArrow">
                                <a:avLst/>
                              </a:prstGeom>
                              <a:solidFill>
                                <a:srgbClr val="008000"/>
                              </a:solidFill>
                              <a:ln>
                                <a:solidFill>
                                  <a:schemeClr val="bg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lèche vers la gauche 13" o:spid="_x0000_s1026" type="#_x0000_t66" style="position:absolute;margin-left:78.85pt;margin-top:9.65pt;width:25.9pt;height:17.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" adj="7339" fillcolor="green" strokecolor="white [3212]"/>
                  </w:pict>
                </mc:Fallback>
              </mc:AlternateContent>
            </w:r>
            <w:r w:rsidR="00C43F5A" w:rsidRPr="00734A1F">
              <w:t>130 531 $</w:t>
            </w:r>
          </w:p>
        </w:tc>
      </w:tr>
      <w:tr w:rsidR="009974BD" w14:paraId="3EB09754" w14:textId="77777777" w:rsidTr="00B21EBE">
        <w:tc>
          <w:tcPr>
            <w:cnfStyle w:val="001000000000" w:firstRow="0" w:lastRow="0" w:firstColumn="1" w:lastColumn="0" w:oddVBand="0" w:evenVBand="0" w:oddHBand="0" w:evenHBand="0" w:firstRowFirstColumn="0" w:firstRowLastColumn="0" w:lastRowFirstColumn="0" w:lastRowLastColumn="0"/>
            <w:tcW w:w="2272" w:type="dxa"/>
          </w:tcPr>
          <w:p w14:paraId="06CD6A80" w14:textId="77777777" w:rsidR="009974BD" w:rsidRPr="00DF17E2" w:rsidRDefault="009974BD" w:rsidP="00CE142D">
            <w:pPr>
              <w:jc w:val="center"/>
              <w:rPr>
                <w:b w:val="0"/>
              </w:rPr>
            </w:pPr>
            <w:r w:rsidRPr="00DF17E2">
              <w:rPr>
                <w:b w:val="0"/>
              </w:rPr>
              <w:t>50</w:t>
            </w:r>
          </w:p>
        </w:tc>
        <w:tc>
          <w:tcPr>
            <w:tcW w:w="2099" w:type="dxa"/>
          </w:tcPr>
          <w:p w14:paraId="117B536B" w14:textId="77777777"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65</w:t>
            </w:r>
          </w:p>
        </w:tc>
        <w:tc>
          <w:tcPr>
            <w:tcW w:w="2243" w:type="dxa"/>
          </w:tcPr>
          <w:p w14:paraId="433BFC13" w14:textId="146DD6ED" w:rsidR="009974BD" w:rsidRDefault="009974BD" w:rsidP="00D046CD">
            <w:pPr>
              <w:jc w:val="center"/>
              <w:cnfStyle w:val="000000000000" w:firstRow="0" w:lastRow="0" w:firstColumn="0" w:lastColumn="0" w:oddVBand="0" w:evenVBand="0" w:oddHBand="0" w:evenHBand="0" w:firstRowFirstColumn="0" w:firstRowLastColumn="0" w:lastRowFirstColumn="0" w:lastRowLastColumn="0"/>
            </w:pPr>
            <w:r>
              <w:t>7 400 $</w:t>
            </w:r>
          </w:p>
        </w:tc>
        <w:tc>
          <w:tcPr>
            <w:tcW w:w="1966" w:type="dxa"/>
          </w:tcPr>
          <w:p w14:paraId="065A2E66" w14:textId="547B2BC6"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111 000 $</w:t>
            </w:r>
          </w:p>
        </w:tc>
        <w:tc>
          <w:tcPr>
            <w:tcW w:w="2335" w:type="dxa"/>
          </w:tcPr>
          <w:p w14:paraId="6F423453" w14:textId="6B5DBE4B"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5 %</w:t>
            </w:r>
          </w:p>
        </w:tc>
        <w:tc>
          <w:tcPr>
            <w:tcW w:w="2199" w:type="dxa"/>
          </w:tcPr>
          <w:p w14:paraId="59DE42AC" w14:textId="77777777" w:rsidR="009974BD" w:rsidRPr="00734A1F" w:rsidRDefault="009974BD" w:rsidP="00CE142D">
            <w:pPr>
              <w:jc w:val="center"/>
              <w:cnfStyle w:val="000000000000" w:firstRow="0" w:lastRow="0" w:firstColumn="0" w:lastColumn="0" w:oddVBand="0" w:evenVBand="0" w:oddHBand="0" w:evenHBand="0" w:firstRowFirstColumn="0" w:firstRowLastColumn="0" w:lastRowFirstColumn="0" w:lastRowLastColumn="0"/>
            </w:pPr>
            <w:r w:rsidRPr="00734A1F">
              <w:t>167 665 $</w:t>
            </w:r>
          </w:p>
        </w:tc>
      </w:tr>
    </w:tbl>
    <w:p w14:paraId="3456AC7F" w14:textId="3E83BE54" w:rsidR="00CE142D" w:rsidRDefault="00CE142D" w:rsidP="004C4D62">
      <w:pPr>
        <w:jc w:val="both"/>
      </w:pPr>
      <w:r>
        <w:rPr>
          <w:noProof/>
          <w:lang w:eastAsia="fr-FR"/>
        </w:rPr>
        <w:drawing>
          <wp:anchor distT="0" distB="0" distL="114300" distR="114300" simplePos="0" relativeHeight="251780096" behindDoc="0" locked="0" layoutInCell="1" allowOverlap="1" wp14:anchorId="6A6E15B4" wp14:editId="2913368A">
            <wp:simplePos x="0" y="0"/>
            <wp:positionH relativeFrom="column">
              <wp:posOffset>7543800</wp:posOffset>
            </wp:positionH>
            <wp:positionV relativeFrom="paragraph">
              <wp:posOffset>164465</wp:posOffset>
            </wp:positionV>
            <wp:extent cx="508000" cy="685800"/>
            <wp:effectExtent l="0" t="0" r="0" b="0"/>
            <wp:wrapNone/>
            <wp:docPr id="8" name="Image 8" descr="Macintosh HD:Users:marcbachand:Desktop:Capture d’écran 2015-06-08 à 17.18.41.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AC96CF2" w14:textId="77777777" w:rsidR="00CE142D" w:rsidRDefault="00CE142D" w:rsidP="004C4D62">
      <w:pPr>
        <w:jc w:val="both"/>
      </w:pPr>
    </w:p>
    <w:p w14:paraId="29FAE266" w14:textId="423236F7" w:rsidR="001C1C88" w:rsidRPr="00701CD6" w:rsidRDefault="00CE142D" w:rsidP="004C4D62">
      <w:pPr>
        <w:jc w:val="both"/>
        <w:rPr>
          <w:color w:val="FF6700" w:themeColor="accent3"/>
        </w:rPr>
      </w:pPr>
      <w:r>
        <w:tab/>
      </w:r>
      <w:r>
        <w:tab/>
      </w:r>
      <w:r>
        <w:tab/>
      </w:r>
      <w:r>
        <w:tab/>
      </w:r>
      <w:r>
        <w:tab/>
      </w:r>
      <w:r>
        <w:tab/>
      </w:r>
      <w:r>
        <w:tab/>
      </w:r>
      <w:r>
        <w:tab/>
      </w:r>
      <w:r>
        <w:tab/>
      </w:r>
      <w:r>
        <w:tab/>
      </w:r>
      <w:r>
        <w:tab/>
      </w:r>
      <w:r>
        <w:tab/>
      </w:r>
      <w:r>
        <w:tab/>
      </w:r>
      <w:hyperlink r:id="rId32" w:anchor="/epargne" w:history="1">
        <w:r w:rsidR="00DA7497">
          <w:rPr>
            <w:rStyle w:val="Lienhypertexte"/>
            <w:color w:val="FF6700" w:themeColor="accent3"/>
          </w:rPr>
          <w:t>Calculatrice - Épargne</w:t>
        </w:r>
      </w:hyperlink>
    </w:p>
    <w:p w14:paraId="79417669" w14:textId="77777777" w:rsidR="009974BD" w:rsidRDefault="009974BD" w:rsidP="004C4D62">
      <w:pPr>
        <w:jc w:val="both"/>
      </w:pPr>
    </w:p>
    <w:p w14:paraId="69A70853" w14:textId="77777777" w:rsidR="009974BD" w:rsidRDefault="009974BD" w:rsidP="004C4D62">
      <w:pPr>
        <w:jc w:val="both"/>
      </w:pPr>
    </w:p>
    <w:p w14:paraId="537C2225" w14:textId="1A420BDB" w:rsidR="00573135" w:rsidRDefault="009974BD" w:rsidP="004C4D62">
      <w:pPr>
        <w:jc w:val="both"/>
      </w:pPr>
      <w:r>
        <w:t>Ces calculs sont très intéressant</w:t>
      </w:r>
      <w:r w:rsidR="00EA5BE0">
        <w:t>s</w:t>
      </w:r>
      <w:r>
        <w:t xml:space="preserve"> puisqu’ils apportent </w:t>
      </w:r>
      <w:r w:rsidR="00F366DD">
        <w:t>une</w:t>
      </w:r>
      <w:r>
        <w:t xml:space="preserve"> nuance à l’idée qu’il est préférable d’épargner tôt que tard. </w:t>
      </w:r>
    </w:p>
    <w:p w14:paraId="7CB47CD8" w14:textId="4EA050E4" w:rsidR="009515A2" w:rsidRDefault="009515A2" w:rsidP="004C4D62">
      <w:pPr>
        <w:jc w:val="both"/>
      </w:pPr>
    </w:p>
    <w:p w14:paraId="33266859" w14:textId="4624AC84" w:rsidR="009515A2" w:rsidRDefault="009515A2" w:rsidP="004C4D62">
      <w:pPr>
        <w:jc w:val="both"/>
      </w:pPr>
    </w:p>
    <w:p w14:paraId="3D2989C0" w14:textId="196A4ABF" w:rsidR="00573135" w:rsidRDefault="00650A08" w:rsidP="004C4D62">
      <w:pPr>
        <w:jc w:val="both"/>
      </w:pPr>
      <w:r>
        <w:rPr>
          <w:noProof/>
          <w:lang w:eastAsia="fr-FR"/>
        </w:rPr>
        <mc:AlternateContent>
          <mc:Choice Requires="wps">
            <w:drawing>
              <wp:anchor distT="0" distB="0" distL="114300" distR="114300" simplePos="0" relativeHeight="251782144" behindDoc="1" locked="0" layoutInCell="1" allowOverlap="1" wp14:anchorId="16B7448A" wp14:editId="3BB37BBD">
                <wp:simplePos x="0" y="0"/>
                <wp:positionH relativeFrom="column">
                  <wp:posOffset>0</wp:posOffset>
                </wp:positionH>
                <wp:positionV relativeFrom="paragraph">
                  <wp:posOffset>114300</wp:posOffset>
                </wp:positionV>
                <wp:extent cx="8343265" cy="685800"/>
                <wp:effectExtent l="76200" t="76200" r="64135" b="76200"/>
                <wp:wrapNone/>
                <wp:docPr id="10" name="Rectangle 10"/>
                <wp:cNvGraphicFramePr/>
                <a:graphic xmlns:a="http://schemas.openxmlformats.org/drawingml/2006/main">
                  <a:graphicData uri="http://schemas.microsoft.com/office/word/2010/wordprocessingShape">
                    <wps:wsp>
                      <wps:cNvSpPr/>
                      <wps:spPr>
                        <a:xfrm>
                          <a:off x="0" y="0"/>
                          <a:ext cx="8343265" cy="685800"/>
                        </a:xfrm>
                        <a:prstGeom prst="rect">
                          <a:avLst/>
                        </a:prstGeom>
                        <a:solidFill>
                          <a:srgbClr val="008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id="Rectangle 10" o:spid="_x0000_s1026" style="position:absolute;margin-left:0;margin-top:9pt;width:656.95pt;height:54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" fillcolor="green" strokecolor="#94c600 [3204]"/>
            </w:pict>
          </mc:Fallback>
        </mc:AlternateContent>
      </w:r>
    </w:p>
    <w:p w14:paraId="2D5BAE54" w14:textId="5D2D2F4D" w:rsidR="00CE142D" w:rsidRPr="00650A08" w:rsidRDefault="005B7102" w:rsidP="00650A08">
      <w:pPr>
        <w:jc w:val="both"/>
        <w:rPr>
          <w:color w:val="FFFFFF" w:themeColor="background1"/>
        </w:rPr>
      </w:pPr>
      <w:r w:rsidRPr="00650A08">
        <w:rPr>
          <w:color w:val="FFFFFF" w:themeColor="background1"/>
        </w:rPr>
        <w:t xml:space="preserve">En comparant les deux scénarios d’épargne (début à 28 ans vs 50 ans), lorsque le rendement est appréciable (5 %), il est préférable d’épargner </w:t>
      </w:r>
      <w:r w:rsidR="00573135" w:rsidRPr="00650A08">
        <w:rPr>
          <w:color w:val="FFFFFF" w:themeColor="background1"/>
        </w:rPr>
        <w:t xml:space="preserve">plus </w:t>
      </w:r>
      <w:r w:rsidRPr="00650A08">
        <w:rPr>
          <w:color w:val="FFFFFF" w:themeColor="background1"/>
        </w:rPr>
        <w:t>tôt que tard, et ce même lorsque les montants épargnés sont moindres (74 000 $ vs 111 000 $).</w:t>
      </w:r>
    </w:p>
    <w:p w14:paraId="313BA768" w14:textId="61505C39" w:rsidR="00CE142D" w:rsidRDefault="00650A08" w:rsidP="004C4D62">
      <w:pPr>
        <w:jc w:val="both"/>
      </w:pPr>
      <w:r>
        <w:rPr>
          <w:noProof/>
          <w:lang w:eastAsia="fr-FR"/>
        </w:rPr>
        <mc:AlternateContent>
          <mc:Choice Requires="wps">
            <w:drawing>
              <wp:anchor distT="0" distB="0" distL="114300" distR="114300" simplePos="0" relativeHeight="251784192" behindDoc="1" locked="0" layoutInCell="1" allowOverlap="1" wp14:anchorId="39D9EDF6" wp14:editId="7E6D2068">
                <wp:simplePos x="0" y="0"/>
                <wp:positionH relativeFrom="column">
                  <wp:posOffset>0</wp:posOffset>
                </wp:positionH>
                <wp:positionV relativeFrom="paragraph">
                  <wp:posOffset>167005</wp:posOffset>
                </wp:positionV>
                <wp:extent cx="8343265" cy="685800"/>
                <wp:effectExtent l="76200" t="76200" r="64135" b="76200"/>
                <wp:wrapNone/>
                <wp:docPr id="11" name="Rectangle 11"/>
                <wp:cNvGraphicFramePr/>
                <a:graphic xmlns:a="http://schemas.openxmlformats.org/drawingml/2006/main">
                  <a:graphicData uri="http://schemas.microsoft.com/office/word/2010/wordprocessingShape">
                    <wps:wsp>
                      <wps:cNvSpPr/>
                      <wps:spPr>
                        <a:xfrm>
                          <a:off x="0" y="0"/>
                          <a:ext cx="8343265" cy="685800"/>
                        </a:xfrm>
                        <a:prstGeom prst="rect">
                          <a:avLst/>
                        </a:prstGeom>
                        <a:solidFill>
                          <a:srgbClr val="8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id="Rectangle 11" o:spid="_x0000_s1026" style="position:absolute;margin-left:0;margin-top:13.15pt;width:656.95pt;height:54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" fillcolor="maroon" strokecolor="#94c600 [3204]"/>
            </w:pict>
          </mc:Fallback>
        </mc:AlternateContent>
      </w:r>
    </w:p>
    <w:p w14:paraId="28AEEC25" w14:textId="3E3DBB89" w:rsidR="00573135" w:rsidRPr="00650A08" w:rsidRDefault="00573135" w:rsidP="00650A08">
      <w:pPr>
        <w:jc w:val="both"/>
        <w:rPr>
          <w:color w:val="FFFFFF" w:themeColor="background1"/>
        </w:rPr>
      </w:pPr>
      <w:r w:rsidRPr="00650A08">
        <w:rPr>
          <w:color w:val="FFFFFF" w:themeColor="background1"/>
        </w:rPr>
        <w:t xml:space="preserve">En comparant les deux scénarios d’épargne (début à 28 ans vs 50 ans), lorsque le rendement est moindre (2 %), </w:t>
      </w:r>
      <w:r w:rsidR="00995F3C" w:rsidRPr="00650A08">
        <w:rPr>
          <w:color w:val="FFFFFF" w:themeColor="background1"/>
        </w:rPr>
        <w:t>le levier du rendement ne permet plus de compenser le plus petit montant qui a été épargné plus tôt (74 000 $) relativement au plus gros montant qui a été épargné plus tard (111 000 $)</w:t>
      </w:r>
      <w:r w:rsidRPr="00650A08">
        <w:rPr>
          <w:color w:val="FFFFFF" w:themeColor="background1"/>
        </w:rPr>
        <w:t>.</w:t>
      </w:r>
    </w:p>
    <w:p w14:paraId="485CBC41" w14:textId="77777777" w:rsidR="00573135" w:rsidRDefault="00573135" w:rsidP="004C4D62">
      <w:pPr>
        <w:jc w:val="both"/>
      </w:pPr>
    </w:p>
    <w:p w14:paraId="637DFE2A" w14:textId="77777777" w:rsidR="009515A2" w:rsidRDefault="009515A2" w:rsidP="004C4D62">
      <w:pPr>
        <w:jc w:val="both"/>
      </w:pPr>
    </w:p>
    <w:p w14:paraId="589200EB" w14:textId="52B8E608" w:rsidR="00CE142D" w:rsidRDefault="00995F3C" w:rsidP="004C4D62">
      <w:pPr>
        <w:jc w:val="both"/>
      </w:pPr>
      <w:r>
        <w:t xml:space="preserve">En conclusion, il vaut mieux épargner tôt, même si le montant est moindre, à condition que le taux de rendement permette de combler l’écart des montants épargnés. </w:t>
      </w:r>
    </w:p>
    <w:p w14:paraId="743A23CA" w14:textId="77777777" w:rsidR="00CE142D" w:rsidRDefault="00CE142D" w:rsidP="004C4D62">
      <w:pPr>
        <w:jc w:val="both"/>
      </w:pPr>
    </w:p>
    <w:p w14:paraId="435750C2" w14:textId="2C8AF3C3" w:rsidR="00F175C5" w:rsidRDefault="00192047" w:rsidP="004C4D62">
      <w:pPr>
        <w:jc w:val="both"/>
      </w:pPr>
      <w:r>
        <w:t>Nous avons regroupé</w:t>
      </w:r>
      <w:r w:rsidR="00E535A8">
        <w:t xml:space="preserve"> la durée qui correspond à des détentions à moyen et long terme puisque les biens y figurant peuvent à la fois être maintenus pour une période moyenne (2 à 5 ans) ou longue (plus de 5 ans). Le potentiel de rendement est alors plus appréciable et l</w:t>
      </w:r>
      <w:r w:rsidR="00F366DD">
        <w:t>es</w:t>
      </w:r>
      <w:r w:rsidR="00E535A8">
        <w:t xml:space="preserve"> forme</w:t>
      </w:r>
      <w:r w:rsidR="00F366DD">
        <w:t>s</w:t>
      </w:r>
      <w:r w:rsidR="00E535A8">
        <w:t xml:space="preserve"> de revenus plus </w:t>
      </w:r>
      <w:proofErr w:type="gramStart"/>
      <w:r w:rsidR="00E535A8">
        <w:t>variée</w:t>
      </w:r>
      <w:r w:rsidR="00F366DD">
        <w:t>s</w:t>
      </w:r>
      <w:proofErr w:type="gramEnd"/>
      <w:r w:rsidR="00E535A8">
        <w:t xml:space="preserve"> (intérêts, dividendes, gains en capital). </w:t>
      </w:r>
      <w:r w:rsidR="00E6679B">
        <w:t>Cette variété de revenus signifie que les traitements fiscaux seront différents selon le type de revenus. L’analyse fiscale selon les types de revenus ser</w:t>
      </w:r>
      <w:r w:rsidR="000E43F7">
        <w:t>a</w:t>
      </w:r>
      <w:r w:rsidR="00E6679B">
        <w:t xml:space="preserve"> étudié</w:t>
      </w:r>
      <w:r w:rsidR="000E43F7">
        <w:t xml:space="preserve">e au </w:t>
      </w:r>
      <w:r w:rsidR="000E43F7" w:rsidRPr="006B18D8">
        <w:rPr>
          <w:color w:val="008000"/>
        </w:rPr>
        <w:t>SUJET 6</w:t>
      </w:r>
      <w:r w:rsidR="009E595D">
        <w:t>.</w:t>
      </w:r>
      <w:r w:rsidR="00B72F80">
        <w:t xml:space="preserve"> Certains individus, au profil très </w:t>
      </w:r>
      <w:r w:rsidR="00B248D5">
        <w:t>agressif</w:t>
      </w:r>
      <w:r w:rsidR="00B72F80">
        <w:t>, adopteront une stratégie spéculative qui visera à disposer de placements qui sont normalement détenus à long terme sur des horizons à court terme. Cette approche s’appuiera sur un niveau de risque très élevé et pourrait, dans certains cas, s’apparenter à une forme de jeux de hasard dans lequel, tôt ou tard, des pertes importantes se produiront.</w:t>
      </w:r>
    </w:p>
    <w:p w14:paraId="5BC4A37C" w14:textId="77777777" w:rsidR="00CE142D" w:rsidRDefault="00CE142D" w:rsidP="004C4D62">
      <w:pPr>
        <w:jc w:val="both"/>
      </w:pPr>
    </w:p>
    <w:p w14:paraId="738C774F" w14:textId="77777777" w:rsidR="009515A2" w:rsidRDefault="009515A2" w:rsidP="004C4D62">
      <w:pPr>
        <w:jc w:val="both"/>
      </w:pPr>
    </w:p>
    <w:p w14:paraId="6EC9FAAC" w14:textId="77777777" w:rsidR="009515A2" w:rsidRDefault="009515A2" w:rsidP="004C4D62">
      <w:pPr>
        <w:jc w:val="both"/>
      </w:pPr>
    </w:p>
    <w:p w14:paraId="55A284C1" w14:textId="77777777" w:rsidR="009515A2" w:rsidRDefault="009515A2" w:rsidP="004C4D62">
      <w:pPr>
        <w:jc w:val="both"/>
      </w:pPr>
    </w:p>
    <w:p w14:paraId="56CBCC15" w14:textId="77777777" w:rsidR="009515A2" w:rsidRDefault="009515A2" w:rsidP="004C4D62">
      <w:pPr>
        <w:jc w:val="both"/>
      </w:pPr>
    </w:p>
    <w:p w14:paraId="63613804" w14:textId="77777777" w:rsidR="009515A2" w:rsidRDefault="009515A2" w:rsidP="004C4D62">
      <w:pPr>
        <w:jc w:val="both"/>
      </w:pPr>
    </w:p>
    <w:p w14:paraId="605C5F5F" w14:textId="77777777" w:rsidR="00A278D6" w:rsidRDefault="00A278D6" w:rsidP="004C4D62">
      <w:pPr>
        <w:jc w:val="both"/>
      </w:pPr>
    </w:p>
    <w:p w14:paraId="60718702" w14:textId="77777777" w:rsidR="006B18D8" w:rsidRDefault="006B18D8" w:rsidP="004C4D62">
      <w:pPr>
        <w:jc w:val="both"/>
      </w:pPr>
    </w:p>
    <w:p w14:paraId="21C0B89F" w14:textId="77777777" w:rsidR="00CE142D" w:rsidRDefault="00CE142D" w:rsidP="004C4D62">
      <w:pPr>
        <w:jc w:val="both"/>
      </w:pPr>
    </w:p>
    <w:p w14:paraId="5BFD2EC0" w14:textId="6E33966B" w:rsidR="002E1C25" w:rsidRPr="002E1C25" w:rsidRDefault="002E1C25" w:rsidP="002E1C25">
      <w:pPr>
        <w:jc w:val="both"/>
        <w:rPr>
          <w:b/>
        </w:rPr>
      </w:pPr>
      <w:r w:rsidRPr="002E1C25">
        <w:rPr>
          <w:b/>
        </w:rPr>
        <w:t>Propos</w:t>
      </w:r>
      <w:r w:rsidR="006E1B64">
        <w:rPr>
          <w:b/>
        </w:rPr>
        <w:t>I</w:t>
      </w:r>
      <w:r w:rsidRPr="002E1C25">
        <w:rPr>
          <w:b/>
        </w:rPr>
        <w:t>tion 2 - Classement selon le véhicule</w:t>
      </w:r>
      <w:r w:rsidR="00EA1810">
        <w:rPr>
          <w:b/>
        </w:rPr>
        <w:t xml:space="preserve"> fiscal</w:t>
      </w:r>
      <w:r w:rsidRPr="002E1C25">
        <w:rPr>
          <w:b/>
        </w:rPr>
        <w:t xml:space="preserve"> </w:t>
      </w:r>
      <w:r w:rsidR="000A73BE">
        <w:rPr>
          <w:b/>
        </w:rPr>
        <w:t>d’épargne</w:t>
      </w:r>
    </w:p>
    <w:p w14:paraId="1AF75F08" w14:textId="2D819F38" w:rsidR="002E1C25" w:rsidRDefault="00B85EA7" w:rsidP="002E1C25">
      <w:pPr>
        <w:jc w:val="both"/>
        <w:rPr>
          <w:color w:val="0000FF"/>
        </w:rPr>
      </w:pPr>
      <w:r>
        <w:rPr>
          <w:noProof/>
          <w:color w:val="0000FF"/>
          <w:lang w:eastAsia="fr-FR"/>
        </w:rPr>
        <mc:AlternateContent>
          <mc:Choice Requires="wps">
            <w:drawing>
              <wp:anchor distT="0" distB="0" distL="114300" distR="114300" simplePos="0" relativeHeight="251744256" behindDoc="0" locked="0" layoutInCell="1" allowOverlap="1" wp14:anchorId="54D8D67E" wp14:editId="5528871F">
                <wp:simplePos x="0" y="0"/>
                <wp:positionH relativeFrom="column">
                  <wp:posOffset>4572000</wp:posOffset>
                </wp:positionH>
                <wp:positionV relativeFrom="paragraph">
                  <wp:posOffset>156210</wp:posOffset>
                </wp:positionV>
                <wp:extent cx="1943100" cy="342900"/>
                <wp:effectExtent l="0" t="0" r="38100" b="38100"/>
                <wp:wrapSquare wrapText="bothSides"/>
                <wp:docPr id="54" name="Zone de texte 54"/>
                <wp:cNvGraphicFramePr/>
                <a:graphic xmlns:a="http://schemas.openxmlformats.org/drawingml/2006/main">
                  <a:graphicData uri="http://schemas.microsoft.com/office/word/2010/wordprocessingShape">
                    <wps:wsp>
                      <wps:cNvSpPr txBox="1"/>
                      <wps:spPr>
                        <a:xfrm>
                          <a:off x="0" y="0"/>
                          <a:ext cx="1943100" cy="342900"/>
                        </a:xfrm>
                        <a:prstGeom prst="rect">
                          <a:avLst/>
                        </a:prstGeom>
                        <a:solidFill>
                          <a:srgbClr val="DDDCD0"/>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CA695D" w14:textId="2F3D909D" w:rsidR="00573C95" w:rsidRPr="00594E6C" w:rsidRDefault="00573C95" w:rsidP="002E1C25">
                            <w:pPr>
                              <w:jc w:val="center"/>
                              <w:rPr>
                                <w:sz w:val="28"/>
                                <w:szCs w:val="28"/>
                              </w:rPr>
                            </w:pPr>
                            <w:r>
                              <w:rPr>
                                <w:sz w:val="28"/>
                                <w:szCs w:val="28"/>
                              </w:rPr>
                              <w:t>Hors abri fiscal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54" o:spid="_x0000_s1026" type="#_x0000_t202" style="position:absolute;left:0;text-align:left;margin-left:5in;margin-top:12.3pt;width:153pt;height:2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" fillcolor="#dddcd0">
                <v:textbox>
                  <w:txbxContent>
                    <w:p w14:paraId="21CA695D" w14:textId="2F3D909D" w:rsidR="001501D6" w:rsidRPr="00594E6C" w:rsidRDefault="001501D6" w:rsidP="002E1C25">
                      <w:pPr>
                        <w:jc w:val="center"/>
                        <w:rPr>
                          <w:sz w:val="28"/>
                          <w:szCs w:val="28"/>
                        </w:rPr>
                      </w:pPr>
                      <w:r>
                        <w:rPr>
                          <w:sz w:val="28"/>
                          <w:szCs w:val="28"/>
                        </w:rPr>
                        <w:t>Hors abri fiscal</w:t>
                      </w:r>
                    </w:p>
                  </w:txbxContent>
                </v:textbox>
                <w10:wrap type="square"/>
              </v:shape>
            </w:pict>
          </mc:Fallback>
        </mc:AlternateContent>
      </w:r>
      <w:r w:rsidR="002E1C25">
        <w:rPr>
          <w:noProof/>
          <w:color w:val="0000FF"/>
          <w:lang w:eastAsia="fr-FR"/>
        </w:rPr>
        <mc:AlternateContent>
          <mc:Choice Requires="wps">
            <w:drawing>
              <wp:anchor distT="0" distB="0" distL="114300" distR="114300" simplePos="0" relativeHeight="251745280" behindDoc="0" locked="0" layoutInCell="1" allowOverlap="1" wp14:anchorId="058705A3" wp14:editId="27EFFA89">
                <wp:simplePos x="0" y="0"/>
                <wp:positionH relativeFrom="column">
                  <wp:posOffset>800100</wp:posOffset>
                </wp:positionH>
                <wp:positionV relativeFrom="paragraph">
                  <wp:posOffset>159385</wp:posOffset>
                </wp:positionV>
                <wp:extent cx="1943100" cy="342900"/>
                <wp:effectExtent l="0" t="0" r="38100" b="38100"/>
                <wp:wrapSquare wrapText="bothSides"/>
                <wp:docPr id="49" name="Zone de texte 49"/>
                <wp:cNvGraphicFramePr/>
                <a:graphic xmlns:a="http://schemas.openxmlformats.org/drawingml/2006/main">
                  <a:graphicData uri="http://schemas.microsoft.com/office/word/2010/wordprocessingShape">
                    <wps:wsp>
                      <wps:cNvSpPr txBox="1"/>
                      <wps:spPr>
                        <a:xfrm>
                          <a:off x="0" y="0"/>
                          <a:ext cx="1943100" cy="342900"/>
                        </a:xfrm>
                        <a:prstGeom prst="rect">
                          <a:avLst/>
                        </a:prstGeom>
                        <a:solidFill>
                          <a:srgbClr val="DDDCD0"/>
                        </a:solid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B370DD" w14:textId="19231E94" w:rsidR="00573C95" w:rsidRPr="00594E6C" w:rsidRDefault="00573C95" w:rsidP="002E1C25">
                            <w:pPr>
                              <w:jc w:val="center"/>
                              <w:rPr>
                                <w:sz w:val="28"/>
                                <w:szCs w:val="28"/>
                              </w:rPr>
                            </w:pPr>
                            <w:r>
                              <w:rPr>
                                <w:sz w:val="28"/>
                                <w:szCs w:val="28"/>
                              </w:rPr>
                              <w:t>Abri fiscal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9" o:spid="_x0000_s1027" type="#_x0000_t202" style="position:absolute;left:0;text-align:left;margin-left:63pt;margin-top:12.55pt;width:153pt;height:2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" fillcolor="#dddcd0" strokecolor="black [3213]">
                <v:textbox>
                  <w:txbxContent>
                    <w:p w14:paraId="13B370DD" w14:textId="19231E94" w:rsidR="001501D6" w:rsidRPr="00594E6C" w:rsidRDefault="001501D6" w:rsidP="002E1C25">
                      <w:pPr>
                        <w:jc w:val="center"/>
                        <w:rPr>
                          <w:sz w:val="28"/>
                          <w:szCs w:val="28"/>
                        </w:rPr>
                      </w:pPr>
                      <w:r>
                        <w:rPr>
                          <w:sz w:val="28"/>
                          <w:szCs w:val="28"/>
                        </w:rPr>
                        <w:t>Abri fiscal</w:t>
                      </w:r>
                    </w:p>
                  </w:txbxContent>
                </v:textbox>
                <w10:wrap type="square"/>
              </v:shape>
            </w:pict>
          </mc:Fallback>
        </mc:AlternateContent>
      </w:r>
    </w:p>
    <w:p w14:paraId="1F05833C" w14:textId="77777777" w:rsidR="002E1C25" w:rsidRDefault="002E1C25" w:rsidP="002E1C25">
      <w:pPr>
        <w:jc w:val="both"/>
        <w:rPr>
          <w:color w:val="0000FF"/>
        </w:rPr>
      </w:pPr>
    </w:p>
    <w:p w14:paraId="318859A8" w14:textId="50EDC9B4" w:rsidR="002E1C25" w:rsidRDefault="00B73A15" w:rsidP="002E1C25">
      <w:pPr>
        <w:jc w:val="both"/>
        <w:rPr>
          <w:color w:val="0000FF"/>
        </w:rPr>
      </w:pPr>
      <w:r>
        <w:rPr>
          <w:noProof/>
          <w:color w:val="0000FF"/>
          <w:lang w:eastAsia="fr-FR"/>
        </w:rPr>
        <mc:AlternateContent>
          <mc:Choice Requires="wps">
            <w:drawing>
              <wp:anchor distT="0" distB="0" distL="114300" distR="114300" simplePos="0" relativeHeight="251750400" behindDoc="0" locked="0" layoutInCell="1" allowOverlap="1" wp14:anchorId="636EE8FA" wp14:editId="239F7BCF">
                <wp:simplePos x="0" y="0"/>
                <wp:positionH relativeFrom="column">
                  <wp:posOffset>4572000</wp:posOffset>
                </wp:positionH>
                <wp:positionV relativeFrom="paragraph">
                  <wp:posOffset>238760</wp:posOffset>
                </wp:positionV>
                <wp:extent cx="1943100" cy="3108325"/>
                <wp:effectExtent l="76200" t="76200" r="63500" b="66675"/>
                <wp:wrapThrough wrapText="bothSides">
                  <wp:wrapPolygon edited="0">
                    <wp:start x="-847" y="-530"/>
                    <wp:lineTo x="-847" y="21887"/>
                    <wp:lineTo x="22024" y="21887"/>
                    <wp:lineTo x="22024" y="-530"/>
                    <wp:lineTo x="-847" y="-530"/>
                  </wp:wrapPolygon>
                </wp:wrapThrough>
                <wp:docPr id="58" name="Rectangle 58"/>
                <wp:cNvGraphicFramePr/>
                <a:graphic xmlns:a="http://schemas.openxmlformats.org/drawingml/2006/main">
                  <a:graphicData uri="http://schemas.microsoft.com/office/word/2010/wordprocessingShape">
                    <wps:wsp>
                      <wps:cNvSpPr/>
                      <wps:spPr>
                        <a:xfrm>
                          <a:off x="0" y="0"/>
                          <a:ext cx="1943100" cy="3108325"/>
                        </a:xfrm>
                        <a:prstGeom prst="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8020C43" w14:textId="4E06DCE6" w:rsidR="00573C95" w:rsidRPr="009246E7" w:rsidRDefault="00573C95" w:rsidP="006C34CF">
                            <w:pPr>
                              <w:pStyle w:val="Paragraphedeliste"/>
                              <w:numPr>
                                <w:ilvl w:val="0"/>
                                <w:numId w:val="5"/>
                              </w:numPr>
                              <w:rPr>
                                <w:color w:val="FFFFFF" w:themeColor="background1"/>
                              </w:rPr>
                            </w:pPr>
                            <w:r w:rsidRPr="009246E7">
                              <w:rPr>
                                <w:color w:val="FFFFFF" w:themeColor="background1"/>
                              </w:rPr>
                              <w:t>Compte d’épargne</w:t>
                            </w:r>
                          </w:p>
                          <w:p w14:paraId="7239D8CD" w14:textId="77777777" w:rsidR="00573C95" w:rsidRPr="009246E7" w:rsidRDefault="00573C95" w:rsidP="006C34CF">
                            <w:pPr>
                              <w:pStyle w:val="Paragraphedeliste"/>
                              <w:numPr>
                                <w:ilvl w:val="0"/>
                                <w:numId w:val="5"/>
                              </w:numPr>
                              <w:rPr>
                                <w:color w:val="FFFFFF" w:themeColor="background1"/>
                              </w:rPr>
                            </w:pPr>
                            <w:r w:rsidRPr="009246E7">
                              <w:rPr>
                                <w:color w:val="FFFFFF" w:themeColor="background1"/>
                              </w:rPr>
                              <w:t>Actions de sociétés privées</w:t>
                            </w:r>
                          </w:p>
                          <w:p w14:paraId="2AB437C8" w14:textId="77777777" w:rsidR="00573C95" w:rsidRPr="009246E7" w:rsidRDefault="00573C95" w:rsidP="006C34CF">
                            <w:pPr>
                              <w:pStyle w:val="Paragraphedeliste"/>
                              <w:numPr>
                                <w:ilvl w:val="0"/>
                                <w:numId w:val="5"/>
                              </w:numPr>
                              <w:rPr>
                                <w:color w:val="FFFFFF" w:themeColor="background1"/>
                              </w:rPr>
                            </w:pPr>
                            <w:r w:rsidRPr="009246E7">
                              <w:rPr>
                                <w:color w:val="FFFFFF" w:themeColor="background1"/>
                              </w:rPr>
                              <w:t>Immeubles locatifs</w:t>
                            </w:r>
                          </w:p>
                          <w:p w14:paraId="5ECCD091" w14:textId="77777777" w:rsidR="00573C95" w:rsidRPr="009246E7" w:rsidRDefault="00573C95" w:rsidP="006C34CF">
                            <w:pPr>
                              <w:pStyle w:val="Paragraphedeliste"/>
                              <w:numPr>
                                <w:ilvl w:val="0"/>
                                <w:numId w:val="5"/>
                              </w:numPr>
                              <w:rPr>
                                <w:color w:val="FFFFFF" w:themeColor="background1"/>
                              </w:rPr>
                            </w:pPr>
                            <w:r w:rsidRPr="009246E7">
                              <w:rPr>
                                <w:color w:val="FFFFFF" w:themeColor="background1"/>
                              </w:rPr>
                              <w:t>Terrains</w:t>
                            </w:r>
                          </w:p>
                          <w:p w14:paraId="6E609E1A" w14:textId="77777777" w:rsidR="00573C95" w:rsidRPr="009246E7" w:rsidRDefault="00573C95" w:rsidP="006C34CF">
                            <w:pPr>
                              <w:pStyle w:val="Paragraphedeliste"/>
                              <w:numPr>
                                <w:ilvl w:val="0"/>
                                <w:numId w:val="5"/>
                              </w:numPr>
                              <w:rPr>
                                <w:color w:val="FFFFFF" w:themeColor="background1"/>
                              </w:rPr>
                            </w:pPr>
                            <w:r w:rsidRPr="009246E7">
                              <w:rPr>
                                <w:color w:val="FFFFFF" w:themeColor="background1"/>
                              </w:rPr>
                              <w:t>Métaux précieux</w:t>
                            </w:r>
                          </w:p>
                          <w:p w14:paraId="499A9665" w14:textId="77777777" w:rsidR="00573C95" w:rsidRPr="009246E7" w:rsidRDefault="00573C95" w:rsidP="006C34CF">
                            <w:pPr>
                              <w:pStyle w:val="Paragraphedeliste"/>
                              <w:numPr>
                                <w:ilvl w:val="0"/>
                                <w:numId w:val="5"/>
                              </w:numPr>
                              <w:rPr>
                                <w:color w:val="FFFFFF" w:themeColor="background1"/>
                              </w:rPr>
                            </w:pPr>
                            <w:r w:rsidRPr="009246E7">
                              <w:rPr>
                                <w:color w:val="FFFFFF" w:themeColor="background1"/>
                              </w:rPr>
                              <w:t>Résidence secondaire</w:t>
                            </w:r>
                          </w:p>
                          <w:p w14:paraId="4A8887AE" w14:textId="77777777" w:rsidR="00573C95" w:rsidRPr="009246E7" w:rsidRDefault="00573C95" w:rsidP="006C34CF">
                            <w:pPr>
                              <w:pStyle w:val="Paragraphedeliste"/>
                              <w:numPr>
                                <w:ilvl w:val="0"/>
                                <w:numId w:val="5"/>
                              </w:numPr>
                              <w:rPr>
                                <w:color w:val="FFFFFF" w:themeColor="background1"/>
                              </w:rPr>
                            </w:pPr>
                            <w:r w:rsidRPr="009246E7">
                              <w:rPr>
                                <w:color w:val="FFFFFF" w:themeColor="background1"/>
                              </w:rPr>
                              <w:t>Bijoux</w:t>
                            </w:r>
                          </w:p>
                          <w:p w14:paraId="72C9FE6B" w14:textId="77777777" w:rsidR="00573C95" w:rsidRPr="009246E7" w:rsidRDefault="00573C95" w:rsidP="006C34CF">
                            <w:pPr>
                              <w:pStyle w:val="Paragraphedeliste"/>
                              <w:numPr>
                                <w:ilvl w:val="0"/>
                                <w:numId w:val="5"/>
                              </w:numPr>
                              <w:rPr>
                                <w:color w:val="FFFFFF" w:themeColor="background1"/>
                              </w:rPr>
                            </w:pPr>
                            <w:r w:rsidRPr="009246E7">
                              <w:rPr>
                                <w:color w:val="FFFFFF" w:themeColor="background1"/>
                              </w:rPr>
                              <w:t>Oeuvres d’art</w:t>
                            </w:r>
                          </w:p>
                          <w:p w14:paraId="6CE98DBF" w14:textId="3FE57FC4" w:rsidR="00573C95" w:rsidRPr="009246E7" w:rsidRDefault="00573C95" w:rsidP="006C34CF">
                            <w:pPr>
                              <w:pStyle w:val="Paragraphedeliste"/>
                              <w:numPr>
                                <w:ilvl w:val="0"/>
                                <w:numId w:val="5"/>
                              </w:numPr>
                              <w:rPr>
                                <w:color w:val="FFFFFF" w:themeColor="background1"/>
                              </w:rPr>
                            </w:pPr>
                            <w:r w:rsidRPr="009246E7">
                              <w:rPr>
                                <w:color w:val="FFFFFF" w:themeColor="background1"/>
                              </w:rPr>
                              <w:t>Objets de collection</w:t>
                            </w:r>
                          </w:p>
                          <w:p w14:paraId="747FD801" w14:textId="77777777" w:rsidR="00573C95" w:rsidRPr="009246E7" w:rsidRDefault="00573C95" w:rsidP="00B85EA7">
                            <w:pPr>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028" style="position:absolute;left:0;text-align:left;margin-left:5in;margin-top:18.8pt;width:153pt;height:244.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" fillcolor="maroon">
                <v:textbox>
                  <w:txbxContent>
                    <w:p w14:paraId="48020C43" w14:textId="4E06DCE6" w:rsidR="001501D6" w:rsidRPr="009246E7" w:rsidRDefault="001501D6" w:rsidP="006C34CF">
                      <w:pPr>
                        <w:pStyle w:val="Paragraphedeliste"/>
                        <w:numPr>
                          <w:ilvl w:val="0"/>
                          <w:numId w:val="5"/>
                        </w:numPr>
                        <w:rPr>
                          <w:color w:val="FFFFFF" w:themeColor="background1"/>
                        </w:rPr>
                      </w:pPr>
                      <w:r w:rsidRPr="009246E7">
                        <w:rPr>
                          <w:color w:val="FFFFFF" w:themeColor="background1"/>
                        </w:rPr>
                        <w:t>Compte d’épargne</w:t>
                      </w:r>
                    </w:p>
                    <w:p w14:paraId="7239D8CD" w14:textId="77777777" w:rsidR="001501D6" w:rsidRPr="009246E7" w:rsidRDefault="001501D6" w:rsidP="006C34CF">
                      <w:pPr>
                        <w:pStyle w:val="Paragraphedeliste"/>
                        <w:numPr>
                          <w:ilvl w:val="0"/>
                          <w:numId w:val="5"/>
                        </w:numPr>
                        <w:rPr>
                          <w:color w:val="FFFFFF" w:themeColor="background1"/>
                        </w:rPr>
                      </w:pPr>
                      <w:r w:rsidRPr="009246E7">
                        <w:rPr>
                          <w:color w:val="FFFFFF" w:themeColor="background1"/>
                        </w:rPr>
                        <w:t>Actions de sociétés privées</w:t>
                      </w:r>
                    </w:p>
                    <w:p w14:paraId="2AB437C8" w14:textId="77777777" w:rsidR="001501D6" w:rsidRPr="009246E7" w:rsidRDefault="001501D6" w:rsidP="006C34CF">
                      <w:pPr>
                        <w:pStyle w:val="Paragraphedeliste"/>
                        <w:numPr>
                          <w:ilvl w:val="0"/>
                          <w:numId w:val="5"/>
                        </w:numPr>
                        <w:rPr>
                          <w:color w:val="FFFFFF" w:themeColor="background1"/>
                        </w:rPr>
                      </w:pPr>
                      <w:r w:rsidRPr="009246E7">
                        <w:rPr>
                          <w:color w:val="FFFFFF" w:themeColor="background1"/>
                        </w:rPr>
                        <w:t>Immeubles locatifs</w:t>
                      </w:r>
                    </w:p>
                    <w:p w14:paraId="5ECCD091" w14:textId="77777777" w:rsidR="001501D6" w:rsidRPr="009246E7" w:rsidRDefault="001501D6" w:rsidP="006C34CF">
                      <w:pPr>
                        <w:pStyle w:val="Paragraphedeliste"/>
                        <w:numPr>
                          <w:ilvl w:val="0"/>
                          <w:numId w:val="5"/>
                        </w:numPr>
                        <w:rPr>
                          <w:color w:val="FFFFFF" w:themeColor="background1"/>
                        </w:rPr>
                      </w:pPr>
                      <w:r w:rsidRPr="009246E7">
                        <w:rPr>
                          <w:color w:val="FFFFFF" w:themeColor="background1"/>
                        </w:rPr>
                        <w:t>Terrains</w:t>
                      </w:r>
                    </w:p>
                    <w:p w14:paraId="6E609E1A" w14:textId="77777777" w:rsidR="001501D6" w:rsidRPr="009246E7" w:rsidRDefault="001501D6" w:rsidP="006C34CF">
                      <w:pPr>
                        <w:pStyle w:val="Paragraphedeliste"/>
                        <w:numPr>
                          <w:ilvl w:val="0"/>
                          <w:numId w:val="5"/>
                        </w:numPr>
                        <w:rPr>
                          <w:color w:val="FFFFFF" w:themeColor="background1"/>
                        </w:rPr>
                      </w:pPr>
                      <w:r w:rsidRPr="009246E7">
                        <w:rPr>
                          <w:color w:val="FFFFFF" w:themeColor="background1"/>
                        </w:rPr>
                        <w:t>Métaux précieux</w:t>
                      </w:r>
                    </w:p>
                    <w:p w14:paraId="499A9665" w14:textId="77777777" w:rsidR="001501D6" w:rsidRPr="009246E7" w:rsidRDefault="001501D6" w:rsidP="006C34CF">
                      <w:pPr>
                        <w:pStyle w:val="Paragraphedeliste"/>
                        <w:numPr>
                          <w:ilvl w:val="0"/>
                          <w:numId w:val="5"/>
                        </w:numPr>
                        <w:rPr>
                          <w:color w:val="FFFFFF" w:themeColor="background1"/>
                        </w:rPr>
                      </w:pPr>
                      <w:r w:rsidRPr="009246E7">
                        <w:rPr>
                          <w:color w:val="FFFFFF" w:themeColor="background1"/>
                        </w:rPr>
                        <w:t>Résidence secondaire</w:t>
                      </w:r>
                    </w:p>
                    <w:p w14:paraId="4A8887AE" w14:textId="77777777" w:rsidR="001501D6" w:rsidRPr="009246E7" w:rsidRDefault="001501D6" w:rsidP="006C34CF">
                      <w:pPr>
                        <w:pStyle w:val="Paragraphedeliste"/>
                        <w:numPr>
                          <w:ilvl w:val="0"/>
                          <w:numId w:val="5"/>
                        </w:numPr>
                        <w:rPr>
                          <w:color w:val="FFFFFF" w:themeColor="background1"/>
                        </w:rPr>
                      </w:pPr>
                      <w:r w:rsidRPr="009246E7">
                        <w:rPr>
                          <w:color w:val="FFFFFF" w:themeColor="background1"/>
                        </w:rPr>
                        <w:t>Bijoux</w:t>
                      </w:r>
                    </w:p>
                    <w:p w14:paraId="72C9FE6B" w14:textId="77777777" w:rsidR="001501D6" w:rsidRPr="009246E7" w:rsidRDefault="001501D6" w:rsidP="006C34CF">
                      <w:pPr>
                        <w:pStyle w:val="Paragraphedeliste"/>
                        <w:numPr>
                          <w:ilvl w:val="0"/>
                          <w:numId w:val="5"/>
                        </w:numPr>
                        <w:rPr>
                          <w:color w:val="FFFFFF" w:themeColor="background1"/>
                        </w:rPr>
                      </w:pPr>
                      <w:r w:rsidRPr="009246E7">
                        <w:rPr>
                          <w:color w:val="FFFFFF" w:themeColor="background1"/>
                        </w:rPr>
                        <w:t>Oeuvres d’art</w:t>
                      </w:r>
                    </w:p>
                    <w:p w14:paraId="6CE98DBF" w14:textId="3FE57FC4" w:rsidR="001501D6" w:rsidRPr="009246E7" w:rsidRDefault="001501D6" w:rsidP="006C34CF">
                      <w:pPr>
                        <w:pStyle w:val="Paragraphedeliste"/>
                        <w:numPr>
                          <w:ilvl w:val="0"/>
                          <w:numId w:val="5"/>
                        </w:numPr>
                        <w:rPr>
                          <w:color w:val="FFFFFF" w:themeColor="background1"/>
                        </w:rPr>
                      </w:pPr>
                      <w:r w:rsidRPr="009246E7">
                        <w:rPr>
                          <w:color w:val="FFFFFF" w:themeColor="background1"/>
                        </w:rPr>
                        <w:t>Objets de collection</w:t>
                      </w:r>
                    </w:p>
                    <w:p w14:paraId="747FD801" w14:textId="77777777" w:rsidR="001501D6" w:rsidRPr="009246E7" w:rsidRDefault="001501D6" w:rsidP="00B85EA7">
                      <w:pPr>
                        <w:jc w:val="center"/>
                        <w:rPr>
                          <w:color w:val="FFFFFF" w:themeColor="background1"/>
                        </w:rPr>
                      </w:pPr>
                    </w:p>
                  </w:txbxContent>
                </v:textbox>
                <w10:wrap type="through"/>
              </v:rect>
            </w:pict>
          </mc:Fallback>
        </mc:AlternateContent>
      </w:r>
      <w:r>
        <w:rPr>
          <w:noProof/>
          <w:color w:val="0000FF"/>
          <w:lang w:eastAsia="fr-FR"/>
        </w:rPr>
        <mc:AlternateContent>
          <mc:Choice Requires="wps">
            <w:drawing>
              <wp:anchor distT="0" distB="0" distL="114300" distR="114300" simplePos="0" relativeHeight="251748352" behindDoc="0" locked="0" layoutInCell="1" allowOverlap="1" wp14:anchorId="3C6B15B6" wp14:editId="49AD4E43">
                <wp:simplePos x="0" y="0"/>
                <wp:positionH relativeFrom="column">
                  <wp:posOffset>800100</wp:posOffset>
                </wp:positionH>
                <wp:positionV relativeFrom="paragraph">
                  <wp:posOffset>242570</wp:posOffset>
                </wp:positionV>
                <wp:extent cx="1943100" cy="3105150"/>
                <wp:effectExtent l="76200" t="76200" r="63500" b="69850"/>
                <wp:wrapThrough wrapText="bothSides">
                  <wp:wrapPolygon edited="0">
                    <wp:start x="-847" y="-530"/>
                    <wp:lineTo x="-847" y="21909"/>
                    <wp:lineTo x="22024" y="21909"/>
                    <wp:lineTo x="22024" y="-530"/>
                    <wp:lineTo x="-847" y="-530"/>
                  </wp:wrapPolygon>
                </wp:wrapThrough>
                <wp:docPr id="50" name="Rectangle 50"/>
                <wp:cNvGraphicFramePr/>
                <a:graphic xmlns:a="http://schemas.openxmlformats.org/drawingml/2006/main">
                  <a:graphicData uri="http://schemas.microsoft.com/office/word/2010/wordprocessingShape">
                    <wps:wsp>
                      <wps:cNvSpPr/>
                      <wps:spPr>
                        <a:xfrm>
                          <a:off x="0" y="0"/>
                          <a:ext cx="1943100" cy="3105150"/>
                        </a:xfrm>
                        <a:prstGeom prst="rect">
                          <a:avLst/>
                        </a:prstGeom>
                        <a:solidFill>
                          <a:srgbClr val="BBDBAF"/>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F235138" w14:textId="0E65A4B4" w:rsidR="00573C95" w:rsidRDefault="00573C95" w:rsidP="006C34CF">
                            <w:pPr>
                              <w:pStyle w:val="Paragraphedeliste"/>
                              <w:numPr>
                                <w:ilvl w:val="0"/>
                                <w:numId w:val="5"/>
                              </w:numPr>
                              <w:rPr>
                                <w:color w:val="000000"/>
                              </w:rPr>
                            </w:pPr>
                            <w:r>
                              <w:rPr>
                                <w:color w:val="000000"/>
                              </w:rPr>
                              <w:t>REÉR</w:t>
                            </w:r>
                          </w:p>
                          <w:p w14:paraId="7F8F6310" w14:textId="77777777" w:rsidR="00573C95" w:rsidRDefault="00573C95" w:rsidP="006C34CF">
                            <w:pPr>
                              <w:pStyle w:val="Paragraphedeliste"/>
                              <w:numPr>
                                <w:ilvl w:val="0"/>
                                <w:numId w:val="5"/>
                              </w:numPr>
                              <w:rPr>
                                <w:color w:val="000000"/>
                              </w:rPr>
                            </w:pPr>
                            <w:r w:rsidRPr="00297F88">
                              <w:rPr>
                                <w:color w:val="000000"/>
                              </w:rPr>
                              <w:t>CÉLI</w:t>
                            </w:r>
                          </w:p>
                          <w:p w14:paraId="67E1B272" w14:textId="5887B054" w:rsidR="00573C95" w:rsidRDefault="00573C95" w:rsidP="006C34CF">
                            <w:pPr>
                              <w:pStyle w:val="Paragraphedeliste"/>
                              <w:numPr>
                                <w:ilvl w:val="0"/>
                                <w:numId w:val="5"/>
                              </w:numPr>
                              <w:rPr>
                                <w:color w:val="000000"/>
                              </w:rPr>
                            </w:pPr>
                            <w:r>
                              <w:rPr>
                                <w:color w:val="000000"/>
                              </w:rPr>
                              <w:t>REÉÉ</w:t>
                            </w:r>
                          </w:p>
                          <w:p w14:paraId="50DA9F92" w14:textId="6E2878C8" w:rsidR="00573C95" w:rsidRDefault="00573C95" w:rsidP="006C34CF">
                            <w:pPr>
                              <w:pStyle w:val="Paragraphedeliste"/>
                              <w:numPr>
                                <w:ilvl w:val="0"/>
                                <w:numId w:val="5"/>
                              </w:numPr>
                              <w:rPr>
                                <w:color w:val="000000"/>
                              </w:rPr>
                            </w:pPr>
                            <w:r>
                              <w:rPr>
                                <w:color w:val="000000"/>
                              </w:rPr>
                              <w:t>REÉI</w:t>
                            </w:r>
                          </w:p>
                          <w:p w14:paraId="1790F117" w14:textId="2B41B903" w:rsidR="00573C95" w:rsidRDefault="00573C95" w:rsidP="006C34CF">
                            <w:pPr>
                              <w:pStyle w:val="Paragraphedeliste"/>
                              <w:numPr>
                                <w:ilvl w:val="0"/>
                                <w:numId w:val="5"/>
                              </w:numPr>
                              <w:rPr>
                                <w:color w:val="000000"/>
                              </w:rPr>
                            </w:pPr>
                            <w:r>
                              <w:rPr>
                                <w:color w:val="000000"/>
                              </w:rPr>
                              <w:t>RVER</w:t>
                            </w:r>
                          </w:p>
                          <w:p w14:paraId="2E7DCD82" w14:textId="13637831" w:rsidR="00573C95" w:rsidRDefault="00573C95" w:rsidP="006C34CF">
                            <w:pPr>
                              <w:pStyle w:val="Paragraphedeliste"/>
                              <w:numPr>
                                <w:ilvl w:val="0"/>
                                <w:numId w:val="5"/>
                              </w:numPr>
                              <w:rPr>
                                <w:color w:val="000000"/>
                              </w:rPr>
                            </w:pPr>
                            <w:r>
                              <w:rPr>
                                <w:color w:val="000000"/>
                              </w:rPr>
                              <w:t>REÉR collectif</w:t>
                            </w:r>
                          </w:p>
                          <w:p w14:paraId="241E7AE5" w14:textId="275D0A45" w:rsidR="00573C95" w:rsidRPr="00297F88" w:rsidRDefault="00573C95" w:rsidP="006C34CF">
                            <w:pPr>
                              <w:pStyle w:val="Paragraphedeliste"/>
                              <w:numPr>
                                <w:ilvl w:val="0"/>
                                <w:numId w:val="5"/>
                              </w:numPr>
                              <w:rPr>
                                <w:color w:val="000000"/>
                              </w:rPr>
                            </w:pPr>
                            <w:r>
                              <w:rPr>
                                <w:color w:val="000000"/>
                              </w:rPr>
                              <w:t>RPA</w:t>
                            </w:r>
                          </w:p>
                          <w:p w14:paraId="02D44B1A" w14:textId="77777777" w:rsidR="00573C95" w:rsidRDefault="00573C95" w:rsidP="006C34CF">
                            <w:pPr>
                              <w:pStyle w:val="Paragraphedeliste"/>
                              <w:numPr>
                                <w:ilvl w:val="0"/>
                                <w:numId w:val="5"/>
                              </w:numPr>
                              <w:rPr>
                                <w:color w:val="000000"/>
                              </w:rPr>
                            </w:pPr>
                            <w:r w:rsidRPr="00297F88">
                              <w:rPr>
                                <w:color w:val="000000"/>
                              </w:rPr>
                              <w:t>RPDB</w:t>
                            </w:r>
                          </w:p>
                          <w:p w14:paraId="2EFB7E17" w14:textId="77777777" w:rsidR="00573C95" w:rsidRDefault="00573C95" w:rsidP="006C34CF">
                            <w:pPr>
                              <w:pStyle w:val="Paragraphedeliste"/>
                              <w:numPr>
                                <w:ilvl w:val="0"/>
                                <w:numId w:val="5"/>
                              </w:numPr>
                              <w:rPr>
                                <w:color w:val="000000"/>
                              </w:rPr>
                            </w:pPr>
                            <w:r>
                              <w:rPr>
                                <w:color w:val="000000"/>
                              </w:rPr>
                              <w:t>CRI</w:t>
                            </w:r>
                          </w:p>
                          <w:p w14:paraId="583C5CB4" w14:textId="1EBD587C" w:rsidR="00573C95" w:rsidRDefault="00573C95" w:rsidP="006C34CF">
                            <w:pPr>
                              <w:pStyle w:val="Paragraphedeliste"/>
                              <w:numPr>
                                <w:ilvl w:val="0"/>
                                <w:numId w:val="5"/>
                              </w:numPr>
                              <w:rPr>
                                <w:color w:val="000000"/>
                              </w:rPr>
                            </w:pPr>
                            <w:r>
                              <w:rPr>
                                <w:color w:val="000000"/>
                              </w:rPr>
                              <w:t>FERR</w:t>
                            </w:r>
                          </w:p>
                          <w:p w14:paraId="7EC78542" w14:textId="47503E2C" w:rsidR="00573C95" w:rsidRDefault="00573C95" w:rsidP="006C34CF">
                            <w:pPr>
                              <w:pStyle w:val="Paragraphedeliste"/>
                              <w:numPr>
                                <w:ilvl w:val="0"/>
                                <w:numId w:val="5"/>
                              </w:numPr>
                              <w:rPr>
                                <w:color w:val="000000"/>
                              </w:rPr>
                            </w:pPr>
                            <w:r>
                              <w:rPr>
                                <w:color w:val="000000"/>
                              </w:rPr>
                              <w:t>Rente viagère</w:t>
                            </w:r>
                          </w:p>
                          <w:p w14:paraId="5814CCD1" w14:textId="00BFC6DA" w:rsidR="00573C95" w:rsidRDefault="00573C95" w:rsidP="006C34CF">
                            <w:pPr>
                              <w:pStyle w:val="Paragraphedeliste"/>
                              <w:numPr>
                                <w:ilvl w:val="0"/>
                                <w:numId w:val="5"/>
                              </w:numPr>
                              <w:rPr>
                                <w:color w:val="000000"/>
                              </w:rPr>
                            </w:pPr>
                            <w:r>
                              <w:rPr>
                                <w:color w:val="000000"/>
                              </w:rPr>
                              <w:t>FRV</w:t>
                            </w:r>
                          </w:p>
                          <w:p w14:paraId="12310ED5" w14:textId="7F12AE68" w:rsidR="00573C95" w:rsidRDefault="00573C95" w:rsidP="006C34CF">
                            <w:pPr>
                              <w:pStyle w:val="Paragraphedeliste"/>
                              <w:numPr>
                                <w:ilvl w:val="0"/>
                                <w:numId w:val="5"/>
                              </w:numPr>
                              <w:rPr>
                                <w:color w:val="000000"/>
                              </w:rPr>
                            </w:pPr>
                            <w:r>
                              <w:rPr>
                                <w:color w:val="000000"/>
                              </w:rPr>
                              <w:t>Assurance-vie universelle</w:t>
                            </w:r>
                          </w:p>
                          <w:p w14:paraId="700C0083" w14:textId="177C8F96" w:rsidR="00573C95" w:rsidRPr="00297F88" w:rsidRDefault="00573C95" w:rsidP="006C34CF">
                            <w:pPr>
                              <w:pStyle w:val="Paragraphedeliste"/>
                              <w:numPr>
                                <w:ilvl w:val="0"/>
                                <w:numId w:val="5"/>
                              </w:numPr>
                              <w:rPr>
                                <w:color w:val="000000"/>
                              </w:rPr>
                            </w:pPr>
                            <w:r>
                              <w:rPr>
                                <w:color w:val="000000"/>
                              </w:rPr>
                              <w:t>Résidence principale</w:t>
                            </w:r>
                          </w:p>
                          <w:p w14:paraId="31025B9F" w14:textId="77777777" w:rsidR="00573C95" w:rsidRDefault="00573C95" w:rsidP="002E1C2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0" o:spid="_x0000_s1029" style="position:absolute;left:0;text-align:left;margin-left:63pt;margin-top:19.1pt;width:153pt;height:24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" fillcolor="#bbdbaf">
                <v:textbox>
                  <w:txbxContent>
                    <w:p w14:paraId="5F235138" w14:textId="0E65A4B4" w:rsidR="001501D6" w:rsidRDefault="001501D6" w:rsidP="006C34CF">
                      <w:pPr>
                        <w:pStyle w:val="Paragraphedeliste"/>
                        <w:numPr>
                          <w:ilvl w:val="0"/>
                          <w:numId w:val="5"/>
                        </w:numPr>
                        <w:rPr>
                          <w:color w:val="000000"/>
                        </w:rPr>
                      </w:pPr>
                      <w:r>
                        <w:rPr>
                          <w:color w:val="000000"/>
                        </w:rPr>
                        <w:t>REÉR</w:t>
                      </w:r>
                    </w:p>
                    <w:p w14:paraId="7F8F6310" w14:textId="77777777" w:rsidR="001501D6" w:rsidRDefault="001501D6" w:rsidP="006C34CF">
                      <w:pPr>
                        <w:pStyle w:val="Paragraphedeliste"/>
                        <w:numPr>
                          <w:ilvl w:val="0"/>
                          <w:numId w:val="5"/>
                        </w:numPr>
                        <w:rPr>
                          <w:color w:val="000000"/>
                        </w:rPr>
                      </w:pPr>
                      <w:r w:rsidRPr="00297F88">
                        <w:rPr>
                          <w:color w:val="000000"/>
                        </w:rPr>
                        <w:t>CÉLI</w:t>
                      </w:r>
                    </w:p>
                    <w:p w14:paraId="67E1B272" w14:textId="5887B054" w:rsidR="001501D6" w:rsidRDefault="001501D6" w:rsidP="006C34CF">
                      <w:pPr>
                        <w:pStyle w:val="Paragraphedeliste"/>
                        <w:numPr>
                          <w:ilvl w:val="0"/>
                          <w:numId w:val="5"/>
                        </w:numPr>
                        <w:rPr>
                          <w:color w:val="000000"/>
                        </w:rPr>
                      </w:pPr>
                      <w:r>
                        <w:rPr>
                          <w:color w:val="000000"/>
                        </w:rPr>
                        <w:t>REÉÉ</w:t>
                      </w:r>
                    </w:p>
                    <w:p w14:paraId="50DA9F92" w14:textId="6E2878C8" w:rsidR="001501D6" w:rsidRDefault="001501D6" w:rsidP="006C34CF">
                      <w:pPr>
                        <w:pStyle w:val="Paragraphedeliste"/>
                        <w:numPr>
                          <w:ilvl w:val="0"/>
                          <w:numId w:val="5"/>
                        </w:numPr>
                        <w:rPr>
                          <w:color w:val="000000"/>
                        </w:rPr>
                      </w:pPr>
                      <w:r>
                        <w:rPr>
                          <w:color w:val="000000"/>
                        </w:rPr>
                        <w:t>REÉI</w:t>
                      </w:r>
                    </w:p>
                    <w:p w14:paraId="1790F117" w14:textId="2B41B903" w:rsidR="001501D6" w:rsidRDefault="001501D6" w:rsidP="006C34CF">
                      <w:pPr>
                        <w:pStyle w:val="Paragraphedeliste"/>
                        <w:numPr>
                          <w:ilvl w:val="0"/>
                          <w:numId w:val="5"/>
                        </w:numPr>
                        <w:rPr>
                          <w:color w:val="000000"/>
                        </w:rPr>
                      </w:pPr>
                      <w:r>
                        <w:rPr>
                          <w:color w:val="000000"/>
                        </w:rPr>
                        <w:t>RVER</w:t>
                      </w:r>
                    </w:p>
                    <w:p w14:paraId="2E7DCD82" w14:textId="13637831" w:rsidR="001501D6" w:rsidRDefault="001501D6" w:rsidP="006C34CF">
                      <w:pPr>
                        <w:pStyle w:val="Paragraphedeliste"/>
                        <w:numPr>
                          <w:ilvl w:val="0"/>
                          <w:numId w:val="5"/>
                        </w:numPr>
                        <w:rPr>
                          <w:color w:val="000000"/>
                        </w:rPr>
                      </w:pPr>
                      <w:r>
                        <w:rPr>
                          <w:color w:val="000000"/>
                        </w:rPr>
                        <w:t>REÉR collectif</w:t>
                      </w:r>
                    </w:p>
                    <w:p w14:paraId="241E7AE5" w14:textId="275D0A45" w:rsidR="001501D6" w:rsidRPr="00297F88" w:rsidRDefault="001501D6" w:rsidP="006C34CF">
                      <w:pPr>
                        <w:pStyle w:val="Paragraphedeliste"/>
                        <w:numPr>
                          <w:ilvl w:val="0"/>
                          <w:numId w:val="5"/>
                        </w:numPr>
                        <w:rPr>
                          <w:color w:val="000000"/>
                        </w:rPr>
                      </w:pPr>
                      <w:r>
                        <w:rPr>
                          <w:color w:val="000000"/>
                        </w:rPr>
                        <w:t>RPA</w:t>
                      </w:r>
                    </w:p>
                    <w:p w14:paraId="02D44B1A" w14:textId="77777777" w:rsidR="001501D6" w:rsidRDefault="001501D6" w:rsidP="006C34CF">
                      <w:pPr>
                        <w:pStyle w:val="Paragraphedeliste"/>
                        <w:numPr>
                          <w:ilvl w:val="0"/>
                          <w:numId w:val="5"/>
                        </w:numPr>
                        <w:rPr>
                          <w:color w:val="000000"/>
                        </w:rPr>
                      </w:pPr>
                      <w:r w:rsidRPr="00297F88">
                        <w:rPr>
                          <w:color w:val="000000"/>
                        </w:rPr>
                        <w:t>RPDB</w:t>
                      </w:r>
                    </w:p>
                    <w:p w14:paraId="2EFB7E17" w14:textId="77777777" w:rsidR="001501D6" w:rsidRDefault="001501D6" w:rsidP="006C34CF">
                      <w:pPr>
                        <w:pStyle w:val="Paragraphedeliste"/>
                        <w:numPr>
                          <w:ilvl w:val="0"/>
                          <w:numId w:val="5"/>
                        </w:numPr>
                        <w:rPr>
                          <w:color w:val="000000"/>
                        </w:rPr>
                      </w:pPr>
                      <w:r>
                        <w:rPr>
                          <w:color w:val="000000"/>
                        </w:rPr>
                        <w:t>CRI</w:t>
                      </w:r>
                    </w:p>
                    <w:p w14:paraId="583C5CB4" w14:textId="1EBD587C" w:rsidR="001501D6" w:rsidRDefault="001501D6" w:rsidP="006C34CF">
                      <w:pPr>
                        <w:pStyle w:val="Paragraphedeliste"/>
                        <w:numPr>
                          <w:ilvl w:val="0"/>
                          <w:numId w:val="5"/>
                        </w:numPr>
                        <w:rPr>
                          <w:color w:val="000000"/>
                        </w:rPr>
                      </w:pPr>
                      <w:r>
                        <w:rPr>
                          <w:color w:val="000000"/>
                        </w:rPr>
                        <w:t>FERR</w:t>
                      </w:r>
                    </w:p>
                    <w:p w14:paraId="7EC78542" w14:textId="47503E2C" w:rsidR="001501D6" w:rsidRDefault="001501D6" w:rsidP="006C34CF">
                      <w:pPr>
                        <w:pStyle w:val="Paragraphedeliste"/>
                        <w:numPr>
                          <w:ilvl w:val="0"/>
                          <w:numId w:val="5"/>
                        </w:numPr>
                        <w:rPr>
                          <w:color w:val="000000"/>
                        </w:rPr>
                      </w:pPr>
                      <w:r>
                        <w:rPr>
                          <w:color w:val="000000"/>
                        </w:rPr>
                        <w:t>Rente viagère</w:t>
                      </w:r>
                    </w:p>
                    <w:p w14:paraId="5814CCD1" w14:textId="00BFC6DA" w:rsidR="001501D6" w:rsidRDefault="001501D6" w:rsidP="006C34CF">
                      <w:pPr>
                        <w:pStyle w:val="Paragraphedeliste"/>
                        <w:numPr>
                          <w:ilvl w:val="0"/>
                          <w:numId w:val="5"/>
                        </w:numPr>
                        <w:rPr>
                          <w:color w:val="000000"/>
                        </w:rPr>
                      </w:pPr>
                      <w:r>
                        <w:rPr>
                          <w:color w:val="000000"/>
                        </w:rPr>
                        <w:t>FRV</w:t>
                      </w:r>
                    </w:p>
                    <w:p w14:paraId="12310ED5" w14:textId="7F12AE68" w:rsidR="001501D6" w:rsidRDefault="001501D6" w:rsidP="006C34CF">
                      <w:pPr>
                        <w:pStyle w:val="Paragraphedeliste"/>
                        <w:numPr>
                          <w:ilvl w:val="0"/>
                          <w:numId w:val="5"/>
                        </w:numPr>
                        <w:rPr>
                          <w:color w:val="000000"/>
                        </w:rPr>
                      </w:pPr>
                      <w:r>
                        <w:rPr>
                          <w:color w:val="000000"/>
                        </w:rPr>
                        <w:t>Assurance-vie universelle</w:t>
                      </w:r>
                    </w:p>
                    <w:p w14:paraId="700C0083" w14:textId="177C8F96" w:rsidR="001501D6" w:rsidRPr="00297F88" w:rsidRDefault="001501D6" w:rsidP="006C34CF">
                      <w:pPr>
                        <w:pStyle w:val="Paragraphedeliste"/>
                        <w:numPr>
                          <w:ilvl w:val="0"/>
                          <w:numId w:val="5"/>
                        </w:numPr>
                        <w:rPr>
                          <w:color w:val="000000"/>
                        </w:rPr>
                      </w:pPr>
                      <w:r>
                        <w:rPr>
                          <w:color w:val="000000"/>
                        </w:rPr>
                        <w:t>Résidence principale</w:t>
                      </w:r>
                    </w:p>
                    <w:p w14:paraId="31025B9F" w14:textId="77777777" w:rsidR="001501D6" w:rsidRDefault="001501D6" w:rsidP="002E1C25">
                      <w:pPr>
                        <w:jc w:val="center"/>
                      </w:pPr>
                    </w:p>
                  </w:txbxContent>
                </v:textbox>
                <w10:wrap type="through"/>
              </v:rect>
            </w:pict>
          </mc:Fallback>
        </mc:AlternateContent>
      </w:r>
    </w:p>
    <w:p w14:paraId="56E45919" w14:textId="4D5FE604" w:rsidR="002E1C25" w:rsidRDefault="00B73A15" w:rsidP="002E1C25">
      <w:pPr>
        <w:jc w:val="both"/>
        <w:rPr>
          <w:color w:val="0000FF"/>
        </w:rPr>
      </w:pPr>
      <w:r>
        <w:rPr>
          <w:noProof/>
          <w:color w:val="0000FF"/>
          <w:lang w:eastAsia="fr-FR"/>
        </w:rPr>
        <mc:AlternateContent>
          <mc:Choice Requires="wps">
            <w:drawing>
              <wp:anchor distT="0" distB="0" distL="114300" distR="114300" simplePos="0" relativeHeight="251753472" behindDoc="0" locked="0" layoutInCell="1" allowOverlap="1" wp14:anchorId="5AF36713" wp14:editId="7308094F">
                <wp:simplePos x="0" y="0"/>
                <wp:positionH relativeFrom="column">
                  <wp:posOffset>2286000</wp:posOffset>
                </wp:positionH>
                <wp:positionV relativeFrom="paragraph">
                  <wp:posOffset>188595</wp:posOffset>
                </wp:positionV>
                <wp:extent cx="2857500" cy="2857500"/>
                <wp:effectExtent l="76200" t="76200" r="63500" b="63500"/>
                <wp:wrapThrough wrapText="bothSides">
                  <wp:wrapPolygon edited="0">
                    <wp:start x="7488" y="-576"/>
                    <wp:lineTo x="2304" y="-192"/>
                    <wp:lineTo x="2304" y="2880"/>
                    <wp:lineTo x="192" y="2880"/>
                    <wp:lineTo x="192" y="5952"/>
                    <wp:lineTo x="-576" y="5952"/>
                    <wp:lineTo x="-576" y="14208"/>
                    <wp:lineTo x="192" y="15168"/>
                    <wp:lineTo x="192" y="15744"/>
                    <wp:lineTo x="2112" y="18240"/>
                    <wp:lineTo x="2112" y="18432"/>
                    <wp:lineTo x="6720" y="21312"/>
                    <wp:lineTo x="7488" y="21888"/>
                    <wp:lineTo x="13824" y="21888"/>
                    <wp:lineTo x="14592" y="21312"/>
                    <wp:lineTo x="19200" y="18432"/>
                    <wp:lineTo x="21312" y="15168"/>
                    <wp:lineTo x="21888" y="12096"/>
                    <wp:lineTo x="21888" y="9024"/>
                    <wp:lineTo x="21120" y="6144"/>
                    <wp:lineTo x="21120" y="5952"/>
                    <wp:lineTo x="19200" y="3072"/>
                    <wp:lineTo x="19008" y="2304"/>
                    <wp:lineTo x="14976" y="-192"/>
                    <wp:lineTo x="13824" y="-576"/>
                    <wp:lineTo x="7488" y="-576"/>
                  </wp:wrapPolygon>
                </wp:wrapThrough>
                <wp:docPr id="60" name="Ellipse 60"/>
                <wp:cNvGraphicFramePr/>
                <a:graphic xmlns:a="http://schemas.openxmlformats.org/drawingml/2006/main">
                  <a:graphicData uri="http://schemas.microsoft.com/office/word/2010/wordprocessingShape">
                    <wps:wsp>
                      <wps:cNvSpPr/>
                      <wps:spPr>
                        <a:xfrm>
                          <a:off x="0" y="0"/>
                          <a:ext cx="2857500" cy="2857500"/>
                        </a:xfrm>
                        <a:prstGeom prst="ellipse">
                          <a:avLst/>
                        </a:prstGeom>
                        <a:solidFill>
                          <a:srgbClr val="EEE6A3">
                            <a:alpha val="54000"/>
                          </a:srgbClr>
                        </a:solidFill>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8CE6835" w14:textId="77777777" w:rsidR="00573C95" w:rsidRDefault="00573C95" w:rsidP="006C34CF">
                            <w:pPr>
                              <w:pStyle w:val="Paragraphedeliste"/>
                              <w:numPr>
                                <w:ilvl w:val="0"/>
                                <w:numId w:val="5"/>
                              </w:numPr>
                              <w:rPr>
                                <w:color w:val="000000"/>
                              </w:rPr>
                            </w:pPr>
                            <w:r>
                              <w:rPr>
                                <w:color w:val="000000"/>
                              </w:rPr>
                              <w:t>CPG</w:t>
                            </w:r>
                          </w:p>
                          <w:p w14:paraId="118088FB" w14:textId="77777777" w:rsidR="00573C95" w:rsidRDefault="00573C95" w:rsidP="006C34CF">
                            <w:pPr>
                              <w:pStyle w:val="Paragraphedeliste"/>
                              <w:numPr>
                                <w:ilvl w:val="0"/>
                                <w:numId w:val="5"/>
                              </w:numPr>
                              <w:rPr>
                                <w:color w:val="000000"/>
                              </w:rPr>
                            </w:pPr>
                            <w:r>
                              <w:rPr>
                                <w:color w:val="000000"/>
                              </w:rPr>
                              <w:t>Bons du trésor</w:t>
                            </w:r>
                          </w:p>
                          <w:p w14:paraId="0B13C2DA" w14:textId="77777777" w:rsidR="00573C95" w:rsidRDefault="00573C95" w:rsidP="006C34CF">
                            <w:pPr>
                              <w:pStyle w:val="Paragraphedeliste"/>
                              <w:numPr>
                                <w:ilvl w:val="0"/>
                                <w:numId w:val="5"/>
                              </w:numPr>
                              <w:rPr>
                                <w:color w:val="000000"/>
                              </w:rPr>
                            </w:pPr>
                            <w:r>
                              <w:rPr>
                                <w:color w:val="000000"/>
                              </w:rPr>
                              <w:t>Obligation d’épargne</w:t>
                            </w:r>
                          </w:p>
                          <w:p w14:paraId="61CC79DA" w14:textId="77777777" w:rsidR="00573C95" w:rsidRPr="00EE0308" w:rsidRDefault="00573C95" w:rsidP="006C34CF">
                            <w:pPr>
                              <w:pStyle w:val="Paragraphedeliste"/>
                              <w:numPr>
                                <w:ilvl w:val="0"/>
                                <w:numId w:val="5"/>
                              </w:numPr>
                              <w:rPr>
                                <w:color w:val="000000" w:themeColor="text1"/>
                              </w:rPr>
                            </w:pPr>
                            <w:r w:rsidRPr="00EE0308">
                              <w:rPr>
                                <w:color w:val="000000" w:themeColor="text1"/>
                              </w:rPr>
                              <w:t>Obligations</w:t>
                            </w:r>
                          </w:p>
                          <w:p w14:paraId="7C6B90BC" w14:textId="2B524875" w:rsidR="00573C95" w:rsidRPr="00EE0308" w:rsidRDefault="00573C95" w:rsidP="006C34CF">
                            <w:pPr>
                              <w:pStyle w:val="Paragraphedeliste"/>
                              <w:numPr>
                                <w:ilvl w:val="0"/>
                                <w:numId w:val="5"/>
                              </w:numPr>
                              <w:rPr>
                                <w:color w:val="000000" w:themeColor="text1"/>
                              </w:rPr>
                            </w:pPr>
                            <w:r w:rsidRPr="00EE0308">
                              <w:rPr>
                                <w:color w:val="000000" w:themeColor="text1"/>
                              </w:rPr>
                              <w:t>Actions de société</w:t>
                            </w:r>
                            <w:r>
                              <w:rPr>
                                <w:color w:val="000000" w:themeColor="text1"/>
                              </w:rPr>
                              <w:t>s</w:t>
                            </w:r>
                            <w:r w:rsidRPr="00EE0308">
                              <w:rPr>
                                <w:color w:val="000000" w:themeColor="text1"/>
                              </w:rPr>
                              <w:t xml:space="preserve"> publique</w:t>
                            </w:r>
                            <w:r>
                              <w:rPr>
                                <w:color w:val="000000" w:themeColor="text1"/>
                              </w:rPr>
                              <w:t>s</w:t>
                            </w:r>
                          </w:p>
                          <w:p w14:paraId="55A97A7A" w14:textId="5F662EB2" w:rsidR="00573C95" w:rsidRPr="009246E7" w:rsidRDefault="00573C95" w:rsidP="006C34CF">
                            <w:pPr>
                              <w:pStyle w:val="Paragraphedeliste"/>
                              <w:numPr>
                                <w:ilvl w:val="0"/>
                                <w:numId w:val="5"/>
                              </w:numPr>
                              <w:rPr>
                                <w:color w:val="000000" w:themeColor="text1"/>
                              </w:rPr>
                            </w:pPr>
                            <w:r w:rsidRPr="00EE0308">
                              <w:rPr>
                                <w:color w:val="000000" w:themeColor="text1"/>
                              </w:rPr>
                              <w:t>Fonds communs de placement</w:t>
                            </w:r>
                          </w:p>
                          <w:p w14:paraId="0DA296D9" w14:textId="4A7FEDB0" w:rsidR="00573C95" w:rsidRPr="00E836A6" w:rsidRDefault="00573C95" w:rsidP="00E836A6">
                            <w:pPr>
                              <w:jc w:val="cente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0" o:spid="_x0000_s1030" style="position:absolute;left:0;text-align:left;margin-left:180pt;margin-top:14.85pt;width:225pt;height:2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" fillcolor="#eee6a3" strokecolor="#94c600 [3204]">
                <v:fill opacity="35466f"/>
                <v:textbox>
                  <w:txbxContent>
                    <w:p w14:paraId="28CE6835" w14:textId="77777777" w:rsidR="001501D6" w:rsidRDefault="001501D6" w:rsidP="006C34CF">
                      <w:pPr>
                        <w:pStyle w:val="Paragraphedeliste"/>
                        <w:numPr>
                          <w:ilvl w:val="0"/>
                          <w:numId w:val="5"/>
                        </w:numPr>
                        <w:rPr>
                          <w:color w:val="000000"/>
                        </w:rPr>
                      </w:pPr>
                      <w:r>
                        <w:rPr>
                          <w:color w:val="000000"/>
                        </w:rPr>
                        <w:t>CPG</w:t>
                      </w:r>
                    </w:p>
                    <w:p w14:paraId="118088FB" w14:textId="77777777" w:rsidR="001501D6" w:rsidRDefault="001501D6" w:rsidP="006C34CF">
                      <w:pPr>
                        <w:pStyle w:val="Paragraphedeliste"/>
                        <w:numPr>
                          <w:ilvl w:val="0"/>
                          <w:numId w:val="5"/>
                        </w:numPr>
                        <w:rPr>
                          <w:color w:val="000000"/>
                        </w:rPr>
                      </w:pPr>
                      <w:r>
                        <w:rPr>
                          <w:color w:val="000000"/>
                        </w:rPr>
                        <w:t>Bons du trésor</w:t>
                      </w:r>
                    </w:p>
                    <w:p w14:paraId="0B13C2DA" w14:textId="77777777" w:rsidR="001501D6" w:rsidRDefault="001501D6" w:rsidP="006C34CF">
                      <w:pPr>
                        <w:pStyle w:val="Paragraphedeliste"/>
                        <w:numPr>
                          <w:ilvl w:val="0"/>
                          <w:numId w:val="5"/>
                        </w:numPr>
                        <w:rPr>
                          <w:color w:val="000000"/>
                        </w:rPr>
                      </w:pPr>
                      <w:r>
                        <w:rPr>
                          <w:color w:val="000000"/>
                        </w:rPr>
                        <w:t>Obligation d’épargne</w:t>
                      </w:r>
                    </w:p>
                    <w:p w14:paraId="61CC79DA" w14:textId="77777777" w:rsidR="001501D6" w:rsidRPr="00EE0308" w:rsidRDefault="001501D6" w:rsidP="006C34CF">
                      <w:pPr>
                        <w:pStyle w:val="Paragraphedeliste"/>
                        <w:numPr>
                          <w:ilvl w:val="0"/>
                          <w:numId w:val="5"/>
                        </w:numPr>
                        <w:rPr>
                          <w:color w:val="000000" w:themeColor="text1"/>
                        </w:rPr>
                      </w:pPr>
                      <w:r w:rsidRPr="00EE0308">
                        <w:rPr>
                          <w:color w:val="000000" w:themeColor="text1"/>
                        </w:rPr>
                        <w:t>Obligations</w:t>
                      </w:r>
                    </w:p>
                    <w:p w14:paraId="7C6B90BC" w14:textId="2B524875" w:rsidR="001501D6" w:rsidRPr="00EE0308" w:rsidRDefault="001501D6" w:rsidP="006C34CF">
                      <w:pPr>
                        <w:pStyle w:val="Paragraphedeliste"/>
                        <w:numPr>
                          <w:ilvl w:val="0"/>
                          <w:numId w:val="5"/>
                        </w:numPr>
                        <w:rPr>
                          <w:color w:val="000000" w:themeColor="text1"/>
                        </w:rPr>
                      </w:pPr>
                      <w:r w:rsidRPr="00EE0308">
                        <w:rPr>
                          <w:color w:val="000000" w:themeColor="text1"/>
                        </w:rPr>
                        <w:t>Actions de société</w:t>
                      </w:r>
                      <w:r>
                        <w:rPr>
                          <w:color w:val="000000" w:themeColor="text1"/>
                        </w:rPr>
                        <w:t>s</w:t>
                      </w:r>
                      <w:r w:rsidRPr="00EE0308">
                        <w:rPr>
                          <w:color w:val="000000" w:themeColor="text1"/>
                        </w:rPr>
                        <w:t xml:space="preserve"> publique</w:t>
                      </w:r>
                      <w:r>
                        <w:rPr>
                          <w:color w:val="000000" w:themeColor="text1"/>
                        </w:rPr>
                        <w:t>s</w:t>
                      </w:r>
                    </w:p>
                    <w:p w14:paraId="55A97A7A" w14:textId="5F662EB2" w:rsidR="001501D6" w:rsidRPr="009246E7" w:rsidRDefault="001501D6" w:rsidP="006C34CF">
                      <w:pPr>
                        <w:pStyle w:val="Paragraphedeliste"/>
                        <w:numPr>
                          <w:ilvl w:val="0"/>
                          <w:numId w:val="5"/>
                        </w:numPr>
                        <w:rPr>
                          <w:color w:val="000000" w:themeColor="text1"/>
                        </w:rPr>
                      </w:pPr>
                      <w:r w:rsidRPr="00EE0308">
                        <w:rPr>
                          <w:color w:val="000000" w:themeColor="text1"/>
                        </w:rPr>
                        <w:t>Fonds communs de placement</w:t>
                      </w:r>
                    </w:p>
                    <w:p w14:paraId="0DA296D9" w14:textId="4A7FEDB0" w:rsidR="001501D6" w:rsidRPr="00E836A6" w:rsidRDefault="001501D6" w:rsidP="00E836A6">
                      <w:pPr>
                        <w:jc w:val="center"/>
                        <w:rPr>
                          <w:color w:val="000000" w:themeColor="text1"/>
                          <w:sz w:val="20"/>
                          <w:szCs w:val="20"/>
                        </w:rPr>
                      </w:pPr>
                    </w:p>
                  </w:txbxContent>
                </v:textbox>
                <w10:wrap type="through"/>
              </v:oval>
            </w:pict>
          </mc:Fallback>
        </mc:AlternateContent>
      </w:r>
    </w:p>
    <w:p w14:paraId="113AF079" w14:textId="3C869CA7" w:rsidR="002E1C25" w:rsidRDefault="002E1C25" w:rsidP="002E1C25">
      <w:pPr>
        <w:jc w:val="both"/>
        <w:rPr>
          <w:color w:val="0000FF"/>
        </w:rPr>
      </w:pPr>
    </w:p>
    <w:p w14:paraId="1D280403" w14:textId="1F945740" w:rsidR="002E1C25" w:rsidRDefault="002E1C25" w:rsidP="002E1C25">
      <w:pPr>
        <w:jc w:val="both"/>
        <w:rPr>
          <w:color w:val="0000FF"/>
        </w:rPr>
      </w:pPr>
    </w:p>
    <w:p w14:paraId="232EA775" w14:textId="77777777" w:rsidR="002E1C25" w:rsidRDefault="002E1C25" w:rsidP="002E1C25">
      <w:pPr>
        <w:jc w:val="both"/>
        <w:rPr>
          <w:color w:val="0000FF"/>
        </w:rPr>
      </w:pPr>
    </w:p>
    <w:p w14:paraId="4FDAE81A" w14:textId="77777777" w:rsidR="002E1C25" w:rsidRDefault="002E1C25" w:rsidP="002E1C25">
      <w:pPr>
        <w:jc w:val="both"/>
        <w:rPr>
          <w:color w:val="0000FF"/>
        </w:rPr>
      </w:pPr>
    </w:p>
    <w:p w14:paraId="1C071AEB" w14:textId="77777777" w:rsidR="002E1C25" w:rsidRDefault="002E1C25" w:rsidP="002E1C25">
      <w:pPr>
        <w:jc w:val="both"/>
        <w:rPr>
          <w:color w:val="0000FF"/>
        </w:rPr>
      </w:pPr>
    </w:p>
    <w:p w14:paraId="57A06B4F" w14:textId="38CEBDE9" w:rsidR="002E1C25" w:rsidRDefault="002E1C25" w:rsidP="002E1C25">
      <w:pPr>
        <w:jc w:val="both"/>
        <w:rPr>
          <w:color w:val="0000FF"/>
        </w:rPr>
      </w:pPr>
    </w:p>
    <w:p w14:paraId="4041898B" w14:textId="6A760D7C" w:rsidR="002E1C25" w:rsidRDefault="002E1C25" w:rsidP="002E1C25">
      <w:pPr>
        <w:jc w:val="both"/>
        <w:rPr>
          <w:color w:val="0000FF"/>
        </w:rPr>
      </w:pPr>
    </w:p>
    <w:p w14:paraId="2D467D27" w14:textId="77777777" w:rsidR="002E1C25" w:rsidRDefault="002E1C25" w:rsidP="002E1C25">
      <w:pPr>
        <w:jc w:val="both"/>
        <w:rPr>
          <w:color w:val="0000FF"/>
        </w:rPr>
      </w:pPr>
    </w:p>
    <w:p w14:paraId="043C0AFA" w14:textId="77777777" w:rsidR="002E1C25" w:rsidRDefault="002E1C25" w:rsidP="002E1C25">
      <w:pPr>
        <w:jc w:val="both"/>
        <w:rPr>
          <w:color w:val="0000FF"/>
        </w:rPr>
      </w:pPr>
    </w:p>
    <w:p w14:paraId="0E7DC914" w14:textId="77777777" w:rsidR="002E1C25" w:rsidRDefault="002E1C25" w:rsidP="002E1C25">
      <w:pPr>
        <w:jc w:val="both"/>
        <w:rPr>
          <w:color w:val="0000FF"/>
        </w:rPr>
      </w:pPr>
      <w:r>
        <w:rPr>
          <w:color w:val="0000FF"/>
        </w:rPr>
        <w:tab/>
      </w:r>
      <w:r>
        <w:rPr>
          <w:color w:val="0000FF"/>
        </w:rPr>
        <w:tab/>
      </w:r>
    </w:p>
    <w:p w14:paraId="0A97B6D9" w14:textId="115631BA" w:rsidR="002E1C25" w:rsidRDefault="002E1C25" w:rsidP="002E1C25">
      <w:pPr>
        <w:jc w:val="both"/>
        <w:rPr>
          <w:color w:val="0000FF"/>
        </w:rPr>
      </w:pPr>
    </w:p>
    <w:p w14:paraId="794E473E" w14:textId="77777777" w:rsidR="002E1C25" w:rsidRDefault="002E1C25" w:rsidP="002E1C25">
      <w:pPr>
        <w:jc w:val="both"/>
        <w:rPr>
          <w:color w:val="0000FF"/>
        </w:rPr>
      </w:pPr>
    </w:p>
    <w:p w14:paraId="4B10205D" w14:textId="473B252D" w:rsidR="002E1C25" w:rsidRDefault="002E1C25" w:rsidP="002E1C25">
      <w:pPr>
        <w:jc w:val="both"/>
        <w:rPr>
          <w:color w:val="0000FF"/>
        </w:rPr>
      </w:pPr>
    </w:p>
    <w:p w14:paraId="44B67FF4" w14:textId="37E893FB" w:rsidR="002E1C25" w:rsidRDefault="002E1C25" w:rsidP="002E1C25">
      <w:pPr>
        <w:jc w:val="both"/>
        <w:rPr>
          <w:color w:val="0000FF"/>
        </w:rPr>
      </w:pPr>
    </w:p>
    <w:p w14:paraId="28578A42" w14:textId="431AC477" w:rsidR="002E1C25" w:rsidRDefault="002E1C25" w:rsidP="002E1C25">
      <w:pPr>
        <w:jc w:val="both"/>
        <w:rPr>
          <w:color w:val="0000FF"/>
        </w:rPr>
      </w:pPr>
    </w:p>
    <w:p w14:paraId="588EAFB2" w14:textId="77777777" w:rsidR="0000649D" w:rsidRDefault="0000649D" w:rsidP="002E1C25">
      <w:pPr>
        <w:jc w:val="both"/>
      </w:pPr>
    </w:p>
    <w:p w14:paraId="1659FE15" w14:textId="77777777" w:rsidR="00B73A15" w:rsidRDefault="00B73A15" w:rsidP="002E1C25">
      <w:pPr>
        <w:jc w:val="both"/>
      </w:pPr>
    </w:p>
    <w:p w14:paraId="1D71F8F3" w14:textId="77777777" w:rsidR="00915587" w:rsidRDefault="00915587" w:rsidP="002E1C25">
      <w:pPr>
        <w:jc w:val="both"/>
      </w:pPr>
    </w:p>
    <w:p w14:paraId="393C6123" w14:textId="3C7A4275" w:rsidR="00A94E2C" w:rsidRDefault="00EE1BF6" w:rsidP="002E1C25">
      <w:pPr>
        <w:jc w:val="both"/>
      </w:pPr>
      <w:r>
        <w:t xml:space="preserve">La deuxième proposition de classification des placements s’appuie </w:t>
      </w:r>
      <w:r w:rsidR="00DF6850">
        <w:t xml:space="preserve">sur </w:t>
      </w:r>
      <w:r>
        <w:t>la nature du véhicule fiscal d’épargne. Cette façon de faire est très rép</w:t>
      </w:r>
      <w:r w:rsidR="00A94E2C">
        <w:t>a</w:t>
      </w:r>
      <w:r>
        <w:t xml:space="preserve">ndue et </w:t>
      </w:r>
      <w:r w:rsidR="00A94E2C">
        <w:t>fait l’objet de</w:t>
      </w:r>
      <w:r>
        <w:t xml:space="preserve"> confusion</w:t>
      </w:r>
      <w:r w:rsidR="00A94E2C">
        <w:t xml:space="preserve"> par </w:t>
      </w:r>
      <w:r>
        <w:t>la population en général.</w:t>
      </w:r>
      <w:r w:rsidR="00A94E2C">
        <w:t xml:space="preserve"> </w:t>
      </w:r>
      <w:r w:rsidR="00A67C18">
        <w:t>Les gens confondent</w:t>
      </w:r>
      <w:r w:rsidR="00A94E2C">
        <w:t xml:space="preserve"> les placements </w:t>
      </w:r>
      <w:r w:rsidR="00F366DD">
        <w:t xml:space="preserve">et le </w:t>
      </w:r>
      <w:r w:rsidR="00A94E2C">
        <w:t xml:space="preserve">véhicule fiscal qui les </w:t>
      </w:r>
      <w:r w:rsidR="00B248D5">
        <w:t>contient</w:t>
      </w:r>
      <w:r w:rsidR="00A94E2C">
        <w:t xml:space="preserve">. C’est donc dire que les placements, </w:t>
      </w:r>
      <w:r w:rsidR="00A67C18">
        <w:t>par exemple,</w:t>
      </w:r>
      <w:r w:rsidR="00A94E2C">
        <w:t xml:space="preserve"> les CPG ou les actions de sociétés publiques, peuvent faire </w:t>
      </w:r>
      <w:r w:rsidR="00B248D5">
        <w:t>partie</w:t>
      </w:r>
      <w:r w:rsidR="00A94E2C">
        <w:t xml:space="preserve"> de différents véhicules fiscaux</w:t>
      </w:r>
      <w:r w:rsidR="00A67C18">
        <w:t xml:space="preserve">, tels le </w:t>
      </w:r>
      <w:r w:rsidR="00F96599">
        <w:t xml:space="preserve">REÉR ou </w:t>
      </w:r>
      <w:r w:rsidR="00A67C18">
        <w:t xml:space="preserve">le </w:t>
      </w:r>
      <w:r w:rsidR="00F96599">
        <w:t>CÉLI</w:t>
      </w:r>
      <w:r w:rsidR="00A94E2C">
        <w:t>.</w:t>
      </w:r>
    </w:p>
    <w:p w14:paraId="509383ED" w14:textId="77777777" w:rsidR="009A7DBF" w:rsidRDefault="009A7DBF" w:rsidP="002E1C25">
      <w:pPr>
        <w:jc w:val="both"/>
      </w:pPr>
    </w:p>
    <w:p w14:paraId="4638F922" w14:textId="02935099" w:rsidR="009A7DBF" w:rsidRDefault="009A7DBF" w:rsidP="002E1C25">
      <w:pPr>
        <w:jc w:val="both"/>
      </w:pPr>
      <w:r>
        <w:lastRenderedPageBreak/>
        <w:t xml:space="preserve">Les véhicules fiscaux qui sont considérés comme des abris fiscaux ont la particularité de soustraire à l’impôt les revenus des placements qui y sont générés. Cet affranchissement de l’impôt dure tant que les placements sont inclus dans le véhicule fiscal. Normalement, lors du retrait des sommes des différents </w:t>
      </w:r>
      <w:r>
        <w:rPr>
          <w:color w:val="FF6700" w:themeColor="accent3"/>
        </w:rPr>
        <w:t>ABRIS FISCAUX</w:t>
      </w:r>
      <w:r>
        <w:t>, celles-ci deviennent pleinement imposables. Notons que le CÉLI et la résidence principale font exception à cette dernière règle puis</w:t>
      </w:r>
      <w:r w:rsidR="00367013">
        <w:t>que tous les montants encaissés à leur égard sont entièrement défiscalisés (non imposables).</w:t>
      </w:r>
      <w:r>
        <w:t xml:space="preserve"> </w:t>
      </w:r>
      <w:r w:rsidR="00367013">
        <w:t xml:space="preserve">Sauf pour la résidence principale, le REÉÉ et le REÉI, tous les abris fiscaux sont </w:t>
      </w:r>
      <w:r w:rsidR="00B248D5">
        <w:t>en quelque sorte</w:t>
      </w:r>
      <w:r w:rsidR="00367013">
        <w:t xml:space="preserve"> des véhicules qui servent </w:t>
      </w:r>
      <w:r w:rsidR="00B248D5">
        <w:t xml:space="preserve">presque </w:t>
      </w:r>
      <w:proofErr w:type="gramStart"/>
      <w:r w:rsidR="00367013">
        <w:t>exclusivement  à</w:t>
      </w:r>
      <w:proofErr w:type="gramEnd"/>
      <w:r w:rsidR="00367013">
        <w:t xml:space="preserve"> cumuler des montants en vue de financer  la retraite. </w:t>
      </w:r>
      <w:r w:rsidR="000C6B50">
        <w:t>Ce levier fiscal bonifie de manière importante les montants générés pour la retraite</w:t>
      </w:r>
      <w:r w:rsidR="00175B76">
        <w:t>. L</w:t>
      </w:r>
      <w:r w:rsidR="00522CEC">
        <w:t>a</w:t>
      </w:r>
      <w:r w:rsidR="00175B76">
        <w:t xml:space="preserve"> mécanique de ce</w:t>
      </w:r>
      <w:r w:rsidR="00522CEC">
        <w:t>s outils</w:t>
      </w:r>
      <w:r w:rsidR="000C6B50">
        <w:t xml:space="preserve"> ser</w:t>
      </w:r>
      <w:r w:rsidR="00522CEC">
        <w:t>a</w:t>
      </w:r>
      <w:r w:rsidR="000C6B50">
        <w:t xml:space="preserve"> étudié</w:t>
      </w:r>
      <w:r w:rsidR="00522CEC">
        <w:t>e</w:t>
      </w:r>
      <w:r w:rsidR="000C6B50">
        <w:t xml:space="preserve"> en détail dans les </w:t>
      </w:r>
      <w:r w:rsidR="000C6B50" w:rsidRPr="006B18D8">
        <w:rPr>
          <w:color w:val="008000"/>
        </w:rPr>
        <w:t>PARTIES 3 ET 4</w:t>
      </w:r>
      <w:r w:rsidR="000C6B50">
        <w:rPr>
          <w:color w:val="FF0000"/>
        </w:rPr>
        <w:t xml:space="preserve"> </w:t>
      </w:r>
      <w:r w:rsidR="000C6B50">
        <w:t>d</w:t>
      </w:r>
      <w:r w:rsidR="00175B76">
        <w:t>u</w:t>
      </w:r>
      <w:r w:rsidR="000C6B50">
        <w:t xml:space="preserve"> présent</w:t>
      </w:r>
      <w:r w:rsidR="00175B76">
        <w:t xml:space="preserve"> sujet</w:t>
      </w:r>
      <w:r w:rsidR="000C6B50">
        <w:t>.</w:t>
      </w:r>
    </w:p>
    <w:p w14:paraId="62F7BACB" w14:textId="77777777" w:rsidR="00522CEC" w:rsidRDefault="00522CEC" w:rsidP="002E1C25">
      <w:pPr>
        <w:jc w:val="both"/>
      </w:pPr>
    </w:p>
    <w:p w14:paraId="34423034" w14:textId="07A4EF34" w:rsidR="0075098C" w:rsidRPr="0075098C" w:rsidRDefault="00C65268" w:rsidP="0075098C">
      <w:pPr>
        <w:jc w:val="both"/>
      </w:pPr>
      <w:r>
        <w:t xml:space="preserve">Comme l’image de la </w:t>
      </w:r>
      <w:r w:rsidR="00B248D5">
        <w:t>proposition </w:t>
      </w:r>
      <w:r>
        <w:t xml:space="preserve">2 le suggère, les types de placements que l’on </w:t>
      </w:r>
      <w:r w:rsidR="00B248D5">
        <w:t>retrouve</w:t>
      </w:r>
      <w:r w:rsidR="0075098C">
        <w:t xml:space="preserve"> dans</w:t>
      </w:r>
      <w:r>
        <w:t xml:space="preserve"> la bulle (</w:t>
      </w:r>
      <w:r w:rsidR="0075098C" w:rsidRPr="0075098C">
        <w:rPr>
          <w:color w:val="000000"/>
        </w:rPr>
        <w:t>CPG</w:t>
      </w:r>
      <w:r w:rsidR="0075098C">
        <w:rPr>
          <w:color w:val="000000"/>
        </w:rPr>
        <w:t xml:space="preserve">, </w:t>
      </w:r>
      <w:r w:rsidR="0075098C" w:rsidRPr="0075098C">
        <w:rPr>
          <w:color w:val="000000"/>
        </w:rPr>
        <w:t xml:space="preserve">Bons du </w:t>
      </w:r>
      <w:r w:rsidR="00B248D5">
        <w:rPr>
          <w:color w:val="000000"/>
        </w:rPr>
        <w:t>Trésor</w:t>
      </w:r>
      <w:r w:rsidR="0075098C">
        <w:rPr>
          <w:color w:val="000000"/>
        </w:rPr>
        <w:t xml:space="preserve">, </w:t>
      </w:r>
      <w:r w:rsidR="0075098C" w:rsidRPr="0075098C">
        <w:rPr>
          <w:color w:val="000000"/>
        </w:rPr>
        <w:t>Obligation d’épargne</w:t>
      </w:r>
      <w:r w:rsidR="0075098C">
        <w:rPr>
          <w:color w:val="000000"/>
        </w:rPr>
        <w:t xml:space="preserve">, </w:t>
      </w:r>
      <w:r w:rsidR="0075098C" w:rsidRPr="0075098C">
        <w:rPr>
          <w:color w:val="000000" w:themeColor="text1"/>
        </w:rPr>
        <w:t>Obligations</w:t>
      </w:r>
      <w:r w:rsidR="0075098C">
        <w:rPr>
          <w:color w:val="000000" w:themeColor="text1"/>
        </w:rPr>
        <w:t xml:space="preserve">, </w:t>
      </w:r>
      <w:r w:rsidR="0075098C" w:rsidRPr="0075098C">
        <w:rPr>
          <w:color w:val="000000" w:themeColor="text1"/>
        </w:rPr>
        <w:t>Actions de sociétés publiques</w:t>
      </w:r>
      <w:r w:rsidR="0075098C">
        <w:rPr>
          <w:color w:val="000000" w:themeColor="text1"/>
        </w:rPr>
        <w:t xml:space="preserve"> et </w:t>
      </w:r>
      <w:r w:rsidR="0075098C" w:rsidRPr="0075098C">
        <w:rPr>
          <w:color w:val="000000" w:themeColor="text1"/>
        </w:rPr>
        <w:t>Fonds communs de placement</w:t>
      </w:r>
      <w:r w:rsidR="0075098C">
        <w:rPr>
          <w:color w:val="000000" w:themeColor="text1"/>
        </w:rPr>
        <w:t xml:space="preserve">) peuvent faire l’objet de détention à même un des véhicules faisant partie des abris fiscaux ou à l’extérieur de ceux-ci. Il va sans dire qu’il est tout d’abord préférable de </w:t>
      </w:r>
      <w:r w:rsidR="00B248D5">
        <w:rPr>
          <w:color w:val="000000" w:themeColor="text1"/>
        </w:rPr>
        <w:t>tirer</w:t>
      </w:r>
      <w:r w:rsidR="0075098C">
        <w:rPr>
          <w:color w:val="000000" w:themeColor="text1"/>
        </w:rPr>
        <w:t xml:space="preserve"> pleinement avantage des abris fiscaux avant de songer à détenir ces placements à</w:t>
      </w:r>
      <w:r w:rsidR="00B248D5">
        <w:rPr>
          <w:color w:val="000000" w:themeColor="text1"/>
        </w:rPr>
        <w:t xml:space="preserve"> l</w:t>
      </w:r>
      <w:r w:rsidR="0075098C">
        <w:rPr>
          <w:color w:val="000000" w:themeColor="text1"/>
        </w:rPr>
        <w:t xml:space="preserve">’extérieur de ceux-ci. Finalement, les placements que l’on retrouve dans le rectangle </w:t>
      </w:r>
      <w:r w:rsidR="0075098C">
        <w:rPr>
          <w:color w:val="FF6700" w:themeColor="accent3"/>
        </w:rPr>
        <w:t xml:space="preserve">HORS ABRIS FISCAUX </w:t>
      </w:r>
      <w:r w:rsidR="0075098C">
        <w:t>ne peuvent pas faire l’objet de détention à même des régimes enregistrés (abri fiscal).</w:t>
      </w:r>
    </w:p>
    <w:p w14:paraId="54C5D8C8" w14:textId="5D7EF9F9" w:rsidR="00522CEC" w:rsidRDefault="00522CEC" w:rsidP="0075098C">
      <w:pPr>
        <w:jc w:val="both"/>
      </w:pPr>
    </w:p>
    <w:p w14:paraId="1D098B42" w14:textId="77777777" w:rsidR="009515A2" w:rsidRDefault="009515A2" w:rsidP="0075098C">
      <w:pPr>
        <w:jc w:val="both"/>
      </w:pPr>
    </w:p>
    <w:p w14:paraId="12301675" w14:textId="77777777" w:rsidR="009515A2" w:rsidRDefault="009515A2" w:rsidP="0075098C">
      <w:pPr>
        <w:jc w:val="both"/>
      </w:pPr>
    </w:p>
    <w:p w14:paraId="59DA31D0" w14:textId="77777777" w:rsidR="009515A2" w:rsidRDefault="009515A2" w:rsidP="0075098C">
      <w:pPr>
        <w:jc w:val="both"/>
      </w:pPr>
    </w:p>
    <w:p w14:paraId="22B5D1F4" w14:textId="77777777" w:rsidR="009515A2" w:rsidRDefault="009515A2" w:rsidP="0075098C">
      <w:pPr>
        <w:jc w:val="both"/>
      </w:pPr>
    </w:p>
    <w:p w14:paraId="34444BDE" w14:textId="77777777" w:rsidR="009515A2" w:rsidRDefault="009515A2" w:rsidP="0075098C">
      <w:pPr>
        <w:jc w:val="both"/>
      </w:pPr>
    </w:p>
    <w:p w14:paraId="3B1F4F67" w14:textId="77777777" w:rsidR="009515A2" w:rsidRDefault="009515A2" w:rsidP="0075098C">
      <w:pPr>
        <w:jc w:val="both"/>
      </w:pPr>
    </w:p>
    <w:p w14:paraId="3B35EE65" w14:textId="77777777" w:rsidR="009515A2" w:rsidRDefault="009515A2" w:rsidP="0075098C">
      <w:pPr>
        <w:jc w:val="both"/>
      </w:pPr>
    </w:p>
    <w:p w14:paraId="1F077993" w14:textId="77777777" w:rsidR="009515A2" w:rsidRDefault="009515A2" w:rsidP="0075098C">
      <w:pPr>
        <w:jc w:val="both"/>
      </w:pPr>
    </w:p>
    <w:p w14:paraId="7CCFD0EB" w14:textId="77777777" w:rsidR="009515A2" w:rsidRDefault="009515A2" w:rsidP="0075098C">
      <w:pPr>
        <w:jc w:val="both"/>
      </w:pPr>
    </w:p>
    <w:p w14:paraId="4B8EC361" w14:textId="77777777" w:rsidR="009515A2" w:rsidRDefault="009515A2" w:rsidP="0075098C">
      <w:pPr>
        <w:jc w:val="both"/>
      </w:pPr>
    </w:p>
    <w:p w14:paraId="3EEA2B64" w14:textId="77777777" w:rsidR="009515A2" w:rsidRDefault="009515A2" w:rsidP="0075098C">
      <w:pPr>
        <w:jc w:val="both"/>
      </w:pPr>
    </w:p>
    <w:p w14:paraId="52C3A62A" w14:textId="77777777" w:rsidR="00A278D6" w:rsidRDefault="00A278D6" w:rsidP="0075098C">
      <w:pPr>
        <w:jc w:val="both"/>
      </w:pPr>
    </w:p>
    <w:p w14:paraId="36CA6D41" w14:textId="77777777" w:rsidR="00A278D6" w:rsidRDefault="00A278D6" w:rsidP="0075098C">
      <w:pPr>
        <w:jc w:val="both"/>
      </w:pPr>
    </w:p>
    <w:p w14:paraId="388F7C49" w14:textId="77777777" w:rsidR="009515A2" w:rsidRDefault="009515A2" w:rsidP="0075098C">
      <w:pPr>
        <w:jc w:val="both"/>
      </w:pPr>
    </w:p>
    <w:p w14:paraId="739FD801" w14:textId="77777777" w:rsidR="009515A2" w:rsidRDefault="009515A2" w:rsidP="0075098C">
      <w:pPr>
        <w:jc w:val="both"/>
      </w:pPr>
    </w:p>
    <w:p w14:paraId="1309DC87" w14:textId="0796CF74" w:rsidR="002E1C25" w:rsidRPr="002E1C25" w:rsidRDefault="002E1C25" w:rsidP="002E1C25">
      <w:pPr>
        <w:jc w:val="both"/>
        <w:rPr>
          <w:b/>
        </w:rPr>
      </w:pPr>
      <w:r w:rsidRPr="002E1C25">
        <w:rPr>
          <w:b/>
        </w:rPr>
        <w:t>Propos</w:t>
      </w:r>
      <w:r w:rsidR="002F6C38">
        <w:rPr>
          <w:b/>
        </w:rPr>
        <w:t>i</w:t>
      </w:r>
      <w:r w:rsidRPr="002E1C25">
        <w:rPr>
          <w:b/>
        </w:rPr>
        <w:t xml:space="preserve">tion </w:t>
      </w:r>
      <w:r>
        <w:rPr>
          <w:b/>
        </w:rPr>
        <w:t>3</w:t>
      </w:r>
      <w:r w:rsidRPr="002E1C25">
        <w:rPr>
          <w:b/>
        </w:rPr>
        <w:t xml:space="preserve"> - Classement selon l</w:t>
      </w:r>
      <w:r w:rsidR="006E06AD">
        <w:rPr>
          <w:b/>
        </w:rPr>
        <w:t>’imputabilité</w:t>
      </w:r>
      <w:r>
        <w:rPr>
          <w:b/>
        </w:rPr>
        <w:t xml:space="preserve"> de l’épargnant</w:t>
      </w:r>
    </w:p>
    <w:p w14:paraId="3085FDBF" w14:textId="1B40765F" w:rsidR="000E54BB" w:rsidRDefault="000E54BB">
      <w:pPr>
        <w:rPr>
          <w:color w:val="FF6700" w:themeColor="accent3"/>
        </w:rPr>
      </w:pPr>
    </w:p>
    <w:p w14:paraId="36DB6256" w14:textId="645F92E7" w:rsidR="00EC2312" w:rsidRPr="00EC2312" w:rsidRDefault="00EC2312" w:rsidP="00FC57D4">
      <w:pPr>
        <w:jc w:val="both"/>
        <w:rPr>
          <w:color w:val="FF6700" w:themeColor="accent3"/>
        </w:rPr>
      </w:pPr>
      <w:r w:rsidRPr="00EC2312">
        <w:rPr>
          <w:color w:val="FF6700" w:themeColor="accent3"/>
        </w:rPr>
        <w:t>I</w:t>
      </w:r>
      <w:r w:rsidR="006C4C47">
        <w:rPr>
          <w:color w:val="FF6700" w:themeColor="accent3"/>
        </w:rPr>
        <w:t>MAGE</w:t>
      </w:r>
      <w:r w:rsidRPr="00EC2312">
        <w:rPr>
          <w:color w:val="FF6700" w:themeColor="accent3"/>
        </w:rPr>
        <w:t xml:space="preserve"> 7-</w:t>
      </w:r>
      <w:r>
        <w:rPr>
          <w:color w:val="FF6700" w:themeColor="accent3"/>
        </w:rPr>
        <w:t>3</w:t>
      </w:r>
      <w:r w:rsidRPr="00EC2312">
        <w:rPr>
          <w:color w:val="FF6700" w:themeColor="accent3"/>
        </w:rPr>
        <w:tab/>
        <w:t xml:space="preserve">La </w:t>
      </w:r>
      <w:r>
        <w:rPr>
          <w:color w:val="FF6700" w:themeColor="accent3"/>
        </w:rPr>
        <w:t>pyramide des placements</w:t>
      </w:r>
    </w:p>
    <w:p w14:paraId="12C3DFF3" w14:textId="049959B7" w:rsidR="00365769" w:rsidRDefault="00CA08F4" w:rsidP="0042412E">
      <w:pPr>
        <w:jc w:val="both"/>
      </w:pPr>
      <w:r>
        <w:rPr>
          <w:noProof/>
          <w:lang w:eastAsia="fr-FR"/>
        </w:rPr>
        <w:drawing>
          <wp:anchor distT="0" distB="0" distL="114300" distR="114300" simplePos="0" relativeHeight="251720704" behindDoc="0" locked="0" layoutInCell="1" allowOverlap="1" wp14:anchorId="2EA9A85D" wp14:editId="45CE1B19">
            <wp:simplePos x="0" y="0"/>
            <wp:positionH relativeFrom="column">
              <wp:posOffset>-685800</wp:posOffset>
            </wp:positionH>
            <wp:positionV relativeFrom="paragraph">
              <wp:posOffset>125095</wp:posOffset>
            </wp:positionV>
            <wp:extent cx="6546215" cy="4271645"/>
            <wp:effectExtent l="0" t="0" r="6985" b="0"/>
            <wp:wrapTight wrapText="bothSides">
              <wp:wrapPolygon edited="0">
                <wp:start x="0" y="0"/>
                <wp:lineTo x="0" y="21449"/>
                <wp:lineTo x="21539" y="21449"/>
                <wp:lineTo x="21539" y="0"/>
                <wp:lineTo x="0" y="0"/>
              </wp:wrapPolygon>
            </wp:wrapTight>
            <wp:docPr id="24" name="Image 24" descr="Macintosh HD:Users:marcbachand:Desktop:Capture d’écran 2015-06-05 à 09.3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5 à 09.33.0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46215" cy="42716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65769">
        <w:t>Abordons cette fois-ci le classement de</w:t>
      </w:r>
      <w:r w:rsidR="00201AEE">
        <w:t>s</w:t>
      </w:r>
      <w:r w:rsidR="00365769">
        <w:t xml:space="preserve"> placements et des gestes d’ép</w:t>
      </w:r>
      <w:r w:rsidR="00201AEE">
        <w:t>a</w:t>
      </w:r>
      <w:r w:rsidR="00365769">
        <w:t xml:space="preserve">rgne en fonction d’une approche comportementale. C’est-à-dire en observant de quelle façon </w:t>
      </w:r>
      <w:r w:rsidR="00C3464D">
        <w:t>s’initie</w:t>
      </w:r>
      <w:r w:rsidR="00365769">
        <w:t xml:space="preserve"> l’épargne.</w:t>
      </w:r>
    </w:p>
    <w:p w14:paraId="7E468316" w14:textId="77777777" w:rsidR="00365769" w:rsidRDefault="00365769" w:rsidP="0042412E">
      <w:pPr>
        <w:jc w:val="both"/>
      </w:pPr>
    </w:p>
    <w:p w14:paraId="6EAB5DE7" w14:textId="2B144730" w:rsidR="009E3445" w:rsidRDefault="0042412E" w:rsidP="0042412E">
      <w:pPr>
        <w:jc w:val="both"/>
      </w:pPr>
      <w:r>
        <w:t>Examinons à la fois où se loge l’épargne ainsi que la provenance future de</w:t>
      </w:r>
      <w:r w:rsidR="00C3464D">
        <w:t xml:space="preserve">s </w:t>
      </w:r>
      <w:r>
        <w:t xml:space="preserve">revenus de retraite. </w:t>
      </w:r>
      <w:r w:rsidR="00C3464D">
        <w:t>La P</w:t>
      </w:r>
      <w:r w:rsidR="00C3464D">
        <w:rPr>
          <w:rFonts w:asciiTheme="majorHAnsi" w:hAnsiTheme="majorHAnsi"/>
        </w:rPr>
        <w:t>ension de la Sécurité de la vieillesse</w:t>
      </w:r>
      <w:r w:rsidR="00C3464D">
        <w:t xml:space="preserve"> </w:t>
      </w:r>
      <w:r>
        <w:t xml:space="preserve">et le </w:t>
      </w:r>
      <w:r w:rsidR="00C3464D">
        <w:t>S</w:t>
      </w:r>
      <w:r>
        <w:t xml:space="preserve">upplément de revenu garanti constituent le maillage fédéral </w:t>
      </w:r>
      <w:r w:rsidR="009E3445">
        <w:t>alors que la rente d</w:t>
      </w:r>
      <w:r w:rsidR="00311708">
        <w:t>u</w:t>
      </w:r>
      <w:r w:rsidR="009E3445">
        <w:t xml:space="preserve"> RRQ se veut la portion </w:t>
      </w:r>
      <w:r w:rsidR="00F575F4">
        <w:t>p</w:t>
      </w:r>
      <w:r w:rsidR="009E3445">
        <w:t xml:space="preserve">rovinciale du </w:t>
      </w:r>
      <w:r w:rsidR="00F575F4">
        <w:rPr>
          <w:color w:val="FF6700" w:themeColor="accent3"/>
        </w:rPr>
        <w:t xml:space="preserve">FILET SOCIAL </w:t>
      </w:r>
      <w:r w:rsidR="009E3445">
        <w:t>des futurs retraités.</w:t>
      </w:r>
      <w:r w:rsidR="00C83863">
        <w:t xml:space="preserve"> Ces régimes sont acquis à tous les résidents canadiens dans le cas</w:t>
      </w:r>
      <w:r w:rsidR="0036307F">
        <w:t xml:space="preserve"> de la PSV et à tous les travailleurs pour l</w:t>
      </w:r>
      <w:r w:rsidR="00311708">
        <w:t>e</w:t>
      </w:r>
      <w:r w:rsidR="0036307F">
        <w:t xml:space="preserve"> RRQ.</w:t>
      </w:r>
    </w:p>
    <w:p w14:paraId="562F7738" w14:textId="77777777" w:rsidR="009E3445" w:rsidRDefault="009E3445" w:rsidP="0042412E">
      <w:pPr>
        <w:jc w:val="both"/>
      </w:pPr>
    </w:p>
    <w:p w14:paraId="787EC3B2" w14:textId="4517C825" w:rsidR="009E3445" w:rsidRPr="009E3445" w:rsidRDefault="009E3445" w:rsidP="009E3445">
      <w:pPr>
        <w:tabs>
          <w:tab w:val="left" w:pos="8647"/>
        </w:tabs>
        <w:jc w:val="both"/>
        <w:rPr>
          <w:lang w:val="fr-CA"/>
        </w:rPr>
      </w:pPr>
      <w:r w:rsidRPr="009E3445">
        <w:t xml:space="preserve">Au deuxième étage de la </w:t>
      </w:r>
      <w:r w:rsidR="00B248D5">
        <w:t>pyramide,</w:t>
      </w:r>
      <w:r w:rsidRPr="009E3445">
        <w:t xml:space="preserve"> nous retrouvons les différents régimes qui sont financés par les employeurs et les employés.</w:t>
      </w:r>
      <w:r>
        <w:t xml:space="preserve"> </w:t>
      </w:r>
      <w:r w:rsidRPr="009E3445">
        <w:t>Ils constituent une forme de</w:t>
      </w:r>
      <w:r w:rsidR="00F575F4">
        <w:t xml:space="preserve"> </w:t>
      </w:r>
      <w:proofErr w:type="gramStart"/>
      <w:r w:rsidR="00F575F4">
        <w:rPr>
          <w:color w:val="FF6700" w:themeColor="accent3"/>
        </w:rPr>
        <w:t>RÉMUNÉRATION</w:t>
      </w:r>
      <w:r w:rsidR="00F575F4" w:rsidRPr="009E3445">
        <w:t xml:space="preserve"> </w:t>
      </w:r>
      <w:r w:rsidRPr="009E3445">
        <w:t xml:space="preserve"> réservée</w:t>
      </w:r>
      <w:proofErr w:type="gramEnd"/>
      <w:r w:rsidRPr="009E3445">
        <w:t xml:space="preserve"> à l’épargne des futurs retraités</w:t>
      </w:r>
      <w:r>
        <w:t>.</w:t>
      </w:r>
      <w:r w:rsidRPr="009E3445">
        <w:t xml:space="preserve"> </w:t>
      </w:r>
      <w:r w:rsidRPr="009E3445">
        <w:rPr>
          <w:lang w:val="fr-CA"/>
        </w:rPr>
        <w:t xml:space="preserve">On y </w:t>
      </w:r>
      <w:r w:rsidRPr="009E3445">
        <w:rPr>
          <w:lang w:val="fr-CA"/>
        </w:rPr>
        <w:lastRenderedPageBreak/>
        <w:t>reconna</w:t>
      </w:r>
      <w:r w:rsidR="002F6C38">
        <w:rPr>
          <w:lang w:val="fr-CA"/>
        </w:rPr>
        <w:t>i</w:t>
      </w:r>
      <w:r w:rsidRPr="009E3445">
        <w:rPr>
          <w:lang w:val="fr-CA"/>
        </w:rPr>
        <w:t>t, notamment, les régimes de pensions agréés à cotisation ou à prestation déterminé</w:t>
      </w:r>
      <w:r w:rsidR="00F575F4">
        <w:rPr>
          <w:lang w:val="fr-CA"/>
        </w:rPr>
        <w:t>e</w:t>
      </w:r>
      <w:r w:rsidRPr="009E3445">
        <w:rPr>
          <w:lang w:val="fr-CA"/>
        </w:rPr>
        <w:t>, le REER collectif et le nouveau régime volontaire d’épargne-retraite.</w:t>
      </w:r>
      <w:r>
        <w:rPr>
          <w:lang w:val="fr-CA"/>
        </w:rPr>
        <w:t xml:space="preserve"> </w:t>
      </w:r>
      <w:r w:rsidRPr="009E3445">
        <w:t>En général, les deux premiers paliers de la pyramide se construisent sans effort particulier puisqu’ils font l’objet de règles fixées d’avance qui détermine</w:t>
      </w:r>
      <w:r w:rsidR="00F721F0">
        <w:t>nt</w:t>
      </w:r>
      <w:r w:rsidRPr="009E3445">
        <w:t xml:space="preserve"> les déductions à la source à prélever des salaires et les </w:t>
      </w:r>
      <w:r w:rsidR="00F575F4">
        <w:t>montants</w:t>
      </w:r>
      <w:r w:rsidRPr="009E3445">
        <w:t xml:space="preserve"> à être versés par l’employeur.</w:t>
      </w:r>
      <w:r>
        <w:t xml:space="preserve"> </w:t>
      </w:r>
      <w:r w:rsidRPr="009E3445">
        <w:rPr>
          <w:lang w:val="fr-CA"/>
        </w:rPr>
        <w:t>En clair, ces sommes ne se retrouvent pas entre les mains du salarié et ne sont donc pas soumises à la tentation de faire autre chose que de l’épargne.</w:t>
      </w:r>
    </w:p>
    <w:p w14:paraId="57CD569A" w14:textId="02108DAF" w:rsidR="009E3445" w:rsidRDefault="009E3445" w:rsidP="009E3445">
      <w:pPr>
        <w:tabs>
          <w:tab w:val="left" w:pos="8647"/>
        </w:tabs>
        <w:jc w:val="both"/>
      </w:pPr>
    </w:p>
    <w:p w14:paraId="4516BDFD" w14:textId="5EF2ACEA" w:rsidR="00F575F4" w:rsidRPr="00F575F4" w:rsidRDefault="009E3445" w:rsidP="00F575F4">
      <w:pPr>
        <w:tabs>
          <w:tab w:val="left" w:pos="8647"/>
        </w:tabs>
        <w:jc w:val="both"/>
      </w:pPr>
      <w:r w:rsidRPr="009E3445">
        <w:rPr>
          <w:lang w:val="fr-CA"/>
        </w:rPr>
        <w:t>Le défi de la majorité des épargnants se situe dans la</w:t>
      </w:r>
      <w:r>
        <w:rPr>
          <w:lang w:val="fr-CA"/>
        </w:rPr>
        <w:t xml:space="preserve"> </w:t>
      </w:r>
      <w:r w:rsidRPr="009E3445">
        <w:rPr>
          <w:lang w:val="fr-CA"/>
        </w:rPr>
        <w:t xml:space="preserve">pointe de la pyramide. C’est l’endroit où se </w:t>
      </w:r>
      <w:r w:rsidR="00B248D5">
        <w:rPr>
          <w:lang w:val="fr-CA"/>
        </w:rPr>
        <w:t>bâtissent</w:t>
      </w:r>
      <w:r w:rsidRPr="009E3445">
        <w:rPr>
          <w:lang w:val="fr-CA"/>
        </w:rPr>
        <w:t xml:space="preserve"> les retraites par des gestes d’épargne</w:t>
      </w:r>
      <w:r w:rsidR="00F721F0">
        <w:rPr>
          <w:lang w:val="fr-CA"/>
        </w:rPr>
        <w:t xml:space="preserve"> </w:t>
      </w:r>
      <w:r w:rsidRPr="009E3445">
        <w:rPr>
          <w:lang w:val="fr-CA"/>
        </w:rPr>
        <w:t xml:space="preserve">initiés par les individus. </w:t>
      </w:r>
      <w:r w:rsidR="00F575F4" w:rsidRPr="00F575F4">
        <w:t>Ici</w:t>
      </w:r>
      <w:r w:rsidR="00B248D5">
        <w:t xml:space="preserve">, </w:t>
      </w:r>
      <w:r w:rsidR="00F575F4" w:rsidRPr="00F575F4">
        <w:t>rien n’est fixé d’avance.</w:t>
      </w:r>
      <w:r w:rsidR="009443A4">
        <w:t xml:space="preserve"> Tout dépendra de l’</w:t>
      </w:r>
      <w:r w:rsidR="009443A4">
        <w:rPr>
          <w:color w:val="FF6700" w:themeColor="accent3"/>
        </w:rPr>
        <w:t xml:space="preserve">INITIATIVE PERSONNELLE. </w:t>
      </w:r>
      <w:r w:rsidR="00F575F4" w:rsidRPr="00F575F4">
        <w:t>Les choix appartiennent entièrement</w:t>
      </w:r>
      <w:r w:rsidR="0036307F">
        <w:t xml:space="preserve"> et librement</w:t>
      </w:r>
      <w:r w:rsidR="00F575F4" w:rsidRPr="00F575F4">
        <w:t xml:space="preserve"> au</w:t>
      </w:r>
      <w:r w:rsidR="00365769">
        <w:t xml:space="preserve"> particulier</w:t>
      </w:r>
      <w:r w:rsidR="00F575F4" w:rsidRPr="00F575F4">
        <w:t>.</w:t>
      </w:r>
      <w:r w:rsidR="009443A4">
        <w:t xml:space="preserve"> </w:t>
      </w:r>
      <w:r w:rsidR="0036307F">
        <w:t xml:space="preserve">Ces avenues </w:t>
      </w:r>
      <w:r w:rsidR="00365769">
        <w:t xml:space="preserve">sont </w:t>
      </w:r>
      <w:r w:rsidR="00F575F4" w:rsidRPr="00F575F4">
        <w:t>nombreu</w:t>
      </w:r>
      <w:r w:rsidR="0036307F">
        <w:t>ses</w:t>
      </w:r>
      <w:r w:rsidR="00F575F4" w:rsidRPr="00F575F4">
        <w:t xml:space="preserve">, complexes et demandent beaucoup de discipline. </w:t>
      </w:r>
    </w:p>
    <w:p w14:paraId="74E58158" w14:textId="25E870ED" w:rsidR="009E3445" w:rsidRPr="009E3445" w:rsidRDefault="009E3445" w:rsidP="009E3445">
      <w:pPr>
        <w:tabs>
          <w:tab w:val="left" w:pos="8647"/>
        </w:tabs>
        <w:jc w:val="both"/>
        <w:rPr>
          <w:lang w:val="fr-CA"/>
        </w:rPr>
      </w:pPr>
    </w:p>
    <w:p w14:paraId="271AEEB6" w14:textId="40342D59" w:rsidR="00401EB9" w:rsidRDefault="00401EB9" w:rsidP="00401EB9">
      <w:pPr>
        <w:tabs>
          <w:tab w:val="left" w:pos="8647"/>
        </w:tabs>
        <w:jc w:val="both"/>
        <w:rPr>
          <w:lang w:val="fr-CA"/>
        </w:rPr>
      </w:pPr>
      <w:r w:rsidRPr="00401EB9">
        <w:rPr>
          <w:lang w:val="fr-CA"/>
        </w:rPr>
        <w:t>Avant d’aller plus loin dans l’étude des véhicules de retraite, positionnons l’effort requis par l’épargnant en illustrant deux situations de retraite fort différentes</w:t>
      </w:r>
      <w:r w:rsidR="00B248D5">
        <w:rPr>
          <w:lang w:val="fr-CA"/>
        </w:rPr>
        <w:t xml:space="preserve">. </w:t>
      </w:r>
      <w:r w:rsidR="0036307F">
        <w:rPr>
          <w:lang w:val="fr-CA"/>
        </w:rPr>
        <w:t>Nous allons présenter deux scénarios distincts.</w:t>
      </w:r>
    </w:p>
    <w:p w14:paraId="6D27EC58" w14:textId="77777777" w:rsidR="0036307F" w:rsidRDefault="0036307F" w:rsidP="00401EB9">
      <w:pPr>
        <w:tabs>
          <w:tab w:val="left" w:pos="8647"/>
        </w:tabs>
        <w:jc w:val="both"/>
        <w:rPr>
          <w:lang w:val="fr-CA"/>
        </w:rPr>
      </w:pPr>
    </w:p>
    <w:p w14:paraId="1409B6AC" w14:textId="4B3996D1" w:rsidR="0036307F" w:rsidRDefault="0036307F" w:rsidP="006C34CF">
      <w:pPr>
        <w:pStyle w:val="Paragraphedeliste"/>
        <w:numPr>
          <w:ilvl w:val="0"/>
          <w:numId w:val="7"/>
        </w:numPr>
        <w:tabs>
          <w:tab w:val="left" w:pos="8647"/>
        </w:tabs>
        <w:jc w:val="both"/>
        <w:rPr>
          <w:lang w:val="fr-CA"/>
        </w:rPr>
      </w:pPr>
      <w:r>
        <w:rPr>
          <w:lang w:val="fr-CA"/>
        </w:rPr>
        <w:t>Celui d’un célibataire</w:t>
      </w:r>
      <w:r w:rsidR="00447585">
        <w:rPr>
          <w:lang w:val="fr-CA"/>
        </w:rPr>
        <w:t>, futur retraité,</w:t>
      </w:r>
      <w:r>
        <w:rPr>
          <w:lang w:val="fr-CA"/>
        </w:rPr>
        <w:t xml:space="preserve"> avec </w:t>
      </w:r>
      <w:r w:rsidRPr="00447585">
        <w:rPr>
          <w:u w:val="single"/>
          <w:lang w:val="fr-CA"/>
        </w:rPr>
        <w:t>un revenu brut</w:t>
      </w:r>
      <w:r w:rsidR="006806B8">
        <w:rPr>
          <w:u w:val="single"/>
          <w:lang w:val="fr-CA"/>
        </w:rPr>
        <w:t xml:space="preserve"> projeté de retraite </w:t>
      </w:r>
      <w:r w:rsidRPr="00447585">
        <w:rPr>
          <w:u w:val="single"/>
          <w:lang w:val="fr-CA"/>
        </w:rPr>
        <w:t>de 16 000 $</w:t>
      </w:r>
    </w:p>
    <w:p w14:paraId="6CAC2062" w14:textId="77777777" w:rsidR="0036307F" w:rsidRDefault="0036307F" w:rsidP="0036307F">
      <w:pPr>
        <w:tabs>
          <w:tab w:val="left" w:pos="8647"/>
        </w:tabs>
        <w:jc w:val="both"/>
        <w:rPr>
          <w:lang w:val="fr-CA"/>
        </w:rPr>
      </w:pPr>
    </w:p>
    <w:p w14:paraId="26844B4E" w14:textId="07334E61" w:rsidR="0036307F" w:rsidRPr="0036307F" w:rsidRDefault="0036307F" w:rsidP="006C34CF">
      <w:pPr>
        <w:pStyle w:val="Paragraphedeliste"/>
        <w:numPr>
          <w:ilvl w:val="0"/>
          <w:numId w:val="7"/>
        </w:numPr>
        <w:tabs>
          <w:tab w:val="left" w:pos="8647"/>
        </w:tabs>
        <w:jc w:val="both"/>
        <w:rPr>
          <w:lang w:val="fr-CA"/>
        </w:rPr>
      </w:pPr>
      <w:r>
        <w:rPr>
          <w:lang w:val="fr-CA"/>
        </w:rPr>
        <w:t xml:space="preserve">Celui d’un célibataire à la retraite avec </w:t>
      </w:r>
      <w:r w:rsidRPr="00447585">
        <w:rPr>
          <w:u w:val="single"/>
          <w:lang w:val="fr-CA"/>
        </w:rPr>
        <w:t xml:space="preserve">un revenu brut </w:t>
      </w:r>
      <w:r w:rsidR="006806B8">
        <w:rPr>
          <w:u w:val="single"/>
          <w:lang w:val="fr-CA"/>
        </w:rPr>
        <w:t xml:space="preserve">projeté de retraite </w:t>
      </w:r>
      <w:r w:rsidRPr="00447585">
        <w:rPr>
          <w:u w:val="single"/>
          <w:lang w:val="fr-CA"/>
        </w:rPr>
        <w:t>de 70 000 $</w:t>
      </w:r>
    </w:p>
    <w:p w14:paraId="06E36F43" w14:textId="77777777" w:rsidR="009E3445" w:rsidRPr="009E3445" w:rsidRDefault="009E3445" w:rsidP="009E3445">
      <w:pPr>
        <w:tabs>
          <w:tab w:val="left" w:pos="8647"/>
        </w:tabs>
        <w:jc w:val="both"/>
      </w:pPr>
    </w:p>
    <w:p w14:paraId="746DBE80" w14:textId="6EE30623" w:rsidR="009E3445" w:rsidRPr="009E3445" w:rsidRDefault="009E3445" w:rsidP="009E3445">
      <w:pPr>
        <w:tabs>
          <w:tab w:val="left" w:pos="8647"/>
        </w:tabs>
        <w:jc w:val="both"/>
        <w:rPr>
          <w:lang w:val="fr-CA"/>
        </w:rPr>
      </w:pPr>
    </w:p>
    <w:p w14:paraId="61769A64" w14:textId="18C7FCB0" w:rsidR="00CA08F4" w:rsidRDefault="00CA08F4" w:rsidP="009E3445">
      <w:pPr>
        <w:tabs>
          <w:tab w:val="left" w:pos="8647"/>
        </w:tabs>
        <w:jc w:val="both"/>
        <w:rPr>
          <w:rFonts w:asciiTheme="majorHAnsi" w:eastAsiaTheme="majorEastAsia" w:hAnsiTheme="majorHAnsi" w:cstheme="majorBidi"/>
          <w:color w:val="2E2D21" w:themeColor="text2" w:themeShade="BF"/>
          <w:spacing w:val="5"/>
          <w:kern w:val="28"/>
          <w:sz w:val="52"/>
          <w:szCs w:val="52"/>
        </w:rPr>
      </w:pPr>
      <w:r>
        <w:br w:type="page"/>
      </w:r>
    </w:p>
    <w:p w14:paraId="5E7CC815" w14:textId="720F4953" w:rsidR="00401EB9" w:rsidRPr="00EC2312" w:rsidRDefault="00401EB9" w:rsidP="00401EB9">
      <w:pPr>
        <w:jc w:val="both"/>
        <w:rPr>
          <w:color w:val="FF6700" w:themeColor="accent3"/>
        </w:rPr>
      </w:pPr>
      <w:r w:rsidRPr="00EC2312">
        <w:rPr>
          <w:color w:val="FF6700" w:themeColor="accent3"/>
        </w:rPr>
        <w:lastRenderedPageBreak/>
        <w:t>I</w:t>
      </w:r>
      <w:r w:rsidR="006C4C47">
        <w:rPr>
          <w:color w:val="FF6700" w:themeColor="accent3"/>
        </w:rPr>
        <w:t>MAGE</w:t>
      </w:r>
      <w:r w:rsidRPr="00EC2312">
        <w:rPr>
          <w:color w:val="FF6700" w:themeColor="accent3"/>
        </w:rPr>
        <w:t xml:space="preserve"> 7-</w:t>
      </w:r>
      <w:r>
        <w:rPr>
          <w:color w:val="FF6700" w:themeColor="accent3"/>
        </w:rPr>
        <w:t>4</w:t>
      </w:r>
      <w:r w:rsidRPr="00EC2312">
        <w:rPr>
          <w:color w:val="FF6700" w:themeColor="accent3"/>
        </w:rPr>
        <w:tab/>
      </w:r>
      <w:r>
        <w:rPr>
          <w:color w:val="FF6700" w:themeColor="accent3"/>
        </w:rPr>
        <w:t>Provenance du revenu de retraite – Célibataire avec un revenu de retraite d’environ 16 000 $</w:t>
      </w:r>
    </w:p>
    <w:p w14:paraId="355B1B88" w14:textId="75BD6996" w:rsidR="00FD22DB" w:rsidRDefault="00401EB9">
      <w:pPr>
        <w:rPr>
          <w:lang w:val="fr-CA"/>
        </w:rPr>
      </w:pPr>
      <w:r>
        <w:rPr>
          <w:noProof/>
          <w:lang w:eastAsia="fr-FR"/>
        </w:rPr>
        <w:drawing>
          <wp:anchor distT="0" distB="0" distL="114300" distR="114300" simplePos="0" relativeHeight="251785216" behindDoc="0" locked="0" layoutInCell="1" allowOverlap="1" wp14:anchorId="5073EE72" wp14:editId="45493CA2">
            <wp:simplePos x="0" y="0"/>
            <wp:positionH relativeFrom="column">
              <wp:posOffset>-914400</wp:posOffset>
            </wp:positionH>
            <wp:positionV relativeFrom="paragraph">
              <wp:posOffset>41910</wp:posOffset>
            </wp:positionV>
            <wp:extent cx="6515100" cy="5029200"/>
            <wp:effectExtent l="0" t="0" r="12700" b="0"/>
            <wp:wrapSquare wrapText="bothSides"/>
            <wp:docPr id="18" name="Image 18" descr="Macintosh HD:Users:marcbachand:Desktop:Capture d’écran 2015-06-09 à 16.4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06-09 à 16.40.4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15100" cy="5029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0DCFEF7" w14:textId="77777777" w:rsidR="00401EB9" w:rsidRDefault="00401EB9" w:rsidP="00401EB9">
      <w:pPr>
        <w:jc w:val="both"/>
      </w:pPr>
    </w:p>
    <w:p w14:paraId="5A776094" w14:textId="77777777" w:rsidR="00401EB9" w:rsidRDefault="00401EB9" w:rsidP="00401EB9">
      <w:pPr>
        <w:jc w:val="both"/>
      </w:pPr>
      <w:r w:rsidRPr="00401EB9">
        <w:t>Tout d’abord, évaluons la résistance des mailles du filet social d’un futur retraité. Prenons l’exemple plancher où un individu n’aurait accumulé aucun avoir durant sa vie active</w:t>
      </w:r>
      <w:r>
        <w:t xml:space="preserve">. </w:t>
      </w:r>
    </w:p>
    <w:p w14:paraId="76F74F25" w14:textId="77777777" w:rsidR="00401EB9" w:rsidRDefault="00401EB9" w:rsidP="00401EB9">
      <w:pPr>
        <w:jc w:val="both"/>
      </w:pPr>
    </w:p>
    <w:p w14:paraId="59EEAFD9" w14:textId="656C0CD6" w:rsidR="006806B8" w:rsidRDefault="00401EB9" w:rsidP="00401EB9">
      <w:pPr>
        <w:jc w:val="both"/>
      </w:pPr>
      <w:r w:rsidRPr="00401EB9">
        <w:t>Celui-ci se retrouverait avec un revenu de retraite imputable à</w:t>
      </w:r>
      <w:r>
        <w:t xml:space="preserve"> </w:t>
      </w:r>
      <w:r w:rsidRPr="006806B8">
        <w:rPr>
          <w:color w:val="FF6700" w:themeColor="accent3"/>
        </w:rPr>
        <w:t>100 %</w:t>
      </w:r>
      <w:r w:rsidRPr="00401EB9">
        <w:t xml:space="preserve"> à l’état, provenant de la </w:t>
      </w:r>
      <w:r w:rsidR="005B70C4">
        <w:t>p</w:t>
      </w:r>
      <w:r w:rsidR="006806B8">
        <w:t xml:space="preserve">ension de la Sécurité de vieillesse et </w:t>
      </w:r>
      <w:r w:rsidRPr="00401EB9">
        <w:t xml:space="preserve">du </w:t>
      </w:r>
      <w:r w:rsidR="006806B8">
        <w:t>S</w:t>
      </w:r>
      <w:r w:rsidRPr="00401EB9">
        <w:t>upplément de revenu garanti. Ce revenu serait d’environ 16 000 $.</w:t>
      </w:r>
      <w:r w:rsidR="006806B8">
        <w:t xml:space="preserve"> </w:t>
      </w:r>
      <w:r w:rsidRPr="00401EB9">
        <w:t>Aucun impôt</w:t>
      </w:r>
      <w:r w:rsidR="006806B8">
        <w:t xml:space="preserve"> </w:t>
      </w:r>
      <w:r w:rsidR="00B248D5">
        <w:t>ne serait</w:t>
      </w:r>
      <w:r w:rsidR="006806B8">
        <w:t xml:space="preserve"> exigible.</w:t>
      </w:r>
    </w:p>
    <w:p w14:paraId="7DF3DCD7" w14:textId="77777777" w:rsidR="006806B8" w:rsidRDefault="006806B8" w:rsidP="00401EB9">
      <w:pPr>
        <w:jc w:val="both"/>
      </w:pPr>
    </w:p>
    <w:p w14:paraId="0F6C1028" w14:textId="0D169993" w:rsidR="006806B8" w:rsidRDefault="006806B8" w:rsidP="00401EB9">
      <w:pPr>
        <w:jc w:val="both"/>
      </w:pPr>
      <w:r>
        <w:t xml:space="preserve">Ce filet social </w:t>
      </w:r>
      <w:r w:rsidR="00B248D5">
        <w:t>ne constitue</w:t>
      </w:r>
      <w:r>
        <w:t xml:space="preserve"> ni plus, ni moins le prolongement de l’aide sociale qui est disponible pour les gens financièrement démunis. C’est donc dire qu’à l’âge de 65 ans, le coût social de première nécessité financière</w:t>
      </w:r>
      <w:r w:rsidR="007E1301">
        <w:t xml:space="preserve"> se transfère du provincial (Aide sociale) au fédéral (PSV/SRG)</w:t>
      </w:r>
      <w:r w:rsidR="008507F7">
        <w:t>, en accord avec les différents champs de compétence et la répartition des pouvoirs prévue par le contexte juridique canadien.</w:t>
      </w:r>
    </w:p>
    <w:p w14:paraId="1805F596" w14:textId="4DE82F03" w:rsidR="004D29C9" w:rsidRDefault="00401EB9" w:rsidP="00401EB9">
      <w:pPr>
        <w:jc w:val="both"/>
      </w:pPr>
      <w:r w:rsidRPr="00401EB9">
        <w:t xml:space="preserve"> </w:t>
      </w:r>
      <w:r w:rsidR="004D29C9">
        <w:br w:type="page"/>
      </w:r>
    </w:p>
    <w:p w14:paraId="3B148F16" w14:textId="27CAA731" w:rsidR="00401EB9" w:rsidRPr="00EC2312" w:rsidRDefault="00401EB9" w:rsidP="00401EB9">
      <w:pPr>
        <w:jc w:val="both"/>
        <w:rPr>
          <w:color w:val="FF6700" w:themeColor="accent3"/>
        </w:rPr>
      </w:pPr>
      <w:r>
        <w:rPr>
          <w:noProof/>
          <w:lang w:eastAsia="fr-FR"/>
        </w:rPr>
        <w:lastRenderedPageBreak/>
        <w:drawing>
          <wp:anchor distT="0" distB="0" distL="114300" distR="114300" simplePos="0" relativeHeight="251786240" behindDoc="0" locked="0" layoutInCell="1" allowOverlap="1" wp14:anchorId="54B021DA" wp14:editId="4C683942">
            <wp:simplePos x="0" y="0"/>
            <wp:positionH relativeFrom="column">
              <wp:posOffset>-800100</wp:posOffset>
            </wp:positionH>
            <wp:positionV relativeFrom="paragraph">
              <wp:posOffset>228600</wp:posOffset>
            </wp:positionV>
            <wp:extent cx="6286500" cy="4995545"/>
            <wp:effectExtent l="0" t="0" r="12700" b="8255"/>
            <wp:wrapSquare wrapText="bothSides"/>
            <wp:docPr id="20" name="Image 20" descr="Macintosh HD:Users:marcbachand:Desktop:Capture d’écran 2015-06-09 à 17.0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9 à 17.02.2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86500" cy="49955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EC2312">
        <w:rPr>
          <w:color w:val="FF6700" w:themeColor="accent3"/>
        </w:rPr>
        <w:t>I</w:t>
      </w:r>
      <w:r w:rsidR="006C4C47">
        <w:rPr>
          <w:color w:val="FF6700" w:themeColor="accent3"/>
        </w:rPr>
        <w:t>MAGE</w:t>
      </w:r>
      <w:r w:rsidRPr="00EC2312">
        <w:rPr>
          <w:color w:val="FF6700" w:themeColor="accent3"/>
        </w:rPr>
        <w:t xml:space="preserve"> 7-</w:t>
      </w:r>
      <w:r>
        <w:rPr>
          <w:color w:val="FF6700" w:themeColor="accent3"/>
        </w:rPr>
        <w:t>5</w:t>
      </w:r>
      <w:r w:rsidRPr="00EC2312">
        <w:rPr>
          <w:color w:val="FF6700" w:themeColor="accent3"/>
        </w:rPr>
        <w:tab/>
      </w:r>
      <w:r>
        <w:rPr>
          <w:color w:val="FF6700" w:themeColor="accent3"/>
        </w:rPr>
        <w:t>Provenance du revenu de retraite – Célibataire avec un revenu de retraite d’environ 70 000 $</w:t>
      </w:r>
    </w:p>
    <w:p w14:paraId="249B585D" w14:textId="3399F5D9" w:rsidR="0043478D" w:rsidRDefault="0043478D"/>
    <w:p w14:paraId="31022E67" w14:textId="5ADD941F" w:rsidR="00D90FA0" w:rsidRDefault="00590963" w:rsidP="00401EB9">
      <w:pPr>
        <w:jc w:val="both"/>
      </w:pPr>
      <w:r>
        <w:rPr>
          <w:noProof/>
          <w:lang w:eastAsia="fr-FR"/>
        </w:rPr>
        <mc:AlternateContent>
          <mc:Choice Requires="wps">
            <w:drawing>
              <wp:anchor distT="0" distB="0" distL="114300" distR="114300" simplePos="0" relativeHeight="251788288" behindDoc="0" locked="0" layoutInCell="1" allowOverlap="1" wp14:anchorId="7D154F65" wp14:editId="1B82C297">
                <wp:simplePos x="0" y="0"/>
                <wp:positionH relativeFrom="column">
                  <wp:posOffset>-2940050</wp:posOffset>
                </wp:positionH>
                <wp:positionV relativeFrom="paragraph">
                  <wp:posOffset>1355090</wp:posOffset>
                </wp:positionV>
                <wp:extent cx="725805" cy="223520"/>
                <wp:effectExtent l="76200" t="254000" r="0" b="233680"/>
                <wp:wrapThrough wrapText="bothSides">
                  <wp:wrapPolygon edited="0">
                    <wp:start x="21444" y="-9523"/>
                    <wp:lineTo x="4522" y="-37277"/>
                    <wp:lineTo x="-1774" y="-3746"/>
                    <wp:lineTo x="-2734" y="20226"/>
                    <wp:lineTo x="1138" y="27893"/>
                    <wp:lineTo x="2571" y="24980"/>
                    <wp:lineTo x="12425" y="24366"/>
                    <wp:lineTo x="23491" y="3154"/>
                    <wp:lineTo x="24671" y="-3133"/>
                    <wp:lineTo x="21444" y="-9523"/>
                  </wp:wrapPolygon>
                </wp:wrapThrough>
                <wp:docPr id="29" name="Cadre 29"/>
                <wp:cNvGraphicFramePr/>
                <a:graphic xmlns:a="http://schemas.openxmlformats.org/drawingml/2006/main">
                  <a:graphicData uri="http://schemas.microsoft.com/office/word/2010/wordprocessingShape">
                    <wps:wsp>
                      <wps:cNvSpPr/>
                      <wps:spPr>
                        <a:xfrm rot="19717646">
                          <a:off x="0" y="0"/>
                          <a:ext cx="725805" cy="223520"/>
                        </a:xfrm>
                        <a:prstGeom prst="frame">
                          <a:avLst>
                            <a:gd name="adj1" fmla="val 2212"/>
                          </a:avLst>
                        </a:prstGeom>
                        <a:solidFill>
                          <a:srgbClr val="800000"/>
                        </a:solidFill>
                        <a:ln>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Cadre 29" o:spid="_x0000_s1026" style="position:absolute;margin-left:-231.45pt;margin-top:106.7pt;width:57.15pt;height:17.6pt;rotation:-2056033fd;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25805,2235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" path="m0,0l725805,,725805,223520,,223520,,0xm4944,4944l4944,218576,720861,218576,720861,4944,4944,4944xe" fillcolor="maroon" strokecolor="maroon">
                <v:path arrowok="t" o:connecttype="custom" o:connectlocs="0,0;725805,0;725805,223520;0,223520;0,0;4944,4944;4944,218576;720861,218576;720861,4944;4944,4944" o:connectangles="0,0,0,0,0,0,0,0,0,0"/>
                <w10:wrap type="through"/>
              </v:shape>
            </w:pict>
          </mc:Fallback>
        </mc:AlternateContent>
      </w:r>
      <w:r w:rsidR="007B6724" w:rsidRPr="00322911">
        <w:rPr>
          <w:noProof/>
          <w:lang w:eastAsia="fr-FR"/>
        </w:rPr>
        <w:drawing>
          <wp:anchor distT="0" distB="0" distL="114300" distR="114300" simplePos="0" relativeHeight="251793408" behindDoc="0" locked="0" layoutInCell="1" allowOverlap="1" wp14:anchorId="189E8BAC" wp14:editId="42167EA1">
            <wp:simplePos x="0" y="0"/>
            <wp:positionH relativeFrom="column">
              <wp:posOffset>2730500</wp:posOffset>
            </wp:positionH>
            <wp:positionV relativeFrom="paragraph">
              <wp:posOffset>197485</wp:posOffset>
            </wp:positionV>
            <wp:extent cx="685800" cy="779145"/>
            <wp:effectExtent l="0" t="0" r="0" b="8255"/>
            <wp:wrapNone/>
            <wp:docPr id="19" name="Image 19"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01EB9" w:rsidRPr="00401EB9">
        <w:t>Maintenant, voici un petit exemple pour illustrer parfaitement l’effort requis par</w:t>
      </w:r>
      <w:r w:rsidR="002854BD">
        <w:t xml:space="preserve"> </w:t>
      </w:r>
      <w:r w:rsidR="007B6724" w:rsidRPr="00AF32A3">
        <w:rPr>
          <w:color w:val="FF0000"/>
        </w:rPr>
        <w:t>Jean Faucher</w:t>
      </w:r>
      <w:r w:rsidR="007B6724" w:rsidRPr="007B6724">
        <w:t>,</w:t>
      </w:r>
      <w:r w:rsidR="007B6724">
        <w:t xml:space="preserve"> </w:t>
      </w:r>
      <w:r w:rsidR="00D52739">
        <w:t xml:space="preserve"> </w:t>
      </w:r>
      <w:r w:rsidR="00401EB9" w:rsidRPr="00401EB9">
        <w:t>un contribuable célibataire qui aimerait obtenir un revenu de retraite de 70 000 $, sans le bénéfice d’un régime de retraite provenant d’un empl</w:t>
      </w:r>
      <w:r w:rsidR="00401EB9">
        <w:t>oi.</w:t>
      </w:r>
      <w:r w:rsidR="00401EB9" w:rsidRPr="00401EB9">
        <w:t xml:space="preserve"> </w:t>
      </w:r>
    </w:p>
    <w:p w14:paraId="0EDF8429" w14:textId="77777777" w:rsidR="00D90FA0" w:rsidRDefault="00D90FA0" w:rsidP="00401EB9">
      <w:pPr>
        <w:jc w:val="both"/>
      </w:pPr>
    </w:p>
    <w:p w14:paraId="6C263171" w14:textId="6F414778" w:rsidR="00D90FA0" w:rsidRDefault="00D90FA0" w:rsidP="00D90FA0">
      <w:pPr>
        <w:jc w:val="both"/>
        <w:rPr>
          <w:lang w:val="fr-CA"/>
        </w:rPr>
      </w:pPr>
      <w:r w:rsidRPr="00D90FA0">
        <w:rPr>
          <w:lang w:val="fr-CA"/>
        </w:rPr>
        <w:t>Deux petites mises au point avant de débuter. Près de 60 %</w:t>
      </w:r>
      <w:r w:rsidR="002F6C38">
        <w:rPr>
          <w:rStyle w:val="Marquenotebasdepage"/>
          <w:lang w:val="fr-CA"/>
        </w:rPr>
        <w:footnoteReference w:customMarkFollows="1" w:id="5"/>
        <w:t>4</w:t>
      </w:r>
      <w:r w:rsidRPr="00D90FA0">
        <w:rPr>
          <w:lang w:val="fr-CA"/>
        </w:rPr>
        <w:t xml:space="preserve"> des </w:t>
      </w:r>
      <w:r w:rsidR="00B248D5">
        <w:rPr>
          <w:lang w:val="fr-CA"/>
        </w:rPr>
        <w:t>Québécois</w:t>
      </w:r>
      <w:r w:rsidRPr="00D90FA0">
        <w:rPr>
          <w:lang w:val="fr-CA"/>
        </w:rPr>
        <w:t xml:space="preserve"> n’ont pas un régime de retraite provenant de leur employeur. Aussi un revenu brut de 70 000 $ correspond à un revenu de retraite net</w:t>
      </w:r>
      <w:r w:rsidR="009974FD">
        <w:rPr>
          <w:lang w:val="fr-CA"/>
        </w:rPr>
        <w:t xml:space="preserve"> d’impôts</w:t>
      </w:r>
      <w:r w:rsidRPr="00D90FA0">
        <w:rPr>
          <w:lang w:val="fr-CA"/>
        </w:rPr>
        <w:t xml:space="preserve"> d’environ 50 000 $.</w:t>
      </w:r>
    </w:p>
    <w:p w14:paraId="09C4372D" w14:textId="41A0A842" w:rsidR="00D90FA0" w:rsidRPr="00D90FA0" w:rsidRDefault="00D90FA0" w:rsidP="00D90FA0">
      <w:pPr>
        <w:jc w:val="both"/>
        <w:rPr>
          <w:lang w:val="fr-CA"/>
        </w:rPr>
      </w:pPr>
    </w:p>
    <w:p w14:paraId="7B3BCE16" w14:textId="0C6F60CA" w:rsidR="00D90FA0" w:rsidRPr="00D90FA0" w:rsidRDefault="00590963" w:rsidP="00D90FA0">
      <w:pPr>
        <w:jc w:val="both"/>
      </w:pPr>
      <w:r>
        <w:rPr>
          <w:noProof/>
          <w:lang w:eastAsia="fr-FR"/>
        </w:rPr>
        <mc:AlternateContent>
          <mc:Choice Requires="wps">
            <w:drawing>
              <wp:anchor distT="0" distB="0" distL="114300" distR="114300" simplePos="0" relativeHeight="251790336" behindDoc="0" locked="0" layoutInCell="1" allowOverlap="1" wp14:anchorId="234EF42D" wp14:editId="09323F8F">
                <wp:simplePos x="0" y="0"/>
                <wp:positionH relativeFrom="column">
                  <wp:posOffset>-1945005</wp:posOffset>
                </wp:positionH>
                <wp:positionV relativeFrom="paragraph">
                  <wp:posOffset>16510</wp:posOffset>
                </wp:positionV>
                <wp:extent cx="632460" cy="222885"/>
                <wp:effectExtent l="76200" t="228600" r="0" b="208915"/>
                <wp:wrapThrough wrapText="bothSides">
                  <wp:wrapPolygon edited="0">
                    <wp:start x="20956" y="-10224"/>
                    <wp:lineTo x="4500" y="-32932"/>
                    <wp:lineTo x="-1985" y="1976"/>
                    <wp:lineTo x="-2925" y="20533"/>
                    <wp:lineTo x="1519" y="28221"/>
                    <wp:lineTo x="3163" y="25300"/>
                    <wp:lineTo x="11346" y="25043"/>
                    <wp:lineTo x="23305" y="2489"/>
                    <wp:lineTo x="24660" y="-3816"/>
                    <wp:lineTo x="20956" y="-10224"/>
                  </wp:wrapPolygon>
                </wp:wrapThrough>
                <wp:docPr id="52" name="Cadre 52"/>
                <wp:cNvGraphicFramePr/>
                <a:graphic xmlns:a="http://schemas.openxmlformats.org/drawingml/2006/main">
                  <a:graphicData uri="http://schemas.microsoft.com/office/word/2010/wordprocessingShape">
                    <wps:wsp>
                      <wps:cNvSpPr/>
                      <wps:spPr>
                        <a:xfrm rot="19717646">
                          <a:off x="0" y="0"/>
                          <a:ext cx="632460" cy="222885"/>
                        </a:xfrm>
                        <a:prstGeom prst="frame">
                          <a:avLst>
                            <a:gd name="adj1" fmla="val 2212"/>
                          </a:avLst>
                        </a:prstGeom>
                        <a:solidFill>
                          <a:srgbClr val="800000"/>
                        </a:solidFill>
                        <a:ln>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Cadre 52" o:spid="_x0000_s1026" style="position:absolute;margin-left:-153.1pt;margin-top:1.3pt;width:49.8pt;height:17.55pt;rotation:-2056033fd;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32460,22288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" path="m0,0l632460,,632460,222885,,222885,,0xm4930,4930l4930,217955,627530,217955,627530,4930,4930,4930xe" fillcolor="maroon" strokecolor="maroon">
                <v:path arrowok="t" o:connecttype="custom" o:connectlocs="0,0;632460,0;632460,222885;0,222885;0,0;4930,4930;4930,217955;627530,217955;627530,4930;4930,4930" o:connectangles="0,0,0,0,0,0,0,0,0,0"/>
                <w10:wrap type="through"/>
              </v:shape>
            </w:pict>
          </mc:Fallback>
        </mc:AlternateContent>
      </w:r>
      <w:r w:rsidR="00D90FA0" w:rsidRPr="00D90FA0">
        <w:t>C’est donc dire que cette petite mise en scène n’est pas farfelue et qu’elle peut présenter une situation réaliste. Voici maintenant le détail de</w:t>
      </w:r>
      <w:r w:rsidR="00F721F0">
        <w:t xml:space="preserve"> </w:t>
      </w:r>
      <w:r w:rsidR="00D90FA0" w:rsidRPr="00D90FA0">
        <w:t>l’initiative</w:t>
      </w:r>
      <w:r w:rsidR="00F721F0">
        <w:t xml:space="preserve"> </w:t>
      </w:r>
      <w:r w:rsidR="00D90FA0" w:rsidRPr="00D90FA0">
        <w:t>d’épargne requis</w:t>
      </w:r>
      <w:r w:rsidR="00F721F0">
        <w:t>e</w:t>
      </w:r>
      <w:r w:rsidR="00D90FA0" w:rsidRPr="00D90FA0">
        <w:t xml:space="preserve"> par </w:t>
      </w:r>
      <w:r w:rsidR="00115563">
        <w:t>Jean Faucher</w:t>
      </w:r>
      <w:r w:rsidR="00D90FA0" w:rsidRPr="00D90FA0">
        <w:t xml:space="preserve"> pour atteindre son objectif de retraite</w:t>
      </w:r>
      <w:r w:rsidR="00D90FA0">
        <w:t xml:space="preserve">. </w:t>
      </w:r>
      <w:r w:rsidR="00D90FA0" w:rsidRPr="00D90FA0">
        <w:rPr>
          <w:lang w:val="fr-CA"/>
        </w:rPr>
        <w:t xml:space="preserve">Le premier étage de la pyramide d’épargne </w:t>
      </w:r>
      <w:r w:rsidR="00D90FA0" w:rsidRPr="00D90FA0">
        <w:rPr>
          <w:lang w:val="fr-CA"/>
        </w:rPr>
        <w:lastRenderedPageBreak/>
        <w:t>permettra de générer un revenu de retraite de</w:t>
      </w:r>
      <w:r w:rsidR="00115563">
        <w:rPr>
          <w:lang w:val="fr-CA"/>
        </w:rPr>
        <w:t xml:space="preserve"> </w:t>
      </w:r>
      <w:r w:rsidR="00D90FA0" w:rsidRPr="00D90FA0">
        <w:rPr>
          <w:lang w:val="fr-CA"/>
        </w:rPr>
        <w:t xml:space="preserve">19 </w:t>
      </w:r>
      <w:r w:rsidR="00115563">
        <w:rPr>
          <w:lang w:val="fr-CA"/>
        </w:rPr>
        <w:t>535</w:t>
      </w:r>
      <w:r w:rsidR="00D90FA0" w:rsidRPr="00D90FA0">
        <w:rPr>
          <w:lang w:val="fr-CA"/>
        </w:rPr>
        <w:t xml:space="preserve"> $, soit 27</w:t>
      </w:r>
      <w:r w:rsidR="00115563">
        <w:rPr>
          <w:lang w:val="fr-CA"/>
        </w:rPr>
        <w:t>,9</w:t>
      </w:r>
      <w:r w:rsidR="00D90FA0" w:rsidRPr="00D90FA0">
        <w:rPr>
          <w:lang w:val="fr-CA"/>
        </w:rPr>
        <w:t xml:space="preserve"> % de l’effort requis par </w:t>
      </w:r>
      <w:r w:rsidR="00115563">
        <w:rPr>
          <w:lang w:val="fr-CA"/>
        </w:rPr>
        <w:t>Jean Faucher</w:t>
      </w:r>
      <w:r w:rsidR="00D90FA0" w:rsidRPr="00D90FA0">
        <w:rPr>
          <w:lang w:val="fr-CA"/>
        </w:rPr>
        <w:t xml:space="preserve">. </w:t>
      </w:r>
      <w:r w:rsidR="00D90FA0" w:rsidRPr="00D90FA0">
        <w:t xml:space="preserve">Cette somme proviendra de la </w:t>
      </w:r>
      <w:r w:rsidR="00115563">
        <w:t>PSV</w:t>
      </w:r>
      <w:r w:rsidR="00D90FA0" w:rsidRPr="00D90FA0">
        <w:t xml:space="preserve"> pour le plein montant de 6 7</w:t>
      </w:r>
      <w:r w:rsidR="00115563">
        <w:t>65</w:t>
      </w:r>
      <w:r w:rsidR="00D90FA0" w:rsidRPr="00D90FA0">
        <w:t xml:space="preserve"> $ (cette somme est réduite à partir d’un revenu  d’environ 7</w:t>
      </w:r>
      <w:r w:rsidR="00115563">
        <w:t>2</w:t>
      </w:r>
      <w:r w:rsidR="00D90FA0" w:rsidRPr="00D90FA0">
        <w:t xml:space="preserve"> 000 $) et d</w:t>
      </w:r>
      <w:r w:rsidR="00311708">
        <w:t>u</w:t>
      </w:r>
      <w:r w:rsidR="00D90FA0" w:rsidRPr="00D90FA0">
        <w:t xml:space="preserve"> RRQ pour la rente maximale de 12 </w:t>
      </w:r>
      <w:r w:rsidR="00115563">
        <w:t>780</w:t>
      </w:r>
      <w:r w:rsidR="00D90FA0" w:rsidRPr="00D90FA0">
        <w:t xml:space="preserve"> $. </w:t>
      </w:r>
    </w:p>
    <w:p w14:paraId="6757923C" w14:textId="3E793672" w:rsidR="00D90FA0" w:rsidRPr="00D90FA0" w:rsidRDefault="00D90FA0" w:rsidP="00D90FA0">
      <w:pPr>
        <w:jc w:val="both"/>
        <w:rPr>
          <w:lang w:val="fr-CA"/>
        </w:rPr>
      </w:pPr>
    </w:p>
    <w:p w14:paraId="3E8C5908" w14:textId="0AB7D753" w:rsidR="00D90FA0" w:rsidRDefault="00D90FA0" w:rsidP="00D90FA0">
      <w:pPr>
        <w:jc w:val="both"/>
        <w:rPr>
          <w:lang w:val="fr-CA"/>
        </w:rPr>
      </w:pPr>
      <w:r w:rsidRPr="00D90FA0">
        <w:t xml:space="preserve"> </w:t>
      </w:r>
      <w:r w:rsidRPr="00D90FA0">
        <w:rPr>
          <w:lang w:val="fr-CA"/>
        </w:rPr>
        <w:t>Puisqu’il y a un trou au</w:t>
      </w:r>
      <w:r>
        <w:rPr>
          <w:lang w:val="fr-CA"/>
        </w:rPr>
        <w:t xml:space="preserve"> </w:t>
      </w:r>
      <w:r w:rsidRPr="00D90FA0">
        <w:rPr>
          <w:lang w:val="fr-CA"/>
        </w:rPr>
        <w:t>2</w:t>
      </w:r>
      <w:r w:rsidRPr="00D90FA0">
        <w:rPr>
          <w:vertAlign w:val="superscript"/>
          <w:lang w:val="fr-CA"/>
        </w:rPr>
        <w:t>e</w:t>
      </w:r>
      <w:r w:rsidRPr="00D90FA0">
        <w:rPr>
          <w:lang w:val="fr-CA"/>
        </w:rPr>
        <w:t xml:space="preserve"> palier de la pyramide, </w:t>
      </w:r>
      <w:r w:rsidR="00401A3F">
        <w:rPr>
          <w:lang w:val="fr-CA"/>
        </w:rPr>
        <w:t>Jean</w:t>
      </w:r>
      <w:r w:rsidRPr="00D90FA0">
        <w:rPr>
          <w:lang w:val="fr-CA"/>
        </w:rPr>
        <w:t xml:space="preserve"> se retrouve immédiatement à déterminer le </w:t>
      </w:r>
      <w:r w:rsidR="00B248D5">
        <w:rPr>
          <w:lang w:val="fr-CA"/>
        </w:rPr>
        <w:t>poids</w:t>
      </w:r>
      <w:r w:rsidRPr="00D90FA0">
        <w:rPr>
          <w:lang w:val="fr-CA"/>
        </w:rPr>
        <w:t xml:space="preserve"> de ses initiatives d’épargne, soit la constitution d’une rente de retraite annuelle de 50 </w:t>
      </w:r>
      <w:r w:rsidR="00401A3F">
        <w:rPr>
          <w:lang w:val="fr-CA"/>
        </w:rPr>
        <w:t>465</w:t>
      </w:r>
      <w:r w:rsidRPr="00D90FA0">
        <w:rPr>
          <w:lang w:val="fr-CA"/>
        </w:rPr>
        <w:t xml:space="preserve"> $</w:t>
      </w:r>
      <w:r w:rsidR="00E07A58">
        <w:rPr>
          <w:lang w:val="fr-CA"/>
        </w:rPr>
        <w:t xml:space="preserve"> (</w:t>
      </w:r>
      <w:r w:rsidRPr="00D90FA0">
        <w:rPr>
          <w:lang w:val="fr-CA"/>
        </w:rPr>
        <w:t>7</w:t>
      </w:r>
      <w:r w:rsidR="00401A3F">
        <w:rPr>
          <w:lang w:val="fr-CA"/>
        </w:rPr>
        <w:t>2,1</w:t>
      </w:r>
      <w:r w:rsidRPr="00D90FA0">
        <w:rPr>
          <w:lang w:val="fr-CA"/>
        </w:rPr>
        <w:t xml:space="preserve"> % du financement de la rente de retraite</w:t>
      </w:r>
      <w:r w:rsidR="00E07A58">
        <w:rPr>
          <w:lang w:val="fr-CA"/>
        </w:rPr>
        <w:t>)</w:t>
      </w:r>
      <w:r w:rsidRPr="00D90FA0">
        <w:rPr>
          <w:lang w:val="fr-CA"/>
        </w:rPr>
        <w:t xml:space="preserve">.  </w:t>
      </w:r>
    </w:p>
    <w:p w14:paraId="70F43BBB" w14:textId="388FEA36" w:rsidR="00D90FA0" w:rsidRDefault="00D90FA0" w:rsidP="00D90FA0">
      <w:pPr>
        <w:jc w:val="both"/>
        <w:rPr>
          <w:lang w:val="fr-CA"/>
        </w:rPr>
      </w:pPr>
    </w:p>
    <w:p w14:paraId="789DBB2C" w14:textId="16E544CF" w:rsidR="00FE2A72" w:rsidRDefault="00D90FA0" w:rsidP="00FE2A72">
      <w:pPr>
        <w:jc w:val="both"/>
        <w:rPr>
          <w:rFonts w:ascii="Avenir Book" w:hAnsi="Avenir Book"/>
          <w:lang w:val="fr-CA"/>
        </w:rPr>
      </w:pPr>
      <w:r w:rsidRPr="00D90FA0">
        <w:rPr>
          <w:lang w:val="fr-CA"/>
        </w:rPr>
        <w:t xml:space="preserve">Dans le présent contexte, on peut alors se poser la question suivante. Quel est le capital requis par </w:t>
      </w:r>
      <w:r w:rsidR="00401A3F">
        <w:rPr>
          <w:lang w:val="fr-CA"/>
        </w:rPr>
        <w:t>Jean Faucher</w:t>
      </w:r>
      <w:r w:rsidRPr="00D90FA0">
        <w:rPr>
          <w:lang w:val="fr-CA"/>
        </w:rPr>
        <w:t xml:space="preserve"> s</w:t>
      </w:r>
      <w:r w:rsidR="00981494">
        <w:rPr>
          <w:lang w:val="fr-CA"/>
        </w:rPr>
        <w:t>’</w:t>
      </w:r>
      <w:r w:rsidR="00401A3F">
        <w:rPr>
          <w:lang w:val="fr-CA"/>
        </w:rPr>
        <w:t>il</w:t>
      </w:r>
      <w:r w:rsidRPr="00D90FA0">
        <w:rPr>
          <w:lang w:val="fr-CA"/>
        </w:rPr>
        <w:t xml:space="preserve"> souhaite prendre sa retraite à 65 ans</w:t>
      </w:r>
      <w:r w:rsidRPr="00401A3F">
        <w:rPr>
          <w:rFonts w:ascii="Avenir Book" w:hAnsi="Avenir Book"/>
          <w:lang w:val="fr-CA"/>
        </w:rPr>
        <w:t>?</w:t>
      </w:r>
    </w:p>
    <w:p w14:paraId="1E7A9769" w14:textId="77777777" w:rsidR="00C63D5A" w:rsidRDefault="00C63D5A" w:rsidP="00FE2A72">
      <w:pPr>
        <w:jc w:val="both"/>
      </w:pPr>
      <w:r>
        <w:rPr>
          <w:noProof/>
          <w:lang w:eastAsia="fr-FR"/>
        </w:rPr>
        <w:drawing>
          <wp:anchor distT="0" distB="0" distL="114300" distR="114300" simplePos="0" relativeHeight="251802624" behindDoc="0" locked="0" layoutInCell="1" allowOverlap="1" wp14:anchorId="305164E1" wp14:editId="14AFF931">
            <wp:simplePos x="0" y="0"/>
            <wp:positionH relativeFrom="column">
              <wp:posOffset>228600</wp:posOffset>
            </wp:positionH>
            <wp:positionV relativeFrom="paragraph">
              <wp:posOffset>51435</wp:posOffset>
            </wp:positionV>
            <wp:extent cx="7772400" cy="1579880"/>
            <wp:effectExtent l="0" t="0" r="0" b="0"/>
            <wp:wrapSquare wrapText="bothSides"/>
            <wp:docPr id="45" name="Image 45" descr="Macintosh HD:Users:marcbachand:Desktop:Capture d’écran 2015-06-10 à 16.1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Capture d’écran 2015-06-10 à 16.13.46.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772400" cy="15798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D030109" w14:textId="792C786D" w:rsidR="000305CA" w:rsidRDefault="00FE2A72" w:rsidP="00FE2A72">
      <w:pPr>
        <w:jc w:val="both"/>
        <w:rPr>
          <w:lang w:val="fr-CA"/>
        </w:rPr>
      </w:pPr>
      <w:r w:rsidRPr="00FE2A72">
        <w:t>La mathématique financière est sans pitié, 1 0</w:t>
      </w:r>
      <w:r>
        <w:t>35 716</w:t>
      </w:r>
      <w:r w:rsidRPr="00FE2A72">
        <w:t xml:space="preserve"> $. </w:t>
      </w:r>
      <w:r>
        <w:t>Jean</w:t>
      </w:r>
      <w:r w:rsidRPr="00FE2A72">
        <w:t xml:space="preserve"> doit donc accumuler plus de 1 </w:t>
      </w:r>
      <w:r w:rsidR="00B248D5">
        <w:t>M$</w:t>
      </w:r>
      <w:r w:rsidRPr="00FE2A72">
        <w:t xml:space="preserve"> à 65 ans pour générer une rente annuelle de 50 </w:t>
      </w:r>
      <w:r>
        <w:t>465</w:t>
      </w:r>
      <w:r w:rsidRPr="00FE2A72">
        <w:t xml:space="preserve"> $ jusqu’à son décès</w:t>
      </w:r>
      <w:r>
        <w:t>. Nous avons utilisé deux</w:t>
      </w:r>
      <w:r w:rsidRPr="00FE2A72">
        <w:rPr>
          <w:lang w:val="fr-CA"/>
        </w:rPr>
        <w:t xml:space="preserve"> hypothèses importantes </w:t>
      </w:r>
      <w:r>
        <w:rPr>
          <w:lang w:val="fr-CA"/>
        </w:rPr>
        <w:t>pour réaliser ce</w:t>
      </w:r>
      <w:r w:rsidRPr="00FE2A72">
        <w:rPr>
          <w:lang w:val="fr-CA"/>
        </w:rPr>
        <w:t xml:space="preserve"> calcul. </w:t>
      </w:r>
      <w:r>
        <w:rPr>
          <w:lang w:val="fr-CA"/>
        </w:rPr>
        <w:t>Tout d’abord, nous avons fixé l</w:t>
      </w:r>
      <w:r w:rsidRPr="00FE2A72">
        <w:rPr>
          <w:lang w:val="fr-CA"/>
        </w:rPr>
        <w:t>’espérance de vie</w:t>
      </w:r>
      <w:r>
        <w:rPr>
          <w:lang w:val="fr-CA"/>
        </w:rPr>
        <w:t xml:space="preserve"> </w:t>
      </w:r>
      <w:r w:rsidRPr="00FE2A72">
        <w:rPr>
          <w:lang w:val="fr-CA"/>
        </w:rPr>
        <w:t xml:space="preserve">à 91 ans et </w:t>
      </w:r>
      <w:r>
        <w:rPr>
          <w:lang w:val="fr-CA"/>
        </w:rPr>
        <w:t>nous avons tenu compte d’un</w:t>
      </w:r>
      <w:r w:rsidRPr="00FE2A72">
        <w:rPr>
          <w:lang w:val="fr-CA"/>
        </w:rPr>
        <w:t xml:space="preserve"> rendement de 2 %</w:t>
      </w:r>
      <w:r w:rsidR="00B248D5">
        <w:rPr>
          <w:lang w:val="fr-CA"/>
        </w:rPr>
        <w:t xml:space="preserve">. </w:t>
      </w:r>
      <w:r w:rsidR="000305CA">
        <w:rPr>
          <w:lang w:val="fr-CA"/>
        </w:rPr>
        <w:t>Ce taux</w:t>
      </w:r>
      <w:r w:rsidRPr="00FE2A72">
        <w:rPr>
          <w:lang w:val="fr-CA"/>
        </w:rPr>
        <w:t xml:space="preserve"> correspond à un rendement de 4 % moins 2 % </w:t>
      </w:r>
      <w:r w:rsidR="000305CA">
        <w:rPr>
          <w:lang w:val="fr-CA"/>
        </w:rPr>
        <w:t>pour tenir compte de l’</w:t>
      </w:r>
      <w:r w:rsidRPr="00FE2A72">
        <w:rPr>
          <w:lang w:val="fr-CA"/>
        </w:rPr>
        <w:t>inflation. Ce</w:t>
      </w:r>
      <w:r w:rsidR="000305CA">
        <w:rPr>
          <w:lang w:val="fr-CA"/>
        </w:rPr>
        <w:t xml:space="preserve">tte approximation sur le taux nous permet de prévoir </w:t>
      </w:r>
      <w:r w:rsidRPr="00FE2A72">
        <w:rPr>
          <w:lang w:val="fr-CA"/>
        </w:rPr>
        <w:t>l’indexation de la rente</w:t>
      </w:r>
      <w:r w:rsidR="000305CA">
        <w:rPr>
          <w:lang w:val="fr-CA"/>
        </w:rPr>
        <w:t xml:space="preserve"> qui fera ainsi échec à l’inflation</w:t>
      </w:r>
      <w:r>
        <w:rPr>
          <w:lang w:val="fr-CA"/>
        </w:rPr>
        <w:t>.</w:t>
      </w:r>
    </w:p>
    <w:p w14:paraId="2B11FAD5" w14:textId="5B164E31" w:rsidR="000305CA" w:rsidRDefault="000305CA" w:rsidP="00FE2A72">
      <w:pPr>
        <w:jc w:val="both"/>
        <w:rPr>
          <w:lang w:val="fr-CA"/>
        </w:rPr>
      </w:pPr>
    </w:p>
    <w:p w14:paraId="2C72FF90" w14:textId="49CC417A" w:rsidR="00D0485F" w:rsidRDefault="00FE2A72" w:rsidP="00FE2A72">
      <w:pPr>
        <w:jc w:val="both"/>
        <w:rPr>
          <w:lang w:val="fr-CA"/>
        </w:rPr>
      </w:pPr>
      <w:r w:rsidRPr="00FE2A72">
        <w:t xml:space="preserve">Pour rendre l’enjeu encore plus clair, </w:t>
      </w:r>
      <w:r w:rsidR="000305CA">
        <w:t>Jean</w:t>
      </w:r>
      <w:r w:rsidRPr="00FE2A72">
        <w:t xml:space="preserve"> doit se demander</w:t>
      </w:r>
      <w:r w:rsidR="000305CA">
        <w:t xml:space="preserve"> </w:t>
      </w:r>
      <w:r w:rsidRPr="00FE2A72">
        <w:t xml:space="preserve">quelle somme </w:t>
      </w:r>
      <w:r w:rsidR="00E07A58">
        <w:t xml:space="preserve">doit-il </w:t>
      </w:r>
      <w:r w:rsidRPr="00FE2A72">
        <w:t xml:space="preserve">épargner annuellement, </w:t>
      </w:r>
      <w:r w:rsidR="00B248D5">
        <w:t>s’</w:t>
      </w:r>
      <w:r w:rsidR="000305CA">
        <w:t xml:space="preserve">il </w:t>
      </w:r>
      <w:r w:rsidRPr="00FE2A72">
        <w:t xml:space="preserve">débute cette activité à l’âge de 40 ans. </w:t>
      </w:r>
      <w:r w:rsidRPr="00FE2A72">
        <w:rPr>
          <w:lang w:val="fr-CA"/>
        </w:rPr>
        <w:t>Le réveil sera brutal</w:t>
      </w:r>
      <w:r w:rsidR="00311708">
        <w:rPr>
          <w:lang w:val="fr-CA"/>
        </w:rPr>
        <w:t>!</w:t>
      </w:r>
      <w:r w:rsidRPr="00FE2A72">
        <w:rPr>
          <w:lang w:val="fr-CA"/>
        </w:rPr>
        <w:t xml:space="preserve"> </w:t>
      </w:r>
      <w:r w:rsidR="002D616D">
        <w:rPr>
          <w:lang w:val="fr-CA"/>
        </w:rPr>
        <w:t>32 335</w:t>
      </w:r>
      <w:r w:rsidRPr="00FE2A72">
        <w:rPr>
          <w:lang w:val="fr-CA"/>
        </w:rPr>
        <w:t xml:space="preserve"> $. </w:t>
      </w:r>
      <w:r w:rsidR="000305CA">
        <w:rPr>
          <w:lang w:val="fr-CA"/>
        </w:rPr>
        <w:t>Jean</w:t>
      </w:r>
      <w:r w:rsidRPr="00FE2A72">
        <w:rPr>
          <w:lang w:val="fr-CA"/>
        </w:rPr>
        <w:t xml:space="preserve"> doit donc</w:t>
      </w:r>
      <w:r w:rsidR="000305CA">
        <w:rPr>
          <w:lang w:val="fr-CA"/>
        </w:rPr>
        <w:t xml:space="preserve"> économiser annuellement</w:t>
      </w:r>
      <w:r w:rsidRPr="00FE2A72">
        <w:rPr>
          <w:lang w:val="fr-CA"/>
        </w:rPr>
        <w:t xml:space="preserve"> </w:t>
      </w:r>
      <w:r w:rsidR="002D616D">
        <w:rPr>
          <w:lang w:val="fr-CA"/>
        </w:rPr>
        <w:t>plus</w:t>
      </w:r>
      <w:r w:rsidRPr="00FE2A72">
        <w:rPr>
          <w:lang w:val="fr-CA"/>
        </w:rPr>
        <w:t xml:space="preserve"> de </w:t>
      </w:r>
      <w:r w:rsidR="002D616D">
        <w:rPr>
          <w:lang w:val="fr-CA"/>
        </w:rPr>
        <w:t>30 000</w:t>
      </w:r>
      <w:r w:rsidRPr="00FE2A72">
        <w:rPr>
          <w:lang w:val="fr-CA"/>
        </w:rPr>
        <w:t xml:space="preserve"> $ au cours des 25 prochaines années, soit de 40 à 65 ans.</w:t>
      </w:r>
      <w:r>
        <w:t xml:space="preserve"> </w:t>
      </w:r>
      <w:r w:rsidRPr="00FE2A72">
        <w:rPr>
          <w:lang w:val="fr-CA"/>
        </w:rPr>
        <w:t xml:space="preserve">Le but de cette mise en situation est d’illustrer globalement l’importance de la prise en charge de son épargne lorsque l’on souhaite atteindre nos objectifs de retraite et que nous n’avons pas de régime de retraite avec l’employeur. </w:t>
      </w:r>
    </w:p>
    <w:p w14:paraId="1FAC9FE5" w14:textId="77777777" w:rsidR="00D0485F" w:rsidRDefault="00D0485F" w:rsidP="00FE2A72">
      <w:pPr>
        <w:jc w:val="both"/>
        <w:rPr>
          <w:lang w:val="fr-CA"/>
        </w:rPr>
      </w:pPr>
    </w:p>
    <w:p w14:paraId="66C1669F" w14:textId="720CF1D0" w:rsidR="002D616D" w:rsidRDefault="00FE2A72" w:rsidP="00D90FA0">
      <w:pPr>
        <w:jc w:val="both"/>
      </w:pPr>
      <w:r w:rsidRPr="00FE2A72">
        <w:lastRenderedPageBreak/>
        <w:t xml:space="preserve">Pour </w:t>
      </w:r>
      <w:r w:rsidR="00B768E9">
        <w:t>ajouter au réalisme de</w:t>
      </w:r>
      <w:r w:rsidRPr="00FE2A72">
        <w:t xml:space="preserve"> la démonstration du cas de </w:t>
      </w:r>
      <w:r w:rsidR="00D0485F">
        <w:t>Jean Faucher</w:t>
      </w:r>
      <w:r w:rsidRPr="00FE2A72">
        <w:t>, il faudrait tenir compte de quelques facteurs d’épargne qui assisteraient cel</w:t>
      </w:r>
      <w:r w:rsidR="00D0485F">
        <w:t>ui</w:t>
      </w:r>
      <w:r w:rsidRPr="00FE2A72">
        <w:t xml:space="preserve">-ci dans l’atteinte de ses objectifs. </w:t>
      </w:r>
      <w:r w:rsidRPr="00FE2A72">
        <w:rPr>
          <w:lang w:val="fr-CA"/>
        </w:rPr>
        <w:t>Par exemple, tous les présents calculs sont effectués avant considération fiscale. Cela veut dire que les remboursements d’impôts obtenus suite aux cotisations au RE</w:t>
      </w:r>
      <w:r w:rsidR="00D0485F">
        <w:rPr>
          <w:lang w:val="fr-CA"/>
        </w:rPr>
        <w:t>É</w:t>
      </w:r>
      <w:r w:rsidRPr="00FE2A72">
        <w:rPr>
          <w:lang w:val="fr-CA"/>
        </w:rPr>
        <w:t>R pourrai</w:t>
      </w:r>
      <w:r w:rsidR="00D0485F">
        <w:rPr>
          <w:lang w:val="fr-CA"/>
        </w:rPr>
        <w:t>en</w:t>
      </w:r>
      <w:r w:rsidRPr="00FE2A72">
        <w:rPr>
          <w:lang w:val="fr-CA"/>
        </w:rPr>
        <w:t xml:space="preserve">t servir de levier à l’effort d’épargne de </w:t>
      </w:r>
      <w:r w:rsidR="002D616D">
        <w:rPr>
          <w:lang w:val="fr-CA"/>
        </w:rPr>
        <w:t>32 33</w:t>
      </w:r>
      <w:r w:rsidRPr="00FE2A72">
        <w:rPr>
          <w:lang w:val="fr-CA"/>
        </w:rPr>
        <w:t>5</w:t>
      </w:r>
      <w:r w:rsidR="00E12A95">
        <w:rPr>
          <w:lang w:val="fr-CA"/>
        </w:rPr>
        <w:t xml:space="preserve"> </w:t>
      </w:r>
      <w:r w:rsidRPr="00FE2A72">
        <w:rPr>
          <w:lang w:val="fr-CA"/>
        </w:rPr>
        <w:t>$.</w:t>
      </w:r>
      <w:r w:rsidR="00D0485F">
        <w:rPr>
          <w:lang w:val="fr-CA"/>
        </w:rPr>
        <w:t xml:space="preserve"> Les remboursements d’impôt seraient alors versés dans le REÉR et/ou le CÉLI. </w:t>
      </w:r>
      <w:r w:rsidR="00E12A95">
        <w:rPr>
          <w:lang w:val="fr-CA"/>
        </w:rPr>
        <w:t>Aussi, avec le temps la valeur d’un montant à épargner diminuera compte tenu de la valeur temporelle de l’argent (p</w:t>
      </w:r>
      <w:r w:rsidR="0029527F">
        <w:rPr>
          <w:lang w:val="fr-CA"/>
        </w:rPr>
        <w:t xml:space="preserve">. </w:t>
      </w:r>
      <w:r w:rsidR="00E12A95">
        <w:rPr>
          <w:lang w:val="fr-CA"/>
        </w:rPr>
        <w:t>ex. 32 335 $ dans 25 ans aura une valeur actuelle de 19 709</w:t>
      </w:r>
      <w:r w:rsidR="0029527F">
        <w:rPr>
          <w:lang w:val="fr-CA"/>
        </w:rPr>
        <w:t xml:space="preserve"> $). </w:t>
      </w:r>
      <w:r w:rsidRPr="00FE2A72">
        <w:t>Finalement, le fait d’avoir une maison pleinement libéré</w:t>
      </w:r>
      <w:r w:rsidR="00D0485F">
        <w:t>e</w:t>
      </w:r>
      <w:r w:rsidRPr="00FE2A72">
        <w:t xml:space="preserve"> de dettes au moment de la retraite constitue un actif qui peut être utilisé</w:t>
      </w:r>
      <w:r w:rsidR="00D0485F">
        <w:t xml:space="preserve"> en partie</w:t>
      </w:r>
      <w:r w:rsidRPr="00FE2A72">
        <w:t xml:space="preserve"> pour atteindre les objectifs de retraite et ainsi être inclus dans le capital retraite constitué.</w:t>
      </w:r>
      <w:r w:rsidR="00B768E9">
        <w:t xml:space="preserve"> </w:t>
      </w:r>
    </w:p>
    <w:p w14:paraId="75A59C5D" w14:textId="77777777" w:rsidR="00B768E9" w:rsidRDefault="00B768E9" w:rsidP="00D90FA0">
      <w:pPr>
        <w:jc w:val="both"/>
      </w:pPr>
    </w:p>
    <w:p w14:paraId="38B3AA97" w14:textId="01B27724" w:rsidR="00B768E9" w:rsidRDefault="00B768E9" w:rsidP="00D90FA0">
      <w:pPr>
        <w:jc w:val="both"/>
      </w:pPr>
      <w:r>
        <w:t>Il n’en demeure pas moins que les retards accumulés (aucun patrimoine</w:t>
      </w:r>
      <w:r w:rsidR="00E07A58">
        <w:t xml:space="preserve"> financier</w:t>
      </w:r>
      <w:r>
        <w:t xml:space="preserve"> à </w:t>
      </w:r>
      <w:r w:rsidR="00A76114">
        <w:t xml:space="preserve">l’âge de </w:t>
      </w:r>
      <w:r>
        <w:t xml:space="preserve">40 ans) par Jean Faucher rendent extrêmement pénible la course à l’épargne pour combler ce déficit et atteindre </w:t>
      </w:r>
      <w:r w:rsidRPr="00F83590">
        <w:rPr>
          <w:rFonts w:ascii="Century Gothic" w:hAnsi="Century Gothic"/>
          <w:i/>
        </w:rPr>
        <w:t>in extremis</w:t>
      </w:r>
      <w:r>
        <w:t xml:space="preserve"> ses objectifs de retraite.</w:t>
      </w:r>
      <w:r w:rsidR="00A76114">
        <w:t xml:space="preserve"> </w:t>
      </w:r>
    </w:p>
    <w:p w14:paraId="42A24338" w14:textId="52B07856" w:rsidR="00FD0F0D" w:rsidRDefault="00FD0F0D" w:rsidP="006C34CF">
      <w:pPr>
        <w:pStyle w:val="Titre1"/>
        <w:numPr>
          <w:ilvl w:val="0"/>
          <w:numId w:val="6"/>
        </w:numPr>
      </w:pPr>
      <w:bookmarkStart w:id="12" w:name="_Toc314397813"/>
      <w:bookmarkStart w:id="13" w:name="_Toc443569357"/>
      <w:r>
        <w:t>Le filet social</w:t>
      </w:r>
      <w:bookmarkEnd w:id="12"/>
      <w:bookmarkEnd w:id="13"/>
    </w:p>
    <w:p w14:paraId="48ED1220" w14:textId="77777777" w:rsidR="003404BC" w:rsidRDefault="003404BC" w:rsidP="003404BC"/>
    <w:p w14:paraId="49DD2E57" w14:textId="543D74C7" w:rsidR="003404BC" w:rsidRDefault="003404BC" w:rsidP="00746986">
      <w:pPr>
        <w:jc w:val="both"/>
      </w:pPr>
      <w:r>
        <w:t xml:space="preserve">Le filet social réfère à la notion de </w:t>
      </w:r>
      <w:r w:rsidR="001E1BC8">
        <w:t>l'intervention de l'</w:t>
      </w:r>
      <w:r w:rsidR="00746986">
        <w:t>État</w:t>
      </w:r>
      <w:r w:rsidR="001E1BC8">
        <w:t xml:space="preserve"> afin qu'il puisse jouer un rôle dans l'accessibilité de tous ses citoyens aux droits qui sont jugés fondamentaux par l'ensemble de la société.</w:t>
      </w:r>
      <w:r>
        <w:t xml:space="preserve"> </w:t>
      </w:r>
      <w:r w:rsidR="001E1BC8">
        <w:t>Ces droits qui sont jalonnés par l'</w:t>
      </w:r>
      <w:r w:rsidR="001E1BC8">
        <w:rPr>
          <w:color w:val="FF6700" w:themeColor="accent3"/>
        </w:rPr>
        <w:t>ÉTAT-PROVIDENCE</w:t>
      </w:r>
      <w:r w:rsidR="00746986">
        <w:rPr>
          <w:color w:val="FF6700" w:themeColor="accent3"/>
        </w:rPr>
        <w:t xml:space="preserve"> </w:t>
      </w:r>
      <w:r w:rsidR="00746986">
        <w:t xml:space="preserve">s'inscrivent dans </w:t>
      </w:r>
      <w:r w:rsidR="00BB271B">
        <w:t>une</w:t>
      </w:r>
      <w:r w:rsidR="00746986">
        <w:t xml:space="preserve"> grande quête de</w:t>
      </w:r>
      <w:r w:rsidR="00BB271B">
        <w:t xml:space="preserve"> </w:t>
      </w:r>
      <w:r w:rsidR="00746986">
        <w:t xml:space="preserve">justice sociale et se présentent comme ceux donnant un accès universel à la santé, à l'éducation et à un minimum de ressources financières pour les gens les plus vulnérables. C'est </w:t>
      </w:r>
      <w:r w:rsidR="00D47B39">
        <w:t>un</w:t>
      </w:r>
      <w:r w:rsidR="00746986">
        <w:t xml:space="preserve"> miroir où </w:t>
      </w:r>
      <w:r w:rsidR="005951F1">
        <w:t>s</w:t>
      </w:r>
      <w:r w:rsidR="00D47B39">
        <w:t xml:space="preserve">'absorbent </w:t>
      </w:r>
      <w:r w:rsidR="00746986">
        <w:t>les valeurs profondes</w:t>
      </w:r>
      <w:r w:rsidR="005951F1">
        <w:t xml:space="preserve"> et les priorités</w:t>
      </w:r>
      <w:r w:rsidR="00746986">
        <w:t xml:space="preserve"> </w:t>
      </w:r>
      <w:r w:rsidR="007F7170">
        <w:t xml:space="preserve">d'une société pour </w:t>
      </w:r>
      <w:r w:rsidR="00D47B39">
        <w:t>y refléter</w:t>
      </w:r>
      <w:r w:rsidR="007F7170">
        <w:t xml:space="preserve"> l'image</w:t>
      </w:r>
      <w:r w:rsidR="00D47B39">
        <w:t xml:space="preserve"> de l'ensemble de ses citoyens.</w:t>
      </w:r>
    </w:p>
    <w:p w14:paraId="6A337383" w14:textId="77777777" w:rsidR="00D67E45" w:rsidRDefault="00D67E45" w:rsidP="00746986">
      <w:pPr>
        <w:jc w:val="both"/>
      </w:pPr>
    </w:p>
    <w:p w14:paraId="2D0F3A36" w14:textId="69AB632F" w:rsidR="00765EA5" w:rsidRDefault="00D67E45" w:rsidP="00746986">
      <w:pPr>
        <w:jc w:val="both"/>
      </w:pPr>
      <w:r>
        <w:t xml:space="preserve">Ses idéaux </w:t>
      </w:r>
      <w:r w:rsidR="0017178E">
        <w:t>sociétaux</w:t>
      </w:r>
      <w:r>
        <w:t xml:space="preserve"> comportent des coûts financiers importants et leur prise en charge par l'État dépend de la richesse qui y est générée et l'idée du partage de celle-ci </w:t>
      </w:r>
      <w:r w:rsidR="009575CF">
        <w:t xml:space="preserve">que s'en </w:t>
      </w:r>
      <w:r w:rsidR="0017178E">
        <w:t>fait</w:t>
      </w:r>
      <w:r>
        <w:t xml:space="preserve"> l'ensemble des citoyens. Cette dose</w:t>
      </w:r>
      <w:r w:rsidR="009575CF">
        <w:t xml:space="preserve"> contra</w:t>
      </w:r>
      <w:r w:rsidR="00765EA5">
        <w:t>ignante</w:t>
      </w:r>
      <w:r>
        <w:t xml:space="preserve"> de </w:t>
      </w:r>
      <w:r w:rsidR="00B859CC">
        <w:t xml:space="preserve">réalisme mérite d'être mise dans l'équation puisque c'est l'une des raisons </w:t>
      </w:r>
      <w:r w:rsidR="0017178E">
        <w:t>premières</w:t>
      </w:r>
      <w:r w:rsidR="00B859CC">
        <w:t xml:space="preserve"> pour laquelle les environnements sociaux, politiques et économiques sont constamment en changement. Si les grands principes</w:t>
      </w:r>
      <w:r w:rsidR="009575CF">
        <w:t xml:space="preserve"> de justice sociale ne peuvent être remis en cause, l'équilibre, le dosage et la manière de les atteindre eux changent au gré des visions politiques, de l'évolution démographique de la population et de l'état des finances publiques. L'évolution et les changements historiques (taux de cotisation, âge d'admissibilité, </w:t>
      </w:r>
      <w:r w:rsidR="009575CF">
        <w:lastRenderedPageBreak/>
        <w:t>indexation, non-indexation, universalité, non-universalité, etc.) apportés aux programmes sociaux que nous étudierons</w:t>
      </w:r>
      <w:r w:rsidR="00765EA5">
        <w:t>, ici,</w:t>
      </w:r>
      <w:r w:rsidR="009575CF">
        <w:t xml:space="preserve"> en sont d'éloquentes démonstrations.</w:t>
      </w:r>
    </w:p>
    <w:p w14:paraId="717D3A3A" w14:textId="77777777" w:rsidR="00765EA5" w:rsidRDefault="00765EA5" w:rsidP="00746986">
      <w:pPr>
        <w:jc w:val="both"/>
      </w:pPr>
    </w:p>
    <w:p w14:paraId="08569FEF" w14:textId="4D0A5C98" w:rsidR="00685971" w:rsidRDefault="00614285" w:rsidP="00746986">
      <w:pPr>
        <w:jc w:val="both"/>
      </w:pPr>
      <w:r>
        <w:t>Dans le présent sujet, nous nous intéresserons aux mailles du filet qui visent la planification et la prise de la retraite. Les programmes sociaux en cause émanent des deux paliers de gouvernement</w:t>
      </w:r>
      <w:r w:rsidR="00F158DC">
        <w:t>. Celui de la Sécurité de la vieillesse est de juridiction fédérale alors que le programme d</w:t>
      </w:r>
      <w:r w:rsidR="002758B9">
        <w:t>u</w:t>
      </w:r>
      <w:r w:rsidR="00F158DC">
        <w:t xml:space="preserve"> RRQ est de compétence provinciale (ailleurs au Canada, ce programme est de nature fédérale - Régime de pensions du Canada). Bien que les deux régimes visent le même objectif d'assistance financière à</w:t>
      </w:r>
      <w:r w:rsidR="00E92383">
        <w:t xml:space="preserve"> </w:t>
      </w:r>
      <w:r w:rsidR="00F158DC">
        <w:t xml:space="preserve">la prise </w:t>
      </w:r>
      <w:r w:rsidR="006A7CC3">
        <w:t>d</w:t>
      </w:r>
      <w:r w:rsidR="00F158DC">
        <w:t xml:space="preserve">e </w:t>
      </w:r>
      <w:r w:rsidR="00587423">
        <w:t xml:space="preserve">la </w:t>
      </w:r>
      <w:r w:rsidR="00F158DC">
        <w:t xml:space="preserve">retraite, leur concept, </w:t>
      </w:r>
      <w:r w:rsidR="00587423">
        <w:t xml:space="preserve">leur </w:t>
      </w:r>
      <w:r w:rsidR="00F158DC">
        <w:t xml:space="preserve">fonctionnement et </w:t>
      </w:r>
      <w:r w:rsidR="00587423">
        <w:t xml:space="preserve">leur </w:t>
      </w:r>
      <w:r w:rsidR="00F158DC">
        <w:t>financement sont forts différents.</w:t>
      </w:r>
    </w:p>
    <w:p w14:paraId="4D2D1A33" w14:textId="77777777" w:rsidR="00C93B9D" w:rsidRDefault="00C93B9D" w:rsidP="00746986">
      <w:pPr>
        <w:jc w:val="both"/>
      </w:pPr>
    </w:p>
    <w:p w14:paraId="5B43F044" w14:textId="77777777" w:rsidR="006A7CC3" w:rsidRDefault="006A7CC3" w:rsidP="00746986">
      <w:pPr>
        <w:jc w:val="both"/>
      </w:pPr>
    </w:p>
    <w:tbl>
      <w:tblPr>
        <w:tblStyle w:val="Grillemoyenne3-Accent3"/>
        <w:tblW w:w="0" w:type="auto"/>
        <w:tblLook w:val="04A0" w:firstRow="1" w:lastRow="0" w:firstColumn="1" w:lastColumn="0" w:noHBand="0" w:noVBand="1"/>
      </w:tblPr>
      <w:tblGrid>
        <w:gridCol w:w="2629"/>
        <w:gridCol w:w="2629"/>
        <w:gridCol w:w="2629"/>
        <w:gridCol w:w="2629"/>
        <w:gridCol w:w="2630"/>
      </w:tblGrid>
      <w:tr w:rsidR="006A7CC3" w14:paraId="4B8E69C9" w14:textId="77777777" w:rsidTr="006A7C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9" w:type="dxa"/>
          </w:tcPr>
          <w:p w14:paraId="2D45845D" w14:textId="45EC0304" w:rsidR="006A7CC3" w:rsidRDefault="006A7CC3" w:rsidP="00746986">
            <w:pPr>
              <w:jc w:val="both"/>
            </w:pPr>
            <w:r>
              <w:t>Régime</w:t>
            </w:r>
          </w:p>
        </w:tc>
        <w:tc>
          <w:tcPr>
            <w:tcW w:w="2629" w:type="dxa"/>
          </w:tcPr>
          <w:p w14:paraId="5EF3B694" w14:textId="730E2E15" w:rsidR="006A7CC3" w:rsidRDefault="00A8209D" w:rsidP="00746986">
            <w:pPr>
              <w:jc w:val="both"/>
              <w:cnfStyle w:val="100000000000" w:firstRow="1" w:lastRow="0" w:firstColumn="0" w:lastColumn="0" w:oddVBand="0" w:evenVBand="0" w:oddHBand="0" w:evenHBand="0" w:firstRowFirstColumn="0" w:firstRowLastColumn="0" w:lastRowFirstColumn="0" w:lastRowLastColumn="0"/>
            </w:pPr>
            <w:r>
              <w:t>Compétence</w:t>
            </w:r>
          </w:p>
        </w:tc>
        <w:tc>
          <w:tcPr>
            <w:tcW w:w="2629" w:type="dxa"/>
          </w:tcPr>
          <w:p w14:paraId="46B040F4" w14:textId="463F03C6" w:rsidR="006A7CC3" w:rsidRDefault="00A8209D" w:rsidP="00746986">
            <w:pPr>
              <w:jc w:val="both"/>
              <w:cnfStyle w:val="100000000000" w:firstRow="1" w:lastRow="0" w:firstColumn="0" w:lastColumn="0" w:oddVBand="0" w:evenVBand="0" w:oddHBand="0" w:evenHBand="0" w:firstRowFirstColumn="0" w:firstRowLastColumn="0" w:lastRowFirstColumn="0" w:lastRowLastColumn="0"/>
            </w:pPr>
            <w:r>
              <w:t>Condition d'admissibilité</w:t>
            </w:r>
          </w:p>
        </w:tc>
        <w:tc>
          <w:tcPr>
            <w:tcW w:w="2629" w:type="dxa"/>
          </w:tcPr>
          <w:p w14:paraId="72B8ADC6" w14:textId="68F7AD44" w:rsidR="006A7CC3" w:rsidRDefault="00A8209D" w:rsidP="00A8209D">
            <w:pPr>
              <w:cnfStyle w:val="100000000000" w:firstRow="1" w:lastRow="0" w:firstColumn="0" w:lastColumn="0" w:oddVBand="0" w:evenVBand="0" w:oddHBand="0" w:evenHBand="0" w:firstRowFirstColumn="0" w:firstRowLastColumn="0" w:lastRowFirstColumn="0" w:lastRowLastColumn="0"/>
            </w:pPr>
            <w:r>
              <w:t>Provenance du financement</w:t>
            </w:r>
          </w:p>
        </w:tc>
        <w:tc>
          <w:tcPr>
            <w:tcW w:w="2630" w:type="dxa"/>
          </w:tcPr>
          <w:p w14:paraId="31EF7CAB" w14:textId="2D90CA44" w:rsidR="006A7CC3" w:rsidRDefault="00A8209D" w:rsidP="00A8209D">
            <w:pPr>
              <w:cnfStyle w:val="100000000000" w:firstRow="1" w:lastRow="0" w:firstColumn="0" w:lastColumn="0" w:oddVBand="0" w:evenVBand="0" w:oddHBand="0" w:evenHBand="0" w:firstRowFirstColumn="0" w:firstRowLastColumn="0" w:lastRowFirstColumn="0" w:lastRowLastColumn="0"/>
            </w:pPr>
            <w:r>
              <w:t>Facteurs de variation de la rente</w:t>
            </w:r>
          </w:p>
        </w:tc>
      </w:tr>
      <w:tr w:rsidR="006A7CC3" w14:paraId="33E9C332" w14:textId="77777777" w:rsidTr="006A7C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9" w:type="dxa"/>
          </w:tcPr>
          <w:p w14:paraId="1EE7D9AE" w14:textId="77777777" w:rsidR="00A8209D" w:rsidRDefault="00A8209D" w:rsidP="00746986">
            <w:pPr>
              <w:jc w:val="both"/>
            </w:pPr>
          </w:p>
          <w:p w14:paraId="317D30AB" w14:textId="4D368C13" w:rsidR="006A7CC3" w:rsidRDefault="006A7CC3" w:rsidP="00A8209D">
            <w:r>
              <w:t>Sécurité de la vieillesse</w:t>
            </w:r>
          </w:p>
        </w:tc>
        <w:tc>
          <w:tcPr>
            <w:tcW w:w="2629" w:type="dxa"/>
          </w:tcPr>
          <w:p w14:paraId="3F96BA42" w14:textId="77777777" w:rsidR="00A8209D" w:rsidRDefault="00A8209D" w:rsidP="00746986">
            <w:pPr>
              <w:jc w:val="both"/>
              <w:cnfStyle w:val="000000100000" w:firstRow="0" w:lastRow="0" w:firstColumn="0" w:lastColumn="0" w:oddVBand="0" w:evenVBand="0" w:oddHBand="1" w:evenHBand="0" w:firstRowFirstColumn="0" w:firstRowLastColumn="0" w:lastRowFirstColumn="0" w:lastRowLastColumn="0"/>
            </w:pPr>
          </w:p>
          <w:p w14:paraId="2AC0D222" w14:textId="020AD923" w:rsidR="006A7CC3" w:rsidRDefault="00A8209D" w:rsidP="00746986">
            <w:pPr>
              <w:jc w:val="both"/>
              <w:cnfStyle w:val="000000100000" w:firstRow="0" w:lastRow="0" w:firstColumn="0" w:lastColumn="0" w:oddVBand="0" w:evenVBand="0" w:oddHBand="1" w:evenHBand="0" w:firstRowFirstColumn="0" w:firstRowLastColumn="0" w:lastRowFirstColumn="0" w:lastRowLastColumn="0"/>
            </w:pPr>
            <w:r>
              <w:t>Fédéral</w:t>
            </w:r>
          </w:p>
        </w:tc>
        <w:tc>
          <w:tcPr>
            <w:tcW w:w="2629" w:type="dxa"/>
          </w:tcPr>
          <w:p w14:paraId="7A809EDD" w14:textId="77777777" w:rsidR="006A7CC3" w:rsidRDefault="006A7CC3" w:rsidP="00746986">
            <w:pPr>
              <w:jc w:val="both"/>
              <w:cnfStyle w:val="000000100000" w:firstRow="0" w:lastRow="0" w:firstColumn="0" w:lastColumn="0" w:oddVBand="0" w:evenVBand="0" w:oddHBand="1" w:evenHBand="0" w:firstRowFirstColumn="0" w:firstRowLastColumn="0" w:lastRowFirstColumn="0" w:lastRowLastColumn="0"/>
            </w:pPr>
          </w:p>
          <w:p w14:paraId="424A3D2A" w14:textId="1CCEBA21" w:rsidR="00A8209D" w:rsidRDefault="00A8209D" w:rsidP="00A8209D">
            <w:pPr>
              <w:cnfStyle w:val="000000100000" w:firstRow="0" w:lastRow="0" w:firstColumn="0" w:lastColumn="0" w:oddVBand="0" w:evenVBand="0" w:oddHBand="1" w:evenHBand="0" w:firstRowFirstColumn="0" w:firstRowLastColumn="0" w:lastRowFirstColumn="0" w:lastRowLastColumn="0"/>
            </w:pPr>
            <w:r>
              <w:t xml:space="preserve">Être résident canadien </w:t>
            </w:r>
          </w:p>
        </w:tc>
        <w:tc>
          <w:tcPr>
            <w:tcW w:w="2629" w:type="dxa"/>
          </w:tcPr>
          <w:p w14:paraId="00BF075D" w14:textId="77777777" w:rsidR="006A7CC3" w:rsidRDefault="006A7CC3" w:rsidP="00746986">
            <w:pPr>
              <w:jc w:val="both"/>
              <w:cnfStyle w:val="000000100000" w:firstRow="0" w:lastRow="0" w:firstColumn="0" w:lastColumn="0" w:oddVBand="0" w:evenVBand="0" w:oddHBand="1" w:evenHBand="0" w:firstRowFirstColumn="0" w:firstRowLastColumn="0" w:lastRowFirstColumn="0" w:lastRowLastColumn="0"/>
            </w:pPr>
          </w:p>
          <w:p w14:paraId="351953CB" w14:textId="7D0F000C" w:rsidR="00A8209D" w:rsidRDefault="00A8209D" w:rsidP="00A8209D">
            <w:pPr>
              <w:cnfStyle w:val="000000100000" w:firstRow="0" w:lastRow="0" w:firstColumn="0" w:lastColumn="0" w:oddVBand="0" w:evenVBand="0" w:oddHBand="1" w:evenHBand="0" w:firstRowFirstColumn="0" w:firstRowLastColumn="0" w:lastRowFirstColumn="0" w:lastRowLastColumn="0"/>
            </w:pPr>
            <w:r>
              <w:t>Finance</w:t>
            </w:r>
            <w:r w:rsidR="006C00D2">
              <w:t>s</w:t>
            </w:r>
            <w:r>
              <w:t xml:space="preserve"> publique</w:t>
            </w:r>
            <w:r w:rsidR="006C00D2">
              <w:t>s</w:t>
            </w:r>
            <w:r>
              <w:t xml:space="preserve">  (aucune source dédiée)</w:t>
            </w:r>
          </w:p>
        </w:tc>
        <w:tc>
          <w:tcPr>
            <w:tcW w:w="2630" w:type="dxa"/>
          </w:tcPr>
          <w:p w14:paraId="26AC56BD" w14:textId="77777777" w:rsidR="006A7CC3" w:rsidRDefault="006A7CC3" w:rsidP="00746986">
            <w:pPr>
              <w:jc w:val="both"/>
              <w:cnfStyle w:val="000000100000" w:firstRow="0" w:lastRow="0" w:firstColumn="0" w:lastColumn="0" w:oddVBand="0" w:evenVBand="0" w:oddHBand="1" w:evenHBand="0" w:firstRowFirstColumn="0" w:firstRowLastColumn="0" w:lastRowFirstColumn="0" w:lastRowLastColumn="0"/>
            </w:pPr>
          </w:p>
          <w:p w14:paraId="27B05CED" w14:textId="632327E7" w:rsidR="00A8209D" w:rsidRDefault="00A8209D" w:rsidP="00C93B9D">
            <w:pPr>
              <w:cnfStyle w:val="000000100000" w:firstRow="0" w:lastRow="0" w:firstColumn="0" w:lastColumn="0" w:oddVBand="0" w:evenVBand="0" w:oddHBand="1" w:evenHBand="0" w:firstRowFirstColumn="0" w:firstRowLastColumn="0" w:lastRowFirstColumn="0" w:lastRowLastColumn="0"/>
            </w:pPr>
            <w:r>
              <w:t xml:space="preserve">Selon les revenus à la </w:t>
            </w:r>
            <w:r w:rsidR="00C93B9D">
              <w:rPr>
                <w:u w:val="single"/>
              </w:rPr>
              <w:t>RETRAITE</w:t>
            </w:r>
            <w:r>
              <w:t xml:space="preserve"> (s</w:t>
            </w:r>
            <w:r w:rsidR="00C93B9D">
              <w:t>oumis à</w:t>
            </w:r>
            <w:r>
              <w:t xml:space="preserve"> certains seuils)</w:t>
            </w:r>
          </w:p>
        </w:tc>
      </w:tr>
      <w:tr w:rsidR="006A7CC3" w14:paraId="161F32C9" w14:textId="77777777" w:rsidTr="006A7CC3">
        <w:tc>
          <w:tcPr>
            <w:cnfStyle w:val="001000000000" w:firstRow="0" w:lastRow="0" w:firstColumn="1" w:lastColumn="0" w:oddVBand="0" w:evenVBand="0" w:oddHBand="0" w:evenHBand="0" w:firstRowFirstColumn="0" w:firstRowLastColumn="0" w:lastRowFirstColumn="0" w:lastRowLastColumn="0"/>
            <w:tcW w:w="2629" w:type="dxa"/>
          </w:tcPr>
          <w:p w14:paraId="1FAE63EC" w14:textId="77777777" w:rsidR="00A8209D" w:rsidRDefault="00A8209D" w:rsidP="00746986">
            <w:pPr>
              <w:jc w:val="both"/>
            </w:pPr>
          </w:p>
          <w:p w14:paraId="29F21980" w14:textId="003C286F" w:rsidR="00A8209D" w:rsidRDefault="00A8209D" w:rsidP="00746986">
            <w:pPr>
              <w:jc w:val="both"/>
            </w:pPr>
            <w:r>
              <w:t>RRQ</w:t>
            </w:r>
          </w:p>
        </w:tc>
        <w:tc>
          <w:tcPr>
            <w:tcW w:w="2629" w:type="dxa"/>
          </w:tcPr>
          <w:p w14:paraId="14745A3C" w14:textId="77777777" w:rsidR="006A7CC3" w:rsidRDefault="006A7CC3" w:rsidP="00746986">
            <w:pPr>
              <w:jc w:val="both"/>
              <w:cnfStyle w:val="000000000000" w:firstRow="0" w:lastRow="0" w:firstColumn="0" w:lastColumn="0" w:oddVBand="0" w:evenVBand="0" w:oddHBand="0" w:evenHBand="0" w:firstRowFirstColumn="0" w:firstRowLastColumn="0" w:lastRowFirstColumn="0" w:lastRowLastColumn="0"/>
            </w:pPr>
          </w:p>
          <w:p w14:paraId="47C91027" w14:textId="4EB6649F" w:rsidR="00A8209D" w:rsidRDefault="00A8209D" w:rsidP="00746986">
            <w:pPr>
              <w:jc w:val="both"/>
              <w:cnfStyle w:val="000000000000" w:firstRow="0" w:lastRow="0" w:firstColumn="0" w:lastColumn="0" w:oddVBand="0" w:evenVBand="0" w:oddHBand="0" w:evenHBand="0" w:firstRowFirstColumn="0" w:firstRowLastColumn="0" w:lastRowFirstColumn="0" w:lastRowLastColumn="0"/>
            </w:pPr>
            <w:r>
              <w:t>Provincial</w:t>
            </w:r>
          </w:p>
        </w:tc>
        <w:tc>
          <w:tcPr>
            <w:tcW w:w="2629" w:type="dxa"/>
          </w:tcPr>
          <w:p w14:paraId="41C7489F" w14:textId="77777777" w:rsidR="006A7CC3" w:rsidRDefault="006A7CC3" w:rsidP="00746986">
            <w:pPr>
              <w:jc w:val="both"/>
              <w:cnfStyle w:val="000000000000" w:firstRow="0" w:lastRow="0" w:firstColumn="0" w:lastColumn="0" w:oddVBand="0" w:evenVBand="0" w:oddHBand="0" w:evenHBand="0" w:firstRowFirstColumn="0" w:firstRowLastColumn="0" w:lastRowFirstColumn="0" w:lastRowLastColumn="0"/>
            </w:pPr>
          </w:p>
          <w:p w14:paraId="077D7B0B" w14:textId="1539E44A" w:rsidR="00A8209D" w:rsidRDefault="00A8209D" w:rsidP="00A8209D">
            <w:pPr>
              <w:cnfStyle w:val="000000000000" w:firstRow="0" w:lastRow="0" w:firstColumn="0" w:lastColumn="0" w:oddVBand="0" w:evenVBand="0" w:oddHBand="0" w:evenHBand="0" w:firstRowFirstColumn="0" w:firstRowLastColumn="0" w:lastRowFirstColumn="0" w:lastRowLastColumn="0"/>
            </w:pPr>
            <w:r>
              <w:t>Avoir cotisé au régime</w:t>
            </w:r>
          </w:p>
        </w:tc>
        <w:tc>
          <w:tcPr>
            <w:tcW w:w="2629" w:type="dxa"/>
          </w:tcPr>
          <w:p w14:paraId="03D60D75" w14:textId="77777777" w:rsidR="006A7CC3" w:rsidRDefault="006A7CC3" w:rsidP="00746986">
            <w:pPr>
              <w:jc w:val="both"/>
              <w:cnfStyle w:val="000000000000" w:firstRow="0" w:lastRow="0" w:firstColumn="0" w:lastColumn="0" w:oddVBand="0" w:evenVBand="0" w:oddHBand="0" w:evenHBand="0" w:firstRowFirstColumn="0" w:firstRowLastColumn="0" w:lastRowFirstColumn="0" w:lastRowLastColumn="0"/>
            </w:pPr>
          </w:p>
          <w:p w14:paraId="73E6046C" w14:textId="45CEE76B" w:rsidR="00A8209D" w:rsidRDefault="00A8209D" w:rsidP="00A8209D">
            <w:pPr>
              <w:cnfStyle w:val="000000000000" w:firstRow="0" w:lastRow="0" w:firstColumn="0" w:lastColumn="0" w:oddVBand="0" w:evenVBand="0" w:oddHBand="0" w:evenHBand="0" w:firstRowFirstColumn="0" w:firstRowLastColumn="0" w:lastRowFirstColumn="0" w:lastRowLastColumn="0"/>
            </w:pPr>
            <w:r>
              <w:t>Cotisations de l'employé et de l'employeur</w:t>
            </w:r>
          </w:p>
        </w:tc>
        <w:tc>
          <w:tcPr>
            <w:tcW w:w="2630" w:type="dxa"/>
          </w:tcPr>
          <w:p w14:paraId="580306D4" w14:textId="77777777" w:rsidR="006A7CC3" w:rsidRDefault="006A7CC3" w:rsidP="00746986">
            <w:pPr>
              <w:jc w:val="both"/>
              <w:cnfStyle w:val="000000000000" w:firstRow="0" w:lastRow="0" w:firstColumn="0" w:lastColumn="0" w:oddVBand="0" w:evenVBand="0" w:oddHBand="0" w:evenHBand="0" w:firstRowFirstColumn="0" w:firstRowLastColumn="0" w:lastRowFirstColumn="0" w:lastRowLastColumn="0"/>
            </w:pPr>
          </w:p>
          <w:p w14:paraId="5A44A29C" w14:textId="54B5DE25" w:rsidR="00A8209D" w:rsidRDefault="00A8209D" w:rsidP="00BB271B">
            <w:pPr>
              <w:cnfStyle w:val="000000000000" w:firstRow="0" w:lastRow="0" w:firstColumn="0" w:lastColumn="0" w:oddVBand="0" w:evenVBand="0" w:oddHBand="0" w:evenHBand="0" w:firstRowFirstColumn="0" w:firstRowLastColumn="0" w:lastRowFirstColumn="0" w:lastRowLastColumn="0"/>
            </w:pPr>
            <w:r>
              <w:t xml:space="preserve">Selon les revenus d'emploi ou d'entreprise gagnés durant la </w:t>
            </w:r>
            <w:r w:rsidR="00C93B9D">
              <w:rPr>
                <w:u w:val="single"/>
              </w:rPr>
              <w:t>VIE ACTIVE</w:t>
            </w:r>
          </w:p>
        </w:tc>
      </w:tr>
    </w:tbl>
    <w:p w14:paraId="5652F310" w14:textId="77777777" w:rsidR="00C93B9D" w:rsidRDefault="00C93B9D" w:rsidP="00746986">
      <w:pPr>
        <w:jc w:val="both"/>
      </w:pPr>
    </w:p>
    <w:p w14:paraId="4910204C" w14:textId="7449190B" w:rsidR="00685971" w:rsidRPr="00095F92" w:rsidRDefault="0006388C" w:rsidP="00746986">
      <w:pPr>
        <w:jc w:val="both"/>
        <w:rPr>
          <w:rFonts w:asciiTheme="majorHAnsi" w:hAnsiTheme="majorHAnsi"/>
        </w:rPr>
      </w:pPr>
      <w:r>
        <w:t>En plaçant</w:t>
      </w:r>
      <w:r w:rsidR="00321D6F">
        <w:t xml:space="preserve"> </w:t>
      </w:r>
      <w:r>
        <w:t>la présence de l'État au coeur d</w:t>
      </w:r>
      <w:r w:rsidR="00321D6F">
        <w:t xml:space="preserve">u parcours vers </w:t>
      </w:r>
      <w:r>
        <w:t>une société juste et équitable</w:t>
      </w:r>
      <w:r w:rsidR="00321D6F">
        <w:t xml:space="preserve">, il serait très intéressant de s'interroger </w:t>
      </w:r>
      <w:r w:rsidR="006C00D2">
        <w:t>quant à</w:t>
      </w:r>
      <w:r w:rsidR="00321D6F">
        <w:t xml:space="preserve"> notre positionnement sur l'échiquier mondial </w:t>
      </w:r>
      <w:r w:rsidR="00BB271B">
        <w:t>en</w:t>
      </w:r>
      <w:r w:rsidR="00321D6F">
        <w:t xml:space="preserve"> se compar</w:t>
      </w:r>
      <w:r w:rsidR="00BB271B">
        <w:t>ant</w:t>
      </w:r>
      <w:r w:rsidR="00321D6F">
        <w:t xml:space="preserve"> à d'autres pays. </w:t>
      </w:r>
      <w:r w:rsidR="00685971">
        <w:t>Sommes-nous généreux</w:t>
      </w:r>
      <w:r w:rsidR="00321D6F">
        <w:t xml:space="preserve"> envers nos retraités</w:t>
      </w:r>
      <w:r w:rsidR="00321D6F" w:rsidRPr="00321D6F">
        <w:rPr>
          <w:rFonts w:ascii="Avenir Book" w:hAnsi="Avenir Book"/>
        </w:rPr>
        <w:t>?</w:t>
      </w:r>
      <w:r w:rsidR="00321D6F">
        <w:rPr>
          <w:rFonts w:ascii="Avenir Book" w:hAnsi="Avenir Book"/>
        </w:rPr>
        <w:t xml:space="preserve"> </w:t>
      </w:r>
      <w:r w:rsidR="00321D6F" w:rsidRPr="00095F92">
        <w:rPr>
          <w:rFonts w:asciiTheme="majorHAnsi" w:hAnsiTheme="majorHAnsi"/>
        </w:rPr>
        <w:t xml:space="preserve">Cette question a été abordée dans le rapport </w:t>
      </w:r>
      <w:r w:rsidR="00BB271B">
        <w:rPr>
          <w:rFonts w:asciiTheme="majorHAnsi" w:hAnsiTheme="majorHAnsi"/>
        </w:rPr>
        <w:t>D</w:t>
      </w:r>
      <w:r w:rsidR="00321D6F" w:rsidRPr="00095F92">
        <w:rPr>
          <w:rFonts w:asciiTheme="majorHAnsi" w:hAnsiTheme="majorHAnsi"/>
        </w:rPr>
        <w:t xml:space="preserve">'Amours qui portait sur les voies de la pérennisation de nos régimes de retraite. Examinons à l'image 7-6, un tableau comparatif où l'on intègre le Québec aux autres pays du G7. </w:t>
      </w:r>
    </w:p>
    <w:p w14:paraId="0705F72E" w14:textId="154E2307" w:rsidR="00176CDA" w:rsidRDefault="00176CDA" w:rsidP="00746986">
      <w:pPr>
        <w:jc w:val="both"/>
      </w:pPr>
    </w:p>
    <w:p w14:paraId="0AE85F07" w14:textId="6652276D" w:rsidR="00176CDA" w:rsidRDefault="00176CDA" w:rsidP="00746986">
      <w:pPr>
        <w:jc w:val="both"/>
      </w:pPr>
    </w:p>
    <w:p w14:paraId="03A8AC2A" w14:textId="4CB30E20" w:rsidR="00176CDA" w:rsidRDefault="00176CDA" w:rsidP="00746986">
      <w:pPr>
        <w:jc w:val="both"/>
      </w:pPr>
      <w:r w:rsidRPr="00EC2312">
        <w:rPr>
          <w:color w:val="FF6700" w:themeColor="accent3"/>
        </w:rPr>
        <w:lastRenderedPageBreak/>
        <w:t>I</w:t>
      </w:r>
      <w:r w:rsidR="006C4C47">
        <w:rPr>
          <w:color w:val="FF6700" w:themeColor="accent3"/>
        </w:rPr>
        <w:t>MAGE</w:t>
      </w:r>
      <w:r w:rsidRPr="00EC2312">
        <w:rPr>
          <w:color w:val="FF6700" w:themeColor="accent3"/>
        </w:rPr>
        <w:t xml:space="preserve"> 7</w:t>
      </w:r>
      <w:r>
        <w:rPr>
          <w:color w:val="FF6700" w:themeColor="accent3"/>
        </w:rPr>
        <w:t>-6</w:t>
      </w:r>
      <w:r w:rsidRPr="00EC2312">
        <w:rPr>
          <w:color w:val="FF6700" w:themeColor="accent3"/>
        </w:rPr>
        <w:tab/>
      </w:r>
      <w:r w:rsidR="00320167">
        <w:rPr>
          <w:color w:val="FF6700" w:themeColor="accent3"/>
        </w:rPr>
        <w:t>Importance du filet social dans la constitution des revenus de retraite</w:t>
      </w:r>
      <w:r w:rsidR="00E547A8">
        <w:rPr>
          <w:rStyle w:val="Marquenotebasdepage"/>
          <w:color w:val="FF6700" w:themeColor="accent3"/>
        </w:rPr>
        <w:footnoteReference w:customMarkFollows="1" w:id="6"/>
        <w:t>5</w:t>
      </w:r>
    </w:p>
    <w:p w14:paraId="0F9255AE" w14:textId="0E207048" w:rsidR="00176CDA" w:rsidRDefault="00E547A8" w:rsidP="00746986">
      <w:pPr>
        <w:jc w:val="both"/>
      </w:pPr>
      <w:r>
        <w:rPr>
          <w:noProof/>
          <w:lang w:eastAsia="fr-FR"/>
        </w:rPr>
        <w:drawing>
          <wp:anchor distT="0" distB="0" distL="114300" distR="114300" simplePos="0" relativeHeight="251803648" behindDoc="0" locked="0" layoutInCell="1" allowOverlap="1" wp14:anchorId="038045B0" wp14:editId="59D87CE3">
            <wp:simplePos x="0" y="0"/>
            <wp:positionH relativeFrom="column">
              <wp:posOffset>-114300</wp:posOffset>
            </wp:positionH>
            <wp:positionV relativeFrom="paragraph">
              <wp:posOffset>156210</wp:posOffset>
            </wp:positionV>
            <wp:extent cx="6065520" cy="3886200"/>
            <wp:effectExtent l="0" t="0" r="5080" b="0"/>
            <wp:wrapSquare wrapText="bothSides"/>
            <wp:docPr id="36" name="Image 36" descr="Macintosh HD:Users:marcbachand:Desktop:Capture d’écran 2015-06-12 à 11.0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12 à 11.01.3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65520" cy="3886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BEDA848" w14:textId="4505B2DF" w:rsidR="00176CDA" w:rsidRDefault="001E79B9" w:rsidP="00746986">
      <w:pPr>
        <w:jc w:val="both"/>
      </w:pPr>
      <w:r>
        <w:rPr>
          <w:noProof/>
          <w:lang w:eastAsia="fr-FR"/>
        </w:rPr>
        <mc:AlternateContent>
          <mc:Choice Requires="wps">
            <w:drawing>
              <wp:anchor distT="0" distB="0" distL="114300" distR="114300" simplePos="0" relativeHeight="251809792" behindDoc="0" locked="0" layoutInCell="1" allowOverlap="1" wp14:anchorId="655D2C8E" wp14:editId="06ABE6C3">
                <wp:simplePos x="0" y="0"/>
                <wp:positionH relativeFrom="column">
                  <wp:posOffset>-927100</wp:posOffset>
                </wp:positionH>
                <wp:positionV relativeFrom="paragraph">
                  <wp:posOffset>654685</wp:posOffset>
                </wp:positionV>
                <wp:extent cx="342900" cy="342900"/>
                <wp:effectExtent l="76200" t="76200" r="0" b="63500"/>
                <wp:wrapThrough wrapText="bothSides">
                  <wp:wrapPolygon edited="0">
                    <wp:start x="1600" y="-4800"/>
                    <wp:lineTo x="-4800" y="-1600"/>
                    <wp:lineTo x="-4800" y="14400"/>
                    <wp:lineTo x="1600" y="24000"/>
                    <wp:lineTo x="19200" y="24000"/>
                    <wp:lineTo x="17600" y="0"/>
                    <wp:lineTo x="17600" y="-4800"/>
                    <wp:lineTo x="1600" y="-4800"/>
                  </wp:wrapPolygon>
                </wp:wrapThrough>
                <wp:docPr id="39" name="Ellipse 39"/>
                <wp:cNvGraphicFramePr/>
                <a:graphic xmlns:a="http://schemas.openxmlformats.org/drawingml/2006/main">
                  <a:graphicData uri="http://schemas.microsoft.com/office/word/2010/wordprocessingShape">
                    <wps:wsp>
                      <wps:cNvSpPr/>
                      <wps:spPr>
                        <a:xfrm>
                          <a:off x="0" y="0"/>
                          <a:ext cx="342900" cy="342900"/>
                        </a:xfrm>
                        <a:prstGeom prst="ellipse">
                          <a:avLst/>
                        </a:prstGeom>
                        <a:solidFill>
                          <a:srgbClr val="FFFF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1E71916" w14:textId="4EF258A7" w:rsidR="00573C95" w:rsidRPr="009707A1" w:rsidRDefault="00573C95" w:rsidP="009707A1">
                            <w:pPr>
                              <w:jc w:val="center"/>
                              <w:rPr>
                                <w:color w:val="000000"/>
                                <w:sz w:val="18"/>
                                <w:szCs w:val="18"/>
                              </w:rPr>
                            </w:pPr>
                            <w:r w:rsidRPr="009707A1">
                              <w:rPr>
                                <w:color w:val="000000"/>
                                <w:sz w:val="18"/>
                                <w:szCs w:val="18"/>
                              </w:rPr>
                              <w:t>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39" o:spid="_x0000_s1031" style="position:absolute;left:0;text-align:left;margin-left:-72.95pt;margin-top:51.55pt;width:27pt;height:27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" fillcolor="yellow" strokecolor="black [3213]">
                <v:textbox>
                  <w:txbxContent>
                    <w:p w14:paraId="31E71916" w14:textId="4EF258A7" w:rsidR="001501D6" w:rsidRPr="009707A1" w:rsidRDefault="001501D6" w:rsidP="009707A1">
                      <w:pPr>
                        <w:jc w:val="center"/>
                        <w:rPr>
                          <w:color w:val="000000"/>
                          <w:sz w:val="18"/>
                          <w:szCs w:val="18"/>
                        </w:rPr>
                      </w:pPr>
                      <w:r w:rsidRPr="009707A1">
                        <w:rPr>
                          <w:color w:val="000000"/>
                          <w:sz w:val="18"/>
                          <w:szCs w:val="18"/>
                        </w:rPr>
                        <w:t>5</w:t>
                      </w:r>
                    </w:p>
                  </w:txbxContent>
                </v:textbox>
                <w10:wrap type="through"/>
              </v:oval>
            </w:pict>
          </mc:Fallback>
        </mc:AlternateContent>
      </w:r>
      <w:r>
        <w:rPr>
          <w:noProof/>
          <w:lang w:eastAsia="fr-FR"/>
        </w:rPr>
        <mc:AlternateContent>
          <mc:Choice Requires="wps">
            <w:drawing>
              <wp:anchor distT="0" distB="0" distL="114300" distR="114300" simplePos="0" relativeHeight="251807744" behindDoc="0" locked="0" layoutInCell="1" allowOverlap="1" wp14:anchorId="4ED0FD9E" wp14:editId="22DA07B1">
                <wp:simplePos x="0" y="0"/>
                <wp:positionH relativeFrom="column">
                  <wp:posOffset>-2070100</wp:posOffset>
                </wp:positionH>
                <wp:positionV relativeFrom="paragraph">
                  <wp:posOffset>654685</wp:posOffset>
                </wp:positionV>
                <wp:extent cx="342900" cy="342900"/>
                <wp:effectExtent l="76200" t="76200" r="0" b="63500"/>
                <wp:wrapThrough wrapText="bothSides">
                  <wp:wrapPolygon edited="0">
                    <wp:start x="1600" y="-4800"/>
                    <wp:lineTo x="-4800" y="-1600"/>
                    <wp:lineTo x="-4800" y="14400"/>
                    <wp:lineTo x="1600" y="24000"/>
                    <wp:lineTo x="19200" y="24000"/>
                    <wp:lineTo x="17600" y="0"/>
                    <wp:lineTo x="17600" y="-4800"/>
                    <wp:lineTo x="1600" y="-4800"/>
                  </wp:wrapPolygon>
                </wp:wrapThrough>
                <wp:docPr id="38" name="Ellipse 38"/>
                <wp:cNvGraphicFramePr/>
                <a:graphic xmlns:a="http://schemas.openxmlformats.org/drawingml/2006/main">
                  <a:graphicData uri="http://schemas.microsoft.com/office/word/2010/wordprocessingShape">
                    <wps:wsp>
                      <wps:cNvSpPr/>
                      <wps:spPr>
                        <a:xfrm>
                          <a:off x="0" y="0"/>
                          <a:ext cx="342900" cy="342900"/>
                        </a:xfrm>
                        <a:prstGeom prst="ellipse">
                          <a:avLst/>
                        </a:prstGeom>
                        <a:solidFill>
                          <a:srgbClr val="008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56DD53C" w14:textId="1C8D3ED0" w:rsidR="00573C95" w:rsidRPr="009707A1" w:rsidRDefault="00573C95" w:rsidP="009707A1">
                            <w:pPr>
                              <w:jc w:val="center"/>
                              <w:rPr>
                                <w:sz w:val="18"/>
                                <w:szCs w:val="18"/>
                              </w:rPr>
                            </w:pPr>
                            <w:r>
                              <w:rPr>
                                <w:sz w:val="18"/>
                                <w:szCs w:val="18"/>
                              </w:rPr>
                              <w:t>3</w:t>
                            </w:r>
                            <w:r w:rsidRPr="009707A1">
                              <w:rPr>
                                <w:sz w:val="18"/>
                                <w:szCs w:val="18"/>
                              </w:rPr>
                              <w:t>1</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38" o:spid="_x0000_s1032" style="position:absolute;left:0;text-align:left;margin-left:-162.95pt;margin-top:51.55pt;width:27pt;height:2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" fillcolor="green" strokecolor="black [3213]">
                <v:textbox>
                  <w:txbxContent>
                    <w:p w14:paraId="256DD53C" w14:textId="1C8D3ED0" w:rsidR="001501D6" w:rsidRPr="009707A1" w:rsidRDefault="001501D6" w:rsidP="009707A1">
                      <w:pPr>
                        <w:jc w:val="center"/>
                        <w:rPr>
                          <w:sz w:val="18"/>
                          <w:szCs w:val="18"/>
                        </w:rPr>
                      </w:pPr>
                      <w:r>
                        <w:rPr>
                          <w:sz w:val="18"/>
                          <w:szCs w:val="18"/>
                        </w:rPr>
                        <w:t>3</w:t>
                      </w:r>
                      <w:r w:rsidRPr="009707A1">
                        <w:rPr>
                          <w:sz w:val="18"/>
                          <w:szCs w:val="18"/>
                        </w:rPr>
                        <w:t>1</w:t>
                      </w:r>
                    </w:p>
                  </w:txbxContent>
                </v:textbox>
                <w10:wrap type="through"/>
              </v:oval>
            </w:pict>
          </mc:Fallback>
        </mc:AlternateContent>
      </w:r>
      <w:r>
        <w:rPr>
          <w:noProof/>
          <w:lang w:eastAsia="fr-FR"/>
        </w:rPr>
        <mc:AlternateContent>
          <mc:Choice Requires="wps">
            <w:drawing>
              <wp:anchor distT="0" distB="0" distL="114300" distR="114300" simplePos="0" relativeHeight="251805696" behindDoc="0" locked="0" layoutInCell="1" allowOverlap="1" wp14:anchorId="7C9E5741" wp14:editId="32536385">
                <wp:simplePos x="0" y="0"/>
                <wp:positionH relativeFrom="column">
                  <wp:posOffset>-3213100</wp:posOffset>
                </wp:positionH>
                <wp:positionV relativeFrom="paragraph">
                  <wp:posOffset>654685</wp:posOffset>
                </wp:positionV>
                <wp:extent cx="342900" cy="342900"/>
                <wp:effectExtent l="76200" t="76200" r="0" b="63500"/>
                <wp:wrapThrough wrapText="bothSides">
                  <wp:wrapPolygon edited="0">
                    <wp:start x="1600" y="-4800"/>
                    <wp:lineTo x="-4800" y="-1600"/>
                    <wp:lineTo x="-4800" y="14400"/>
                    <wp:lineTo x="1600" y="24000"/>
                    <wp:lineTo x="19200" y="24000"/>
                    <wp:lineTo x="17600" y="0"/>
                    <wp:lineTo x="17600" y="-4800"/>
                    <wp:lineTo x="1600" y="-4800"/>
                  </wp:wrapPolygon>
                </wp:wrapThrough>
                <wp:docPr id="37" name="Ellipse 37"/>
                <wp:cNvGraphicFramePr/>
                <a:graphic xmlns:a="http://schemas.openxmlformats.org/drawingml/2006/main">
                  <a:graphicData uri="http://schemas.microsoft.com/office/word/2010/wordprocessingShape">
                    <wps:wsp>
                      <wps:cNvSpPr/>
                      <wps:spPr>
                        <a:xfrm>
                          <a:off x="0" y="0"/>
                          <a:ext cx="342900" cy="342900"/>
                        </a:xfrm>
                        <a:prstGeom prst="ellipse">
                          <a:avLst/>
                        </a:prstGeom>
                        <a:solidFill>
                          <a:srgbClr val="008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132421" w14:textId="50F35E9A" w:rsidR="00573C95" w:rsidRPr="009707A1" w:rsidRDefault="00573C95" w:rsidP="009707A1">
                            <w:pPr>
                              <w:jc w:val="center"/>
                              <w:rPr>
                                <w:sz w:val="18"/>
                                <w:szCs w:val="18"/>
                              </w:rPr>
                            </w:pPr>
                            <w:r w:rsidRPr="009707A1">
                              <w:rPr>
                                <w:sz w:val="18"/>
                                <w:szCs w:val="18"/>
                              </w:rPr>
                              <w:t>1</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37" o:spid="_x0000_s1033" style="position:absolute;left:0;text-align:left;margin-left:-252.95pt;margin-top:51.55pt;width:27pt;height:2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" fillcolor="green" strokecolor="black [3213]">
                <v:textbox>
                  <w:txbxContent>
                    <w:p w14:paraId="30132421" w14:textId="50F35E9A" w:rsidR="001501D6" w:rsidRPr="009707A1" w:rsidRDefault="001501D6" w:rsidP="009707A1">
                      <w:pPr>
                        <w:jc w:val="center"/>
                        <w:rPr>
                          <w:sz w:val="18"/>
                          <w:szCs w:val="18"/>
                        </w:rPr>
                      </w:pPr>
                      <w:r w:rsidRPr="009707A1">
                        <w:rPr>
                          <w:sz w:val="18"/>
                          <w:szCs w:val="18"/>
                        </w:rPr>
                        <w:t>1</w:t>
                      </w:r>
                    </w:p>
                  </w:txbxContent>
                </v:textbox>
                <w10:wrap type="through"/>
              </v:oval>
            </w:pict>
          </mc:Fallback>
        </mc:AlternateContent>
      </w:r>
      <w:r w:rsidR="00293954">
        <w:t xml:space="preserve">Le </w:t>
      </w:r>
      <w:r w:rsidR="00AE176F" w:rsidRPr="00AE176F">
        <w:rPr>
          <w:color w:val="FF6700" w:themeColor="accent3"/>
        </w:rPr>
        <w:t>PREMIER</w:t>
      </w:r>
      <w:r w:rsidR="00AE176F">
        <w:t xml:space="preserve"> </w:t>
      </w:r>
      <w:r w:rsidR="00293954">
        <w:t>constat est de reconnaitre que le Québec est un premier de classe lorsqu'il doit pourvoir aux revenus de retraite des moins fortunés. Dans le cas des individus qui espèrent se constituer un revenu de retraite correspondant à 50 % du salaire moyen de l'ensemble des Québécois (environ 40 000 $), l'état arrivera à contribuer jusqu'à 81,6 % de ce montant.</w:t>
      </w:r>
    </w:p>
    <w:p w14:paraId="1A5A4B3A" w14:textId="77777777" w:rsidR="00AE176F" w:rsidRDefault="00AE176F" w:rsidP="00746986">
      <w:pPr>
        <w:jc w:val="both"/>
      </w:pPr>
    </w:p>
    <w:p w14:paraId="675DDB93" w14:textId="294E0371" w:rsidR="00176CDA" w:rsidRDefault="00AE176F" w:rsidP="00746986">
      <w:pPr>
        <w:jc w:val="both"/>
      </w:pPr>
      <w:r>
        <w:t xml:space="preserve">Le </w:t>
      </w:r>
      <w:r>
        <w:rPr>
          <w:color w:val="FF6700" w:themeColor="accent3"/>
        </w:rPr>
        <w:t>DEUXIÈME</w:t>
      </w:r>
      <w:r>
        <w:t xml:space="preserve"> constat</w:t>
      </w:r>
      <w:r w:rsidR="00D906E6">
        <w:t xml:space="preserve"> vise à attribuer également une bonne note au régime public québécois dans sa capacité à assumer une partie du revenu de retraite lorsque celui-ci correspond au salaire moyen des Québécois, soit environ 40 000 $. Dans un tel cas, la participation de l'État est supérieure à la moyenne des pays faisant partie du G7 et de l'OCDE.</w:t>
      </w:r>
    </w:p>
    <w:p w14:paraId="48541418" w14:textId="77777777" w:rsidR="00D906E6" w:rsidRDefault="00D906E6" w:rsidP="00746986">
      <w:pPr>
        <w:jc w:val="both"/>
      </w:pPr>
    </w:p>
    <w:p w14:paraId="507835A5" w14:textId="2C167725" w:rsidR="007F66F7" w:rsidRDefault="00D906E6" w:rsidP="00746986">
      <w:pPr>
        <w:jc w:val="both"/>
      </w:pPr>
      <w:r>
        <w:lastRenderedPageBreak/>
        <w:t xml:space="preserve">Finalement, </w:t>
      </w:r>
      <w:r w:rsidR="0017178E">
        <w:t>le</w:t>
      </w:r>
      <w:r>
        <w:t xml:space="preserve"> </w:t>
      </w:r>
      <w:r>
        <w:rPr>
          <w:color w:val="FF6700" w:themeColor="accent3"/>
        </w:rPr>
        <w:t>TROISIÈME</w:t>
      </w:r>
      <w:r>
        <w:t xml:space="preserve"> constat</w:t>
      </w:r>
      <w:r w:rsidR="00320D82">
        <w:t xml:space="preserve"> permet d'identifier clairement que l'objectif premier du régime québécois est d'aider avant tout </w:t>
      </w:r>
      <w:r w:rsidR="001D129F">
        <w:t>les gens moins favorisés et de laisser à ceux, qui</w:t>
      </w:r>
      <w:r w:rsidR="006A3AFF">
        <w:t xml:space="preserve"> </w:t>
      </w:r>
      <w:r w:rsidR="001D129F">
        <w:t xml:space="preserve">en ont davantage les moyens, le rôle d'entreprendre leur propre épargne. </w:t>
      </w:r>
    </w:p>
    <w:p w14:paraId="0342B88D" w14:textId="77777777" w:rsidR="007F66F7" w:rsidRDefault="007F66F7" w:rsidP="00746986">
      <w:pPr>
        <w:jc w:val="both"/>
      </w:pPr>
    </w:p>
    <w:p w14:paraId="5C93B32F" w14:textId="48858231" w:rsidR="00D906E6" w:rsidRDefault="007F66F7" w:rsidP="00746986">
      <w:pPr>
        <w:jc w:val="both"/>
      </w:pPr>
      <w:r>
        <w:t xml:space="preserve">Une dernière réflexion nous amène à prendre acte que le </w:t>
      </w:r>
      <w:r w:rsidR="0017178E">
        <w:t>jeu</w:t>
      </w:r>
      <w:r>
        <w:t xml:space="preserve"> des comparaisons se déroule entre joueurs</w:t>
      </w:r>
      <w:r w:rsidR="00B9589E">
        <w:t xml:space="preserve"> faisant partie</w:t>
      </w:r>
      <w:r>
        <w:t xml:space="preserve"> des pays les plus développés et les mieux nantis</w:t>
      </w:r>
      <w:r w:rsidR="006C00D2">
        <w:t xml:space="preserve"> de la planète</w:t>
      </w:r>
      <w:r>
        <w:t xml:space="preserve">. Le G7 (7 pays) et L'OCDE (34 pays) demeurent </w:t>
      </w:r>
      <w:r w:rsidR="00B9589E">
        <w:t>des regroupements de pays privilégiés qui ont davantage les moyens</w:t>
      </w:r>
      <w:r w:rsidR="00CF369E">
        <w:t xml:space="preserve"> </w:t>
      </w:r>
      <w:r w:rsidR="00B9589E">
        <w:t xml:space="preserve">de </w:t>
      </w:r>
      <w:r w:rsidR="006C00D2">
        <w:t>se doter</w:t>
      </w:r>
      <w:r w:rsidR="00B9589E">
        <w:t xml:space="preserve"> de politiques et de programmes sociaux. </w:t>
      </w:r>
      <w:r w:rsidR="00320D82">
        <w:t xml:space="preserve">  </w:t>
      </w:r>
    </w:p>
    <w:p w14:paraId="3093FE57" w14:textId="77777777" w:rsidR="00685971" w:rsidRDefault="00685971" w:rsidP="00746986">
      <w:pPr>
        <w:jc w:val="both"/>
      </w:pPr>
    </w:p>
    <w:p w14:paraId="1859ABA3" w14:textId="42A29FBA" w:rsidR="005D50F4" w:rsidRPr="005D50F4" w:rsidRDefault="00AA3AC4" w:rsidP="00746986">
      <w:pPr>
        <w:jc w:val="both"/>
        <w:rPr>
          <w:color w:val="008000"/>
        </w:rPr>
      </w:pPr>
      <w:r>
        <w:t xml:space="preserve">Un défi que </w:t>
      </w:r>
      <w:r w:rsidR="0017178E">
        <w:t>rencontrent</w:t>
      </w:r>
      <w:r>
        <w:t xml:space="preserve"> les États qui se dotent de programmes sociaux généreux est de devoir </w:t>
      </w:r>
      <w:r w:rsidR="0017178E">
        <w:t>délimiter</w:t>
      </w:r>
      <w:r>
        <w:t xml:space="preserve"> l'accès à ceux-ci afin de préserver leur rôle premier d'aide aux personnes ayant des ressources limitées. </w:t>
      </w:r>
      <w:r w:rsidR="00685971">
        <w:t>C</w:t>
      </w:r>
      <w:r>
        <w:t>ette délimitation s'effectue très souvent de pair avec des mécaniques de récupérations faisant intervenir le revenu fiscal, l'établissement de seuils ainsi que l'utilisation de taux de récupération. Ce mode de fonctionnement conduit à des résultats qui peuvent démotiver les bénéficiaires à adhérer à l'épargne ou au marché du travail. À titre d'exemple, le Supplément de revenu garanti est réduit de 1 $ pour chaque 2 $ de revenu gagné (autre que la PSV et le SRG), la détermination</w:t>
      </w:r>
      <w:r w:rsidR="0086482D">
        <w:t xml:space="preserve"> de la PSV est aussi soumise à une mécanique de réduction lorsque le revenu atteint un certain seuil (environ 72 000</w:t>
      </w:r>
      <w:r w:rsidR="004D2FF1">
        <w:t>)</w:t>
      </w:r>
      <w:r w:rsidR="0086482D">
        <w:t xml:space="preserve">. Ce concept de récupération des programmes sociaux </w:t>
      </w:r>
      <w:r w:rsidR="0017178E">
        <w:t>contribue à hausser les</w:t>
      </w:r>
      <w:r w:rsidR="0086482D">
        <w:t xml:space="preserve"> </w:t>
      </w:r>
      <w:r w:rsidR="004D2FF1" w:rsidRPr="004D2FF1">
        <w:rPr>
          <w:color w:val="FF6700" w:themeColor="accent3"/>
        </w:rPr>
        <w:t>TAUX EFFECTIFS MARGINAUX D'IMPÔT</w:t>
      </w:r>
      <w:r w:rsidR="0086482D" w:rsidRPr="004D2FF1">
        <w:rPr>
          <w:color w:val="FF6700" w:themeColor="accent3"/>
        </w:rPr>
        <w:t xml:space="preserve"> (TEMI)</w:t>
      </w:r>
      <w:r w:rsidR="0086482D">
        <w:t xml:space="preserve"> puisqu'il s'apparente</w:t>
      </w:r>
      <w:r w:rsidR="0017178E">
        <w:t>, en substance,</w:t>
      </w:r>
      <w:r w:rsidR="0086482D">
        <w:t xml:space="preserve"> à </w:t>
      </w:r>
      <w:r w:rsidR="00783421">
        <w:t>une forme d</w:t>
      </w:r>
      <w:r w:rsidR="0086482D">
        <w:t>'impôt qui n'est pas reconnu</w:t>
      </w:r>
      <w:r w:rsidR="00783421">
        <w:t>e</w:t>
      </w:r>
      <w:r w:rsidR="0086482D">
        <w:t xml:space="preserve"> comme tel</w:t>
      </w:r>
      <w:r w:rsidR="00783421">
        <w:t>le</w:t>
      </w:r>
      <w:r w:rsidR="0086482D">
        <w:t>.</w:t>
      </w:r>
      <w:r w:rsidR="004D2FF1">
        <w:t xml:space="preserve"> </w:t>
      </w:r>
      <w:r w:rsidR="005D50F4">
        <w:t xml:space="preserve">Étant donné l'importance de ses programmes sociaux, ce phénomène est très répandu au Québec. Les TEMI doivent faire l'objet d'une attention particulière lorsque l'on planifie </w:t>
      </w:r>
      <w:r w:rsidR="004D2FF1">
        <w:t>ses</w:t>
      </w:r>
      <w:r w:rsidR="005D50F4">
        <w:t xml:space="preserve"> finances. Ils seront abordés notamment lorsque nous discuterons de la PSV et du SRG, ainsi qu'au </w:t>
      </w:r>
      <w:r w:rsidR="005D50F4">
        <w:rPr>
          <w:color w:val="008000"/>
        </w:rPr>
        <w:t xml:space="preserve">SUJET 6 </w:t>
      </w:r>
      <w:r w:rsidR="005D50F4" w:rsidRPr="005D50F4">
        <w:t>portant sur la fiscalité.</w:t>
      </w:r>
    </w:p>
    <w:p w14:paraId="02489706" w14:textId="77777777" w:rsidR="00D47B39" w:rsidRPr="00746986" w:rsidRDefault="00D47B39" w:rsidP="00746986">
      <w:pPr>
        <w:jc w:val="both"/>
      </w:pPr>
    </w:p>
    <w:p w14:paraId="65F98AFE" w14:textId="77777777" w:rsidR="00FD0F0D" w:rsidRDefault="00FD0F0D" w:rsidP="006C34CF">
      <w:pPr>
        <w:pStyle w:val="Titre2"/>
        <w:numPr>
          <w:ilvl w:val="1"/>
          <w:numId w:val="6"/>
        </w:numPr>
        <w:tabs>
          <w:tab w:val="left" w:pos="567"/>
          <w:tab w:val="left" w:pos="1134"/>
        </w:tabs>
        <w:ind w:hanging="792"/>
        <w:rPr>
          <w:szCs w:val="28"/>
        </w:rPr>
      </w:pPr>
      <w:bookmarkStart w:id="14" w:name="_Toc314397814"/>
      <w:bookmarkStart w:id="15" w:name="_Toc443569358"/>
      <w:r w:rsidRPr="007B5563">
        <w:rPr>
          <w:szCs w:val="28"/>
        </w:rPr>
        <w:t>Au fédéral</w:t>
      </w:r>
      <w:bookmarkEnd w:id="14"/>
      <w:bookmarkEnd w:id="15"/>
    </w:p>
    <w:p w14:paraId="23FD37DC" w14:textId="77777777" w:rsidR="00295900" w:rsidRDefault="00295900" w:rsidP="00295900"/>
    <w:p w14:paraId="4454C711" w14:textId="30DAF622" w:rsidR="00295900" w:rsidRDefault="00295900" w:rsidP="008E7FE6">
      <w:pPr>
        <w:jc w:val="both"/>
      </w:pPr>
      <w:r>
        <w:t>Le gouvernement fédéral contribue aux ressources financières de sa population ainée par</w:t>
      </w:r>
      <w:r w:rsidR="00DE5211">
        <w:t xml:space="preserve"> son programme de la Sécurité de la vieillesse. Tous les résidents canadiens</w:t>
      </w:r>
      <w:r w:rsidR="00283D20">
        <w:t xml:space="preserve"> (depuis un minimum de 10 années)</w:t>
      </w:r>
      <w:r w:rsidR="00DE5211">
        <w:t xml:space="preserve"> y ont </w:t>
      </w:r>
      <w:r w:rsidR="008E7FE6">
        <w:t>accès</w:t>
      </w:r>
      <w:r w:rsidR="00DE5211">
        <w:t xml:space="preserve"> à compter de l'âge de 65 ans. </w:t>
      </w:r>
      <w:r w:rsidR="008E7FE6">
        <w:t>Contrairement au régime québécois d</w:t>
      </w:r>
      <w:r w:rsidR="00283D20">
        <w:t>u</w:t>
      </w:r>
      <w:r w:rsidR="008E7FE6">
        <w:t xml:space="preserve"> RRQ, </w:t>
      </w:r>
      <w:r w:rsidR="00DF3981">
        <w:t>il</w:t>
      </w:r>
      <w:r w:rsidR="008E7FE6">
        <w:t xml:space="preserve"> </w:t>
      </w:r>
      <w:r w:rsidR="00DF3981">
        <w:t>n’est</w:t>
      </w:r>
      <w:r w:rsidR="008E7FE6">
        <w:t xml:space="preserve"> pas nécessaire d'avoir été " travailleur " pour avoir droit aux bénéfices du régime fédéral.</w:t>
      </w:r>
    </w:p>
    <w:p w14:paraId="31560F56" w14:textId="23D2C081" w:rsidR="00FD0F0D" w:rsidRDefault="00FD0F0D" w:rsidP="006C34CF">
      <w:pPr>
        <w:pStyle w:val="Titre3"/>
        <w:numPr>
          <w:ilvl w:val="2"/>
          <w:numId w:val="6"/>
        </w:numPr>
        <w:ind w:left="709" w:hanging="709"/>
      </w:pPr>
      <w:bookmarkStart w:id="16" w:name="_Toc314397815"/>
      <w:bookmarkStart w:id="17" w:name="_Toc443569359"/>
      <w:r>
        <w:lastRenderedPageBreak/>
        <w:t xml:space="preserve">Le programme de la </w:t>
      </w:r>
      <w:r w:rsidR="00B248D5">
        <w:t>S</w:t>
      </w:r>
      <w:r>
        <w:t>écurité de</w:t>
      </w:r>
      <w:r w:rsidR="00EC5142">
        <w:t xml:space="preserve"> la</w:t>
      </w:r>
      <w:r>
        <w:t xml:space="preserve"> vieillesse</w:t>
      </w:r>
      <w:bookmarkEnd w:id="16"/>
      <w:bookmarkEnd w:id="17"/>
    </w:p>
    <w:p w14:paraId="752530AD" w14:textId="77777777" w:rsidR="0086575F" w:rsidRDefault="0086575F" w:rsidP="00FD0F0D"/>
    <w:p w14:paraId="3899BB4E" w14:textId="16EDF100" w:rsidR="008E7FE6" w:rsidRDefault="0089570A" w:rsidP="00FD0F0D">
      <w:r>
        <w:rPr>
          <w:noProof/>
          <w:lang w:eastAsia="fr-FR"/>
        </w:rPr>
        <mc:AlternateContent>
          <mc:Choice Requires="wps">
            <w:drawing>
              <wp:anchor distT="0" distB="0" distL="114300" distR="114300" simplePos="0" relativeHeight="251811840" behindDoc="0" locked="0" layoutInCell="1" allowOverlap="1" wp14:anchorId="522AC798" wp14:editId="778349F3">
                <wp:simplePos x="0" y="0"/>
                <wp:positionH relativeFrom="column">
                  <wp:posOffset>4000500</wp:posOffset>
                </wp:positionH>
                <wp:positionV relativeFrom="paragraph">
                  <wp:posOffset>296545</wp:posOffset>
                </wp:positionV>
                <wp:extent cx="1371600" cy="571500"/>
                <wp:effectExtent l="76200" t="76200" r="76200" b="63500"/>
                <wp:wrapNone/>
                <wp:docPr id="40" name="Flèche vers la gauche 40"/>
                <wp:cNvGraphicFramePr/>
                <a:graphic xmlns:a="http://schemas.openxmlformats.org/drawingml/2006/main">
                  <a:graphicData uri="http://schemas.microsoft.com/office/word/2010/wordprocessingShape">
                    <wps:wsp>
                      <wps:cNvSpPr/>
                      <wps:spPr>
                        <a:xfrm>
                          <a:off x="0" y="0"/>
                          <a:ext cx="1371600" cy="571500"/>
                        </a:xfrm>
                        <a:prstGeom prst="leftArrow">
                          <a:avLst/>
                        </a:prstGeom>
                        <a:solidFill>
                          <a:schemeClr val="accent3">
                            <a:lumMod val="60000"/>
                            <a:lumOff val="40000"/>
                          </a:schemeClr>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F089AC5" w14:textId="36719674" w:rsidR="00573C95" w:rsidRPr="003B042F" w:rsidRDefault="00573C95"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Universelle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vers la gauche 40" o:spid="_x0000_s1034" type="#_x0000_t66" style="position:absolute;margin-left:315pt;margin-top:23.35pt;width:108pt;height:4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" adj="4500" fillcolor="#ffa366 [1942]" strokecolor="black [3213]">
                <v:textbox>
                  <w:txbxContent>
                    <w:p w14:paraId="6F089AC5" w14:textId="36719674" w:rsidR="001501D6" w:rsidRPr="003B042F" w:rsidRDefault="001501D6"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Universelle</w:t>
                      </w:r>
                    </w:p>
                  </w:txbxContent>
                </v:textbox>
              </v:shape>
            </w:pict>
          </mc:Fallback>
        </mc:AlternateContent>
      </w:r>
      <w:r w:rsidR="00DE5211">
        <w:t xml:space="preserve">Le programme de la Sécurité de la vieillesse </w:t>
      </w:r>
      <w:r w:rsidR="008E7FE6">
        <w:t>comporte quatre volets ayant des critères d'admissibilité qui sont variables. Les quatre types de prestations sont:</w:t>
      </w:r>
    </w:p>
    <w:p w14:paraId="0AB2B6BE" w14:textId="2B81357E" w:rsidR="008E7FE6" w:rsidRDefault="008E7FE6" w:rsidP="00FD0F0D"/>
    <w:p w14:paraId="12D3A1EC" w14:textId="4835698C" w:rsidR="00DE5211" w:rsidRDefault="008E7FE6" w:rsidP="006C34CF">
      <w:pPr>
        <w:pStyle w:val="Paragraphedeliste"/>
        <w:numPr>
          <w:ilvl w:val="0"/>
          <w:numId w:val="9"/>
        </w:numPr>
      </w:pPr>
      <w:r>
        <w:t>La pension de la Sécurité de la vieillesse (PSV)</w:t>
      </w:r>
      <w:r w:rsidR="0089570A" w:rsidRPr="0089570A">
        <w:rPr>
          <w:noProof/>
          <w:lang w:eastAsia="fr-FR"/>
        </w:rPr>
        <w:t xml:space="preserve"> </w:t>
      </w:r>
    </w:p>
    <w:p w14:paraId="5DF54609" w14:textId="7E08A1C8" w:rsidR="008E7FE6" w:rsidRDefault="0089570A" w:rsidP="008E7FE6">
      <w:pPr>
        <w:ind w:left="67"/>
      </w:pPr>
      <w:r>
        <w:rPr>
          <w:noProof/>
          <w:lang w:eastAsia="fr-FR"/>
        </w:rPr>
        <mc:AlternateContent>
          <mc:Choice Requires="wps">
            <w:drawing>
              <wp:anchor distT="0" distB="0" distL="114300" distR="114300" simplePos="0" relativeHeight="251813888" behindDoc="0" locked="0" layoutInCell="1" allowOverlap="1" wp14:anchorId="1AB0A08B" wp14:editId="5DC11832">
                <wp:simplePos x="0" y="0"/>
                <wp:positionH relativeFrom="column">
                  <wp:posOffset>3543300</wp:posOffset>
                </wp:positionH>
                <wp:positionV relativeFrom="paragraph">
                  <wp:posOffset>6350</wp:posOffset>
                </wp:positionV>
                <wp:extent cx="1371600" cy="571500"/>
                <wp:effectExtent l="76200" t="76200" r="76200" b="63500"/>
                <wp:wrapNone/>
                <wp:docPr id="48" name="Flèche vers la gauche 48"/>
                <wp:cNvGraphicFramePr/>
                <a:graphic xmlns:a="http://schemas.openxmlformats.org/drawingml/2006/main">
                  <a:graphicData uri="http://schemas.microsoft.com/office/word/2010/wordprocessingShape">
                    <wps:wsp>
                      <wps:cNvSpPr/>
                      <wps:spPr>
                        <a:xfrm>
                          <a:off x="0" y="0"/>
                          <a:ext cx="1371600" cy="571500"/>
                        </a:xfrm>
                        <a:prstGeom prst="leftArrow">
                          <a:avLst/>
                        </a:prstGeom>
                        <a:solidFill>
                          <a:srgbClr val="CCFFCC"/>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113D798" w14:textId="12D930DE" w:rsidR="00573C95" w:rsidRPr="003B042F" w:rsidRDefault="00573C95"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48" o:spid="_x0000_s1035" type="#_x0000_t66" style="position:absolute;left:0;text-align:left;margin-left:279pt;margin-top:.5pt;width:108pt;height:4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" adj="4500" fillcolor="#cfc">
                <v:textbox>
                  <w:txbxContent>
                    <w:p w14:paraId="7113D798" w14:textId="12D930DE" w:rsidR="001501D6" w:rsidRPr="003B042F" w:rsidRDefault="001501D6"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v:textbox>
              </v:shape>
            </w:pict>
          </mc:Fallback>
        </mc:AlternateContent>
      </w:r>
    </w:p>
    <w:p w14:paraId="1F3E5EA6" w14:textId="6FB58C3F" w:rsidR="008E7FE6" w:rsidRDefault="003B042F" w:rsidP="006C34CF">
      <w:pPr>
        <w:pStyle w:val="Paragraphedeliste"/>
        <w:numPr>
          <w:ilvl w:val="0"/>
          <w:numId w:val="9"/>
        </w:numPr>
      </w:pPr>
      <w:r>
        <w:rPr>
          <w:noProof/>
          <w:lang w:eastAsia="fr-FR"/>
        </w:rPr>
        <mc:AlternateContent>
          <mc:Choice Requires="wps">
            <w:drawing>
              <wp:anchor distT="0" distB="0" distL="114300" distR="114300" simplePos="0" relativeHeight="251815936" behindDoc="0" locked="0" layoutInCell="1" allowOverlap="1" wp14:anchorId="7F5D1F02" wp14:editId="67ACA2A9">
                <wp:simplePos x="0" y="0"/>
                <wp:positionH relativeFrom="column">
                  <wp:posOffset>1600200</wp:posOffset>
                </wp:positionH>
                <wp:positionV relativeFrom="paragraph">
                  <wp:posOffset>162560</wp:posOffset>
                </wp:positionV>
                <wp:extent cx="1371600" cy="571500"/>
                <wp:effectExtent l="76200" t="76200" r="76200" b="63500"/>
                <wp:wrapNone/>
                <wp:docPr id="51" name="Flèche vers la gauche 51"/>
                <wp:cNvGraphicFramePr/>
                <a:graphic xmlns:a="http://schemas.openxmlformats.org/drawingml/2006/main">
                  <a:graphicData uri="http://schemas.microsoft.com/office/word/2010/wordprocessingShape">
                    <wps:wsp>
                      <wps:cNvSpPr/>
                      <wps:spPr>
                        <a:xfrm>
                          <a:off x="0" y="0"/>
                          <a:ext cx="1371600" cy="571500"/>
                        </a:xfrm>
                        <a:prstGeom prst="leftArrow">
                          <a:avLst/>
                        </a:prstGeom>
                        <a:solidFill>
                          <a:srgbClr val="CCFFCC"/>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88C4277" w14:textId="77777777" w:rsidR="00573C95" w:rsidRPr="003B042F" w:rsidRDefault="00573C95"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51" o:spid="_x0000_s1036" type="#_x0000_t66" style="position:absolute;left:0;text-align:left;margin-left:126pt;margin-top:12.8pt;width:108pt;height:4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" adj="4500" fillcolor="#cfc">
                <v:textbox>
                  <w:txbxContent>
                    <w:p w14:paraId="088C4277" w14:textId="77777777" w:rsidR="001501D6" w:rsidRPr="003B042F" w:rsidRDefault="001501D6"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v:textbox>
              </v:shape>
            </w:pict>
          </mc:Fallback>
        </mc:AlternateContent>
      </w:r>
      <w:r w:rsidR="008E7FE6">
        <w:t>Le Supplément de revenu garanti (SRG)</w:t>
      </w:r>
    </w:p>
    <w:p w14:paraId="5A3B8465" w14:textId="6FF045E0" w:rsidR="008E7FE6" w:rsidRDefault="008E7FE6" w:rsidP="008E7FE6">
      <w:pPr>
        <w:ind w:left="67"/>
      </w:pPr>
    </w:p>
    <w:p w14:paraId="623E336E" w14:textId="505A63FE" w:rsidR="008E7FE6" w:rsidRDefault="00D73918" w:rsidP="006C34CF">
      <w:pPr>
        <w:pStyle w:val="Paragraphedeliste"/>
        <w:numPr>
          <w:ilvl w:val="0"/>
          <w:numId w:val="9"/>
        </w:numPr>
      </w:pPr>
      <w:r>
        <w:t>L'allocation</w:t>
      </w:r>
    </w:p>
    <w:p w14:paraId="02DFA349" w14:textId="6428CC38" w:rsidR="00D73918" w:rsidRDefault="003B042F" w:rsidP="00D73918">
      <w:pPr>
        <w:ind w:left="67"/>
      </w:pPr>
      <w:r>
        <w:rPr>
          <w:noProof/>
          <w:lang w:eastAsia="fr-FR"/>
        </w:rPr>
        <mc:AlternateContent>
          <mc:Choice Requires="wps">
            <w:drawing>
              <wp:anchor distT="0" distB="0" distL="114300" distR="114300" simplePos="0" relativeHeight="251817984" behindDoc="0" locked="0" layoutInCell="1" allowOverlap="1" wp14:anchorId="72B07619" wp14:editId="166F7D67">
                <wp:simplePos x="0" y="0"/>
                <wp:positionH relativeFrom="column">
                  <wp:posOffset>2400300</wp:posOffset>
                </wp:positionH>
                <wp:positionV relativeFrom="paragraph">
                  <wp:posOffset>59055</wp:posOffset>
                </wp:positionV>
                <wp:extent cx="1371600" cy="571500"/>
                <wp:effectExtent l="76200" t="76200" r="76200" b="63500"/>
                <wp:wrapNone/>
                <wp:docPr id="53" name="Flèche vers la gauche 53"/>
                <wp:cNvGraphicFramePr/>
                <a:graphic xmlns:a="http://schemas.openxmlformats.org/drawingml/2006/main">
                  <a:graphicData uri="http://schemas.microsoft.com/office/word/2010/wordprocessingShape">
                    <wps:wsp>
                      <wps:cNvSpPr/>
                      <wps:spPr>
                        <a:xfrm>
                          <a:off x="0" y="0"/>
                          <a:ext cx="1371600" cy="571500"/>
                        </a:xfrm>
                        <a:prstGeom prst="leftArrow">
                          <a:avLst/>
                        </a:prstGeom>
                        <a:solidFill>
                          <a:srgbClr val="CCFFCC"/>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BCA9938" w14:textId="77777777" w:rsidR="00573C95" w:rsidRPr="003B042F" w:rsidRDefault="00573C95" w:rsidP="003B042F">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53" o:spid="_x0000_s1037" type="#_x0000_t66" style="position:absolute;left:0;text-align:left;margin-left:189pt;margin-top:4.65pt;width:108pt;height:4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" adj="4500" fillcolor="#cfc">
                <v:textbox>
                  <w:txbxContent>
                    <w:p w14:paraId="5BCA9938" w14:textId="77777777" w:rsidR="001501D6" w:rsidRPr="003B042F" w:rsidRDefault="001501D6" w:rsidP="003B042F">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v:textbox>
              </v:shape>
            </w:pict>
          </mc:Fallback>
        </mc:AlternateContent>
      </w:r>
    </w:p>
    <w:p w14:paraId="710E419B" w14:textId="4F81CC94" w:rsidR="00D73918" w:rsidRDefault="00D73918" w:rsidP="006C34CF">
      <w:pPr>
        <w:pStyle w:val="Paragraphedeliste"/>
        <w:numPr>
          <w:ilvl w:val="0"/>
          <w:numId w:val="9"/>
        </w:numPr>
      </w:pPr>
      <w:r>
        <w:t>L'allocation au survivant</w:t>
      </w:r>
    </w:p>
    <w:p w14:paraId="3A1EED49" w14:textId="0DCF48CE" w:rsidR="00D73918" w:rsidRDefault="00D73918" w:rsidP="00D73918">
      <w:pPr>
        <w:ind w:left="67"/>
      </w:pPr>
    </w:p>
    <w:p w14:paraId="41923969" w14:textId="77777777" w:rsidR="00D73918" w:rsidRDefault="00D73918" w:rsidP="00D73918">
      <w:pPr>
        <w:ind w:left="67"/>
      </w:pPr>
    </w:p>
    <w:p w14:paraId="6602A8AC" w14:textId="7B578209" w:rsidR="00CC4B73" w:rsidRDefault="003B042F" w:rsidP="00950CE8">
      <w:pPr>
        <w:ind w:left="67"/>
        <w:jc w:val="both"/>
      </w:pPr>
      <w:r>
        <w:t xml:space="preserve">Les prestations </w:t>
      </w:r>
      <w:r w:rsidR="004F441C">
        <w:t>de la pension de la Sécurité de vieillesse sont considérées comme universelle</w:t>
      </w:r>
      <w:r w:rsidR="00950CE8">
        <w:t>s</w:t>
      </w:r>
      <w:r w:rsidR="004F441C">
        <w:t xml:space="preserve"> puisque près de 100 %</w:t>
      </w:r>
      <w:r w:rsidR="00950CE8">
        <w:rPr>
          <w:rStyle w:val="Marquenotebasdepage"/>
        </w:rPr>
        <w:footnoteReference w:customMarkFollows="1" w:id="7"/>
        <w:t>6</w:t>
      </w:r>
      <w:r w:rsidR="004F441C">
        <w:t xml:space="preserve"> des </w:t>
      </w:r>
      <w:r w:rsidR="00DF3981">
        <w:t>Québécois</w:t>
      </w:r>
      <w:r w:rsidR="004F441C">
        <w:t xml:space="preserve"> âgés de 65 ans et plus y ont droit (ce montant devient nul lorsque le revenu du contribuable excède environ 116 000 $)</w:t>
      </w:r>
      <w:r w:rsidR="00950CE8">
        <w:t xml:space="preserve"> </w:t>
      </w:r>
      <w:r w:rsidR="004F441C">
        <w:t xml:space="preserve">alors que ce taux </w:t>
      </w:r>
      <w:r w:rsidR="00950CE8">
        <w:t xml:space="preserve">d'adhésion </w:t>
      </w:r>
      <w:r w:rsidR="004F441C">
        <w:t>chute à 45 %</w:t>
      </w:r>
      <w:r w:rsidR="00950CE8">
        <w:rPr>
          <w:rStyle w:val="Marquenotebasdepage"/>
        </w:rPr>
        <w:footnoteReference w:customMarkFollows="1" w:id="8"/>
        <w:t>6</w:t>
      </w:r>
      <w:r w:rsidR="004F441C">
        <w:t xml:space="preserve"> pour le Supplément de revenu garanti. </w:t>
      </w:r>
      <w:r w:rsidR="00CC4B73">
        <w:t xml:space="preserve"> Cet ouvrage mettra l'emphase </w:t>
      </w:r>
      <w:r w:rsidR="00DF3981">
        <w:t>sur</w:t>
      </w:r>
      <w:r w:rsidR="00CC4B73">
        <w:t xml:space="preserve"> ces deux types de prestations. </w:t>
      </w:r>
    </w:p>
    <w:p w14:paraId="1A10890D" w14:textId="77777777" w:rsidR="00CC4B73" w:rsidRDefault="00CC4B73" w:rsidP="00950CE8">
      <w:pPr>
        <w:ind w:left="67"/>
        <w:jc w:val="both"/>
      </w:pPr>
    </w:p>
    <w:p w14:paraId="6708078E" w14:textId="22B8F84C" w:rsidR="002015AF" w:rsidRDefault="00CC4B73" w:rsidP="00950CE8">
      <w:pPr>
        <w:ind w:left="67"/>
        <w:jc w:val="both"/>
      </w:pPr>
      <w:r>
        <w:t xml:space="preserve">Pour </w:t>
      </w:r>
      <w:r w:rsidRPr="00CD28AE">
        <w:rPr>
          <w:u w:val="single"/>
        </w:rPr>
        <w:t>l'allocation</w:t>
      </w:r>
      <w:r>
        <w:t xml:space="preserve"> et </w:t>
      </w:r>
      <w:r w:rsidRPr="00CD28AE">
        <w:rPr>
          <w:u w:val="single"/>
        </w:rPr>
        <w:t>l'allocation au survivant</w:t>
      </w:r>
      <w:r>
        <w:t>, retenons que ces prestations sont transitoires (de 60 à 64 ans) et qu'elle</w:t>
      </w:r>
      <w:r w:rsidR="002015AF">
        <w:t>s</w:t>
      </w:r>
      <w:r>
        <w:t xml:space="preserve"> vise</w:t>
      </w:r>
      <w:r w:rsidR="002015AF">
        <w:t>nt</w:t>
      </w:r>
      <w:r>
        <w:t xml:space="preserve"> à apporter un support </w:t>
      </w:r>
      <w:r w:rsidR="00CD28AE">
        <w:t xml:space="preserve">financier </w:t>
      </w:r>
      <w:r>
        <w:t xml:space="preserve">à un </w:t>
      </w:r>
      <w:r w:rsidR="00DF3981">
        <w:t>particulier,</w:t>
      </w:r>
      <w:r>
        <w:t xml:space="preserve"> dont le </w:t>
      </w:r>
      <w:r w:rsidR="00DF3981">
        <w:t>conjoint,</w:t>
      </w:r>
      <w:r>
        <w:t xml:space="preserve"> </w:t>
      </w:r>
      <w:r w:rsidR="00C04EAD">
        <w:t>est</w:t>
      </w:r>
      <w:r w:rsidR="002015AF">
        <w:t>:</w:t>
      </w:r>
    </w:p>
    <w:p w14:paraId="4813EC37" w14:textId="77777777" w:rsidR="002015AF" w:rsidRDefault="002015AF" w:rsidP="00950CE8">
      <w:pPr>
        <w:ind w:left="67"/>
        <w:jc w:val="both"/>
      </w:pPr>
    </w:p>
    <w:p w14:paraId="58D4B383" w14:textId="6C41CBC7" w:rsidR="002015AF" w:rsidRPr="00C04EAD" w:rsidRDefault="00C04EAD" w:rsidP="006C34CF">
      <w:pPr>
        <w:pStyle w:val="Paragraphedeliste"/>
        <w:numPr>
          <w:ilvl w:val="0"/>
          <w:numId w:val="9"/>
        </w:numPr>
        <w:jc w:val="both"/>
      </w:pPr>
      <w:r>
        <w:t>Admissible</w:t>
      </w:r>
      <w:r w:rsidR="00CC4B73">
        <w:t xml:space="preserve"> au Supplément de revenu garanti</w:t>
      </w:r>
      <w:r w:rsidR="00CD28AE">
        <w:t xml:space="preserve"> dans le cas de </w:t>
      </w:r>
      <w:r w:rsidR="00CD28AE" w:rsidRPr="002015AF">
        <w:rPr>
          <w:u w:val="single"/>
        </w:rPr>
        <w:t>l'allocation</w:t>
      </w:r>
    </w:p>
    <w:p w14:paraId="070E6411" w14:textId="77777777" w:rsidR="00C04EAD" w:rsidRPr="002015AF" w:rsidRDefault="00C04EAD" w:rsidP="00C04EAD">
      <w:pPr>
        <w:ind w:left="67"/>
        <w:jc w:val="both"/>
      </w:pPr>
    </w:p>
    <w:p w14:paraId="2A8E2A90" w14:textId="30DA1EEA" w:rsidR="002015AF" w:rsidRDefault="00C04EAD" w:rsidP="006C34CF">
      <w:pPr>
        <w:pStyle w:val="Paragraphedeliste"/>
        <w:numPr>
          <w:ilvl w:val="0"/>
          <w:numId w:val="9"/>
        </w:numPr>
        <w:jc w:val="both"/>
      </w:pPr>
      <w:r>
        <w:t xml:space="preserve">Décédé dans le cas de </w:t>
      </w:r>
      <w:r w:rsidR="00CD28AE" w:rsidRPr="002015AF">
        <w:rPr>
          <w:u w:val="single"/>
        </w:rPr>
        <w:t>l'allocation au surviv</w:t>
      </w:r>
      <w:r w:rsidR="002015AF" w:rsidRPr="002015AF">
        <w:rPr>
          <w:u w:val="single"/>
        </w:rPr>
        <w:t>ant</w:t>
      </w:r>
      <w:r w:rsidR="002015AF">
        <w:t xml:space="preserve"> </w:t>
      </w:r>
    </w:p>
    <w:p w14:paraId="6701B813" w14:textId="77777777" w:rsidR="002015AF" w:rsidRDefault="002015AF" w:rsidP="002015AF">
      <w:pPr>
        <w:ind w:left="67"/>
        <w:jc w:val="both"/>
      </w:pPr>
    </w:p>
    <w:p w14:paraId="114F2273" w14:textId="7114159D" w:rsidR="00D73918" w:rsidRDefault="002015AF" w:rsidP="002015AF">
      <w:pPr>
        <w:ind w:left="67"/>
        <w:jc w:val="both"/>
      </w:pPr>
      <w:r>
        <w:t xml:space="preserve">Ces mesures transitoires cessent au moment où le contribuable devient admissible à la PSV et au SRG. </w:t>
      </w:r>
    </w:p>
    <w:p w14:paraId="3D990661" w14:textId="6FBB02C0" w:rsidR="002E77EE" w:rsidRPr="004517E6" w:rsidRDefault="002E77EE" w:rsidP="006C34CF">
      <w:pPr>
        <w:pStyle w:val="Titre4"/>
        <w:numPr>
          <w:ilvl w:val="3"/>
          <w:numId w:val="19"/>
        </w:numPr>
      </w:pPr>
      <w:bookmarkStart w:id="18" w:name="_Toc314397816"/>
      <w:bookmarkStart w:id="19" w:name="_Toc443569360"/>
      <w:r>
        <w:lastRenderedPageBreak/>
        <w:t xml:space="preserve">La pension de la </w:t>
      </w:r>
      <w:r w:rsidR="002028D7">
        <w:t>S</w:t>
      </w:r>
      <w:r>
        <w:t>écurité de la vieillesse</w:t>
      </w:r>
      <w:bookmarkEnd w:id="18"/>
      <w:bookmarkEnd w:id="19"/>
    </w:p>
    <w:p w14:paraId="0ECE21D8" w14:textId="77777777" w:rsidR="00A278D6" w:rsidRDefault="00A278D6" w:rsidP="00A278D6"/>
    <w:p w14:paraId="14F51D09" w14:textId="1AD9AABD" w:rsidR="00A278D6" w:rsidRPr="000F289D" w:rsidRDefault="00A278D6" w:rsidP="006C34CF">
      <w:pPr>
        <w:pStyle w:val="Paragraphedeliste"/>
        <w:numPr>
          <w:ilvl w:val="0"/>
          <w:numId w:val="10"/>
        </w:numPr>
        <w:rPr>
          <w:color w:val="FF6700" w:themeColor="accent3"/>
        </w:rPr>
      </w:pPr>
      <w:r w:rsidRPr="000F289D">
        <w:rPr>
          <w:color w:val="FF6700" w:themeColor="accent3"/>
        </w:rPr>
        <w:t>Établissement des montants</w:t>
      </w:r>
    </w:p>
    <w:p w14:paraId="21D0C886" w14:textId="77777777" w:rsidR="00A278D6" w:rsidRDefault="00A278D6" w:rsidP="00A278D6"/>
    <w:p w14:paraId="6B890CD3" w14:textId="77777777" w:rsidR="00456B53" w:rsidRDefault="00456B53" w:rsidP="00A278D6"/>
    <w:tbl>
      <w:tblPr>
        <w:tblStyle w:val="Listeclaire-Accent4"/>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369"/>
        <w:gridCol w:w="3260"/>
        <w:gridCol w:w="4111"/>
        <w:gridCol w:w="2482"/>
      </w:tblGrid>
      <w:tr w:rsidR="00A278D6" w14:paraId="31836F4E" w14:textId="13F5B237" w:rsidTr="00456B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28F5D0E2" w14:textId="63C3C929" w:rsidR="00A278D6" w:rsidRDefault="00A278D6" w:rsidP="00A278D6">
            <w:pPr>
              <w:jc w:val="center"/>
            </w:pPr>
            <w:r>
              <w:t>Prestation annuelle</w:t>
            </w:r>
          </w:p>
        </w:tc>
        <w:tc>
          <w:tcPr>
            <w:tcW w:w="3260" w:type="dxa"/>
          </w:tcPr>
          <w:p w14:paraId="795B3C40" w14:textId="69091A0F" w:rsidR="00A278D6" w:rsidRDefault="00A278D6" w:rsidP="00A278D6">
            <w:pPr>
              <w:jc w:val="center"/>
              <w:cnfStyle w:val="100000000000" w:firstRow="1" w:lastRow="0" w:firstColumn="0" w:lastColumn="0" w:oddVBand="0" w:evenVBand="0" w:oddHBand="0" w:evenHBand="0" w:firstRowFirstColumn="0" w:firstRowLastColumn="0" w:lastRowFirstColumn="0" w:lastRowLastColumn="0"/>
            </w:pPr>
            <w:r>
              <w:t>Seuil de réduction</w:t>
            </w:r>
          </w:p>
        </w:tc>
        <w:tc>
          <w:tcPr>
            <w:tcW w:w="4111" w:type="dxa"/>
          </w:tcPr>
          <w:p w14:paraId="3C234E66" w14:textId="1D39AE6F" w:rsidR="00A278D6" w:rsidRDefault="00A278D6" w:rsidP="00A278D6">
            <w:pPr>
              <w:jc w:val="center"/>
              <w:cnfStyle w:val="100000000000" w:firstRow="1" w:lastRow="0" w:firstColumn="0" w:lastColumn="0" w:oddVBand="0" w:evenVBand="0" w:oddHBand="0" w:evenHBand="0" w:firstRowFirstColumn="0" w:firstRowLastColumn="0" w:lastRowFirstColumn="0" w:lastRowLastColumn="0"/>
            </w:pPr>
            <w:r>
              <w:t>Seuil où la PSV devient nulle</w:t>
            </w:r>
          </w:p>
        </w:tc>
        <w:tc>
          <w:tcPr>
            <w:tcW w:w="2482" w:type="dxa"/>
          </w:tcPr>
          <w:p w14:paraId="53C2B59B" w14:textId="48E58AE7" w:rsidR="00A278D6" w:rsidRDefault="00A278D6" w:rsidP="00A278D6">
            <w:pPr>
              <w:jc w:val="center"/>
              <w:cnfStyle w:val="100000000000" w:firstRow="1" w:lastRow="0" w:firstColumn="0" w:lastColumn="0" w:oddVBand="0" w:evenVBand="0" w:oddHBand="0" w:evenHBand="0" w:firstRowFirstColumn="0" w:firstRowLastColumn="0" w:lastRowFirstColumn="0" w:lastRowLastColumn="0"/>
            </w:pPr>
            <w:r>
              <w:t>Taux de réduction</w:t>
            </w:r>
          </w:p>
        </w:tc>
      </w:tr>
      <w:tr w:rsidR="00A278D6" w14:paraId="41729F2C" w14:textId="77777777" w:rsidTr="0045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Borders>
              <w:top w:val="none" w:sz="0" w:space="0" w:color="auto"/>
              <w:left w:val="none" w:sz="0" w:space="0" w:color="auto"/>
              <w:bottom w:val="none" w:sz="0" w:space="0" w:color="auto"/>
            </w:tcBorders>
          </w:tcPr>
          <w:p w14:paraId="61ACCD25" w14:textId="112F55CF" w:rsidR="00A278D6" w:rsidRPr="00AD7BC6" w:rsidRDefault="00A278D6" w:rsidP="00A278D6">
            <w:pPr>
              <w:jc w:val="center"/>
              <w:rPr>
                <w:b w:val="0"/>
              </w:rPr>
            </w:pPr>
            <w:r w:rsidRPr="00AD7BC6">
              <w:rPr>
                <w:b w:val="0"/>
              </w:rPr>
              <w:t>6 765 $</w:t>
            </w:r>
          </w:p>
        </w:tc>
        <w:tc>
          <w:tcPr>
            <w:tcW w:w="3260" w:type="dxa"/>
            <w:tcBorders>
              <w:top w:val="none" w:sz="0" w:space="0" w:color="auto"/>
              <w:bottom w:val="none" w:sz="0" w:space="0" w:color="auto"/>
            </w:tcBorders>
          </w:tcPr>
          <w:p w14:paraId="3D46E2C7" w14:textId="2B4C9274" w:rsidR="00A278D6" w:rsidRDefault="00AD7BC6" w:rsidP="00A278D6">
            <w:pPr>
              <w:jc w:val="center"/>
              <w:cnfStyle w:val="000000100000" w:firstRow="0" w:lastRow="0" w:firstColumn="0" w:lastColumn="0" w:oddVBand="0" w:evenVBand="0" w:oddHBand="1" w:evenHBand="0" w:firstRowFirstColumn="0" w:firstRowLastColumn="0" w:lastRowFirstColumn="0" w:lastRowLastColumn="0"/>
            </w:pPr>
            <w:r>
              <w:t>71 592 $</w:t>
            </w:r>
          </w:p>
        </w:tc>
        <w:tc>
          <w:tcPr>
            <w:tcW w:w="4111" w:type="dxa"/>
            <w:tcBorders>
              <w:top w:val="none" w:sz="0" w:space="0" w:color="auto"/>
              <w:bottom w:val="none" w:sz="0" w:space="0" w:color="auto"/>
            </w:tcBorders>
          </w:tcPr>
          <w:p w14:paraId="6376BA11" w14:textId="1CB746D0" w:rsidR="00A278D6" w:rsidRDefault="00A278D6" w:rsidP="00AD7BC6">
            <w:pPr>
              <w:jc w:val="center"/>
              <w:cnfStyle w:val="000000100000" w:firstRow="0" w:lastRow="0" w:firstColumn="0" w:lastColumn="0" w:oddVBand="0" w:evenVBand="0" w:oddHBand="1" w:evenHBand="0" w:firstRowFirstColumn="0" w:firstRowLastColumn="0" w:lastRowFirstColumn="0" w:lastRowLastColumn="0"/>
            </w:pPr>
            <w:r>
              <w:t>11</w:t>
            </w:r>
            <w:r w:rsidR="00AD7BC6">
              <w:t>6 692</w:t>
            </w:r>
            <w:r>
              <w:t xml:space="preserve"> $</w:t>
            </w:r>
          </w:p>
        </w:tc>
        <w:tc>
          <w:tcPr>
            <w:tcW w:w="2482" w:type="dxa"/>
            <w:tcBorders>
              <w:top w:val="none" w:sz="0" w:space="0" w:color="auto"/>
              <w:bottom w:val="none" w:sz="0" w:space="0" w:color="auto"/>
              <w:right w:val="none" w:sz="0" w:space="0" w:color="auto"/>
            </w:tcBorders>
          </w:tcPr>
          <w:p w14:paraId="5CCD0CD8" w14:textId="52FE2B1D" w:rsidR="00A278D6" w:rsidRDefault="00A278D6" w:rsidP="00A278D6">
            <w:pPr>
              <w:jc w:val="center"/>
              <w:cnfStyle w:val="000000100000" w:firstRow="0" w:lastRow="0" w:firstColumn="0" w:lastColumn="0" w:oddVBand="0" w:evenVBand="0" w:oddHBand="1" w:evenHBand="0" w:firstRowFirstColumn="0" w:firstRowLastColumn="0" w:lastRowFirstColumn="0" w:lastRowLastColumn="0"/>
            </w:pPr>
            <w:r>
              <w:t>15 %</w:t>
            </w:r>
          </w:p>
        </w:tc>
      </w:tr>
    </w:tbl>
    <w:p w14:paraId="3D9970AF" w14:textId="77777777" w:rsidR="00A278D6" w:rsidRDefault="00A278D6" w:rsidP="00A278D6"/>
    <w:p w14:paraId="03BDF3BE" w14:textId="77777777" w:rsidR="00456B53" w:rsidRDefault="00456B53" w:rsidP="00A278D6"/>
    <w:p w14:paraId="3E0316A8" w14:textId="6BB9B509" w:rsidR="00B755F1" w:rsidRDefault="00AD7BC6" w:rsidP="00872FFC">
      <w:pPr>
        <w:jc w:val="both"/>
      </w:pPr>
      <w:r>
        <w:t xml:space="preserve">Le montant de la prestation a été </w:t>
      </w:r>
      <w:r w:rsidR="00DF3981">
        <w:t>établi</w:t>
      </w:r>
      <w:r>
        <w:t xml:space="preserve"> avec les dernières prestations mensuelles disponibles, soit celles d'avril, mai et juin 2015. Les prestations étant révisées trimestriellement en fonction de l'</w:t>
      </w:r>
      <w:r w:rsidRPr="00AD7BC6">
        <w:rPr>
          <w:color w:val="FF6700" w:themeColor="accent3"/>
        </w:rPr>
        <w:t>IPC</w:t>
      </w:r>
      <w:r>
        <w:t>. Quant aux seuils, ils correspondent à ceux utilis</w:t>
      </w:r>
      <w:r w:rsidR="00872FFC">
        <w:t>és</w:t>
      </w:r>
      <w:r>
        <w:t xml:space="preserve"> pour l'année 2014</w:t>
      </w:r>
      <w:r w:rsidR="003E0F64">
        <w:t xml:space="preserve"> (ces seuils sont également indexés </w:t>
      </w:r>
      <w:r w:rsidR="00DF3981">
        <w:t>chaque</w:t>
      </w:r>
      <w:r w:rsidR="003E0F64">
        <w:t xml:space="preserve"> année en fonction de l'IPC)</w:t>
      </w:r>
      <w:r w:rsidR="00872FFC">
        <w:t>.</w:t>
      </w:r>
      <w:r>
        <w:t xml:space="preserve"> </w:t>
      </w:r>
    </w:p>
    <w:p w14:paraId="7D843C94" w14:textId="77777777" w:rsidR="00B755F1" w:rsidRDefault="00B755F1" w:rsidP="00872FFC">
      <w:pPr>
        <w:jc w:val="both"/>
      </w:pPr>
    </w:p>
    <w:p w14:paraId="4284C729" w14:textId="18CA65B9" w:rsidR="00A278D6" w:rsidRDefault="00AD7BC6" w:rsidP="00872FFC">
      <w:pPr>
        <w:jc w:val="both"/>
      </w:pPr>
      <w:r>
        <w:t xml:space="preserve"> </w:t>
      </w:r>
      <w:r w:rsidR="008261F3">
        <w:t>Il est très important de savoir que la PSV existe pour chaque individu</w:t>
      </w:r>
      <w:r w:rsidR="00EB7CD1">
        <w:t xml:space="preserve"> et que le seuil de réduction est un calcul qui s'effectue </w:t>
      </w:r>
      <w:r w:rsidR="003468DF">
        <w:t xml:space="preserve">également </w:t>
      </w:r>
      <w:r w:rsidR="00EB7CD1">
        <w:t>par individu. C'est-à-dire que dans le cas d</w:t>
      </w:r>
      <w:r w:rsidR="00283D20">
        <w:t>’un</w:t>
      </w:r>
      <w:r w:rsidR="00EB7CD1">
        <w:t xml:space="preserve"> couple, les calculs s'effectuent sans tenir compte des revenus de l'autre conjoint et que chacun des conjoints </w:t>
      </w:r>
      <w:r w:rsidR="00DF3981">
        <w:t>a</w:t>
      </w:r>
      <w:r w:rsidR="00EB7CD1">
        <w:t xml:space="preserve"> droit à leur propre PSV. Par ailleurs</w:t>
      </w:r>
      <w:r w:rsidR="00283D20">
        <w:t>,</w:t>
      </w:r>
      <w:r w:rsidR="00EB7CD1">
        <w:t xml:space="preserve"> la présence d'un conjoint peut permettre certaines stratégies de fractionnement de revenus qui facilitent l'optimisation de la PSV. </w:t>
      </w:r>
      <w:r w:rsidR="00B755F1">
        <w:t>Également, depuis le 1</w:t>
      </w:r>
      <w:r w:rsidR="00283D20">
        <w:t>er</w:t>
      </w:r>
      <w:r w:rsidR="00B755F1">
        <w:t xml:space="preserve"> juillet 2013, le contribuable a le droit de reporter son adhésion à la PSV. Le report maximum est fixé à l'âge de 70 ans. De cette façon, celui qui décide de reporter sa PSV se verra récompenser d'une indexation</w:t>
      </w:r>
      <w:r w:rsidR="003468DF">
        <w:t xml:space="preserve"> </w:t>
      </w:r>
      <w:r w:rsidR="00B755F1">
        <w:t xml:space="preserve">de ,6 %/mois de report (7,2% par année). </w:t>
      </w:r>
      <w:r w:rsidR="00EB7CD1">
        <w:t>Nous traiterons de ce</w:t>
      </w:r>
      <w:r w:rsidR="00B755F1">
        <w:t>s</w:t>
      </w:r>
      <w:r w:rsidR="00EB7CD1">
        <w:t xml:space="preserve"> sujet</w:t>
      </w:r>
      <w:r w:rsidR="00B755F1">
        <w:t>s</w:t>
      </w:r>
      <w:r w:rsidR="00EB7CD1">
        <w:t xml:space="preserve">, dans la section </w:t>
      </w:r>
      <w:r w:rsidR="00EB7CD1">
        <w:rPr>
          <w:color w:val="008000"/>
        </w:rPr>
        <w:t>OPTIMISATION ET PLANIFICATION</w:t>
      </w:r>
      <w:r w:rsidR="00EB7CD1">
        <w:t>.</w:t>
      </w:r>
    </w:p>
    <w:p w14:paraId="6F9CD2FA" w14:textId="77777777" w:rsidR="00872FFC" w:rsidRDefault="00872FFC" w:rsidP="00872FFC">
      <w:pPr>
        <w:jc w:val="both"/>
      </w:pPr>
    </w:p>
    <w:p w14:paraId="18F04618" w14:textId="135157CD" w:rsidR="00136051" w:rsidRPr="000F289D" w:rsidRDefault="00136051" w:rsidP="006C34CF">
      <w:pPr>
        <w:pStyle w:val="Paragraphedeliste"/>
        <w:numPr>
          <w:ilvl w:val="0"/>
          <w:numId w:val="10"/>
        </w:numPr>
        <w:jc w:val="both"/>
        <w:rPr>
          <w:color w:val="FF6700" w:themeColor="accent3"/>
        </w:rPr>
      </w:pPr>
      <w:r w:rsidRPr="000F289D">
        <w:rPr>
          <w:color w:val="FF6700" w:themeColor="accent3"/>
        </w:rPr>
        <w:t>La récupération de la PSV et les TEMI</w:t>
      </w:r>
    </w:p>
    <w:p w14:paraId="3805F35C" w14:textId="77777777" w:rsidR="00136051" w:rsidRDefault="00136051" w:rsidP="00136051">
      <w:pPr>
        <w:ind w:left="360"/>
        <w:jc w:val="both"/>
      </w:pPr>
    </w:p>
    <w:p w14:paraId="6E56C584" w14:textId="05F436B9" w:rsidR="00872FFC" w:rsidRDefault="00872FFC" w:rsidP="00872FFC">
      <w:pPr>
        <w:jc w:val="both"/>
      </w:pPr>
      <w:r>
        <w:t xml:space="preserve">Le mode de calcul et le facteur de réduction de 15 % qui s'y rattache lorsque le </w:t>
      </w:r>
      <w:r w:rsidR="00C21AD6" w:rsidRPr="00C21AD6">
        <w:rPr>
          <w:color w:val="FF6700" w:themeColor="accent3"/>
        </w:rPr>
        <w:t>REVENU NET FISCAL</w:t>
      </w:r>
      <w:r>
        <w:t xml:space="preserve"> atteint le seuil de 71 592 $ constituent un enjeu majeur de planification de la  retraite. Il faut, lorsque cela est possible</w:t>
      </w:r>
      <w:r w:rsidR="00CB3A21">
        <w:t>,</w:t>
      </w:r>
      <w:r>
        <w:t xml:space="preserve"> éviter totalement la zone de revenu qui se situe dans la fourchette de réduction de la PSV. Dans cette </w:t>
      </w:r>
      <w:r w:rsidR="00CB3A21">
        <w:t>zone</w:t>
      </w:r>
      <w:r>
        <w:t xml:space="preserve"> de </w:t>
      </w:r>
      <w:r w:rsidR="00DF3981">
        <w:t>revenu,</w:t>
      </w:r>
      <w:r>
        <w:t xml:space="preserve"> chaque 100 dollars </w:t>
      </w:r>
      <w:proofErr w:type="gramStart"/>
      <w:r>
        <w:t>gagné</w:t>
      </w:r>
      <w:proofErr w:type="gramEnd"/>
      <w:r>
        <w:t xml:space="preserve"> réduit la PSV de 15 $. C</w:t>
      </w:r>
      <w:r w:rsidR="00306C9F">
        <w:t>e</w:t>
      </w:r>
      <w:r>
        <w:t xml:space="preserve"> phénomène</w:t>
      </w:r>
      <w:r w:rsidR="00306C9F">
        <w:t xml:space="preserve"> contribue à hausser le</w:t>
      </w:r>
      <w:r>
        <w:t xml:space="preserve"> TEMI</w:t>
      </w:r>
      <w:r w:rsidR="00306C9F">
        <w:t xml:space="preserve"> des contribuables </w:t>
      </w:r>
      <w:r>
        <w:t xml:space="preserve"> qui </w:t>
      </w:r>
      <w:r w:rsidR="00BA78B9">
        <w:t xml:space="preserve">s'aventurent dans cette zone de revenus à un taux bien au-delà du 50 % </w:t>
      </w:r>
      <w:r w:rsidR="003E0F64">
        <w:t xml:space="preserve"> qui constitue un point de rupture psychologique d'imposition.</w:t>
      </w:r>
      <w:r>
        <w:t xml:space="preserve"> </w:t>
      </w:r>
    </w:p>
    <w:p w14:paraId="31CF0424" w14:textId="3373F757" w:rsidR="003E0F64" w:rsidRDefault="003E0F64" w:rsidP="00872FFC">
      <w:pPr>
        <w:jc w:val="both"/>
      </w:pPr>
      <w:r>
        <w:lastRenderedPageBreak/>
        <w:t xml:space="preserve">Pour illustrer pleinement </w:t>
      </w:r>
      <w:r w:rsidR="006E3D63">
        <w:t>l</w:t>
      </w:r>
      <w:r>
        <w:t>a surimposition d'un revenu de retraite au-delà du seuil de réduction</w:t>
      </w:r>
      <w:r w:rsidR="00BD16AE">
        <w:t xml:space="preserve"> de la PSV</w:t>
      </w:r>
      <w:r>
        <w:t xml:space="preserve">, </w:t>
      </w:r>
      <w:r w:rsidR="00BD16AE">
        <w:t xml:space="preserve">comparons deux scénarios pour un même contribuable. </w:t>
      </w:r>
    </w:p>
    <w:p w14:paraId="725A4D82" w14:textId="77777777" w:rsidR="00BD16AE" w:rsidRDefault="00BD16AE" w:rsidP="00872FFC">
      <w:pPr>
        <w:jc w:val="both"/>
      </w:pPr>
    </w:p>
    <w:p w14:paraId="5784AE66" w14:textId="77777777" w:rsidR="00EB7CD1" w:rsidRDefault="00EB7CD1" w:rsidP="00872FFC">
      <w:pPr>
        <w:jc w:val="both"/>
      </w:pPr>
    </w:p>
    <w:tbl>
      <w:tblPr>
        <w:tblStyle w:val="Grille"/>
        <w:tblW w:w="0" w:type="auto"/>
        <w:tblLook w:val="04A0" w:firstRow="1" w:lastRow="0" w:firstColumn="1" w:lastColumn="0" w:noHBand="0" w:noVBand="1"/>
      </w:tblPr>
      <w:tblGrid>
        <w:gridCol w:w="5920"/>
        <w:gridCol w:w="3686"/>
        <w:gridCol w:w="3616"/>
      </w:tblGrid>
      <w:tr w:rsidR="00A674E9" w14:paraId="1BAB017C" w14:textId="77777777" w:rsidTr="002854BD">
        <w:tc>
          <w:tcPr>
            <w:tcW w:w="5920" w:type="dxa"/>
            <w:shd w:val="clear" w:color="auto" w:fill="BCBFA1" w:themeFill="accent4" w:themeFillTint="99"/>
          </w:tcPr>
          <w:p w14:paraId="4D06B47E" w14:textId="77777777" w:rsidR="00BD16AE" w:rsidRDefault="00BD16AE" w:rsidP="00BD16AE">
            <w:pPr>
              <w:jc w:val="center"/>
            </w:pPr>
          </w:p>
        </w:tc>
        <w:tc>
          <w:tcPr>
            <w:tcW w:w="3686" w:type="dxa"/>
            <w:shd w:val="clear" w:color="auto" w:fill="FFA366" w:themeFill="accent3" w:themeFillTint="99"/>
          </w:tcPr>
          <w:p w14:paraId="31C3B34A" w14:textId="1975889D" w:rsidR="00BD16AE" w:rsidRDefault="00BD16AE" w:rsidP="00BD16AE">
            <w:pPr>
              <w:jc w:val="center"/>
            </w:pPr>
            <w:r>
              <w:t>Scénario 1</w:t>
            </w:r>
          </w:p>
        </w:tc>
        <w:tc>
          <w:tcPr>
            <w:tcW w:w="3616" w:type="dxa"/>
            <w:shd w:val="clear" w:color="auto" w:fill="FFA366" w:themeFill="accent3" w:themeFillTint="99"/>
          </w:tcPr>
          <w:p w14:paraId="3BC1FA45" w14:textId="602446E8" w:rsidR="00BD16AE" w:rsidRDefault="00BD16AE" w:rsidP="00BD16AE">
            <w:pPr>
              <w:jc w:val="center"/>
            </w:pPr>
            <w:r>
              <w:t>Scénario 2</w:t>
            </w:r>
          </w:p>
        </w:tc>
      </w:tr>
      <w:tr w:rsidR="00A674E9" w14:paraId="11E09979" w14:textId="77777777" w:rsidTr="002854BD">
        <w:tc>
          <w:tcPr>
            <w:tcW w:w="5920" w:type="dxa"/>
            <w:shd w:val="clear" w:color="auto" w:fill="BCBFA1" w:themeFill="accent4" w:themeFillTint="99"/>
          </w:tcPr>
          <w:p w14:paraId="3ECB9935" w14:textId="092722D1" w:rsidR="00BD16AE" w:rsidRDefault="00BD16AE" w:rsidP="00A674E9">
            <w:pPr>
              <w:jc w:val="both"/>
            </w:pPr>
            <w:r>
              <w:t>Revenu, incluant PSV</w:t>
            </w:r>
            <w:r w:rsidR="00A674E9">
              <w:t xml:space="preserve"> (avant remboursement)</w:t>
            </w:r>
          </w:p>
        </w:tc>
        <w:tc>
          <w:tcPr>
            <w:tcW w:w="3686" w:type="dxa"/>
            <w:shd w:val="clear" w:color="auto" w:fill="BCBFA1" w:themeFill="accent4" w:themeFillTint="99"/>
          </w:tcPr>
          <w:p w14:paraId="182D0A19" w14:textId="49B5EB99" w:rsidR="00BD16AE" w:rsidRDefault="00BD16AE" w:rsidP="00794D92">
            <w:pPr>
              <w:jc w:val="center"/>
            </w:pPr>
            <w:r>
              <w:t>7</w:t>
            </w:r>
            <w:r w:rsidR="00794D92">
              <w:t>2</w:t>
            </w:r>
            <w:r>
              <w:t xml:space="preserve"> 000 $</w:t>
            </w:r>
          </w:p>
        </w:tc>
        <w:tc>
          <w:tcPr>
            <w:tcW w:w="3616" w:type="dxa"/>
            <w:shd w:val="clear" w:color="auto" w:fill="BCBFA1" w:themeFill="accent4" w:themeFillTint="99"/>
          </w:tcPr>
          <w:p w14:paraId="12E90E91" w14:textId="4A84C8B3" w:rsidR="00BD16AE" w:rsidRDefault="00BD16AE" w:rsidP="00794D92">
            <w:pPr>
              <w:jc w:val="center"/>
            </w:pPr>
            <w:r>
              <w:t>8</w:t>
            </w:r>
            <w:r w:rsidR="00794D92">
              <w:t>2</w:t>
            </w:r>
            <w:r>
              <w:t xml:space="preserve"> 000 $</w:t>
            </w:r>
          </w:p>
        </w:tc>
      </w:tr>
      <w:tr w:rsidR="00A674E9" w14:paraId="0872210E" w14:textId="77777777" w:rsidTr="002854BD">
        <w:tc>
          <w:tcPr>
            <w:tcW w:w="5920" w:type="dxa"/>
            <w:shd w:val="clear" w:color="auto" w:fill="BCBFA1" w:themeFill="accent4" w:themeFillTint="99"/>
          </w:tcPr>
          <w:p w14:paraId="2389BD0B" w14:textId="648FA3FD" w:rsidR="00BD16AE" w:rsidRDefault="00BD16AE" w:rsidP="00872FFC">
            <w:pPr>
              <w:jc w:val="both"/>
            </w:pPr>
            <w:r>
              <w:t>Remboursement de la PSV</w:t>
            </w:r>
          </w:p>
        </w:tc>
        <w:tc>
          <w:tcPr>
            <w:tcW w:w="3686" w:type="dxa"/>
            <w:shd w:val="clear" w:color="auto" w:fill="BCBFA1" w:themeFill="accent4" w:themeFillTint="99"/>
          </w:tcPr>
          <w:p w14:paraId="1ADF25EA" w14:textId="1BAD13DB" w:rsidR="00BD16AE" w:rsidRDefault="00794D92" w:rsidP="00794D92">
            <w:pPr>
              <w:jc w:val="center"/>
            </w:pPr>
            <w:r>
              <w:t xml:space="preserve">       61 $</w:t>
            </w:r>
            <w:r w:rsidR="00961D3C">
              <w:rPr>
                <w:rStyle w:val="Marquenotebasdepage"/>
              </w:rPr>
              <w:footnoteReference w:customMarkFollows="1" w:id="9"/>
              <w:t>7</w:t>
            </w:r>
          </w:p>
        </w:tc>
        <w:tc>
          <w:tcPr>
            <w:tcW w:w="3616" w:type="dxa"/>
            <w:shd w:val="clear" w:color="auto" w:fill="BCBFA1" w:themeFill="accent4" w:themeFillTint="99"/>
          </w:tcPr>
          <w:p w14:paraId="7DBE4BE2" w14:textId="23AB7CD3" w:rsidR="00BD16AE" w:rsidRDefault="005C2FF6" w:rsidP="00794D92">
            <w:pPr>
              <w:jc w:val="center"/>
            </w:pPr>
            <w:r>
              <w:t xml:space="preserve">  1 </w:t>
            </w:r>
            <w:r w:rsidR="00794D92">
              <w:t>5</w:t>
            </w:r>
            <w:r>
              <w:t>61 $</w:t>
            </w:r>
            <w:r w:rsidR="00961D3C">
              <w:rPr>
                <w:rStyle w:val="Marquenotebasdepage"/>
              </w:rPr>
              <w:footnoteReference w:customMarkFollows="1" w:id="10"/>
              <w:t>7</w:t>
            </w:r>
          </w:p>
        </w:tc>
      </w:tr>
      <w:tr w:rsidR="00A674E9" w14:paraId="09C4D228" w14:textId="77777777" w:rsidTr="002854BD">
        <w:tc>
          <w:tcPr>
            <w:tcW w:w="5920" w:type="dxa"/>
            <w:shd w:val="clear" w:color="auto" w:fill="BCBFA1" w:themeFill="accent4" w:themeFillTint="99"/>
          </w:tcPr>
          <w:p w14:paraId="2E10ECE9" w14:textId="25807570" w:rsidR="00BD16AE" w:rsidRDefault="00BD16AE" w:rsidP="001C215D">
            <w:pPr>
              <w:jc w:val="both"/>
            </w:pPr>
            <w:r>
              <w:t>T</w:t>
            </w:r>
            <w:r w:rsidR="001C215D">
              <w:t xml:space="preserve">aux d'imposition marginal </w:t>
            </w:r>
            <w:r w:rsidR="002854BD">
              <w:t>(Fédéral + Québec)</w:t>
            </w:r>
          </w:p>
        </w:tc>
        <w:tc>
          <w:tcPr>
            <w:tcW w:w="3686" w:type="dxa"/>
            <w:shd w:val="clear" w:color="auto" w:fill="BCBFA1" w:themeFill="accent4" w:themeFillTint="99"/>
          </w:tcPr>
          <w:p w14:paraId="1D6AC49E" w14:textId="7547D22F" w:rsidR="00BD16AE" w:rsidRDefault="001C215D" w:rsidP="00B539CA">
            <w:pPr>
              <w:jc w:val="center"/>
            </w:pPr>
            <w:r>
              <w:t>38,4  %</w:t>
            </w:r>
          </w:p>
        </w:tc>
        <w:tc>
          <w:tcPr>
            <w:tcW w:w="3616" w:type="dxa"/>
            <w:shd w:val="clear" w:color="auto" w:fill="BCBFA1" w:themeFill="accent4" w:themeFillTint="99"/>
          </w:tcPr>
          <w:p w14:paraId="2405B386" w14:textId="05E9724F" w:rsidR="00BD16AE" w:rsidRDefault="001C215D" w:rsidP="001C215D">
            <w:pPr>
              <w:jc w:val="center"/>
            </w:pPr>
            <w:r>
              <w:t>40 %</w:t>
            </w:r>
          </w:p>
        </w:tc>
      </w:tr>
    </w:tbl>
    <w:p w14:paraId="0541C9CD" w14:textId="77777777" w:rsidR="00BD16AE" w:rsidRDefault="00BD16AE" w:rsidP="00872FFC">
      <w:pPr>
        <w:jc w:val="both"/>
      </w:pPr>
    </w:p>
    <w:p w14:paraId="293C7899" w14:textId="77777777" w:rsidR="00456B53" w:rsidRDefault="00456B53" w:rsidP="00872FFC">
      <w:pPr>
        <w:jc w:val="both"/>
      </w:pPr>
    </w:p>
    <w:p w14:paraId="0675EA81" w14:textId="77BCBE50" w:rsidR="00961D3C" w:rsidRDefault="008A6E17" w:rsidP="00872FFC">
      <w:pPr>
        <w:jc w:val="both"/>
      </w:pPr>
      <w:r>
        <w:t xml:space="preserve">C'est donc dire que dans la zone périlleuse qui se situe au-delà du seuil de réduction de la PSV, chaque dollar supplémentaire de revenu est imposé comme tout revenu imposable (à 38,4 % lorsque le total des revenus s'avoisine à 72 000 $) </w:t>
      </w:r>
      <w:r w:rsidR="005D68AE">
        <w:t>tout en déclenchant le processus de remboursement de la PSV (,15 $ pour 1 dollar de revenu). Ce phénomène contribue à projeter le TEMI à des taux pouvant franchir le seuil du 50 %.</w:t>
      </w:r>
      <w:r w:rsidR="00136051">
        <w:t xml:space="preserve"> Les calculs détaillés et pointus des TEMI applicables aux différents scénarios de vie des contribuables sont complexes</w:t>
      </w:r>
      <w:r w:rsidR="00AC71AD">
        <w:t xml:space="preserve"> et font l'objet d'une étude plus approfondie au </w:t>
      </w:r>
      <w:r w:rsidR="00AC71AD">
        <w:rPr>
          <w:color w:val="008000"/>
        </w:rPr>
        <w:t>SUJET 6</w:t>
      </w:r>
      <w:r w:rsidR="00AC71AD">
        <w:t xml:space="preserve">. Ces taux effectifs marginaux d'impôt doivent être </w:t>
      </w:r>
      <w:r w:rsidR="00AC3827">
        <w:t>évalués</w:t>
      </w:r>
      <w:r w:rsidR="00AC71AD">
        <w:t xml:space="preserve"> dans toute planification visant à faire échec à l'impôt puisqu'ils constituent le véritable coût fiscal associé au dernier dollar de revenu gagné. Dans le cas des retraités, l'objectif est de tenter d'éviter la zone de récupération de la PSV lorsque cela est possible. </w:t>
      </w:r>
      <w:r w:rsidR="00D00092">
        <w:t xml:space="preserve">Par </w:t>
      </w:r>
      <w:r w:rsidR="00AC3827">
        <w:t>ailleurs,</w:t>
      </w:r>
      <w:r w:rsidR="00D00092">
        <w:t xml:space="preserve"> c</w:t>
      </w:r>
      <w:r w:rsidR="00AC71AD">
        <w:t xml:space="preserve">ette réflexion serait inutile dans un contexte où le contribuable retraité serait célibataire et  </w:t>
      </w:r>
      <w:r w:rsidR="00D97A50">
        <w:t xml:space="preserve">tirerait profit d'un train de vie </w:t>
      </w:r>
      <w:r w:rsidR="00D00092">
        <w:t xml:space="preserve">richissime qui exigerait des revenus de 200 000 $. Avouons que ces cas ne sont pas </w:t>
      </w:r>
      <w:r w:rsidR="00DF3981">
        <w:t>légion</w:t>
      </w:r>
      <w:r w:rsidR="00D00092">
        <w:t xml:space="preserve">. </w:t>
      </w:r>
    </w:p>
    <w:p w14:paraId="74B20F35" w14:textId="77777777" w:rsidR="00961D3C" w:rsidRDefault="00961D3C" w:rsidP="00872FFC">
      <w:pPr>
        <w:jc w:val="both"/>
      </w:pPr>
    </w:p>
    <w:p w14:paraId="6E0435D5" w14:textId="77777777" w:rsidR="00E1451B" w:rsidRDefault="00E1451B" w:rsidP="00872FFC">
      <w:pPr>
        <w:jc w:val="both"/>
      </w:pPr>
    </w:p>
    <w:p w14:paraId="32922D08" w14:textId="77777777" w:rsidR="00E1451B" w:rsidRDefault="00E1451B" w:rsidP="00872FFC">
      <w:pPr>
        <w:jc w:val="both"/>
      </w:pPr>
    </w:p>
    <w:p w14:paraId="2CD6611A" w14:textId="77777777" w:rsidR="00E1451B" w:rsidRDefault="00E1451B" w:rsidP="00872FFC">
      <w:pPr>
        <w:jc w:val="both"/>
      </w:pPr>
    </w:p>
    <w:p w14:paraId="3757EA14" w14:textId="77777777" w:rsidR="00E1451B" w:rsidRDefault="00E1451B" w:rsidP="00872FFC">
      <w:pPr>
        <w:jc w:val="both"/>
      </w:pPr>
    </w:p>
    <w:p w14:paraId="42BBCD9E" w14:textId="77777777" w:rsidR="00E1451B" w:rsidRDefault="00E1451B" w:rsidP="00872FFC">
      <w:pPr>
        <w:jc w:val="both"/>
      </w:pPr>
    </w:p>
    <w:p w14:paraId="39CC03C3" w14:textId="77777777" w:rsidR="00E1451B" w:rsidRDefault="00E1451B" w:rsidP="00872FFC">
      <w:pPr>
        <w:jc w:val="both"/>
      </w:pPr>
    </w:p>
    <w:p w14:paraId="73CADDEE" w14:textId="7633B6D9" w:rsidR="00F749BA" w:rsidRPr="000F289D" w:rsidRDefault="00F749BA" w:rsidP="006C34CF">
      <w:pPr>
        <w:pStyle w:val="Paragraphedeliste"/>
        <w:numPr>
          <w:ilvl w:val="0"/>
          <w:numId w:val="10"/>
        </w:numPr>
        <w:jc w:val="both"/>
        <w:rPr>
          <w:color w:val="FF6700" w:themeColor="accent3"/>
        </w:rPr>
      </w:pPr>
      <w:r w:rsidRPr="000F289D">
        <w:rPr>
          <w:color w:val="FF6700" w:themeColor="accent3"/>
        </w:rPr>
        <w:lastRenderedPageBreak/>
        <w:t>E</w:t>
      </w:r>
      <w:r w:rsidR="00DD51DD" w:rsidRPr="000F289D">
        <w:rPr>
          <w:color w:val="FF6700" w:themeColor="accent3"/>
        </w:rPr>
        <w:t xml:space="preserve">XEMPLE 7-1 </w:t>
      </w:r>
    </w:p>
    <w:p w14:paraId="24AF4A87" w14:textId="77777777" w:rsidR="00F749BA" w:rsidRDefault="00F749BA" w:rsidP="00872FFC">
      <w:pPr>
        <w:jc w:val="both"/>
      </w:pPr>
    </w:p>
    <w:p w14:paraId="11270E34" w14:textId="3F8028D7" w:rsidR="003E0F64" w:rsidRDefault="00C545DC" w:rsidP="00872FFC">
      <w:pPr>
        <w:jc w:val="both"/>
      </w:pPr>
      <w:r>
        <w:rPr>
          <w:noProof/>
          <w:lang w:eastAsia="fr-FR"/>
        </w:rPr>
        <w:drawing>
          <wp:anchor distT="0" distB="0" distL="114300" distR="114300" simplePos="0" relativeHeight="251827200" behindDoc="0" locked="0" layoutInCell="1" allowOverlap="1" wp14:anchorId="268745C6" wp14:editId="22FB8DFD">
            <wp:simplePos x="0" y="0"/>
            <wp:positionH relativeFrom="column">
              <wp:posOffset>-529419</wp:posOffset>
            </wp:positionH>
            <wp:positionV relativeFrom="paragraph">
              <wp:posOffset>122908</wp:posOffset>
            </wp:positionV>
            <wp:extent cx="383540" cy="723265"/>
            <wp:effectExtent l="177800" t="50800" r="99060" b="64135"/>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11">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854BD">
        <w:t xml:space="preserve">Prenons le cas de </w:t>
      </w:r>
      <w:r w:rsidR="003E0F64" w:rsidRPr="002854BD">
        <w:rPr>
          <w:color w:val="008000"/>
        </w:rPr>
        <w:t>Marie Richer</w:t>
      </w:r>
      <w:r w:rsidR="007F7991" w:rsidRPr="007F7991">
        <w:t>,</w:t>
      </w:r>
      <w:r w:rsidR="003E0F64">
        <w:t xml:space="preserve"> </w:t>
      </w:r>
      <w:r w:rsidR="007F7991">
        <w:t>nouvelle retraitée de 66 ans, dont les revenus de retraite totalisent 80 000 $. Ces revenus se ventilent de la manière suivante:</w:t>
      </w:r>
    </w:p>
    <w:p w14:paraId="71AFD6A8" w14:textId="0EF50AEE" w:rsidR="007F7991" w:rsidRDefault="00095BDC" w:rsidP="00872FFC">
      <w:pPr>
        <w:jc w:val="both"/>
      </w:pPr>
      <w:r>
        <w:rPr>
          <w:noProof/>
          <w:lang w:eastAsia="fr-FR"/>
        </w:rPr>
        <mc:AlternateContent>
          <mc:Choice Requires="wps">
            <w:drawing>
              <wp:anchor distT="0" distB="0" distL="114300" distR="114300" simplePos="0" relativeHeight="251820032" behindDoc="0" locked="0" layoutInCell="1" allowOverlap="1" wp14:anchorId="4290E519" wp14:editId="45D8F18D">
                <wp:simplePos x="0" y="0"/>
                <wp:positionH relativeFrom="column">
                  <wp:posOffset>3429000</wp:posOffset>
                </wp:positionH>
                <wp:positionV relativeFrom="paragraph">
                  <wp:posOffset>168910</wp:posOffset>
                </wp:positionV>
                <wp:extent cx="304800" cy="822960"/>
                <wp:effectExtent l="0" t="0" r="25400" b="15240"/>
                <wp:wrapThrough wrapText="bothSides">
                  <wp:wrapPolygon edited="0">
                    <wp:start x="0" y="0"/>
                    <wp:lineTo x="0" y="667"/>
                    <wp:lineTo x="7200" y="10667"/>
                    <wp:lineTo x="0" y="20667"/>
                    <wp:lineTo x="0" y="21333"/>
                    <wp:lineTo x="14400" y="21333"/>
                    <wp:lineTo x="21600" y="11333"/>
                    <wp:lineTo x="21600" y="10000"/>
                    <wp:lineTo x="14400" y="0"/>
                    <wp:lineTo x="0" y="0"/>
                  </wp:wrapPolygon>
                </wp:wrapThrough>
                <wp:docPr id="42" name="Accolade fermante 42"/>
                <wp:cNvGraphicFramePr/>
                <a:graphic xmlns:a="http://schemas.openxmlformats.org/drawingml/2006/main">
                  <a:graphicData uri="http://schemas.microsoft.com/office/word/2010/wordprocessingShape">
                    <wps:wsp>
                      <wps:cNvSpPr/>
                      <wps:spPr>
                        <a:xfrm>
                          <a:off x="0" y="0"/>
                          <a:ext cx="304800" cy="822960"/>
                        </a:xfrm>
                        <a:prstGeom prst="rightBrace">
                          <a:avLst/>
                        </a:prstGeom>
                        <a:noFill/>
                        <a:ln>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5="http://schemas.microsoft.com/office/word/2012/wordml">
            <w:pict>
              <v:shapetype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42" o:spid="_x0000_s1026" type="#_x0000_t88" style="position:absolute;margin-left:270pt;margin-top:13.3pt;width:24pt;height:64.8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" adj="667" strokecolor="#7f7f7f [1612]" strokeweight="1.25pt">
                <w10:wrap type="through"/>
              </v:shape>
            </w:pict>
          </mc:Fallback>
        </mc:AlternateContent>
      </w:r>
    </w:p>
    <w:p w14:paraId="01CAED7D" w14:textId="40F24DE9" w:rsidR="007F7991" w:rsidRDefault="007F7991" w:rsidP="00872FFC">
      <w:pPr>
        <w:jc w:val="both"/>
      </w:pPr>
      <w:r>
        <w:tab/>
      </w:r>
      <w:r>
        <w:tab/>
        <w:t>Rente de la RRQ</w:t>
      </w:r>
      <w:r>
        <w:tab/>
      </w:r>
      <w:r>
        <w:tab/>
        <w:t>12 780 $</w:t>
      </w:r>
    </w:p>
    <w:p w14:paraId="29947FA9" w14:textId="69B0FCA3" w:rsidR="007F7991" w:rsidRDefault="00095BDC" w:rsidP="00872FFC">
      <w:pPr>
        <w:jc w:val="both"/>
      </w:pPr>
      <w:r>
        <w:rPr>
          <w:noProof/>
          <w:lang w:eastAsia="fr-FR"/>
        </w:rPr>
        <mc:AlternateContent>
          <mc:Choice Requires="wps">
            <w:drawing>
              <wp:anchor distT="0" distB="0" distL="114300" distR="114300" simplePos="0" relativeHeight="251821056" behindDoc="0" locked="0" layoutInCell="1" allowOverlap="1" wp14:anchorId="1540D99E" wp14:editId="2F9D8059">
                <wp:simplePos x="0" y="0"/>
                <wp:positionH relativeFrom="column">
                  <wp:posOffset>3886200</wp:posOffset>
                </wp:positionH>
                <wp:positionV relativeFrom="paragraph">
                  <wp:posOffset>24130</wp:posOffset>
                </wp:positionV>
                <wp:extent cx="3771900" cy="342900"/>
                <wp:effectExtent l="0" t="0" r="0" b="12700"/>
                <wp:wrapSquare wrapText="bothSides"/>
                <wp:docPr id="46" name="Zone de texte 46"/>
                <wp:cNvGraphicFramePr/>
                <a:graphic xmlns:a="http://schemas.openxmlformats.org/drawingml/2006/main">
                  <a:graphicData uri="http://schemas.microsoft.com/office/word/2010/wordprocessingShape">
                    <wps:wsp>
                      <wps:cNvSpPr txBox="1"/>
                      <wps:spPr>
                        <a:xfrm>
                          <a:off x="0" y="0"/>
                          <a:ext cx="3771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E00C62" w14:textId="4851B08C" w:rsidR="00573C95" w:rsidRDefault="00573C95">
                            <w:r>
                              <w:t>Revenu net fiscal 80 000 $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6" o:spid="_x0000_s1038" type="#_x0000_t202" style="position:absolute;left:0;text-align:left;margin-left:306pt;margin-top:1.9pt;width:297pt;height:27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" filled="f" stroked="f">
                <v:textbox>
                  <w:txbxContent>
                    <w:p w14:paraId="35E00C62" w14:textId="4851B08C" w:rsidR="001501D6" w:rsidRDefault="001501D6">
                      <w:r>
                        <w:t>Revenu net fiscal 80 000 $</w:t>
                      </w:r>
                    </w:p>
                  </w:txbxContent>
                </v:textbox>
                <w10:wrap type="square"/>
              </v:shape>
            </w:pict>
          </mc:Fallback>
        </mc:AlternateContent>
      </w:r>
      <w:r w:rsidR="007F7991">
        <w:tab/>
      </w:r>
      <w:r w:rsidR="007F7991">
        <w:tab/>
        <w:t>Rente de son RPA</w:t>
      </w:r>
      <w:r w:rsidR="007F7991">
        <w:tab/>
      </w:r>
      <w:r w:rsidR="007F7991">
        <w:tab/>
        <w:t>50 455 $</w:t>
      </w:r>
    </w:p>
    <w:p w14:paraId="2AA3C37B" w14:textId="1C75DF3F" w:rsidR="007F7991" w:rsidRDefault="007F7991" w:rsidP="00872FFC">
      <w:pPr>
        <w:jc w:val="both"/>
      </w:pPr>
      <w:r>
        <w:tab/>
      </w:r>
      <w:r>
        <w:tab/>
        <w:t>PSV</w:t>
      </w:r>
      <w:r>
        <w:tab/>
      </w:r>
      <w:r>
        <w:tab/>
      </w:r>
      <w:r>
        <w:tab/>
      </w:r>
      <w:r>
        <w:tab/>
        <w:t xml:space="preserve">  6 765 $</w:t>
      </w:r>
    </w:p>
    <w:p w14:paraId="7C2DEBA1" w14:textId="6FC3C63D" w:rsidR="00A278D6" w:rsidRDefault="007F7991" w:rsidP="00872FFC">
      <w:pPr>
        <w:jc w:val="both"/>
      </w:pPr>
      <w:r>
        <w:tab/>
      </w:r>
      <w:r>
        <w:tab/>
        <w:t>REÉR</w:t>
      </w:r>
      <w:r>
        <w:tab/>
      </w:r>
      <w:r>
        <w:tab/>
      </w:r>
      <w:r>
        <w:tab/>
      </w:r>
      <w:r>
        <w:tab/>
        <w:t>10 000 $</w:t>
      </w:r>
    </w:p>
    <w:p w14:paraId="08B586E3" w14:textId="77777777" w:rsidR="00A278D6" w:rsidRDefault="00A278D6" w:rsidP="00A278D6"/>
    <w:p w14:paraId="059BECBB" w14:textId="014A0697" w:rsidR="00095BDC" w:rsidRDefault="00095BDC" w:rsidP="00A278D6">
      <w:r>
        <w:t xml:space="preserve">En planifiant son année financière, Marie constate que ses revenus de retraite lui feront perdre </w:t>
      </w:r>
      <w:r w:rsidRPr="00095BDC">
        <w:rPr>
          <w:color w:val="FF0000"/>
        </w:rPr>
        <w:t>1 261 $</w:t>
      </w:r>
      <w:r w:rsidRPr="00095BDC">
        <w:rPr>
          <w:rStyle w:val="Marquenotebasdepage"/>
        </w:rPr>
        <w:footnoteReference w:customMarkFollows="1" w:id="11"/>
        <w:t>8</w:t>
      </w:r>
      <w:r>
        <w:rPr>
          <w:color w:val="FF0000"/>
        </w:rPr>
        <w:t xml:space="preserve"> </w:t>
      </w:r>
      <w:r w:rsidRPr="00095BDC">
        <w:t>de PSV</w:t>
      </w:r>
      <w:r>
        <w:t>. En bonne épargnante qu'elle a toujours su être, Marie possède notamment les actifs suivants:</w:t>
      </w:r>
    </w:p>
    <w:p w14:paraId="23FB787D" w14:textId="77777777" w:rsidR="00095BDC" w:rsidRDefault="00095BDC" w:rsidP="00A278D6"/>
    <w:p w14:paraId="0FEB84A8" w14:textId="75E880B9" w:rsidR="00095BDC" w:rsidRDefault="00095BDC" w:rsidP="00A278D6">
      <w:r>
        <w:tab/>
      </w:r>
      <w:r>
        <w:tab/>
        <w:t>REÉR</w:t>
      </w:r>
      <w:r>
        <w:tab/>
      </w:r>
      <w:r>
        <w:tab/>
      </w:r>
      <w:r>
        <w:tab/>
      </w:r>
      <w:r>
        <w:tab/>
        <w:t>250 000 $</w:t>
      </w:r>
    </w:p>
    <w:p w14:paraId="594CE48B" w14:textId="3ADB0BF7" w:rsidR="00095BDC" w:rsidRDefault="00095BDC" w:rsidP="00A278D6">
      <w:r>
        <w:tab/>
      </w:r>
      <w:r>
        <w:tab/>
        <w:t>CÉLI</w:t>
      </w:r>
      <w:r>
        <w:tab/>
      </w:r>
      <w:r>
        <w:tab/>
      </w:r>
      <w:r>
        <w:tab/>
      </w:r>
      <w:r>
        <w:tab/>
        <w:t xml:space="preserve">  55 000 $</w:t>
      </w:r>
    </w:p>
    <w:p w14:paraId="00D73D41" w14:textId="77777777" w:rsidR="00C545DC" w:rsidRDefault="00C545DC" w:rsidP="00A278D6"/>
    <w:p w14:paraId="0066C5CC" w14:textId="0E44C737" w:rsidR="00095BDC" w:rsidRDefault="00095BDC" w:rsidP="00A278D6">
      <w:r>
        <w:t>Toujours avec le geste financier juste, Marie décide de modifier la répartition de ses revenus. Voici la nouvelle configuration:</w:t>
      </w:r>
    </w:p>
    <w:p w14:paraId="2782F1BD" w14:textId="77777777" w:rsidR="00EB7CD1" w:rsidRDefault="00EB7CD1" w:rsidP="00A278D6"/>
    <w:p w14:paraId="3B706DDB" w14:textId="07E4BE12" w:rsidR="00095BDC" w:rsidRDefault="00095BDC" w:rsidP="00095BDC">
      <w:pPr>
        <w:jc w:val="both"/>
      </w:pPr>
      <w:r>
        <w:rPr>
          <w:noProof/>
          <w:lang w:eastAsia="fr-FR"/>
        </w:rPr>
        <mc:AlternateContent>
          <mc:Choice Requires="wps">
            <w:drawing>
              <wp:anchor distT="0" distB="0" distL="114300" distR="114300" simplePos="0" relativeHeight="251825152" behindDoc="0" locked="0" layoutInCell="1" allowOverlap="1" wp14:anchorId="511F0B69" wp14:editId="745571D2">
                <wp:simplePos x="0" y="0"/>
                <wp:positionH relativeFrom="column">
                  <wp:posOffset>3429000</wp:posOffset>
                </wp:positionH>
                <wp:positionV relativeFrom="paragraph">
                  <wp:posOffset>0</wp:posOffset>
                </wp:positionV>
                <wp:extent cx="304800" cy="1028700"/>
                <wp:effectExtent l="0" t="0" r="25400" b="38100"/>
                <wp:wrapThrough wrapText="bothSides">
                  <wp:wrapPolygon edited="0">
                    <wp:start x="0" y="0"/>
                    <wp:lineTo x="0" y="533"/>
                    <wp:lineTo x="7200" y="8533"/>
                    <wp:lineTo x="7200" y="17067"/>
                    <wp:lineTo x="0" y="21333"/>
                    <wp:lineTo x="0" y="21867"/>
                    <wp:lineTo x="14400" y="21867"/>
                    <wp:lineTo x="14400" y="17067"/>
                    <wp:lineTo x="21600" y="11733"/>
                    <wp:lineTo x="21600" y="10667"/>
                    <wp:lineTo x="14400" y="8533"/>
                    <wp:lineTo x="14400" y="0"/>
                    <wp:lineTo x="0" y="0"/>
                  </wp:wrapPolygon>
                </wp:wrapThrough>
                <wp:docPr id="56" name="Accolade fermante 56"/>
                <wp:cNvGraphicFramePr/>
                <a:graphic xmlns:a="http://schemas.openxmlformats.org/drawingml/2006/main">
                  <a:graphicData uri="http://schemas.microsoft.com/office/word/2010/wordprocessingShape">
                    <wps:wsp>
                      <wps:cNvSpPr/>
                      <wps:spPr>
                        <a:xfrm>
                          <a:off x="0" y="0"/>
                          <a:ext cx="304800" cy="1028700"/>
                        </a:xfrm>
                        <a:prstGeom prst="rightBrace">
                          <a:avLst/>
                        </a:prstGeom>
                        <a:noFill/>
                        <a:ln>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shape id="Accolade fermante 56" o:spid="_x0000_s1026" type="#_x0000_t88" style="position:absolute;margin-left:270pt;margin-top:0;width:24pt;height:81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" adj="533" strokecolor="#7f7f7f [1612]" strokeweight="1.25pt">
                <w10:wrap type="through"/>
              </v:shape>
            </w:pict>
          </mc:Fallback>
        </mc:AlternateContent>
      </w:r>
      <w:r>
        <w:tab/>
      </w:r>
      <w:r>
        <w:tab/>
        <w:t>Rente de la RRQ</w:t>
      </w:r>
      <w:r>
        <w:tab/>
      </w:r>
      <w:r>
        <w:tab/>
        <w:t>12 780 $</w:t>
      </w:r>
    </w:p>
    <w:p w14:paraId="63334046" w14:textId="1F57D721" w:rsidR="00095BDC" w:rsidRDefault="00095BDC" w:rsidP="00095BDC">
      <w:pPr>
        <w:jc w:val="both"/>
      </w:pPr>
      <w:r>
        <w:rPr>
          <w:noProof/>
          <w:lang w:eastAsia="fr-FR"/>
        </w:rPr>
        <mc:AlternateContent>
          <mc:Choice Requires="wps">
            <w:drawing>
              <wp:anchor distT="0" distB="0" distL="114300" distR="114300" simplePos="0" relativeHeight="251823104" behindDoc="0" locked="0" layoutInCell="1" allowOverlap="1" wp14:anchorId="464A0671" wp14:editId="4F719AE5">
                <wp:simplePos x="0" y="0"/>
                <wp:positionH relativeFrom="column">
                  <wp:posOffset>3886200</wp:posOffset>
                </wp:positionH>
                <wp:positionV relativeFrom="paragraph">
                  <wp:posOffset>156210</wp:posOffset>
                </wp:positionV>
                <wp:extent cx="3771900" cy="342900"/>
                <wp:effectExtent l="0" t="0" r="0" b="12700"/>
                <wp:wrapSquare wrapText="bothSides"/>
                <wp:docPr id="55" name="Zone de texte 55"/>
                <wp:cNvGraphicFramePr/>
                <a:graphic xmlns:a="http://schemas.openxmlformats.org/drawingml/2006/main">
                  <a:graphicData uri="http://schemas.microsoft.com/office/word/2010/wordprocessingShape">
                    <wps:wsp>
                      <wps:cNvSpPr txBox="1"/>
                      <wps:spPr>
                        <a:xfrm>
                          <a:off x="0" y="0"/>
                          <a:ext cx="3771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75FCD3" w14:textId="70EC9627" w:rsidR="00573C95" w:rsidRDefault="00573C95" w:rsidP="00095BDC">
                            <w:r>
                              <w:t>Revenu net fiscal 71 592 $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5" o:spid="_x0000_s1039" type="#_x0000_t202" style="position:absolute;left:0;text-align:left;margin-left:306pt;margin-top:12.3pt;width:297pt;height:27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" filled="f" stroked="f">
                <v:textbox>
                  <w:txbxContent>
                    <w:p w14:paraId="3775FCD3" w14:textId="70EC9627" w:rsidR="001501D6" w:rsidRDefault="001501D6" w:rsidP="00095BDC">
                      <w:r>
                        <w:t>Revenu net fiscal 71 592 $</w:t>
                      </w:r>
                    </w:p>
                  </w:txbxContent>
                </v:textbox>
                <w10:wrap type="square"/>
              </v:shape>
            </w:pict>
          </mc:Fallback>
        </mc:AlternateContent>
      </w:r>
      <w:r>
        <w:tab/>
      </w:r>
      <w:r>
        <w:tab/>
        <w:t>Rente de son RPA</w:t>
      </w:r>
      <w:r>
        <w:tab/>
      </w:r>
      <w:r>
        <w:tab/>
        <w:t>50 455 $</w:t>
      </w:r>
    </w:p>
    <w:p w14:paraId="4035B5D7" w14:textId="77777777" w:rsidR="00095BDC" w:rsidRDefault="00095BDC" w:rsidP="00095BDC">
      <w:pPr>
        <w:jc w:val="both"/>
      </w:pPr>
      <w:r>
        <w:tab/>
      </w:r>
      <w:r>
        <w:tab/>
        <w:t>PSV</w:t>
      </w:r>
      <w:r>
        <w:tab/>
      </w:r>
      <w:r>
        <w:tab/>
      </w:r>
      <w:r>
        <w:tab/>
      </w:r>
      <w:r>
        <w:tab/>
        <w:t xml:space="preserve">  6 765 $</w:t>
      </w:r>
    </w:p>
    <w:p w14:paraId="678DCEF9" w14:textId="73B4AA93" w:rsidR="00095BDC" w:rsidRDefault="00095BDC" w:rsidP="00095BDC">
      <w:pPr>
        <w:jc w:val="both"/>
      </w:pPr>
      <w:r>
        <w:tab/>
      </w:r>
      <w:r>
        <w:tab/>
        <w:t>REÉR</w:t>
      </w:r>
      <w:r>
        <w:tab/>
      </w:r>
      <w:r>
        <w:tab/>
      </w:r>
      <w:r>
        <w:tab/>
      </w:r>
      <w:r>
        <w:tab/>
      </w:r>
      <w:r w:rsidR="00D94011">
        <w:t xml:space="preserve">  1 592</w:t>
      </w:r>
      <w:r>
        <w:t xml:space="preserve"> $</w:t>
      </w:r>
    </w:p>
    <w:p w14:paraId="0D8348CF" w14:textId="02568807" w:rsidR="00095BDC" w:rsidRDefault="00095BDC" w:rsidP="00095BDC">
      <w:pPr>
        <w:jc w:val="both"/>
      </w:pPr>
      <w:r>
        <w:tab/>
      </w:r>
      <w:r>
        <w:tab/>
        <w:t>CÉLI</w:t>
      </w:r>
      <w:r w:rsidR="00D94011">
        <w:tab/>
      </w:r>
      <w:r w:rsidR="00D94011">
        <w:tab/>
      </w:r>
      <w:r w:rsidR="00D94011">
        <w:tab/>
      </w:r>
      <w:r w:rsidR="00D94011">
        <w:tab/>
        <w:t xml:space="preserve">  </w:t>
      </w:r>
      <w:r w:rsidR="00CF2420">
        <w:t xml:space="preserve">4 288 </w:t>
      </w:r>
      <w:r w:rsidR="00D94011">
        <w:t>$</w:t>
      </w:r>
    </w:p>
    <w:p w14:paraId="49D57389" w14:textId="77777777" w:rsidR="00095BDC" w:rsidRDefault="00095BDC" w:rsidP="00A278D6"/>
    <w:p w14:paraId="1CBE320D" w14:textId="2637AA4F" w:rsidR="00095BDC" w:rsidRDefault="00C23F7D" w:rsidP="00C23F7D">
      <w:pPr>
        <w:jc w:val="both"/>
      </w:pPr>
      <w:r>
        <w:t xml:space="preserve">En planifiant ses revenus de cette manière, Marie préserve complètement sa PSV. En portant une attention quasi maniaque à la précision de ses revenus pour ainsi obtenir le revenu net fiscal maximum </w:t>
      </w:r>
      <w:r w:rsidRPr="00336FB5">
        <w:rPr>
          <w:color w:val="008000"/>
        </w:rPr>
        <w:t>sans y perdre</w:t>
      </w:r>
      <w:r w:rsidR="00336FB5" w:rsidRPr="00336FB5">
        <w:rPr>
          <w:color w:val="008000"/>
        </w:rPr>
        <w:t xml:space="preserve"> un seul dollar </w:t>
      </w:r>
      <w:r w:rsidRPr="00336FB5">
        <w:rPr>
          <w:color w:val="008000"/>
        </w:rPr>
        <w:t>de PSV</w:t>
      </w:r>
      <w:r>
        <w:t xml:space="preserve">, on sent bien toute la confiance et aussi, il faut bien le dire, un petit air de défi bien </w:t>
      </w:r>
      <w:r w:rsidR="005E070D">
        <w:t>ba</w:t>
      </w:r>
      <w:r>
        <w:t>lancé par Marie à l'égard des autorités fiscales.</w:t>
      </w:r>
    </w:p>
    <w:p w14:paraId="3D6399EE" w14:textId="1CEB5A0E" w:rsidR="00C545DC" w:rsidRPr="00171817" w:rsidRDefault="00171817" w:rsidP="00C23F7D">
      <w:pPr>
        <w:jc w:val="both"/>
        <w:rPr>
          <w:rFonts w:asciiTheme="majorHAnsi" w:hAnsiTheme="majorHAnsi"/>
        </w:rPr>
      </w:pPr>
      <w:r w:rsidRPr="00171817">
        <w:rPr>
          <w:rFonts w:asciiTheme="majorHAnsi" w:hAnsiTheme="majorHAnsi"/>
          <w:noProof/>
          <w:lang w:eastAsia="fr-FR"/>
        </w:rPr>
        <w:lastRenderedPageBreak/>
        <w:drawing>
          <wp:anchor distT="0" distB="0" distL="114300" distR="114300" simplePos="0" relativeHeight="251829248" behindDoc="0" locked="0" layoutInCell="1" allowOverlap="1" wp14:anchorId="0D2110DA" wp14:editId="16A5070B">
            <wp:simplePos x="0" y="0"/>
            <wp:positionH relativeFrom="column">
              <wp:posOffset>6286500</wp:posOffset>
            </wp:positionH>
            <wp:positionV relativeFrom="paragraph">
              <wp:posOffset>353695</wp:posOffset>
            </wp:positionV>
            <wp:extent cx="685800" cy="741045"/>
            <wp:effectExtent l="0" t="0" r="0" b="0"/>
            <wp:wrapNone/>
            <wp:docPr id="59" name="Image 59" descr="Macintosh HD:Users:marcbachand:Desktop:logo_WIKI_FISCx180 - copie.pn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545DC">
        <w:t>Maintenant, une question pour vous, comment Marie est-elle arrivée à fixer son utilisation d</w:t>
      </w:r>
      <w:r w:rsidR="00A7386B">
        <w:t>u</w:t>
      </w:r>
      <w:r w:rsidR="00C545DC">
        <w:t xml:space="preserve"> CÉLI à </w:t>
      </w:r>
      <w:r w:rsidR="00CF2420">
        <w:t xml:space="preserve">4 288 </w:t>
      </w:r>
      <w:r w:rsidR="00C545DC">
        <w:t>$</w:t>
      </w:r>
      <w:r w:rsidR="00C545DC" w:rsidRPr="00C545DC">
        <w:rPr>
          <w:rFonts w:ascii="Avenir Book" w:hAnsi="Avenir Book"/>
        </w:rPr>
        <w:t xml:space="preserve">? </w:t>
      </w:r>
      <w:r w:rsidR="00C545DC">
        <w:rPr>
          <w:rFonts w:ascii="Avenir Book" w:hAnsi="Avenir Book"/>
        </w:rPr>
        <w:t xml:space="preserve"> </w:t>
      </w:r>
      <w:r w:rsidR="00C545DC" w:rsidRPr="00171817">
        <w:rPr>
          <w:rFonts w:asciiTheme="majorHAnsi" w:hAnsiTheme="majorHAnsi"/>
        </w:rPr>
        <w:t>(Indice le taux d'imposition marginal entre 70 000 $ et 80 000 $ est d'environ 40 %).</w:t>
      </w:r>
    </w:p>
    <w:p w14:paraId="11DD0C1F" w14:textId="51830806" w:rsidR="00C545DC" w:rsidRPr="00171817" w:rsidRDefault="00C545DC" w:rsidP="00C23F7D">
      <w:pPr>
        <w:jc w:val="both"/>
        <w:rPr>
          <w:rFonts w:asciiTheme="majorHAnsi" w:hAnsiTheme="majorHAnsi"/>
        </w:rPr>
      </w:pPr>
    </w:p>
    <w:p w14:paraId="5C559C7C" w14:textId="5A5EB212" w:rsidR="00C545DC" w:rsidRPr="00171817" w:rsidRDefault="00C545DC" w:rsidP="00C23F7D">
      <w:pPr>
        <w:jc w:val="both"/>
        <w:rPr>
          <w:rFonts w:asciiTheme="majorHAnsi" w:hAnsiTheme="majorHAnsi"/>
        </w:rPr>
      </w:pPr>
      <w:r w:rsidRPr="00171817">
        <w:rPr>
          <w:rFonts w:asciiTheme="majorHAnsi" w:hAnsiTheme="majorHAnsi"/>
        </w:rPr>
        <w:t xml:space="preserve">Pour fournir ou trouver une réponse (après réflexion de votre part), rendez-vous sur </w:t>
      </w:r>
    </w:p>
    <w:p w14:paraId="6580966E" w14:textId="77777777" w:rsidR="00EB7CD1" w:rsidRDefault="00EB7CD1" w:rsidP="00C23F7D">
      <w:pPr>
        <w:jc w:val="both"/>
      </w:pPr>
    </w:p>
    <w:p w14:paraId="6D980A3D" w14:textId="77FBAB7D" w:rsidR="00FD0F0D" w:rsidRDefault="00FD0F0D" w:rsidP="006C34CF">
      <w:pPr>
        <w:pStyle w:val="Titre4"/>
        <w:numPr>
          <w:ilvl w:val="3"/>
          <w:numId w:val="19"/>
        </w:numPr>
      </w:pPr>
      <w:bookmarkStart w:id="20" w:name="_Toc314397817"/>
      <w:bookmarkStart w:id="21" w:name="_Toc443569361"/>
      <w:r>
        <w:t xml:space="preserve">Le </w:t>
      </w:r>
      <w:r w:rsidR="00B248D5">
        <w:t>S</w:t>
      </w:r>
      <w:r>
        <w:t xml:space="preserve">upplément de </w:t>
      </w:r>
      <w:r w:rsidR="00B248D5">
        <w:t>r</w:t>
      </w:r>
      <w:r>
        <w:t>evenu garanti</w:t>
      </w:r>
      <w:bookmarkEnd w:id="20"/>
      <w:bookmarkEnd w:id="21"/>
    </w:p>
    <w:p w14:paraId="7ECC9B01" w14:textId="77777777" w:rsidR="00F749BA" w:rsidRDefault="00F749BA" w:rsidP="00F749BA"/>
    <w:p w14:paraId="1445BEEB" w14:textId="77777777" w:rsidR="00C21AD6" w:rsidRPr="000F289D" w:rsidRDefault="00C21AD6" w:rsidP="006C34CF">
      <w:pPr>
        <w:pStyle w:val="Paragraphedeliste"/>
        <w:numPr>
          <w:ilvl w:val="0"/>
          <w:numId w:val="10"/>
        </w:numPr>
        <w:rPr>
          <w:color w:val="FF6700" w:themeColor="accent3"/>
        </w:rPr>
      </w:pPr>
      <w:r w:rsidRPr="000F289D">
        <w:rPr>
          <w:color w:val="FF6700" w:themeColor="accent3"/>
        </w:rPr>
        <w:t>Établissement des montants</w:t>
      </w:r>
    </w:p>
    <w:p w14:paraId="52B9F87D" w14:textId="77777777" w:rsidR="00C21AD6" w:rsidRDefault="00C21AD6" w:rsidP="00C21AD6"/>
    <w:p w14:paraId="0FEB3E62" w14:textId="77777777" w:rsidR="00456B53" w:rsidRDefault="00456B53" w:rsidP="00C21AD6"/>
    <w:tbl>
      <w:tblPr>
        <w:tblStyle w:val="Grilleclaire-Accent3"/>
        <w:tblW w:w="11591" w:type="dxa"/>
        <w:tblInd w:w="108" w:type="dxa"/>
        <w:tblLayout w:type="fixed"/>
        <w:tblLook w:val="04A0" w:firstRow="1" w:lastRow="0" w:firstColumn="1" w:lastColumn="0" w:noHBand="0" w:noVBand="1"/>
      </w:tblPr>
      <w:tblGrid>
        <w:gridCol w:w="3794"/>
        <w:gridCol w:w="2268"/>
        <w:gridCol w:w="1559"/>
        <w:gridCol w:w="2727"/>
        <w:gridCol w:w="1243"/>
      </w:tblGrid>
      <w:tr w:rsidR="00FE77DC" w14:paraId="25A1B219" w14:textId="700982B6" w:rsidTr="007E6C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437EB950" w14:textId="57838F1A" w:rsidR="00FE77DC" w:rsidRDefault="00FE77DC" w:rsidP="00A82C8F">
            <w:pPr>
              <w:jc w:val="center"/>
            </w:pPr>
            <w:r>
              <w:t>Statut</w:t>
            </w:r>
          </w:p>
        </w:tc>
        <w:tc>
          <w:tcPr>
            <w:tcW w:w="2268" w:type="dxa"/>
          </w:tcPr>
          <w:p w14:paraId="6F980D19" w14:textId="00261FFE" w:rsidR="00FE77DC" w:rsidRDefault="00FE77DC" w:rsidP="00A82C8F">
            <w:pPr>
              <w:jc w:val="center"/>
              <w:cnfStyle w:val="100000000000" w:firstRow="1" w:lastRow="0" w:firstColumn="0" w:lastColumn="0" w:oddVBand="0" w:evenVBand="0" w:oddHBand="0" w:evenHBand="0" w:firstRowFirstColumn="0" w:firstRowLastColumn="0" w:lastRowFirstColumn="0" w:lastRowLastColumn="0"/>
            </w:pPr>
            <w:r>
              <w:t>Prestation annuelle</w:t>
            </w:r>
          </w:p>
        </w:tc>
        <w:tc>
          <w:tcPr>
            <w:tcW w:w="1559" w:type="dxa"/>
          </w:tcPr>
          <w:p w14:paraId="373B6C85" w14:textId="7717CF0B" w:rsidR="00FE77DC" w:rsidRDefault="00FE77DC" w:rsidP="00A82C8F">
            <w:pPr>
              <w:jc w:val="center"/>
              <w:cnfStyle w:val="100000000000" w:firstRow="1" w:lastRow="0" w:firstColumn="0" w:lastColumn="0" w:oddVBand="0" w:evenVBand="0" w:oddHBand="0" w:evenHBand="0" w:firstRowFirstColumn="0" w:firstRowLastColumn="0" w:lastRowFirstColumn="0" w:lastRowLastColumn="0"/>
            </w:pPr>
            <w:r>
              <w:t>Seuil de réduction</w:t>
            </w:r>
          </w:p>
        </w:tc>
        <w:tc>
          <w:tcPr>
            <w:tcW w:w="2727" w:type="dxa"/>
          </w:tcPr>
          <w:p w14:paraId="65BC2FF3" w14:textId="70332B07" w:rsidR="00FE77DC" w:rsidRDefault="00FE77DC" w:rsidP="00A82C8F">
            <w:pPr>
              <w:jc w:val="center"/>
              <w:cnfStyle w:val="100000000000" w:firstRow="1" w:lastRow="0" w:firstColumn="0" w:lastColumn="0" w:oddVBand="0" w:evenVBand="0" w:oddHBand="0" w:evenHBand="0" w:firstRowFirstColumn="0" w:firstRowLastColumn="0" w:lastRowFirstColumn="0" w:lastRowLastColumn="0"/>
            </w:pPr>
            <w:r>
              <w:t>Seuil où le SRG devient nul</w:t>
            </w:r>
          </w:p>
        </w:tc>
        <w:tc>
          <w:tcPr>
            <w:tcW w:w="1243" w:type="dxa"/>
          </w:tcPr>
          <w:p w14:paraId="37E8808C" w14:textId="2A944429" w:rsidR="00FE77DC" w:rsidRDefault="00FE77DC" w:rsidP="00A82C8F">
            <w:pPr>
              <w:jc w:val="center"/>
              <w:cnfStyle w:val="100000000000" w:firstRow="1" w:lastRow="0" w:firstColumn="0" w:lastColumn="0" w:oddVBand="0" w:evenVBand="0" w:oddHBand="0" w:evenHBand="0" w:firstRowFirstColumn="0" w:firstRowLastColumn="0" w:lastRowFirstColumn="0" w:lastRowLastColumn="0"/>
            </w:pPr>
            <w:r>
              <w:t>Taux de réduction</w:t>
            </w:r>
          </w:p>
        </w:tc>
      </w:tr>
      <w:tr w:rsidR="00FE77DC" w14:paraId="0C3DB484" w14:textId="6D983B38" w:rsidTr="007E6C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473A411F" w14:textId="0AF4AEF6" w:rsidR="00FE77DC" w:rsidRPr="00AD7BC6" w:rsidRDefault="00FE77DC" w:rsidP="006B6FEF">
            <w:pPr>
              <w:rPr>
                <w:b w:val="0"/>
              </w:rPr>
            </w:pPr>
            <w:r>
              <w:rPr>
                <w:b w:val="0"/>
              </w:rPr>
              <w:t xml:space="preserve">Célibataire, veuf ou divorcé </w:t>
            </w:r>
          </w:p>
        </w:tc>
        <w:tc>
          <w:tcPr>
            <w:tcW w:w="2268" w:type="dxa"/>
          </w:tcPr>
          <w:p w14:paraId="20E12C83" w14:textId="7D89108B" w:rsidR="00FE77DC" w:rsidRDefault="00FE77DC" w:rsidP="00A82C8F">
            <w:pPr>
              <w:jc w:val="center"/>
              <w:cnfStyle w:val="000000100000" w:firstRow="0" w:lastRow="0" w:firstColumn="0" w:lastColumn="0" w:oddVBand="0" w:evenVBand="0" w:oddHBand="1" w:evenHBand="0" w:firstRowFirstColumn="0" w:firstRowLastColumn="0" w:lastRowFirstColumn="0" w:lastRowLastColumn="0"/>
            </w:pPr>
            <w:r>
              <w:t>9 173 $</w:t>
            </w:r>
            <w:r w:rsidR="006B6323">
              <w:rPr>
                <w:rStyle w:val="Marquenotebasdepage"/>
              </w:rPr>
              <w:footnoteReference w:customMarkFollows="1" w:id="12"/>
              <w:t>9</w:t>
            </w:r>
          </w:p>
        </w:tc>
        <w:tc>
          <w:tcPr>
            <w:tcW w:w="1559" w:type="dxa"/>
          </w:tcPr>
          <w:p w14:paraId="797566CB" w14:textId="33D3D686" w:rsidR="00FE77DC" w:rsidRDefault="00FE77DC" w:rsidP="00A82C8F">
            <w:pPr>
              <w:jc w:val="center"/>
              <w:cnfStyle w:val="000000100000" w:firstRow="0" w:lastRow="0" w:firstColumn="0" w:lastColumn="0" w:oddVBand="0" w:evenVBand="0" w:oddHBand="1" w:evenHBand="0" w:firstRowFirstColumn="0" w:firstRowLastColumn="0" w:lastRowFirstColumn="0" w:lastRowLastColumn="0"/>
            </w:pPr>
            <w:r>
              <w:t>Nul</w:t>
            </w:r>
          </w:p>
        </w:tc>
        <w:tc>
          <w:tcPr>
            <w:tcW w:w="2727" w:type="dxa"/>
          </w:tcPr>
          <w:p w14:paraId="2D774094" w14:textId="3E0D390C" w:rsidR="00FE77DC" w:rsidRDefault="00FE77DC" w:rsidP="007E6C7C">
            <w:pPr>
              <w:jc w:val="center"/>
              <w:cnfStyle w:val="000000100000" w:firstRow="0" w:lastRow="0" w:firstColumn="0" w:lastColumn="0" w:oddVBand="0" w:evenVBand="0" w:oddHBand="1" w:evenHBand="0" w:firstRowFirstColumn="0" w:firstRowLastColumn="0" w:lastRowFirstColumn="0" w:lastRowLastColumn="0"/>
            </w:pPr>
            <w:r>
              <w:t>17 088 $</w:t>
            </w:r>
          </w:p>
        </w:tc>
        <w:tc>
          <w:tcPr>
            <w:tcW w:w="1243" w:type="dxa"/>
          </w:tcPr>
          <w:p w14:paraId="0424D4AD" w14:textId="150796F0" w:rsidR="00FE77DC" w:rsidRDefault="00FE77DC" w:rsidP="00A82C8F">
            <w:pPr>
              <w:jc w:val="center"/>
              <w:cnfStyle w:val="000000100000" w:firstRow="0" w:lastRow="0" w:firstColumn="0" w:lastColumn="0" w:oddVBand="0" w:evenVBand="0" w:oddHBand="1" w:evenHBand="0" w:firstRowFirstColumn="0" w:firstRowLastColumn="0" w:lastRowFirstColumn="0" w:lastRowLastColumn="0"/>
            </w:pPr>
            <w:r>
              <w:t>50 %</w:t>
            </w:r>
          </w:p>
        </w:tc>
      </w:tr>
      <w:tr w:rsidR="00FE77DC" w14:paraId="74E979CC" w14:textId="13FF91BF" w:rsidTr="007E6C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091E8DC9" w14:textId="17C0A061" w:rsidR="00FE77DC" w:rsidRDefault="00FE77DC" w:rsidP="006B6FEF">
            <w:pPr>
              <w:rPr>
                <w:b w:val="0"/>
              </w:rPr>
            </w:pPr>
            <w:r>
              <w:rPr>
                <w:b w:val="0"/>
              </w:rPr>
              <w:t>Couple, conjoint 65 ans et plus</w:t>
            </w:r>
          </w:p>
        </w:tc>
        <w:tc>
          <w:tcPr>
            <w:tcW w:w="2268" w:type="dxa"/>
          </w:tcPr>
          <w:p w14:paraId="7432104A" w14:textId="4395C8D2" w:rsidR="00FE77DC" w:rsidRDefault="00FE77DC" w:rsidP="006B6FEF">
            <w:pPr>
              <w:jc w:val="center"/>
              <w:cnfStyle w:val="000000010000" w:firstRow="0" w:lastRow="0" w:firstColumn="0" w:lastColumn="0" w:oddVBand="0" w:evenVBand="0" w:oddHBand="0" w:evenHBand="1" w:firstRowFirstColumn="0" w:firstRowLastColumn="0" w:lastRowFirstColumn="0" w:lastRowLastColumn="0"/>
            </w:pPr>
            <w:r>
              <w:t>6 082 $/conjoint</w:t>
            </w:r>
          </w:p>
        </w:tc>
        <w:tc>
          <w:tcPr>
            <w:tcW w:w="1559" w:type="dxa"/>
          </w:tcPr>
          <w:p w14:paraId="3FA7D088" w14:textId="2A85BC1D" w:rsidR="00FE77DC" w:rsidRDefault="00FE77DC" w:rsidP="00A82C8F">
            <w:pPr>
              <w:jc w:val="center"/>
              <w:cnfStyle w:val="000000010000" w:firstRow="0" w:lastRow="0" w:firstColumn="0" w:lastColumn="0" w:oddVBand="0" w:evenVBand="0" w:oddHBand="0" w:evenHBand="1" w:firstRowFirstColumn="0" w:firstRowLastColumn="0" w:lastRowFirstColumn="0" w:lastRowLastColumn="0"/>
            </w:pPr>
            <w:r>
              <w:t>Nul</w:t>
            </w:r>
          </w:p>
        </w:tc>
        <w:tc>
          <w:tcPr>
            <w:tcW w:w="2727" w:type="dxa"/>
          </w:tcPr>
          <w:p w14:paraId="25F9E04B" w14:textId="74E59A22" w:rsidR="00FE77DC" w:rsidRDefault="00FE77DC" w:rsidP="007E6C7C">
            <w:pPr>
              <w:jc w:val="center"/>
              <w:cnfStyle w:val="000000010000" w:firstRow="0" w:lastRow="0" w:firstColumn="0" w:lastColumn="0" w:oddVBand="0" w:evenVBand="0" w:oddHBand="0" w:evenHBand="1" w:firstRowFirstColumn="0" w:firstRowLastColumn="0" w:lastRowFirstColumn="0" w:lastRowLastColumn="0"/>
            </w:pPr>
            <w:r>
              <w:t>22 560 $</w:t>
            </w:r>
            <w:r w:rsidR="006A3AFF">
              <w:t xml:space="preserve"> </w:t>
            </w:r>
            <w:r w:rsidR="006A3AFF" w:rsidRPr="007E6C7C">
              <w:rPr>
                <w:sz w:val="18"/>
                <w:szCs w:val="18"/>
              </w:rPr>
              <w:t>(revenu familial)</w:t>
            </w:r>
          </w:p>
        </w:tc>
        <w:tc>
          <w:tcPr>
            <w:tcW w:w="1243" w:type="dxa"/>
          </w:tcPr>
          <w:p w14:paraId="4E86F5E5" w14:textId="5F3637F2" w:rsidR="00FE77DC" w:rsidRDefault="00FE77DC" w:rsidP="00A82C8F">
            <w:pPr>
              <w:jc w:val="center"/>
              <w:cnfStyle w:val="000000010000" w:firstRow="0" w:lastRow="0" w:firstColumn="0" w:lastColumn="0" w:oddVBand="0" w:evenVBand="0" w:oddHBand="0" w:evenHBand="1" w:firstRowFirstColumn="0" w:firstRowLastColumn="0" w:lastRowFirstColumn="0" w:lastRowLastColumn="0"/>
            </w:pPr>
            <w:r>
              <w:t>50 %</w:t>
            </w:r>
          </w:p>
        </w:tc>
      </w:tr>
    </w:tbl>
    <w:p w14:paraId="1EEEC04A" w14:textId="77777777" w:rsidR="00FE77DC" w:rsidRDefault="00FE77DC" w:rsidP="00C21AD6">
      <w:pPr>
        <w:jc w:val="both"/>
      </w:pPr>
    </w:p>
    <w:p w14:paraId="0B118C21" w14:textId="77777777" w:rsidR="00EA42BA" w:rsidRDefault="00EA42BA" w:rsidP="00C21AD6">
      <w:pPr>
        <w:jc w:val="both"/>
      </w:pPr>
    </w:p>
    <w:p w14:paraId="68B0382D" w14:textId="0A21562A" w:rsidR="002B42E7" w:rsidRDefault="00C21AD6" w:rsidP="00C21AD6">
      <w:pPr>
        <w:jc w:val="both"/>
      </w:pPr>
      <w:r>
        <w:t xml:space="preserve">Le montant de la prestation a été </w:t>
      </w:r>
      <w:r w:rsidR="00C14327">
        <w:t>établi</w:t>
      </w:r>
      <w:r>
        <w:t xml:space="preserve"> avec les dernières prestations mensuelles disponibles, soit celles d'avril, mai et juin 2015. Les prestations étant révisées trimestriellement en fonction de l'</w:t>
      </w:r>
      <w:r w:rsidR="00456B53">
        <w:t>IPC</w:t>
      </w:r>
      <w:r>
        <w:t>.</w:t>
      </w:r>
      <w:r w:rsidR="00FE77DC">
        <w:t xml:space="preserve"> Quant aux seuils, ils correspondent à ceux utilisés pour l'année 2014 (ces seuils sont également indexés </w:t>
      </w:r>
      <w:r w:rsidR="00C14327">
        <w:t>chaque</w:t>
      </w:r>
      <w:r w:rsidR="00FE77DC">
        <w:t xml:space="preserve"> année en fonction de l'IPC). </w:t>
      </w:r>
      <w:r w:rsidR="00B96E1A">
        <w:t xml:space="preserve">Les autorités fiscales ne </w:t>
      </w:r>
      <w:r w:rsidR="00C14327">
        <w:t>considèrent</w:t>
      </w:r>
      <w:r w:rsidR="00B96E1A">
        <w:t xml:space="preserve"> pas le SRG comme étant un revenu au sens de l'impôt et n'est donc pas imposable (Cependant la PSV </w:t>
      </w:r>
      <w:r w:rsidR="00524765">
        <w:t>demeure</w:t>
      </w:r>
      <w:r w:rsidR="00B96E1A">
        <w:t xml:space="preserve"> imposable).</w:t>
      </w:r>
    </w:p>
    <w:p w14:paraId="6EBDE45D" w14:textId="77777777" w:rsidR="002B42E7" w:rsidRDefault="002B42E7" w:rsidP="00C21AD6">
      <w:pPr>
        <w:jc w:val="both"/>
      </w:pPr>
    </w:p>
    <w:p w14:paraId="418D4D96" w14:textId="4B67F8BA" w:rsidR="00C21AD6" w:rsidRDefault="001D55E3" w:rsidP="00C21AD6">
      <w:pPr>
        <w:jc w:val="both"/>
      </w:pPr>
      <w:r>
        <w:t xml:space="preserve"> Afin de ne pas alourdir la compréhension du SRG, nous avons convenu de ne pas mettre l'emphase sur deux </w:t>
      </w:r>
      <w:r w:rsidR="00C63D2A">
        <w:t xml:space="preserve">autres </w:t>
      </w:r>
      <w:r>
        <w:t>prestations</w:t>
      </w:r>
      <w:r w:rsidR="00C63D2A">
        <w:t>, qui sont de natures</w:t>
      </w:r>
      <w:r>
        <w:t xml:space="preserve"> transitoires (60 à 64 ans)</w:t>
      </w:r>
      <w:r w:rsidR="00C63D2A">
        <w:t>,</w:t>
      </w:r>
      <w:r>
        <w:t xml:space="preserve"> </w:t>
      </w:r>
      <w:r w:rsidR="00C63D2A">
        <w:t xml:space="preserve">et </w:t>
      </w:r>
      <w:r>
        <w:t xml:space="preserve">qui viennent assister les gens plus démunis au moment où ils s'apprêtent à convoiter leur retraite. La prestation de l'allocation et celle de l'allocation au </w:t>
      </w:r>
      <w:r>
        <w:lastRenderedPageBreak/>
        <w:t>survivant peuvent intervenir dans le calcul du SRG. Pour ceux qui sont intéressés par ces mesures, je vous invite à consulter cette page</w:t>
      </w:r>
      <w:r w:rsidR="008439C5">
        <w:t xml:space="preserve"> Web</w:t>
      </w:r>
      <w:r>
        <w:t xml:space="preserve"> de l'ARC pour y trouver plus d'</w:t>
      </w:r>
      <w:r w:rsidR="008439C5">
        <w:t>i</w:t>
      </w:r>
      <w:r>
        <w:t>nformation</w:t>
      </w:r>
      <w:r w:rsidR="008439C5">
        <w:t>s, dont des tableaux permettant de déterminer les différentes prestations disponibles selon les revenus attribuables aux contribuables.</w:t>
      </w:r>
    </w:p>
    <w:p w14:paraId="05EEBA1A" w14:textId="77777777" w:rsidR="002B42E7" w:rsidRDefault="002B42E7" w:rsidP="00C21AD6">
      <w:pPr>
        <w:jc w:val="both"/>
        <w:rPr>
          <w:color w:val="207478"/>
        </w:rPr>
      </w:pPr>
    </w:p>
    <w:p w14:paraId="326623BB" w14:textId="77777777" w:rsidR="002B42E7" w:rsidRDefault="002B42E7" w:rsidP="00C21AD6">
      <w:pPr>
        <w:jc w:val="both"/>
        <w:rPr>
          <w:color w:val="207478"/>
        </w:rPr>
      </w:pPr>
    </w:p>
    <w:p w14:paraId="50872BDF" w14:textId="36A10888" w:rsidR="008439C5" w:rsidRPr="00701CD6" w:rsidRDefault="008439C5" w:rsidP="00C21AD6">
      <w:pPr>
        <w:jc w:val="both"/>
        <w:rPr>
          <w:color w:val="FF6700" w:themeColor="accent3"/>
        </w:rPr>
      </w:pPr>
      <w:r w:rsidRPr="00701CD6">
        <w:rPr>
          <w:noProof/>
          <w:color w:val="FF6700" w:themeColor="accent3"/>
          <w:lang w:eastAsia="fr-FR"/>
        </w:rPr>
        <w:drawing>
          <wp:anchor distT="0" distB="0" distL="114300" distR="114300" simplePos="0" relativeHeight="251838464" behindDoc="0" locked="0" layoutInCell="1" allowOverlap="1" wp14:anchorId="2D5A61D4" wp14:editId="22A6EC0E">
            <wp:simplePos x="0" y="0"/>
            <wp:positionH relativeFrom="column">
              <wp:posOffset>4343400</wp:posOffset>
            </wp:positionH>
            <wp:positionV relativeFrom="paragraph">
              <wp:posOffset>-342900</wp:posOffset>
            </wp:positionV>
            <wp:extent cx="685800" cy="681990"/>
            <wp:effectExtent l="0" t="0" r="0" b="3810"/>
            <wp:wrapNone/>
            <wp:docPr id="67" name="Image 67" descr="Macintosh HD:Users:marcbachand:Desktop:Capture d’écran 2015-06-08 à 17.04.54.pn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hyperlink r:id="rId40" w:history="1">
        <w:r w:rsidR="00C63D2A" w:rsidRPr="00701CD6">
          <w:rPr>
            <w:rStyle w:val="Lienhypertexte"/>
            <w:color w:val="FF6700" w:themeColor="accent3"/>
          </w:rPr>
          <w:t xml:space="preserve">Prestations du programme de la sécurité de la vieillesse </w:t>
        </w:r>
      </w:hyperlink>
      <w:r w:rsidR="00C63D2A" w:rsidRPr="00701CD6">
        <w:rPr>
          <w:color w:val="FF6700" w:themeColor="accent3"/>
        </w:rPr>
        <w:t xml:space="preserve"> </w:t>
      </w:r>
    </w:p>
    <w:p w14:paraId="73ABEB96" w14:textId="77777777" w:rsidR="008439C5" w:rsidRDefault="008439C5" w:rsidP="00C21AD6">
      <w:pPr>
        <w:jc w:val="both"/>
      </w:pPr>
    </w:p>
    <w:p w14:paraId="5296DBBE" w14:textId="77777777" w:rsidR="00D70007" w:rsidRDefault="00D70007" w:rsidP="00C21AD6">
      <w:pPr>
        <w:jc w:val="both"/>
      </w:pPr>
    </w:p>
    <w:p w14:paraId="717C6FB2" w14:textId="0D9832E9" w:rsidR="00C21AD6" w:rsidRPr="000F289D" w:rsidRDefault="00C21AD6" w:rsidP="006C34CF">
      <w:pPr>
        <w:pStyle w:val="Paragraphedeliste"/>
        <w:numPr>
          <w:ilvl w:val="0"/>
          <w:numId w:val="10"/>
        </w:numPr>
        <w:jc w:val="both"/>
        <w:rPr>
          <w:color w:val="FF6700" w:themeColor="accent3"/>
        </w:rPr>
      </w:pPr>
      <w:r w:rsidRPr="000F289D">
        <w:rPr>
          <w:color w:val="FF6700" w:themeColor="accent3"/>
        </w:rPr>
        <w:t>La récupération d</w:t>
      </w:r>
      <w:r w:rsidR="00524765" w:rsidRPr="000F289D">
        <w:rPr>
          <w:color w:val="FF6700" w:themeColor="accent3"/>
        </w:rPr>
        <w:t>u SRG</w:t>
      </w:r>
      <w:r w:rsidRPr="000F289D">
        <w:rPr>
          <w:color w:val="FF6700" w:themeColor="accent3"/>
        </w:rPr>
        <w:t xml:space="preserve"> et les TEMI</w:t>
      </w:r>
    </w:p>
    <w:p w14:paraId="4DD5F680" w14:textId="77777777" w:rsidR="00C21AD6" w:rsidRDefault="00C21AD6" w:rsidP="00C21AD6">
      <w:pPr>
        <w:ind w:left="360"/>
        <w:jc w:val="both"/>
      </w:pPr>
    </w:p>
    <w:p w14:paraId="1E4FD8DE" w14:textId="60BAED86" w:rsidR="00C75529" w:rsidRDefault="00C75529" w:rsidP="00C21AD6">
      <w:pPr>
        <w:jc w:val="both"/>
      </w:pPr>
      <w:r>
        <w:t>Si la maitrise du</w:t>
      </w:r>
      <w:r w:rsidR="00C21AD6">
        <w:t xml:space="preserve"> mode de calcul et </w:t>
      </w:r>
      <w:r>
        <w:t>du</w:t>
      </w:r>
      <w:r w:rsidR="00C21AD6">
        <w:t xml:space="preserve"> facteur de réduction </w:t>
      </w:r>
      <w:r>
        <w:t xml:space="preserve">de la PSV </w:t>
      </w:r>
      <w:r w:rsidR="00C21AD6">
        <w:t>constituent un enjeu majeur d</w:t>
      </w:r>
      <w:r w:rsidR="000919C6">
        <w:t>ans la</w:t>
      </w:r>
      <w:r w:rsidR="00C21AD6">
        <w:t xml:space="preserve"> planification de la  retraite</w:t>
      </w:r>
      <w:r>
        <w:t xml:space="preserve"> pour la classe moyenne, les mêmes enjeux sont mis à l'épreuve pour la classe </w:t>
      </w:r>
      <w:r w:rsidR="00EA42BA">
        <w:t xml:space="preserve">à revenus </w:t>
      </w:r>
      <w:r>
        <w:t>modeste</w:t>
      </w:r>
      <w:r w:rsidR="00EA42BA">
        <w:t>s</w:t>
      </w:r>
      <w:r>
        <w:t>, mais cette fois-ci, au niveau de la préservation du SRG</w:t>
      </w:r>
      <w:r w:rsidR="00C21AD6">
        <w:t xml:space="preserve">. </w:t>
      </w:r>
      <w:r>
        <w:t xml:space="preserve">Ce défi est d'autant plus important si l'on considère </w:t>
      </w:r>
      <w:r w:rsidR="00EA42BA">
        <w:t xml:space="preserve">que </w:t>
      </w:r>
      <w:r>
        <w:t xml:space="preserve">le taux de récupération </w:t>
      </w:r>
      <w:r w:rsidR="00EA42BA">
        <w:t xml:space="preserve">du SRG est </w:t>
      </w:r>
      <w:r>
        <w:t xml:space="preserve">de 50 %, et ce, dès le premier dollar </w:t>
      </w:r>
      <w:proofErr w:type="gramStart"/>
      <w:r>
        <w:t>gagné</w:t>
      </w:r>
      <w:proofErr w:type="gramEnd"/>
      <w:r>
        <w:t>.</w:t>
      </w:r>
      <w:r w:rsidR="002B42E7">
        <w:t xml:space="preserve"> Le principe et l'objectif étant le même</w:t>
      </w:r>
      <w:r>
        <w:t xml:space="preserve"> </w:t>
      </w:r>
      <w:r w:rsidR="002B42E7">
        <w:t xml:space="preserve">que celui expliqué lorsque nous présentions la PSV, nous nous contenterons, ici, </w:t>
      </w:r>
      <w:r w:rsidR="00D70007">
        <w:t>d</w:t>
      </w:r>
      <w:r w:rsidR="002B42E7">
        <w:t>e mettre en lumière les particularités du calcul de la récupération du SRG.</w:t>
      </w:r>
    </w:p>
    <w:p w14:paraId="5A9C1BBA" w14:textId="56F0F5EE" w:rsidR="000919C6" w:rsidRDefault="001B1FFB" w:rsidP="00C21AD6">
      <w:pPr>
        <w:jc w:val="both"/>
      </w:pPr>
      <w:r>
        <w:rPr>
          <w:noProof/>
          <w:lang w:eastAsia="fr-FR"/>
        </w:rPr>
        <mc:AlternateContent>
          <mc:Choice Requires="wps">
            <w:drawing>
              <wp:anchor distT="0" distB="0" distL="114300" distR="114300" simplePos="0" relativeHeight="251853824" behindDoc="0" locked="0" layoutInCell="1" allowOverlap="1" wp14:anchorId="7B7EBDB7" wp14:editId="3FFAF8EB">
                <wp:simplePos x="0" y="0"/>
                <wp:positionH relativeFrom="column">
                  <wp:posOffset>8115300</wp:posOffset>
                </wp:positionH>
                <wp:positionV relativeFrom="paragraph">
                  <wp:posOffset>96520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77" name="Ellipse 77"/>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bg1"/>
                        </a:solidFill>
                      </wps:spPr>
                      <wps:style>
                        <a:lnRef idx="3">
                          <a:schemeClr val="lt1"/>
                        </a:lnRef>
                        <a:fillRef idx="1">
                          <a:schemeClr val="dk1"/>
                        </a:fillRef>
                        <a:effectRef idx="1">
                          <a:schemeClr val="dk1"/>
                        </a:effectRef>
                        <a:fontRef idx="minor">
                          <a:schemeClr val="lt1"/>
                        </a:fontRef>
                      </wps:style>
                      <wps:txbx>
                        <w:txbxContent>
                          <w:p w14:paraId="15F49F04" w14:textId="3EE05A74" w:rsidR="00573C95" w:rsidRPr="001B1FFB" w:rsidRDefault="00573C95" w:rsidP="001B1FFB">
                            <w:pPr>
                              <w:jc w:val="center"/>
                              <w:rPr>
                                <w:color w:val="000000" w:themeColor="text1"/>
                              </w:rPr>
                            </w:pPr>
                            <w:r w:rsidRPr="001B1FFB">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7" o:spid="_x0000_s1040" style="position:absolute;left:0;text-align:left;margin-left:639pt;margin-top:7.6pt;width:36pt;height:36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" fillcolor="white [3212]" strokecolor="white [3201]" strokeweight="1.75pt">
                <v:textbox>
                  <w:txbxContent>
                    <w:p w14:paraId="15F49F04" w14:textId="3EE05A74" w:rsidR="001501D6" w:rsidRPr="001B1FFB" w:rsidRDefault="001501D6" w:rsidP="001B1FFB">
                      <w:pPr>
                        <w:jc w:val="center"/>
                        <w:rPr>
                          <w:color w:val="000000" w:themeColor="text1"/>
                        </w:rPr>
                      </w:pPr>
                      <w:r w:rsidRPr="001B1FFB">
                        <w:rPr>
                          <w:color w:val="000000" w:themeColor="text1"/>
                        </w:rPr>
                        <w:t>4</w:t>
                      </w:r>
                    </w:p>
                  </w:txbxContent>
                </v:textbox>
                <w10:wrap type="through"/>
              </v:oval>
            </w:pict>
          </mc:Fallback>
        </mc:AlternateContent>
      </w:r>
      <w:r>
        <w:rPr>
          <w:noProof/>
          <w:lang w:eastAsia="fr-FR"/>
        </w:rPr>
        <mc:AlternateContent>
          <mc:Choice Requires="wps">
            <w:drawing>
              <wp:anchor distT="0" distB="0" distL="114300" distR="114300" simplePos="0" relativeHeight="251851776" behindDoc="0" locked="0" layoutInCell="1" allowOverlap="1" wp14:anchorId="717FF5FB" wp14:editId="263E82BE">
                <wp:simplePos x="0" y="0"/>
                <wp:positionH relativeFrom="column">
                  <wp:posOffset>5715000</wp:posOffset>
                </wp:positionH>
                <wp:positionV relativeFrom="paragraph">
                  <wp:posOffset>96520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76" name="Ellipse 76"/>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dk1"/>
                        </a:fillRef>
                        <a:effectRef idx="1">
                          <a:schemeClr val="dk1"/>
                        </a:effectRef>
                        <a:fontRef idx="minor">
                          <a:schemeClr val="lt1"/>
                        </a:fontRef>
                      </wps:style>
                      <wps:txbx>
                        <w:txbxContent>
                          <w:p w14:paraId="42316CCB" w14:textId="2410074B" w:rsidR="00573C95" w:rsidRDefault="00573C95" w:rsidP="001B1FFB">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6" o:spid="_x0000_s1041" style="position:absolute;left:0;text-align:left;margin-left:450pt;margin-top:7.6pt;width:36pt;height:36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" fillcolor="black [3200]" strokecolor="white [3201]" strokeweight="1.75pt">
                <v:textbox>
                  <w:txbxContent>
                    <w:p w14:paraId="42316CCB" w14:textId="2410074B" w:rsidR="001501D6" w:rsidRDefault="001501D6" w:rsidP="001B1FFB">
                      <w:pPr>
                        <w:jc w:val="center"/>
                      </w:pPr>
                      <w:r>
                        <w:t>3</w:t>
                      </w:r>
                    </w:p>
                  </w:txbxContent>
                </v:textbox>
                <w10:wrap type="through"/>
              </v:oval>
            </w:pict>
          </mc:Fallback>
        </mc:AlternateContent>
      </w:r>
      <w:r>
        <w:rPr>
          <w:noProof/>
          <w:lang w:eastAsia="fr-FR"/>
        </w:rPr>
        <mc:AlternateContent>
          <mc:Choice Requires="wps">
            <w:drawing>
              <wp:anchor distT="0" distB="0" distL="114300" distR="114300" simplePos="0" relativeHeight="251849728" behindDoc="0" locked="0" layoutInCell="1" allowOverlap="1" wp14:anchorId="0BE4743D" wp14:editId="795BE798">
                <wp:simplePos x="0" y="0"/>
                <wp:positionH relativeFrom="column">
                  <wp:posOffset>3429000</wp:posOffset>
                </wp:positionH>
                <wp:positionV relativeFrom="paragraph">
                  <wp:posOffset>96520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75" name="Ellipse 75"/>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dk1"/>
                        </a:fillRef>
                        <a:effectRef idx="1">
                          <a:schemeClr val="dk1"/>
                        </a:effectRef>
                        <a:fontRef idx="minor">
                          <a:schemeClr val="lt1"/>
                        </a:fontRef>
                      </wps:style>
                      <wps:txbx>
                        <w:txbxContent>
                          <w:p w14:paraId="19B30191" w14:textId="55D0B15F" w:rsidR="00573C95" w:rsidRDefault="00573C95" w:rsidP="001B1FFB">
                            <w:pPr>
                              <w:jc w:val="center"/>
                            </w:pPr>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5" o:spid="_x0000_s1042" style="position:absolute;left:0;text-align:left;margin-left:270pt;margin-top:7.6pt;width:36pt;height:36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" fillcolor="black [3200]" strokecolor="white [3201]" strokeweight="1.75pt">
                <v:textbox>
                  <w:txbxContent>
                    <w:p w14:paraId="19B30191" w14:textId="55D0B15F" w:rsidR="001501D6" w:rsidRDefault="001501D6" w:rsidP="001B1FFB">
                      <w:pPr>
                        <w:jc w:val="center"/>
                      </w:pPr>
                      <w:r>
                        <w:t>21</w:t>
                      </w:r>
                    </w:p>
                  </w:txbxContent>
                </v:textbox>
                <w10:wrap type="through"/>
              </v:oval>
            </w:pict>
          </mc:Fallback>
        </mc:AlternateContent>
      </w:r>
      <w:r>
        <w:rPr>
          <w:noProof/>
          <w:lang w:eastAsia="fr-FR"/>
        </w:rPr>
        <mc:AlternateContent>
          <mc:Choice Requires="wps">
            <w:drawing>
              <wp:anchor distT="0" distB="0" distL="114300" distR="114300" simplePos="0" relativeHeight="251847680" behindDoc="0" locked="0" layoutInCell="1" allowOverlap="1" wp14:anchorId="4F73805D" wp14:editId="751783F3">
                <wp:simplePos x="0" y="0"/>
                <wp:positionH relativeFrom="column">
                  <wp:posOffset>1143000</wp:posOffset>
                </wp:positionH>
                <wp:positionV relativeFrom="paragraph">
                  <wp:posOffset>96520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74" name="Ellipse 74"/>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dk1"/>
                        </a:fillRef>
                        <a:effectRef idx="1">
                          <a:schemeClr val="dk1"/>
                        </a:effectRef>
                        <a:fontRef idx="minor">
                          <a:schemeClr val="lt1"/>
                        </a:fontRef>
                      </wps:style>
                      <wps:txbx>
                        <w:txbxContent>
                          <w:p w14:paraId="1FE7E1AE" w14:textId="565ACDC8" w:rsidR="00573C95" w:rsidRDefault="00573C95" w:rsidP="001B1FFB">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4" o:spid="_x0000_s1043" style="position:absolute;left:0;text-align:left;margin-left:90pt;margin-top:7.6pt;width:36pt;height:36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" fillcolor="black [3200]" strokecolor="white [3201]" strokeweight="1.75pt">
                <v:textbox>
                  <w:txbxContent>
                    <w:p w14:paraId="1FE7E1AE" w14:textId="565ACDC8" w:rsidR="001501D6" w:rsidRDefault="001501D6" w:rsidP="001B1FFB">
                      <w:pPr>
                        <w:jc w:val="center"/>
                      </w:pPr>
                      <w:r>
                        <w:t>1</w:t>
                      </w:r>
                    </w:p>
                  </w:txbxContent>
                </v:textbox>
                <w10:wrap type="through"/>
              </v:oval>
            </w:pict>
          </mc:Fallback>
        </mc:AlternateContent>
      </w:r>
      <w:r w:rsidR="006606E1">
        <w:rPr>
          <w:noProof/>
          <w:lang w:eastAsia="fr-FR"/>
        </w:rPr>
        <mc:AlternateContent>
          <mc:Choice Requires="wps">
            <w:drawing>
              <wp:anchor distT="0" distB="0" distL="114300" distR="114300" simplePos="0" relativeHeight="251846656" behindDoc="0" locked="0" layoutInCell="1" allowOverlap="1" wp14:anchorId="25D838CF" wp14:editId="66675BED">
                <wp:simplePos x="0" y="0"/>
                <wp:positionH relativeFrom="column">
                  <wp:posOffset>6629400</wp:posOffset>
                </wp:positionH>
                <wp:positionV relativeFrom="paragraph">
                  <wp:posOffset>96520</wp:posOffset>
                </wp:positionV>
                <wp:extent cx="2057400" cy="2057400"/>
                <wp:effectExtent l="0" t="0" r="25400" b="25400"/>
                <wp:wrapThrough wrapText="bothSides">
                  <wp:wrapPolygon edited="0">
                    <wp:start x="1600" y="0"/>
                    <wp:lineTo x="0" y="1600"/>
                    <wp:lineTo x="0" y="20000"/>
                    <wp:lineTo x="1067" y="21333"/>
                    <wp:lineTo x="1600" y="21600"/>
                    <wp:lineTo x="20000" y="21600"/>
                    <wp:lineTo x="20533" y="21333"/>
                    <wp:lineTo x="21600" y="20000"/>
                    <wp:lineTo x="21600" y="1600"/>
                    <wp:lineTo x="20000" y="0"/>
                    <wp:lineTo x="1600" y="0"/>
                  </wp:wrapPolygon>
                </wp:wrapThrough>
                <wp:docPr id="73" name="Rectangle à coins arrondis 73"/>
                <wp:cNvGraphicFramePr/>
                <a:graphic xmlns:a="http://schemas.openxmlformats.org/drawingml/2006/main">
                  <a:graphicData uri="http://schemas.microsoft.com/office/word/2010/wordprocessingShape">
                    <wps:wsp>
                      <wps:cNvSpPr/>
                      <wps:spPr>
                        <a:xfrm>
                          <a:off x="0" y="0"/>
                          <a:ext cx="2057400" cy="2057400"/>
                        </a:xfrm>
                        <a:prstGeom prst="roundRect">
                          <a:avLst/>
                        </a:prstGeom>
                        <a:ln/>
                      </wps:spPr>
                      <wps:style>
                        <a:lnRef idx="2">
                          <a:schemeClr val="dk1">
                            <a:shade val="50000"/>
                          </a:schemeClr>
                        </a:lnRef>
                        <a:fillRef idx="1">
                          <a:schemeClr val="dk1"/>
                        </a:fillRef>
                        <a:effectRef idx="0">
                          <a:schemeClr val="dk1"/>
                        </a:effectRef>
                        <a:fontRef idx="minor">
                          <a:schemeClr val="lt1"/>
                        </a:fontRef>
                      </wps:style>
                      <wps:txbx>
                        <w:txbxContent>
                          <w:p w14:paraId="69D3F458" w14:textId="77777777" w:rsidR="00573C95" w:rsidRDefault="00573C95" w:rsidP="006606E1"/>
                          <w:p w14:paraId="0351C903" w14:textId="77777777" w:rsidR="00573C95" w:rsidRDefault="00573C95" w:rsidP="006606E1"/>
                          <w:p w14:paraId="739920EC" w14:textId="30FBE867" w:rsidR="00573C95" w:rsidRDefault="00573C95" w:rsidP="006606E1">
                            <w:r>
                              <w:t>Pour les couples le revenu utilisé pour calculer la réduction du SRG représente les revenus combinés des deux conjoints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3" o:spid="_x0000_s1044" style="position:absolute;left:0;text-align:left;margin-left:522pt;margin-top:7.6pt;width:162pt;height:162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" fillcolor="black [3200]" strokecolor="black [1600]" strokeweight="1.25pt">
                <v:textbox>
                  <w:txbxContent>
                    <w:p w14:paraId="69D3F458" w14:textId="77777777" w:rsidR="001501D6" w:rsidRDefault="001501D6" w:rsidP="006606E1"/>
                    <w:p w14:paraId="0351C903" w14:textId="77777777" w:rsidR="001501D6" w:rsidRDefault="001501D6" w:rsidP="006606E1"/>
                    <w:p w14:paraId="739920EC" w14:textId="30FBE867" w:rsidR="001501D6" w:rsidRDefault="001501D6" w:rsidP="006606E1">
                      <w:r>
                        <w:t>Pour les couples le revenu utilisé pour calculer la réduction du SRG représente les revenus combinés des deux conjoints</w:t>
                      </w:r>
                    </w:p>
                  </w:txbxContent>
                </v:textbox>
                <w10:wrap type="through"/>
              </v:roundrect>
            </w:pict>
          </mc:Fallback>
        </mc:AlternateContent>
      </w:r>
      <w:r w:rsidR="006606E1">
        <w:rPr>
          <w:noProof/>
          <w:lang w:eastAsia="fr-FR"/>
        </w:rPr>
        <mc:AlternateContent>
          <mc:Choice Requires="wps">
            <w:drawing>
              <wp:anchor distT="0" distB="0" distL="114300" distR="114300" simplePos="0" relativeHeight="251844608" behindDoc="0" locked="0" layoutInCell="1" allowOverlap="1" wp14:anchorId="389E7617" wp14:editId="0A9B0D5A">
                <wp:simplePos x="0" y="0"/>
                <wp:positionH relativeFrom="column">
                  <wp:posOffset>4229100</wp:posOffset>
                </wp:positionH>
                <wp:positionV relativeFrom="paragraph">
                  <wp:posOffset>96520</wp:posOffset>
                </wp:positionV>
                <wp:extent cx="2057400" cy="2057400"/>
                <wp:effectExtent l="0" t="0" r="25400" b="25400"/>
                <wp:wrapThrough wrapText="bothSides">
                  <wp:wrapPolygon edited="0">
                    <wp:start x="1600" y="0"/>
                    <wp:lineTo x="0" y="1600"/>
                    <wp:lineTo x="0" y="20000"/>
                    <wp:lineTo x="1067" y="21333"/>
                    <wp:lineTo x="1600" y="21600"/>
                    <wp:lineTo x="20000" y="21600"/>
                    <wp:lineTo x="20533" y="21333"/>
                    <wp:lineTo x="21600" y="20000"/>
                    <wp:lineTo x="21600" y="1600"/>
                    <wp:lineTo x="20000" y="0"/>
                    <wp:lineTo x="1600" y="0"/>
                  </wp:wrapPolygon>
                </wp:wrapThrough>
                <wp:docPr id="72" name="Rectangle à coins arrondis 72"/>
                <wp:cNvGraphicFramePr/>
                <a:graphic xmlns:a="http://schemas.openxmlformats.org/drawingml/2006/main">
                  <a:graphicData uri="http://schemas.microsoft.com/office/word/2010/wordprocessingShape">
                    <wps:wsp>
                      <wps:cNvSpPr/>
                      <wps:spPr>
                        <a:xfrm>
                          <a:off x="0" y="0"/>
                          <a:ext cx="2057400" cy="205740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185021EC" w14:textId="77777777" w:rsidR="00573C95" w:rsidRDefault="00573C95" w:rsidP="00EC1C27"/>
                          <w:p w14:paraId="55321BEC" w14:textId="77777777" w:rsidR="00573C95" w:rsidRDefault="00573C95" w:rsidP="00EC1C27"/>
                          <w:p w14:paraId="5DD16223" w14:textId="33DD3473" w:rsidR="00573C95" w:rsidRPr="001B1FFB" w:rsidRDefault="00573C95" w:rsidP="00EC1C27">
                            <w:pPr>
                              <w:rPr>
                                <w:color w:val="000000" w:themeColor="text1"/>
                              </w:rPr>
                            </w:pPr>
                            <w:r w:rsidRPr="001B1FFB">
                              <w:rPr>
                                <w:color w:val="000000" w:themeColor="text1"/>
                              </w:rPr>
                              <w:t>Le premier 3 500 $ de revenu d'emploi n'est pas inclus dans le revenu utilisé pour calculer la réduction du SRG</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2" o:spid="_x0000_s1045" style="position:absolute;left:0;text-align:left;margin-left:333pt;margin-top:7.6pt;width:162pt;height:162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" fillcolor="#94c600 [3204]" strokecolor="#496200 [1604]" strokeweight="1.25pt">
                <v:textbox>
                  <w:txbxContent>
                    <w:p w14:paraId="185021EC" w14:textId="77777777" w:rsidR="001501D6" w:rsidRDefault="001501D6" w:rsidP="00EC1C27"/>
                    <w:p w14:paraId="55321BEC" w14:textId="77777777" w:rsidR="001501D6" w:rsidRDefault="001501D6" w:rsidP="00EC1C27"/>
                    <w:p w14:paraId="5DD16223" w14:textId="33DD3473" w:rsidR="001501D6" w:rsidRPr="001B1FFB" w:rsidRDefault="001501D6" w:rsidP="00EC1C27">
                      <w:pPr>
                        <w:rPr>
                          <w:color w:val="000000" w:themeColor="text1"/>
                        </w:rPr>
                      </w:pPr>
                      <w:r w:rsidRPr="001B1FFB">
                        <w:rPr>
                          <w:color w:val="000000" w:themeColor="text1"/>
                        </w:rPr>
                        <w:t>Le premier 3 500 $ de revenu d'emploi n'est pas inclus dans le revenu utilisé pour calculer la réduction du SRG</w:t>
                      </w:r>
                    </w:p>
                  </w:txbxContent>
                </v:textbox>
                <w10:wrap type="through"/>
              </v:roundrect>
            </w:pict>
          </mc:Fallback>
        </mc:AlternateContent>
      </w:r>
      <w:r w:rsidR="006606E1">
        <w:rPr>
          <w:noProof/>
          <w:lang w:eastAsia="fr-FR"/>
        </w:rPr>
        <mc:AlternateContent>
          <mc:Choice Requires="wps">
            <w:drawing>
              <wp:anchor distT="0" distB="0" distL="114300" distR="114300" simplePos="0" relativeHeight="251842560" behindDoc="0" locked="0" layoutInCell="1" allowOverlap="1" wp14:anchorId="1367A70D" wp14:editId="710C7471">
                <wp:simplePos x="0" y="0"/>
                <wp:positionH relativeFrom="column">
                  <wp:posOffset>1943100</wp:posOffset>
                </wp:positionH>
                <wp:positionV relativeFrom="paragraph">
                  <wp:posOffset>96520</wp:posOffset>
                </wp:positionV>
                <wp:extent cx="2057400" cy="2057400"/>
                <wp:effectExtent l="0" t="0" r="25400" b="25400"/>
                <wp:wrapThrough wrapText="bothSides">
                  <wp:wrapPolygon edited="0">
                    <wp:start x="1600" y="0"/>
                    <wp:lineTo x="0" y="1600"/>
                    <wp:lineTo x="0" y="20000"/>
                    <wp:lineTo x="1067" y="21333"/>
                    <wp:lineTo x="1600" y="21600"/>
                    <wp:lineTo x="20000" y="21600"/>
                    <wp:lineTo x="20533" y="21333"/>
                    <wp:lineTo x="21600" y="20000"/>
                    <wp:lineTo x="21600" y="1600"/>
                    <wp:lineTo x="20000" y="0"/>
                    <wp:lineTo x="1600" y="0"/>
                  </wp:wrapPolygon>
                </wp:wrapThrough>
                <wp:docPr id="71" name="Rectangle à coins arrondis 71"/>
                <wp:cNvGraphicFramePr/>
                <a:graphic xmlns:a="http://schemas.openxmlformats.org/drawingml/2006/main">
                  <a:graphicData uri="http://schemas.microsoft.com/office/word/2010/wordprocessingShape">
                    <wps:wsp>
                      <wps:cNvSpPr/>
                      <wps:spPr>
                        <a:xfrm>
                          <a:off x="0" y="0"/>
                          <a:ext cx="2057400" cy="2057400"/>
                        </a:xfrm>
                        <a:prstGeom prst="roundRect">
                          <a:avLst/>
                        </a:prstGeom>
                        <a:ln/>
                      </wps:spPr>
                      <wps:style>
                        <a:lnRef idx="2">
                          <a:schemeClr val="accent3">
                            <a:shade val="50000"/>
                          </a:schemeClr>
                        </a:lnRef>
                        <a:fillRef idx="1">
                          <a:schemeClr val="accent3"/>
                        </a:fillRef>
                        <a:effectRef idx="0">
                          <a:schemeClr val="accent3"/>
                        </a:effectRef>
                        <a:fontRef idx="minor">
                          <a:schemeClr val="lt1"/>
                        </a:fontRef>
                      </wps:style>
                      <wps:txbx>
                        <w:txbxContent>
                          <w:p w14:paraId="56F66AB7" w14:textId="77777777" w:rsidR="00573C95" w:rsidRDefault="00573C95" w:rsidP="00EC1C27"/>
                          <w:p w14:paraId="4668D1E9" w14:textId="77777777" w:rsidR="00573C95" w:rsidRDefault="00573C95" w:rsidP="00EC1C27"/>
                          <w:p w14:paraId="03671F12" w14:textId="055CEC9A" w:rsidR="00573C95" w:rsidRPr="001B1FFB" w:rsidRDefault="00573C95" w:rsidP="00EC1C27">
                            <w:pPr>
                              <w:rPr>
                                <w:color w:val="000000" w:themeColor="text1"/>
                              </w:rPr>
                            </w:pPr>
                            <w:r w:rsidRPr="001B1FFB">
                              <w:rPr>
                                <w:color w:val="000000" w:themeColor="text1"/>
                              </w:rPr>
                              <w:t>La PSV et le SRG ne sont pas inclus dans le revenu utilisé pour calculer la réduction du SRG</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1" o:spid="_x0000_s1046" style="position:absolute;left:0;text-align:left;margin-left:153pt;margin-top:7.6pt;width:162pt;height:162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" fillcolor="#ff6700 [3206]" strokecolor="#7f3300 [1606]" strokeweight="1.25pt">
                <v:textbox>
                  <w:txbxContent>
                    <w:p w14:paraId="56F66AB7" w14:textId="77777777" w:rsidR="001501D6" w:rsidRDefault="001501D6" w:rsidP="00EC1C27"/>
                    <w:p w14:paraId="4668D1E9" w14:textId="77777777" w:rsidR="001501D6" w:rsidRDefault="001501D6" w:rsidP="00EC1C27"/>
                    <w:p w14:paraId="03671F12" w14:textId="055CEC9A" w:rsidR="001501D6" w:rsidRPr="001B1FFB" w:rsidRDefault="001501D6" w:rsidP="00EC1C27">
                      <w:pPr>
                        <w:rPr>
                          <w:color w:val="000000" w:themeColor="text1"/>
                        </w:rPr>
                      </w:pPr>
                      <w:r w:rsidRPr="001B1FFB">
                        <w:rPr>
                          <w:color w:val="000000" w:themeColor="text1"/>
                        </w:rPr>
                        <w:t>La PSV et le SRG ne sont pas inclus dans le revenu utilisé pour calculer la réduction du SRG</w:t>
                      </w:r>
                    </w:p>
                  </w:txbxContent>
                </v:textbox>
                <w10:wrap type="through"/>
              </v:roundrect>
            </w:pict>
          </mc:Fallback>
        </mc:AlternateContent>
      </w:r>
      <w:r w:rsidR="00EC1C27">
        <w:rPr>
          <w:noProof/>
          <w:lang w:eastAsia="fr-FR"/>
        </w:rPr>
        <mc:AlternateContent>
          <mc:Choice Requires="wps">
            <w:drawing>
              <wp:anchor distT="0" distB="0" distL="114300" distR="114300" simplePos="0" relativeHeight="251840512" behindDoc="0" locked="0" layoutInCell="1" allowOverlap="1" wp14:anchorId="0502B686" wp14:editId="17AE30BA">
                <wp:simplePos x="0" y="0"/>
                <wp:positionH relativeFrom="column">
                  <wp:posOffset>-342900</wp:posOffset>
                </wp:positionH>
                <wp:positionV relativeFrom="paragraph">
                  <wp:posOffset>96520</wp:posOffset>
                </wp:positionV>
                <wp:extent cx="2057400" cy="2077720"/>
                <wp:effectExtent l="0" t="0" r="25400" b="30480"/>
                <wp:wrapThrough wrapText="bothSides">
                  <wp:wrapPolygon edited="0">
                    <wp:start x="1600" y="0"/>
                    <wp:lineTo x="0" y="1584"/>
                    <wp:lineTo x="0" y="20068"/>
                    <wp:lineTo x="1600" y="21653"/>
                    <wp:lineTo x="20000" y="21653"/>
                    <wp:lineTo x="21600" y="20068"/>
                    <wp:lineTo x="21600" y="1584"/>
                    <wp:lineTo x="20000" y="0"/>
                    <wp:lineTo x="1600" y="0"/>
                  </wp:wrapPolygon>
                </wp:wrapThrough>
                <wp:docPr id="69" name="Rectangle à coins arrondis 69"/>
                <wp:cNvGraphicFramePr/>
                <a:graphic xmlns:a="http://schemas.openxmlformats.org/drawingml/2006/main">
                  <a:graphicData uri="http://schemas.microsoft.com/office/word/2010/wordprocessingShape">
                    <wps:wsp>
                      <wps:cNvSpPr/>
                      <wps:spPr>
                        <a:xfrm>
                          <a:off x="0" y="0"/>
                          <a:ext cx="2057400" cy="2077720"/>
                        </a:xfrm>
                        <a:prstGeom prst="round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7E66079E" w14:textId="77777777" w:rsidR="00573C95" w:rsidRDefault="00573C95" w:rsidP="00EC1C27"/>
                          <w:p w14:paraId="2B3F4544" w14:textId="77777777" w:rsidR="00573C95" w:rsidRDefault="00573C95" w:rsidP="00EC1C27"/>
                          <w:p w14:paraId="61F3EC8F" w14:textId="57876D29" w:rsidR="00573C95" w:rsidRPr="001B1FFB" w:rsidRDefault="00573C95" w:rsidP="00EC1C27">
                            <w:pPr>
                              <w:rPr>
                                <w:color w:val="000000" w:themeColor="text1"/>
                              </w:rPr>
                            </w:pPr>
                            <w:r w:rsidRPr="001B1FFB">
                              <w:rPr>
                                <w:color w:val="000000" w:themeColor="text1"/>
                              </w:rPr>
                              <w:t>Réduction de 50 % du SRG à compter du premier dollar de revenu</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9" o:spid="_x0000_s1047" style="position:absolute;left:0;text-align:left;margin-left:-26.95pt;margin-top:7.6pt;width:162pt;height:163.6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" fillcolor="#909465 [3207]" strokecolor="#474932 [1607]" strokeweight="1.25pt">
                <v:textbox>
                  <w:txbxContent>
                    <w:p w14:paraId="7E66079E" w14:textId="77777777" w:rsidR="001501D6" w:rsidRDefault="001501D6" w:rsidP="00EC1C27"/>
                    <w:p w14:paraId="2B3F4544" w14:textId="77777777" w:rsidR="001501D6" w:rsidRDefault="001501D6" w:rsidP="00EC1C27"/>
                    <w:p w14:paraId="61F3EC8F" w14:textId="57876D29" w:rsidR="001501D6" w:rsidRPr="001B1FFB" w:rsidRDefault="001501D6" w:rsidP="00EC1C27">
                      <w:pPr>
                        <w:rPr>
                          <w:color w:val="000000" w:themeColor="text1"/>
                        </w:rPr>
                      </w:pPr>
                      <w:r w:rsidRPr="001B1FFB">
                        <w:rPr>
                          <w:color w:val="000000" w:themeColor="text1"/>
                        </w:rPr>
                        <w:t>Réduction de 50 % du SRG à compter du premier dollar de revenu</w:t>
                      </w:r>
                    </w:p>
                  </w:txbxContent>
                </v:textbox>
                <w10:wrap type="through"/>
              </v:roundrect>
            </w:pict>
          </mc:Fallback>
        </mc:AlternateContent>
      </w:r>
    </w:p>
    <w:p w14:paraId="34221448" w14:textId="050AAB97" w:rsidR="00C75529" w:rsidRDefault="00C75529" w:rsidP="00C21AD6">
      <w:pPr>
        <w:jc w:val="both"/>
      </w:pPr>
    </w:p>
    <w:p w14:paraId="1A70DFE8" w14:textId="6A4BEBE0" w:rsidR="00C75529" w:rsidRDefault="00C75529" w:rsidP="00C21AD6">
      <w:pPr>
        <w:jc w:val="both"/>
      </w:pPr>
    </w:p>
    <w:p w14:paraId="774A8146" w14:textId="2F77B8FB" w:rsidR="00C75529" w:rsidRDefault="00C75529" w:rsidP="00C21AD6">
      <w:pPr>
        <w:jc w:val="both"/>
      </w:pPr>
    </w:p>
    <w:p w14:paraId="004E4AE7" w14:textId="77777777" w:rsidR="00C75529" w:rsidRDefault="00C75529" w:rsidP="00C21AD6">
      <w:pPr>
        <w:jc w:val="both"/>
      </w:pPr>
    </w:p>
    <w:p w14:paraId="569C25C1" w14:textId="77777777" w:rsidR="00C75529" w:rsidRDefault="00C75529" w:rsidP="00C21AD6">
      <w:pPr>
        <w:jc w:val="both"/>
      </w:pPr>
    </w:p>
    <w:p w14:paraId="3F6152E7" w14:textId="77777777" w:rsidR="00C75529" w:rsidRDefault="00C75529" w:rsidP="00C21AD6">
      <w:pPr>
        <w:jc w:val="both"/>
      </w:pPr>
    </w:p>
    <w:p w14:paraId="17845560" w14:textId="221567CE" w:rsidR="00C21AD6" w:rsidRDefault="00C75529" w:rsidP="000919C6">
      <w:pPr>
        <w:jc w:val="both"/>
      </w:pPr>
      <w:r>
        <w:t xml:space="preserve"> </w:t>
      </w:r>
    </w:p>
    <w:p w14:paraId="0E97E0F7" w14:textId="77777777" w:rsidR="00C21AD6" w:rsidRDefault="00C21AD6" w:rsidP="00C21AD6">
      <w:pPr>
        <w:jc w:val="both"/>
      </w:pPr>
    </w:p>
    <w:p w14:paraId="739E176E" w14:textId="77777777" w:rsidR="00C21AD6" w:rsidRDefault="00C21AD6" w:rsidP="00C21AD6">
      <w:pPr>
        <w:jc w:val="both"/>
      </w:pPr>
    </w:p>
    <w:p w14:paraId="26EAE640" w14:textId="77777777" w:rsidR="00C21AD6" w:rsidRDefault="00C21AD6" w:rsidP="00C21AD6">
      <w:pPr>
        <w:jc w:val="both"/>
      </w:pPr>
    </w:p>
    <w:p w14:paraId="715CCAE3" w14:textId="77777777" w:rsidR="00456B53" w:rsidRDefault="00456B53" w:rsidP="00C21AD6">
      <w:pPr>
        <w:jc w:val="both"/>
      </w:pPr>
    </w:p>
    <w:p w14:paraId="62B90FC0" w14:textId="265F40B4" w:rsidR="00E1451B" w:rsidRDefault="00FE6B12" w:rsidP="00C21AD6">
      <w:pPr>
        <w:jc w:val="both"/>
      </w:pPr>
      <w:r>
        <w:t xml:space="preserve">Sans pour autant le cautionner, l'effet d'un TEMI aussi élevé pour des gens qui visent à combler des besoins de première </w:t>
      </w:r>
      <w:r w:rsidR="00C14327">
        <w:t>nécessité</w:t>
      </w:r>
      <w:r>
        <w:t xml:space="preserve"> contribue grandement à la tentation </w:t>
      </w:r>
      <w:r w:rsidR="00E46A76">
        <w:t>pour ceux-ci de générer des revenus qui ne sont pas facilement contrôlables aux fins fiscales (communément appelé le "travail au noir").</w:t>
      </w:r>
      <w:r>
        <w:t xml:space="preserve"> </w:t>
      </w:r>
    </w:p>
    <w:p w14:paraId="7E3F1036" w14:textId="77777777" w:rsidR="00E46A76" w:rsidRDefault="00E46A76" w:rsidP="00C21AD6">
      <w:pPr>
        <w:jc w:val="both"/>
      </w:pPr>
    </w:p>
    <w:p w14:paraId="01051DC6" w14:textId="38FA87B0" w:rsidR="00C21AD6" w:rsidRPr="000F289D" w:rsidRDefault="00C21AD6" w:rsidP="006C34CF">
      <w:pPr>
        <w:pStyle w:val="Paragraphedeliste"/>
        <w:numPr>
          <w:ilvl w:val="0"/>
          <w:numId w:val="10"/>
        </w:numPr>
        <w:jc w:val="both"/>
        <w:rPr>
          <w:color w:val="FF6700" w:themeColor="accent3"/>
        </w:rPr>
      </w:pPr>
      <w:r w:rsidRPr="000F289D">
        <w:rPr>
          <w:color w:val="FF6700" w:themeColor="accent3"/>
        </w:rPr>
        <w:t>E</w:t>
      </w:r>
      <w:r w:rsidR="00E54CDB" w:rsidRPr="000F289D">
        <w:rPr>
          <w:color w:val="FF6700" w:themeColor="accent3"/>
        </w:rPr>
        <w:t>XEMPLE</w:t>
      </w:r>
      <w:r w:rsidR="00DD51DD" w:rsidRPr="000F289D">
        <w:rPr>
          <w:color w:val="FF6700" w:themeColor="accent3"/>
        </w:rPr>
        <w:t xml:space="preserve"> 7-2</w:t>
      </w:r>
    </w:p>
    <w:p w14:paraId="3C53EFD3" w14:textId="77777777" w:rsidR="00C21AD6" w:rsidRDefault="00C21AD6" w:rsidP="00C21AD6">
      <w:pPr>
        <w:jc w:val="both"/>
      </w:pPr>
    </w:p>
    <w:p w14:paraId="7B2442A6" w14:textId="766A704D" w:rsidR="00C21AD6" w:rsidRDefault="00C21AD6" w:rsidP="00C21AD6">
      <w:pPr>
        <w:jc w:val="both"/>
      </w:pPr>
      <w:r>
        <w:t>Prenons le cas d</w:t>
      </w:r>
      <w:r w:rsidR="008D7EEF">
        <w:t>'un couple de retraité, tous les deux âgés de 68 ans. Voici les revenus gagnés par chacun d'entre eux, avant la détermination de leur prestation de SRG. L</w:t>
      </w:r>
      <w:r>
        <w:t>es revenus se ventilent de la manière suivante:</w:t>
      </w:r>
    </w:p>
    <w:p w14:paraId="391DCD2C" w14:textId="76EA8A73" w:rsidR="00C21AD6" w:rsidRDefault="00C21AD6" w:rsidP="00C21AD6">
      <w:pPr>
        <w:jc w:val="both"/>
      </w:pPr>
    </w:p>
    <w:p w14:paraId="1118C4C5" w14:textId="624D9D72" w:rsidR="008D7EEF" w:rsidRDefault="00C21AD6" w:rsidP="008D7EEF">
      <w:pPr>
        <w:jc w:val="both"/>
      </w:pPr>
      <w:r>
        <w:tab/>
      </w:r>
      <w:r>
        <w:tab/>
      </w:r>
      <w:r w:rsidR="008D7EEF">
        <w:t>Madame</w:t>
      </w:r>
      <w:r w:rsidR="008D7EEF" w:rsidRPr="008D7EEF">
        <w:t xml:space="preserve"> </w:t>
      </w:r>
      <w:r w:rsidR="008D7EEF">
        <w:tab/>
      </w:r>
      <w:r w:rsidR="008D7EEF">
        <w:tab/>
      </w:r>
      <w:r w:rsidR="008D7EEF">
        <w:tab/>
      </w:r>
      <w:r w:rsidR="008D7EEF">
        <w:tab/>
      </w:r>
      <w:r w:rsidR="008D7EEF">
        <w:tab/>
      </w:r>
      <w:r w:rsidR="008D7EEF">
        <w:tab/>
      </w:r>
      <w:r w:rsidR="008D7EEF">
        <w:tab/>
        <w:t>M</w:t>
      </w:r>
      <w:r w:rsidR="00285EFB">
        <w:t>onsieur</w:t>
      </w:r>
    </w:p>
    <w:p w14:paraId="7E416672" w14:textId="77777777" w:rsidR="008D7EEF" w:rsidRDefault="008D7EEF" w:rsidP="008D7EEF">
      <w:pPr>
        <w:jc w:val="both"/>
      </w:pPr>
    </w:p>
    <w:p w14:paraId="7C9BBA71" w14:textId="0A292F29" w:rsidR="00285EFB" w:rsidRDefault="008D7EEF" w:rsidP="00285EFB">
      <w:pPr>
        <w:jc w:val="both"/>
      </w:pPr>
      <w:r>
        <w:tab/>
      </w:r>
      <w:r>
        <w:tab/>
        <w:t>Rente de la RRQ</w:t>
      </w:r>
      <w:r>
        <w:tab/>
      </w:r>
      <w:r>
        <w:tab/>
        <w:t xml:space="preserve">  1 580 $</w:t>
      </w:r>
      <w:r>
        <w:tab/>
      </w:r>
      <w:r>
        <w:tab/>
      </w:r>
      <w:r w:rsidR="00285EFB">
        <w:t>Rente de la RRQ</w:t>
      </w:r>
      <w:r w:rsidR="00285EFB">
        <w:tab/>
      </w:r>
      <w:r w:rsidR="00285EFB">
        <w:tab/>
        <w:t xml:space="preserve">  1 180 $</w:t>
      </w:r>
    </w:p>
    <w:p w14:paraId="7A7D7291" w14:textId="7C1F160D" w:rsidR="00285EFB" w:rsidRDefault="00285EFB" w:rsidP="00285EFB">
      <w:pPr>
        <w:jc w:val="both"/>
      </w:pPr>
      <w:r>
        <w:tab/>
      </w:r>
      <w:r>
        <w:tab/>
        <w:t>PSV</w:t>
      </w:r>
      <w:r>
        <w:tab/>
      </w:r>
      <w:r>
        <w:tab/>
      </w:r>
      <w:r>
        <w:tab/>
      </w:r>
      <w:r>
        <w:tab/>
        <w:t xml:space="preserve">  6 765 $</w:t>
      </w:r>
      <w:r>
        <w:tab/>
      </w:r>
      <w:r>
        <w:tab/>
      </w:r>
      <w:r w:rsidR="00345F18">
        <w:t>PSV</w:t>
      </w:r>
      <w:r w:rsidR="00345F18">
        <w:tab/>
      </w:r>
      <w:r w:rsidR="00345F18">
        <w:tab/>
      </w:r>
      <w:r w:rsidR="00345F18">
        <w:tab/>
      </w:r>
      <w:r>
        <w:tab/>
        <w:t xml:space="preserve">  </w:t>
      </w:r>
      <w:r w:rsidR="00345F18">
        <w:t>6 765</w:t>
      </w:r>
      <w:r>
        <w:t xml:space="preserve"> $</w:t>
      </w:r>
    </w:p>
    <w:p w14:paraId="6EB4E348" w14:textId="1EC243A0" w:rsidR="008D7EEF" w:rsidRDefault="00285EFB" w:rsidP="008D7EEF">
      <w:pPr>
        <w:jc w:val="both"/>
      </w:pPr>
      <w:r>
        <w:tab/>
      </w:r>
      <w:r>
        <w:tab/>
        <w:t>R</w:t>
      </w:r>
      <w:r w:rsidR="00345F18">
        <w:t>EÉR</w:t>
      </w:r>
      <w:r w:rsidR="00345F18">
        <w:tab/>
      </w:r>
      <w:r w:rsidR="00345F18">
        <w:tab/>
      </w:r>
      <w:r>
        <w:tab/>
      </w:r>
      <w:r>
        <w:tab/>
        <w:t xml:space="preserve">  </w:t>
      </w:r>
      <w:r w:rsidR="00345F18">
        <w:t>1</w:t>
      </w:r>
      <w:r>
        <w:t xml:space="preserve"> </w:t>
      </w:r>
      <w:r w:rsidR="00345F18">
        <w:t>225</w:t>
      </w:r>
      <w:r>
        <w:t xml:space="preserve"> $</w:t>
      </w:r>
      <w:r w:rsidR="008D7EEF">
        <w:tab/>
      </w:r>
      <w:r>
        <w:tab/>
      </w:r>
      <w:r w:rsidR="00345F18">
        <w:t>CÉLI (Encaissement)</w:t>
      </w:r>
      <w:r w:rsidR="008D7EEF">
        <w:tab/>
        <w:t xml:space="preserve">  </w:t>
      </w:r>
      <w:r w:rsidR="00345F18">
        <w:t>3 225</w:t>
      </w:r>
      <w:r w:rsidR="008D7EEF">
        <w:t xml:space="preserve"> $</w:t>
      </w:r>
    </w:p>
    <w:p w14:paraId="2C8022B7" w14:textId="694488D7" w:rsidR="008D7EEF" w:rsidRDefault="008D7EEF" w:rsidP="008D7EEF">
      <w:pPr>
        <w:jc w:val="both"/>
      </w:pPr>
      <w:r>
        <w:tab/>
      </w:r>
      <w:r>
        <w:tab/>
        <w:t>R</w:t>
      </w:r>
      <w:r w:rsidR="00345F18">
        <w:t>evenu d'emploi</w:t>
      </w:r>
      <w:r>
        <w:tab/>
      </w:r>
      <w:r>
        <w:tab/>
        <w:t xml:space="preserve">  </w:t>
      </w:r>
      <w:r w:rsidR="00345F18">
        <w:t>2 555</w:t>
      </w:r>
      <w:r>
        <w:t xml:space="preserve"> $</w:t>
      </w:r>
      <w:r w:rsidR="00285EFB">
        <w:tab/>
      </w:r>
      <w:r w:rsidR="00285EFB">
        <w:tab/>
        <w:t>Revenu d'emploi</w:t>
      </w:r>
      <w:r w:rsidR="00285EFB">
        <w:tab/>
      </w:r>
      <w:r w:rsidR="00285EFB">
        <w:tab/>
        <w:t xml:space="preserve">  </w:t>
      </w:r>
      <w:r w:rsidR="00A87ABC">
        <w:t>4</w:t>
      </w:r>
      <w:r w:rsidR="00285EFB">
        <w:t xml:space="preserve"> 555 $</w:t>
      </w:r>
    </w:p>
    <w:p w14:paraId="6A69F73F" w14:textId="77777777" w:rsidR="00E46A76" w:rsidRDefault="00E46A76" w:rsidP="00C21AD6"/>
    <w:p w14:paraId="48A4D26C" w14:textId="77777777" w:rsidR="00A87ABC" w:rsidRDefault="00A87ABC" w:rsidP="00C21AD6">
      <w:r>
        <w:t>Nous aimerions savoir quel sera le montant de SRG que chaque conjoint recevra durant l'année en cours.</w:t>
      </w:r>
    </w:p>
    <w:p w14:paraId="6377016D" w14:textId="7CE42DBB" w:rsidR="00BD727A" w:rsidRDefault="00BD727A" w:rsidP="00C21AD6">
      <w:r>
        <w:rPr>
          <w:noProof/>
          <w:lang w:eastAsia="fr-FR"/>
        </w:rPr>
        <mc:AlternateContent>
          <mc:Choice Requires="wps">
            <w:drawing>
              <wp:anchor distT="0" distB="0" distL="114300" distR="114300" simplePos="0" relativeHeight="251855872" behindDoc="0" locked="0" layoutInCell="1" allowOverlap="1" wp14:anchorId="3CC60667" wp14:editId="70BD5E43">
                <wp:simplePos x="0" y="0"/>
                <wp:positionH relativeFrom="column">
                  <wp:posOffset>0</wp:posOffset>
                </wp:positionH>
                <wp:positionV relativeFrom="paragraph">
                  <wp:posOffset>54610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78" name="Ellipse 78"/>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1"/>
                        </a:fillRef>
                        <a:effectRef idx="1">
                          <a:schemeClr val="accent1"/>
                        </a:effectRef>
                        <a:fontRef idx="minor">
                          <a:schemeClr val="lt1"/>
                        </a:fontRef>
                      </wps:style>
                      <wps:txbx>
                        <w:txbxContent>
                          <w:p w14:paraId="63A776DD" w14:textId="77777777" w:rsidR="00573C95" w:rsidRDefault="00573C95" w:rsidP="00A87ABC">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8" o:spid="_x0000_s1048" style="position:absolute;margin-left:0;margin-top:4.3pt;width:36pt;height:36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" fillcolor="#94c600 [3204]" strokecolor="white [3201]" strokeweight="1.75pt">
                <v:textbox>
                  <w:txbxContent>
                    <w:p w14:paraId="63A776DD" w14:textId="77777777" w:rsidR="001501D6" w:rsidRDefault="001501D6" w:rsidP="00A87ABC">
                      <w:pPr>
                        <w:jc w:val="center"/>
                      </w:pPr>
                      <w:r>
                        <w:t>1</w:t>
                      </w:r>
                    </w:p>
                  </w:txbxContent>
                </v:textbox>
                <w10:wrap type="through"/>
              </v:oval>
            </w:pict>
          </mc:Fallback>
        </mc:AlternateContent>
      </w:r>
    </w:p>
    <w:p w14:paraId="37D55BC3" w14:textId="13D7F09F" w:rsidR="00A87ABC" w:rsidRDefault="00A87ABC" w:rsidP="00C21AD6">
      <w:r>
        <w:t>Détermination du revenu sur lequel s'applique la réduction de 50 %</w:t>
      </w:r>
    </w:p>
    <w:p w14:paraId="537D955D" w14:textId="2B9DB7C8" w:rsidR="00A87ABC" w:rsidRDefault="00A87ABC" w:rsidP="00C21AD6"/>
    <w:p w14:paraId="5E36C373" w14:textId="0F514065" w:rsidR="00A87ABC" w:rsidRDefault="00A87ABC" w:rsidP="00C21AD6">
      <w:r>
        <w:rPr>
          <w:noProof/>
          <w:lang w:eastAsia="fr-FR"/>
        </w:rPr>
        <mc:AlternateContent>
          <mc:Choice Requires="wps">
            <w:drawing>
              <wp:anchor distT="0" distB="0" distL="114300" distR="114300" simplePos="0" relativeHeight="251859968" behindDoc="0" locked="0" layoutInCell="1" allowOverlap="1" wp14:anchorId="77845624" wp14:editId="75547356">
                <wp:simplePos x="0" y="0"/>
                <wp:positionH relativeFrom="column">
                  <wp:posOffset>3657600</wp:posOffset>
                </wp:positionH>
                <wp:positionV relativeFrom="paragraph">
                  <wp:posOffset>138430</wp:posOffset>
                </wp:positionV>
                <wp:extent cx="3429000" cy="342900"/>
                <wp:effectExtent l="25400" t="25400" r="25400" b="38100"/>
                <wp:wrapSquare wrapText="bothSides"/>
                <wp:docPr id="80" name="Zone de texte 80"/>
                <wp:cNvGraphicFramePr/>
                <a:graphic xmlns:a="http://schemas.openxmlformats.org/drawingml/2006/main">
                  <a:graphicData uri="http://schemas.microsoft.com/office/word/2010/wordprocessingShape">
                    <wps:wsp>
                      <wps:cNvSpPr txBox="1"/>
                      <wps:spPr>
                        <a:xfrm>
                          <a:off x="0" y="0"/>
                          <a:ext cx="3429000" cy="342900"/>
                        </a:xfrm>
                        <a:prstGeom prst="rect">
                          <a:avLst/>
                        </a:prstGeom>
                        <a:solidFill>
                          <a:srgbClr val="FC6D53"/>
                        </a:solidFill>
                        <a:ln w="38100" cmpd="sng">
                          <a:solidFill>
                            <a:schemeClr val="tx1"/>
                          </a:solidFill>
                        </a:ln>
                        <a:extLst>
                          <a:ext uri="{C572A759-6A51-4108-AA02-DFA0A04FC94B}">
                            <ma14:wrappingTextBoxFlag xmlns:ma14="http://schemas.microsoft.com/office/mac/drawingml/2011/main"/>
                          </a:ext>
                        </a:extLst>
                      </wps:spPr>
                      <wps:style>
                        <a:lnRef idx="3">
                          <a:schemeClr val="lt1"/>
                        </a:lnRef>
                        <a:fillRef idx="1">
                          <a:schemeClr val="accent6"/>
                        </a:fillRef>
                        <a:effectRef idx="1">
                          <a:schemeClr val="accent6"/>
                        </a:effectRef>
                        <a:fontRef idx="minor">
                          <a:schemeClr val="lt1"/>
                        </a:fontRef>
                      </wps:style>
                      <wps:txbx>
                        <w:txbxContent>
                          <w:p w14:paraId="1AE753D3" w14:textId="1DE23008" w:rsidR="00573C95" w:rsidRPr="00342B43" w:rsidRDefault="00573C95" w:rsidP="00A87ABC">
                            <w:pPr>
                              <w:rPr>
                                <w:color w:val="000000" w:themeColor="text1"/>
                              </w:rPr>
                            </w:pPr>
                            <w:r w:rsidRPr="00342B43">
                              <w:rPr>
                                <w:color w:val="000000" w:themeColor="text1"/>
                              </w:rPr>
                              <w:t>Revenu servant de calcul au SRG 5 040 $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0" o:spid="_x0000_s1049" type="#_x0000_t202" style="position:absolute;margin-left:4in;margin-top:10.9pt;width:270pt;height:27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" fillcolor="#fc6d53" strokecolor="black [3213]" strokeweight="3pt">
                <v:textbox>
                  <w:txbxContent>
                    <w:p w14:paraId="1AE753D3" w14:textId="1DE23008" w:rsidR="001501D6" w:rsidRPr="00342B43" w:rsidRDefault="001501D6" w:rsidP="00A87ABC">
                      <w:pPr>
                        <w:rPr>
                          <w:color w:val="000000" w:themeColor="text1"/>
                        </w:rPr>
                      </w:pPr>
                      <w:r w:rsidRPr="00342B43">
                        <w:rPr>
                          <w:color w:val="000000" w:themeColor="text1"/>
                        </w:rPr>
                        <w:t>Revenu servant de calcul au SRG 5 040 $</w:t>
                      </w:r>
                    </w:p>
                  </w:txbxContent>
                </v:textbox>
                <w10:wrap type="square"/>
              </v:shape>
            </w:pict>
          </mc:Fallback>
        </mc:AlternateContent>
      </w:r>
      <w:r>
        <w:rPr>
          <w:noProof/>
          <w:lang w:eastAsia="fr-FR"/>
        </w:rPr>
        <mc:AlternateContent>
          <mc:Choice Requires="wps">
            <w:drawing>
              <wp:anchor distT="0" distB="0" distL="114300" distR="114300" simplePos="0" relativeHeight="251857920" behindDoc="0" locked="0" layoutInCell="1" allowOverlap="1" wp14:anchorId="7172D6C7" wp14:editId="42A486BE">
                <wp:simplePos x="0" y="0"/>
                <wp:positionH relativeFrom="column">
                  <wp:posOffset>3200400</wp:posOffset>
                </wp:positionH>
                <wp:positionV relativeFrom="paragraph">
                  <wp:posOffset>24130</wp:posOffset>
                </wp:positionV>
                <wp:extent cx="304800" cy="571500"/>
                <wp:effectExtent l="0" t="0" r="25400" b="38100"/>
                <wp:wrapNone/>
                <wp:docPr id="79" name="Accolade fermante 79"/>
                <wp:cNvGraphicFramePr/>
                <a:graphic xmlns:a="http://schemas.openxmlformats.org/drawingml/2006/main">
                  <a:graphicData uri="http://schemas.microsoft.com/office/word/2010/wordprocessingShape">
                    <wps:wsp>
                      <wps:cNvSpPr/>
                      <wps:spPr>
                        <a:xfrm>
                          <a:off x="0" y="0"/>
                          <a:ext cx="304800" cy="571500"/>
                        </a:xfrm>
                        <a:prstGeom prst="rightBrace">
                          <a:avLst/>
                        </a:prstGeom>
                        <a:noFill/>
                        <a:ln>
                          <a:solidFill>
                            <a:schemeClr val="bg1">
                              <a:lumMod val="50000"/>
                            </a:schemeClr>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Accolade fermante 79" o:spid="_x0000_s1026" type="#_x0000_t88" style="position:absolute;margin-left:252pt;margin-top:1.9pt;width:24pt;height:4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" adj="960" strokecolor="#7f7f7f [1612]" strokeweight="1.25pt"/>
            </w:pict>
          </mc:Fallback>
        </mc:AlternateContent>
      </w:r>
      <w:r>
        <w:tab/>
      </w:r>
      <w:r>
        <w:tab/>
        <w:t>Rente de la RRQ</w:t>
      </w:r>
      <w:r>
        <w:tab/>
      </w:r>
      <w:r>
        <w:tab/>
        <w:t xml:space="preserve">2 760 $ </w:t>
      </w:r>
    </w:p>
    <w:p w14:paraId="054293A6" w14:textId="7960BD76" w:rsidR="00A87ABC" w:rsidRDefault="00A87ABC" w:rsidP="00C21AD6">
      <w:r>
        <w:tab/>
      </w:r>
      <w:r>
        <w:tab/>
        <w:t>REÉR</w:t>
      </w:r>
      <w:r>
        <w:tab/>
      </w:r>
      <w:r>
        <w:tab/>
      </w:r>
      <w:r>
        <w:tab/>
      </w:r>
      <w:r>
        <w:tab/>
        <w:t>1 225 $</w:t>
      </w:r>
    </w:p>
    <w:p w14:paraId="00F3D662" w14:textId="7BD98469" w:rsidR="00A87ABC" w:rsidRPr="003A42CD" w:rsidRDefault="00A87ABC" w:rsidP="00C21AD6">
      <w:pPr>
        <w:rPr>
          <w:vertAlign w:val="superscript"/>
        </w:rPr>
      </w:pPr>
      <w:r>
        <w:tab/>
      </w:r>
      <w:r>
        <w:tab/>
        <w:t>Revenu d'emploi</w:t>
      </w:r>
      <w:r>
        <w:tab/>
      </w:r>
      <w:r>
        <w:tab/>
        <w:t>1 055 $</w:t>
      </w:r>
      <w:r w:rsidR="003A42CD" w:rsidRPr="003A42CD">
        <w:rPr>
          <w:vertAlign w:val="superscript"/>
        </w:rPr>
        <w:t>10</w:t>
      </w:r>
    </w:p>
    <w:p w14:paraId="736ACAD5" w14:textId="5D888BC3" w:rsidR="00A87ABC" w:rsidRDefault="00BD727A" w:rsidP="00C21AD6">
      <w:r>
        <w:rPr>
          <w:noProof/>
          <w:lang w:eastAsia="fr-FR"/>
        </w:rPr>
        <mc:AlternateContent>
          <mc:Choice Requires="wps">
            <w:drawing>
              <wp:anchor distT="0" distB="0" distL="114300" distR="114300" simplePos="0" relativeHeight="251862016" behindDoc="0" locked="0" layoutInCell="1" allowOverlap="1" wp14:anchorId="70F9A979" wp14:editId="509E726F">
                <wp:simplePos x="0" y="0"/>
                <wp:positionH relativeFrom="column">
                  <wp:posOffset>0</wp:posOffset>
                </wp:positionH>
                <wp:positionV relativeFrom="paragraph">
                  <wp:posOffset>191135</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81" name="Ellipse 81"/>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1"/>
                        </a:fillRef>
                        <a:effectRef idx="1">
                          <a:schemeClr val="accent1"/>
                        </a:effectRef>
                        <a:fontRef idx="minor">
                          <a:schemeClr val="lt1"/>
                        </a:fontRef>
                      </wps:style>
                      <wps:txbx>
                        <w:txbxContent>
                          <w:p w14:paraId="30C0830E" w14:textId="7B1FFE5F" w:rsidR="00573C95" w:rsidRDefault="00573C95" w:rsidP="00BD727A">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1" o:spid="_x0000_s1050" style="position:absolute;margin-left:0;margin-top:15.05pt;width:36pt;height:36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" fillcolor="#94c600 [3204]" strokecolor="white [3201]" strokeweight="1.75pt">
                <v:textbox>
                  <w:txbxContent>
                    <w:p w14:paraId="30C0830E" w14:textId="7B1FFE5F" w:rsidR="001501D6" w:rsidRDefault="001501D6" w:rsidP="00BD727A">
                      <w:pPr>
                        <w:jc w:val="center"/>
                      </w:pPr>
                      <w:r>
                        <w:t>2</w:t>
                      </w:r>
                    </w:p>
                  </w:txbxContent>
                </v:textbox>
                <w10:wrap type="through"/>
              </v:oval>
            </w:pict>
          </mc:Fallback>
        </mc:AlternateContent>
      </w:r>
    </w:p>
    <w:p w14:paraId="4FA6421E" w14:textId="05E78495" w:rsidR="00A87ABC" w:rsidRDefault="00A87ABC" w:rsidP="00C21AD6"/>
    <w:p w14:paraId="047FAA9A" w14:textId="53AB2953" w:rsidR="00BD727A" w:rsidRDefault="00BD727A" w:rsidP="00C21AD6">
      <w:r>
        <w:t>Calcul du SRG</w:t>
      </w:r>
    </w:p>
    <w:p w14:paraId="5C982408" w14:textId="77D35A2B" w:rsidR="00BD727A" w:rsidRDefault="0015216D" w:rsidP="00C21AD6">
      <w:r>
        <w:rPr>
          <w:noProof/>
          <w:lang w:eastAsia="fr-FR"/>
        </w:rPr>
        <mc:AlternateContent>
          <mc:Choice Requires="wps">
            <w:drawing>
              <wp:anchor distT="0" distB="0" distL="114300" distR="114300" simplePos="0" relativeHeight="251866112" behindDoc="0" locked="0" layoutInCell="1" allowOverlap="1" wp14:anchorId="53A157FD" wp14:editId="19299E9C">
                <wp:simplePos x="0" y="0"/>
                <wp:positionH relativeFrom="column">
                  <wp:posOffset>4007485</wp:posOffset>
                </wp:positionH>
                <wp:positionV relativeFrom="paragraph">
                  <wp:posOffset>170815</wp:posOffset>
                </wp:positionV>
                <wp:extent cx="2836545" cy="342900"/>
                <wp:effectExtent l="25400" t="25400" r="33655" b="38100"/>
                <wp:wrapNone/>
                <wp:docPr id="84" name="Zone de texte 84"/>
                <wp:cNvGraphicFramePr/>
                <a:graphic xmlns:a="http://schemas.openxmlformats.org/drawingml/2006/main">
                  <a:graphicData uri="http://schemas.microsoft.com/office/word/2010/wordprocessingShape">
                    <wps:wsp>
                      <wps:cNvSpPr txBox="1"/>
                      <wps:spPr>
                        <a:xfrm>
                          <a:off x="0" y="0"/>
                          <a:ext cx="2836545" cy="342900"/>
                        </a:xfrm>
                        <a:prstGeom prst="rect">
                          <a:avLst/>
                        </a:prstGeom>
                        <a:solidFill>
                          <a:schemeClr val="accent1">
                            <a:lumMod val="40000"/>
                            <a:lumOff val="60000"/>
                          </a:schemeClr>
                        </a:solidFill>
                        <a:ln w="38100" cmpd="sng">
                          <a:solidFill>
                            <a:srgbClr val="000000"/>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77527D" w14:textId="5E24B2E5" w:rsidR="00573C95" w:rsidRDefault="00573C95" w:rsidP="00BD727A">
                            <w:r>
                              <w:t>SRG pour chaque conjoint 4 822 $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4" o:spid="_x0000_s1051" type="#_x0000_t202" style="position:absolute;margin-left:315.55pt;margin-top:13.45pt;width:223.35pt;height:27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" fillcolor="#dfff82 [1300]" strokeweight="3pt">
                <v:textbox>
                  <w:txbxContent>
                    <w:p w14:paraId="4F77527D" w14:textId="5E24B2E5" w:rsidR="001501D6" w:rsidRDefault="001501D6" w:rsidP="00BD727A">
                      <w:r>
                        <w:t>SRG pour chaque conjoint 4 822 $</w:t>
                      </w:r>
                    </w:p>
                  </w:txbxContent>
                </v:textbox>
              </v:shape>
            </w:pict>
          </mc:Fallback>
        </mc:AlternateContent>
      </w:r>
      <w:r>
        <w:rPr>
          <w:noProof/>
          <w:lang w:eastAsia="fr-FR"/>
        </w:rPr>
        <mc:AlternateContent>
          <mc:Choice Requires="wps">
            <w:drawing>
              <wp:anchor distT="0" distB="0" distL="114300" distR="114300" simplePos="0" relativeHeight="251864064" behindDoc="0" locked="0" layoutInCell="1" allowOverlap="1" wp14:anchorId="616420BF" wp14:editId="023728EC">
                <wp:simplePos x="0" y="0"/>
                <wp:positionH relativeFrom="column">
                  <wp:posOffset>3550285</wp:posOffset>
                </wp:positionH>
                <wp:positionV relativeFrom="paragraph">
                  <wp:posOffset>170815</wp:posOffset>
                </wp:positionV>
                <wp:extent cx="304800" cy="457200"/>
                <wp:effectExtent l="0" t="0" r="25400" b="25400"/>
                <wp:wrapNone/>
                <wp:docPr id="82" name="Accolade fermante 82"/>
                <wp:cNvGraphicFramePr/>
                <a:graphic xmlns:a="http://schemas.openxmlformats.org/drawingml/2006/main">
                  <a:graphicData uri="http://schemas.microsoft.com/office/word/2010/wordprocessingShape">
                    <wps:wsp>
                      <wps:cNvSpPr/>
                      <wps:spPr>
                        <a:xfrm>
                          <a:off x="0" y="0"/>
                          <a:ext cx="304800" cy="457200"/>
                        </a:xfrm>
                        <a:prstGeom prst="rightBrace">
                          <a:avLst/>
                        </a:prstGeom>
                        <a:noFill/>
                        <a:ln>
                          <a:solidFill>
                            <a:schemeClr val="bg1">
                              <a:lumMod val="50000"/>
                            </a:schemeClr>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Accolade fermante 82" o:spid="_x0000_s1026" type="#_x0000_t88" style="position:absolute;margin-left:279.55pt;margin-top:13.45pt;width:24pt;height:36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" adj="1200" strokecolor="#7f7f7f [1612]" strokeweight="1.25pt"/>
            </w:pict>
          </mc:Fallback>
        </mc:AlternateContent>
      </w:r>
    </w:p>
    <w:p w14:paraId="5DE10F47" w14:textId="67191059" w:rsidR="00BD727A" w:rsidRDefault="00BD727A" w:rsidP="00BD727A">
      <w:pPr>
        <w:tabs>
          <w:tab w:val="left" w:pos="708"/>
          <w:tab w:val="left" w:pos="1416"/>
          <w:tab w:val="left" w:pos="2124"/>
          <w:tab w:val="left" w:pos="2832"/>
          <w:tab w:val="left" w:pos="3540"/>
          <w:tab w:val="left" w:pos="4248"/>
          <w:tab w:val="left" w:pos="4956"/>
          <w:tab w:val="left" w:pos="5664"/>
          <w:tab w:val="left" w:pos="6372"/>
          <w:tab w:val="left" w:pos="11747"/>
        </w:tabs>
      </w:pPr>
      <w:r>
        <w:tab/>
      </w:r>
      <w:r>
        <w:tab/>
        <w:t xml:space="preserve">Montant maximum par conjoint </w:t>
      </w:r>
      <w:r>
        <w:tab/>
        <w:t>6 082 $</w:t>
      </w:r>
      <w:r>
        <w:tab/>
      </w:r>
    </w:p>
    <w:p w14:paraId="685D3236" w14:textId="690BF54E" w:rsidR="00BD727A" w:rsidRDefault="00BD727A" w:rsidP="00C21AD6">
      <w:r>
        <w:tab/>
      </w:r>
      <w:r>
        <w:tab/>
      </w:r>
      <w:r w:rsidR="002A4296">
        <w:t>Moins: r</w:t>
      </w:r>
      <w:r>
        <w:t>éduction du SRG</w:t>
      </w:r>
      <w:r>
        <w:tab/>
      </w:r>
      <w:r>
        <w:tab/>
        <w:t>1 260 $</w:t>
      </w:r>
      <w:r w:rsidR="006B7B74">
        <w:rPr>
          <w:rStyle w:val="Marquenotebasdepage"/>
        </w:rPr>
        <w:footnoteReference w:customMarkFollows="1" w:id="13"/>
        <w:t>10</w:t>
      </w:r>
    </w:p>
    <w:p w14:paraId="0F2E0F53" w14:textId="77777777" w:rsidR="00A87ABC" w:rsidRDefault="00A87ABC" w:rsidP="00C21AD6"/>
    <w:p w14:paraId="2D00A599" w14:textId="77777777" w:rsidR="00BD727A" w:rsidRDefault="00BD727A" w:rsidP="00C21AD6"/>
    <w:p w14:paraId="48B02ECD" w14:textId="499CE1B7" w:rsidR="00C21AD6" w:rsidRDefault="002A4296" w:rsidP="00C21AD6">
      <w:r>
        <w:t>Maintenant, déterminons le montant qui sera disponible au couple pour assumer son train de vie de retraite.</w:t>
      </w:r>
    </w:p>
    <w:p w14:paraId="7348115A" w14:textId="0194E895" w:rsidR="002A4296" w:rsidRDefault="002A4296" w:rsidP="00C21AD6">
      <w:r>
        <w:lastRenderedPageBreak/>
        <w:t>Les montants encaissés par le couple:</w:t>
      </w:r>
    </w:p>
    <w:p w14:paraId="2ECE9645" w14:textId="77777777" w:rsidR="002A4296" w:rsidRDefault="002A4296" w:rsidP="00C21AD6"/>
    <w:p w14:paraId="10520D11" w14:textId="1F6BACE9" w:rsidR="002A4296" w:rsidRDefault="002A4296" w:rsidP="002A4296">
      <w:pPr>
        <w:jc w:val="both"/>
      </w:pPr>
      <w:r>
        <w:tab/>
      </w:r>
      <w:r>
        <w:tab/>
        <w:t>Madame</w:t>
      </w:r>
      <w:r w:rsidRPr="008D7EEF">
        <w:t xml:space="preserve"> </w:t>
      </w:r>
      <w:r>
        <w:tab/>
      </w:r>
      <w:r>
        <w:tab/>
      </w:r>
      <w:r>
        <w:tab/>
      </w:r>
      <w:r>
        <w:tab/>
      </w:r>
      <w:r>
        <w:tab/>
      </w:r>
      <w:r>
        <w:tab/>
      </w:r>
      <w:r>
        <w:tab/>
      </w:r>
    </w:p>
    <w:p w14:paraId="36CBFF65" w14:textId="0C762E3B" w:rsidR="002A4296" w:rsidRDefault="002A4296" w:rsidP="002A4296">
      <w:pPr>
        <w:jc w:val="both"/>
      </w:pPr>
      <w:r>
        <w:rPr>
          <w:noProof/>
          <w:lang w:eastAsia="fr-FR"/>
        </w:rPr>
        <mc:AlternateContent>
          <mc:Choice Requires="wps">
            <w:drawing>
              <wp:anchor distT="0" distB="0" distL="114300" distR="114300" simplePos="0" relativeHeight="251868160" behindDoc="0" locked="0" layoutInCell="1" allowOverlap="1" wp14:anchorId="6DD2112F" wp14:editId="2CD84B7A">
                <wp:simplePos x="0" y="0"/>
                <wp:positionH relativeFrom="column">
                  <wp:posOffset>3314700</wp:posOffset>
                </wp:positionH>
                <wp:positionV relativeFrom="paragraph">
                  <wp:posOffset>94615</wp:posOffset>
                </wp:positionV>
                <wp:extent cx="304800" cy="2628900"/>
                <wp:effectExtent l="0" t="0" r="25400" b="38100"/>
                <wp:wrapNone/>
                <wp:docPr id="61" name="Accolade fermante 61"/>
                <wp:cNvGraphicFramePr/>
                <a:graphic xmlns:a="http://schemas.openxmlformats.org/drawingml/2006/main">
                  <a:graphicData uri="http://schemas.microsoft.com/office/word/2010/wordprocessingShape">
                    <wps:wsp>
                      <wps:cNvSpPr/>
                      <wps:spPr>
                        <a:xfrm>
                          <a:off x="0" y="0"/>
                          <a:ext cx="304800" cy="2628900"/>
                        </a:xfrm>
                        <a:prstGeom prst="rightBrace">
                          <a:avLst>
                            <a:gd name="adj1" fmla="val 0"/>
                            <a:gd name="adj2" fmla="val 50000"/>
                          </a:avLst>
                        </a:prstGeom>
                        <a:noFill/>
                        <a:ln>
                          <a:solidFill>
                            <a:schemeClr val="bg1">
                              <a:lumMod val="50000"/>
                            </a:schemeClr>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Accolade fermante 61" o:spid="_x0000_s1026" type="#_x0000_t88" style="position:absolute;margin-left:261pt;margin-top:7.45pt;width:24pt;height:207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" adj="0" strokecolor="#7f7f7f [1612]" strokeweight="1.25pt"/>
            </w:pict>
          </mc:Fallback>
        </mc:AlternateContent>
      </w:r>
    </w:p>
    <w:p w14:paraId="4B11A4B3" w14:textId="129F8320" w:rsidR="002A4296" w:rsidRDefault="002A4296" w:rsidP="002A4296">
      <w:pPr>
        <w:jc w:val="both"/>
      </w:pPr>
      <w:r>
        <w:tab/>
      </w:r>
      <w:r>
        <w:tab/>
        <w:t>Rente de la RRQ</w:t>
      </w:r>
      <w:r>
        <w:tab/>
      </w:r>
      <w:r>
        <w:tab/>
        <w:t xml:space="preserve">  1 580 $</w:t>
      </w:r>
      <w:r>
        <w:tab/>
      </w:r>
      <w:r>
        <w:tab/>
      </w:r>
    </w:p>
    <w:p w14:paraId="7EE84D27" w14:textId="1E95F4DD" w:rsidR="002A4296" w:rsidRDefault="002A4296" w:rsidP="002A4296">
      <w:pPr>
        <w:jc w:val="both"/>
      </w:pPr>
      <w:r>
        <w:tab/>
      </w:r>
      <w:r>
        <w:tab/>
        <w:t>PSV</w:t>
      </w:r>
      <w:r>
        <w:tab/>
      </w:r>
      <w:r>
        <w:tab/>
      </w:r>
      <w:r>
        <w:tab/>
      </w:r>
      <w:r>
        <w:tab/>
        <w:t xml:space="preserve">  6 765 $</w:t>
      </w:r>
      <w:r>
        <w:tab/>
      </w:r>
      <w:r>
        <w:tab/>
      </w:r>
    </w:p>
    <w:p w14:paraId="30E4C11D" w14:textId="52C842B4" w:rsidR="002A4296" w:rsidRDefault="002A4296" w:rsidP="002A4296">
      <w:pPr>
        <w:jc w:val="both"/>
      </w:pPr>
      <w:r>
        <w:tab/>
      </w:r>
      <w:r>
        <w:tab/>
        <w:t>REÉR</w:t>
      </w:r>
      <w:r>
        <w:tab/>
      </w:r>
      <w:r>
        <w:tab/>
      </w:r>
      <w:r>
        <w:tab/>
      </w:r>
      <w:r>
        <w:tab/>
        <w:t xml:space="preserve">  1 225 $</w:t>
      </w:r>
      <w:r>
        <w:tab/>
      </w:r>
      <w:r>
        <w:tab/>
      </w:r>
    </w:p>
    <w:p w14:paraId="52D13765" w14:textId="40071DFF" w:rsidR="002A4296" w:rsidRDefault="002A4296" w:rsidP="002A4296">
      <w:pPr>
        <w:jc w:val="both"/>
      </w:pPr>
      <w:r>
        <w:tab/>
      </w:r>
      <w:r>
        <w:tab/>
        <w:t>Revenu d'emploi</w:t>
      </w:r>
      <w:r>
        <w:tab/>
      </w:r>
      <w:r>
        <w:tab/>
        <w:t xml:space="preserve">  2 555 $</w:t>
      </w:r>
      <w:r>
        <w:tab/>
      </w:r>
      <w:r>
        <w:tab/>
      </w:r>
    </w:p>
    <w:p w14:paraId="0E1340FB" w14:textId="22CB9EEC" w:rsidR="002A4296" w:rsidRDefault="002A4296" w:rsidP="00C21AD6">
      <w:r>
        <w:tab/>
      </w:r>
      <w:r>
        <w:tab/>
        <w:t>SRG</w:t>
      </w:r>
      <w:r>
        <w:tab/>
      </w:r>
      <w:r>
        <w:tab/>
      </w:r>
      <w:r>
        <w:tab/>
      </w:r>
      <w:r>
        <w:tab/>
        <w:t xml:space="preserve">  4 822 $</w:t>
      </w:r>
      <w:r>
        <w:tab/>
      </w:r>
      <w:r>
        <w:tab/>
      </w:r>
    </w:p>
    <w:p w14:paraId="2E75DD56" w14:textId="255384CC" w:rsidR="00C21AD6" w:rsidRDefault="002A662E" w:rsidP="00BD727A">
      <w:pPr>
        <w:jc w:val="both"/>
      </w:pPr>
      <w:r>
        <w:rPr>
          <w:noProof/>
          <w:lang w:eastAsia="fr-FR"/>
        </w:rPr>
        <mc:AlternateContent>
          <mc:Choice Requires="wps">
            <w:drawing>
              <wp:anchor distT="0" distB="0" distL="114300" distR="114300" simplePos="0" relativeHeight="251870208" behindDoc="0" locked="0" layoutInCell="1" allowOverlap="1" wp14:anchorId="47A9AE75" wp14:editId="1776E4B8">
                <wp:simplePos x="0" y="0"/>
                <wp:positionH relativeFrom="column">
                  <wp:posOffset>3771900</wp:posOffset>
                </wp:positionH>
                <wp:positionV relativeFrom="paragraph">
                  <wp:posOffset>116205</wp:posOffset>
                </wp:positionV>
                <wp:extent cx="3429000" cy="342900"/>
                <wp:effectExtent l="25400" t="25400" r="25400" b="38100"/>
                <wp:wrapSquare wrapText="bothSides"/>
                <wp:docPr id="62" name="Zone de texte 62"/>
                <wp:cNvGraphicFramePr/>
                <a:graphic xmlns:a="http://schemas.openxmlformats.org/drawingml/2006/main">
                  <a:graphicData uri="http://schemas.microsoft.com/office/word/2010/wordprocessingShape">
                    <wps:wsp>
                      <wps:cNvSpPr txBox="1"/>
                      <wps:spPr>
                        <a:xfrm>
                          <a:off x="0" y="0"/>
                          <a:ext cx="3429000" cy="342900"/>
                        </a:xfrm>
                        <a:prstGeom prst="rect">
                          <a:avLst/>
                        </a:prstGeom>
                        <a:solidFill>
                          <a:schemeClr val="accent4">
                            <a:lumMod val="50000"/>
                          </a:schemeClr>
                        </a:solidFill>
                        <a:ln w="38100" cmpd="sng">
                          <a:solidFill>
                            <a:schemeClr val="tx1"/>
                          </a:solidFill>
                        </a:ln>
                        <a:extLst>
                          <a:ext uri="{C572A759-6A51-4108-AA02-DFA0A04FC94B}">
                            <ma14:wrappingTextBoxFlag xmlns:ma14="http://schemas.microsoft.com/office/mac/drawingml/2011/main"/>
                          </a:ext>
                        </a:extLst>
                      </wps:spPr>
                      <wps:style>
                        <a:lnRef idx="3">
                          <a:schemeClr val="lt1"/>
                        </a:lnRef>
                        <a:fillRef idx="1">
                          <a:schemeClr val="accent6"/>
                        </a:fillRef>
                        <a:effectRef idx="1">
                          <a:schemeClr val="accent6"/>
                        </a:effectRef>
                        <a:fontRef idx="minor">
                          <a:schemeClr val="lt1"/>
                        </a:fontRef>
                      </wps:style>
                      <wps:txbx>
                        <w:txbxContent>
                          <w:p w14:paraId="1407ACD8" w14:textId="281FD66C" w:rsidR="00573C95" w:rsidRPr="00D17338" w:rsidRDefault="00573C95" w:rsidP="002A662E">
                            <w:pPr>
                              <w:rPr>
                                <w:color w:val="FFFFFF" w:themeColor="background1"/>
                              </w:rPr>
                            </w:pPr>
                            <w:r w:rsidRPr="00D17338">
                              <w:rPr>
                                <w:color w:val="FFFFFF" w:themeColor="background1"/>
                              </w:rPr>
                              <w:t>Liquidités du couple, avant impôt 37 494 $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2" o:spid="_x0000_s1052" type="#_x0000_t202" style="position:absolute;left:0;text-align:left;margin-left:297pt;margin-top:9.15pt;width:270pt;height:27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" fillcolor="#474932 [1607]" strokecolor="black [3213]" strokeweight="3pt">
                <v:textbox>
                  <w:txbxContent>
                    <w:p w14:paraId="1407ACD8" w14:textId="281FD66C" w:rsidR="001501D6" w:rsidRPr="00D17338" w:rsidRDefault="001501D6" w:rsidP="002A662E">
                      <w:pPr>
                        <w:rPr>
                          <w:color w:val="FFFFFF" w:themeColor="background1"/>
                        </w:rPr>
                      </w:pPr>
                      <w:r w:rsidRPr="00D17338">
                        <w:rPr>
                          <w:color w:val="FFFFFF" w:themeColor="background1"/>
                        </w:rPr>
                        <w:t>Liquidités du couple, avant impôt 37 494 $</w:t>
                      </w:r>
                    </w:p>
                  </w:txbxContent>
                </v:textbox>
                <w10:wrap type="square"/>
              </v:shape>
            </w:pict>
          </mc:Fallback>
        </mc:AlternateContent>
      </w:r>
      <w:r w:rsidR="00C21AD6">
        <w:tab/>
      </w:r>
      <w:r w:rsidR="00C21AD6">
        <w:tab/>
      </w:r>
    </w:p>
    <w:p w14:paraId="00D51F38" w14:textId="73BFEF7D" w:rsidR="002A4296" w:rsidRDefault="002A4296" w:rsidP="002A4296">
      <w:pPr>
        <w:jc w:val="both"/>
      </w:pPr>
      <w:r>
        <w:tab/>
      </w:r>
      <w:r>
        <w:tab/>
        <w:t>Monsieur</w:t>
      </w:r>
    </w:p>
    <w:p w14:paraId="35B19732" w14:textId="77777777" w:rsidR="002A4296" w:rsidRDefault="002A4296" w:rsidP="00BD727A">
      <w:pPr>
        <w:jc w:val="both"/>
      </w:pPr>
    </w:p>
    <w:p w14:paraId="0BA38C40" w14:textId="1C482B90" w:rsidR="002A4296" w:rsidRDefault="002A4296" w:rsidP="002A4296">
      <w:pPr>
        <w:jc w:val="both"/>
      </w:pPr>
      <w:r>
        <w:tab/>
      </w:r>
      <w:r>
        <w:tab/>
        <w:t>Rente de la RRQ</w:t>
      </w:r>
      <w:r>
        <w:tab/>
      </w:r>
      <w:r>
        <w:tab/>
        <w:t xml:space="preserve">  1 180 $</w:t>
      </w:r>
    </w:p>
    <w:p w14:paraId="79DF824F" w14:textId="179ECD61" w:rsidR="002A4296" w:rsidRDefault="002A4296" w:rsidP="002A4296">
      <w:pPr>
        <w:jc w:val="both"/>
      </w:pPr>
      <w:r>
        <w:tab/>
      </w:r>
      <w:r>
        <w:tab/>
        <w:t>PSV</w:t>
      </w:r>
      <w:r>
        <w:tab/>
      </w:r>
      <w:r>
        <w:tab/>
      </w:r>
      <w:r>
        <w:tab/>
      </w:r>
      <w:r>
        <w:tab/>
        <w:t xml:space="preserve">  6 765 $</w:t>
      </w:r>
    </w:p>
    <w:p w14:paraId="790228E2" w14:textId="15284BB5" w:rsidR="002A4296" w:rsidRDefault="002A4296" w:rsidP="00BD727A">
      <w:pPr>
        <w:jc w:val="both"/>
      </w:pPr>
      <w:r>
        <w:tab/>
      </w:r>
      <w:r>
        <w:tab/>
        <w:t>CÉLI (Encaissement)</w:t>
      </w:r>
      <w:r>
        <w:tab/>
        <w:t xml:space="preserve">  3 225 $</w:t>
      </w:r>
    </w:p>
    <w:p w14:paraId="6C16894A" w14:textId="3EDCB289" w:rsidR="002A4296" w:rsidRDefault="002A4296" w:rsidP="002A4296">
      <w:pPr>
        <w:jc w:val="both"/>
      </w:pPr>
      <w:r>
        <w:tab/>
      </w:r>
      <w:r>
        <w:tab/>
        <w:t>Revenu d'emploi</w:t>
      </w:r>
      <w:r>
        <w:tab/>
      </w:r>
      <w:r>
        <w:tab/>
        <w:t xml:space="preserve">  4 555 $</w:t>
      </w:r>
    </w:p>
    <w:p w14:paraId="09B59EEE" w14:textId="33BA08D6" w:rsidR="002A4296" w:rsidRDefault="002A4296" w:rsidP="002A4296">
      <w:r>
        <w:tab/>
      </w:r>
      <w:r>
        <w:tab/>
        <w:t>SRG</w:t>
      </w:r>
      <w:r>
        <w:tab/>
      </w:r>
      <w:r>
        <w:tab/>
      </w:r>
      <w:r>
        <w:tab/>
      </w:r>
      <w:r>
        <w:tab/>
        <w:t xml:space="preserve">  4 822 $</w:t>
      </w:r>
    </w:p>
    <w:p w14:paraId="62E7707E" w14:textId="77777777" w:rsidR="002A4296" w:rsidRDefault="002A4296" w:rsidP="00BD727A">
      <w:pPr>
        <w:jc w:val="both"/>
      </w:pPr>
    </w:p>
    <w:p w14:paraId="63D37E7E" w14:textId="740C9F6F" w:rsidR="002A4296" w:rsidRDefault="002E518E" w:rsidP="00BD727A">
      <w:pPr>
        <w:jc w:val="both"/>
      </w:pPr>
      <w:r>
        <w:rPr>
          <w:noProof/>
          <w:lang w:eastAsia="fr-FR"/>
        </w:rPr>
        <mc:AlternateContent>
          <mc:Choice Requires="wps">
            <w:drawing>
              <wp:anchor distT="0" distB="0" distL="114300" distR="114300" simplePos="0" relativeHeight="251874304" behindDoc="0" locked="0" layoutInCell="1" allowOverlap="1" wp14:anchorId="450AD2D5" wp14:editId="3BED3E2C">
                <wp:simplePos x="0" y="0"/>
                <wp:positionH relativeFrom="column">
                  <wp:posOffset>3771900</wp:posOffset>
                </wp:positionH>
                <wp:positionV relativeFrom="paragraph">
                  <wp:posOffset>149225</wp:posOffset>
                </wp:positionV>
                <wp:extent cx="2400300" cy="342900"/>
                <wp:effectExtent l="25400" t="25400" r="38100" b="38100"/>
                <wp:wrapNone/>
                <wp:docPr id="64" name="Zone de texte 64"/>
                <wp:cNvGraphicFramePr/>
                <a:graphic xmlns:a="http://schemas.openxmlformats.org/drawingml/2006/main">
                  <a:graphicData uri="http://schemas.microsoft.com/office/word/2010/wordprocessingShape">
                    <wps:wsp>
                      <wps:cNvSpPr txBox="1"/>
                      <wps:spPr>
                        <a:xfrm>
                          <a:off x="0" y="0"/>
                          <a:ext cx="2400300" cy="342900"/>
                        </a:xfrm>
                        <a:prstGeom prst="rect">
                          <a:avLst/>
                        </a:prstGeom>
                        <a:solidFill>
                          <a:schemeClr val="accent4">
                            <a:lumMod val="40000"/>
                            <a:lumOff val="60000"/>
                          </a:schemeClr>
                        </a:solidFill>
                        <a:ln w="38100" cmpd="sng">
                          <a:solidFill>
                            <a:srgbClr val="000000"/>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066E3F" w14:textId="46F19E12" w:rsidR="00573C95" w:rsidRDefault="00573C95" w:rsidP="002A662E">
                            <w:r>
                              <w:t>Aucun impôt pour le couple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4" o:spid="_x0000_s1053" type="#_x0000_t202" style="position:absolute;left:0;text-align:left;margin-left:297pt;margin-top:11.75pt;width:189pt;height:27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" fillcolor="#d2d4c0 [1303]" strokeweight="3pt">
                <v:textbox>
                  <w:txbxContent>
                    <w:p w14:paraId="13066E3F" w14:textId="46F19E12" w:rsidR="001501D6" w:rsidRDefault="001501D6" w:rsidP="002A662E">
                      <w:r>
                        <w:t>Aucun impôt pour le couple</w:t>
                      </w:r>
                    </w:p>
                  </w:txbxContent>
                </v:textbox>
              </v:shape>
            </w:pict>
          </mc:Fallback>
        </mc:AlternateContent>
      </w:r>
      <w:r w:rsidR="002A662E">
        <w:rPr>
          <w:noProof/>
          <w:lang w:eastAsia="fr-FR"/>
        </w:rPr>
        <mc:AlternateContent>
          <mc:Choice Requires="wps">
            <w:drawing>
              <wp:anchor distT="0" distB="0" distL="114300" distR="114300" simplePos="0" relativeHeight="251872256" behindDoc="0" locked="0" layoutInCell="1" allowOverlap="1" wp14:anchorId="3B133170" wp14:editId="34E3BBF5">
                <wp:simplePos x="0" y="0"/>
                <wp:positionH relativeFrom="column">
                  <wp:posOffset>3314700</wp:posOffset>
                </wp:positionH>
                <wp:positionV relativeFrom="paragraph">
                  <wp:posOffset>149225</wp:posOffset>
                </wp:positionV>
                <wp:extent cx="304800" cy="457200"/>
                <wp:effectExtent l="0" t="0" r="25400" b="25400"/>
                <wp:wrapNone/>
                <wp:docPr id="63" name="Accolade fermante 63"/>
                <wp:cNvGraphicFramePr/>
                <a:graphic xmlns:a="http://schemas.openxmlformats.org/drawingml/2006/main">
                  <a:graphicData uri="http://schemas.microsoft.com/office/word/2010/wordprocessingShape">
                    <wps:wsp>
                      <wps:cNvSpPr/>
                      <wps:spPr>
                        <a:xfrm>
                          <a:off x="0" y="0"/>
                          <a:ext cx="304800" cy="457200"/>
                        </a:xfrm>
                        <a:prstGeom prst="rightBrace">
                          <a:avLst>
                            <a:gd name="adj1" fmla="val 0"/>
                            <a:gd name="adj2" fmla="val 50000"/>
                          </a:avLst>
                        </a:prstGeom>
                        <a:noFill/>
                        <a:ln>
                          <a:solidFill>
                            <a:schemeClr val="bg1">
                              <a:lumMod val="50000"/>
                            </a:schemeClr>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Accolade fermante 63" o:spid="_x0000_s1026" type="#_x0000_t88" style="position:absolute;margin-left:261pt;margin-top:11.75pt;width:24pt;height:3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" adj="0" strokecolor="#7f7f7f [1612]" strokeweight="1.25pt"/>
            </w:pict>
          </mc:Fallback>
        </mc:AlternateContent>
      </w:r>
    </w:p>
    <w:p w14:paraId="0A7D0C1A" w14:textId="4D2F1B14" w:rsidR="002A662E" w:rsidRDefault="002A662E" w:rsidP="00BD727A">
      <w:pPr>
        <w:jc w:val="both"/>
      </w:pPr>
      <w:r>
        <w:tab/>
      </w:r>
      <w:r>
        <w:tab/>
        <w:t>Moins: impôt Madame</w:t>
      </w:r>
      <w:r>
        <w:tab/>
        <w:t xml:space="preserve">      0 $</w:t>
      </w:r>
    </w:p>
    <w:p w14:paraId="43A8971E" w14:textId="10935580" w:rsidR="002A4296" w:rsidRDefault="002A662E" w:rsidP="00BD727A">
      <w:pPr>
        <w:jc w:val="both"/>
      </w:pPr>
      <w:r>
        <w:tab/>
      </w:r>
      <w:r>
        <w:tab/>
      </w:r>
      <w:r>
        <w:tab/>
        <w:t xml:space="preserve">  </w:t>
      </w:r>
      <w:proofErr w:type="gramStart"/>
      <w:r>
        <w:t>impôt</w:t>
      </w:r>
      <w:proofErr w:type="gramEnd"/>
      <w:r>
        <w:t xml:space="preserve"> Monsieur         0 $</w:t>
      </w:r>
      <w:r>
        <w:tab/>
      </w:r>
    </w:p>
    <w:p w14:paraId="35BA3097" w14:textId="77777777" w:rsidR="002A4296" w:rsidRDefault="002A4296" w:rsidP="00BD727A">
      <w:pPr>
        <w:jc w:val="both"/>
      </w:pPr>
    </w:p>
    <w:p w14:paraId="42E6F0C4" w14:textId="77777777" w:rsidR="002A4296" w:rsidRDefault="002A4296" w:rsidP="00BD727A">
      <w:pPr>
        <w:jc w:val="both"/>
      </w:pPr>
    </w:p>
    <w:p w14:paraId="30AF55DD" w14:textId="6C40D375" w:rsidR="002A4296" w:rsidRDefault="002E518E" w:rsidP="00BD727A">
      <w:pPr>
        <w:jc w:val="both"/>
      </w:pPr>
      <w:r>
        <w:t>Les impôts de Madame et de Monsieur sont nuls puisque l'ensemble des crédits d'</w:t>
      </w:r>
      <w:r w:rsidR="00C14327">
        <w:t>impôt</w:t>
      </w:r>
      <w:r w:rsidR="00FE06A3">
        <w:t xml:space="preserve"> (environ 15 000 $)</w:t>
      </w:r>
      <w:r>
        <w:t xml:space="preserve"> pour un contribuable âgé de 65 ans et plus est supérieur à leurs revenus imposables</w:t>
      </w:r>
      <w:r w:rsidR="00FE06A3">
        <w:t xml:space="preserve"> (RI de Madame = 12 1</w:t>
      </w:r>
      <w:r w:rsidR="002F164B">
        <w:t>25</w:t>
      </w:r>
      <w:r w:rsidR="00FE06A3">
        <w:t xml:space="preserve"> $, RI de Monsieur = 12 500 $).</w:t>
      </w:r>
    </w:p>
    <w:p w14:paraId="2FADA135" w14:textId="77777777" w:rsidR="00FE06A3" w:rsidRDefault="00FE06A3" w:rsidP="00BD727A">
      <w:pPr>
        <w:jc w:val="both"/>
      </w:pPr>
    </w:p>
    <w:p w14:paraId="435E5002" w14:textId="2F420C0A" w:rsidR="00FE06A3" w:rsidRDefault="002F164B" w:rsidP="00BD727A">
      <w:pPr>
        <w:jc w:val="both"/>
      </w:pPr>
      <w:r>
        <w:t>Malgré la situation sommes toute acceptable</w:t>
      </w:r>
      <w:r w:rsidR="006B7B74">
        <w:rPr>
          <w:rStyle w:val="Marquenotebasdepage"/>
        </w:rPr>
        <w:footnoteReference w:customMarkFollows="1" w:id="14"/>
        <w:t>11</w:t>
      </w:r>
      <w:r>
        <w:t xml:space="preserve"> (imaginons que le couple a une petite maison libre de </w:t>
      </w:r>
      <w:r w:rsidR="00C14327">
        <w:t>dette</w:t>
      </w:r>
      <w:r>
        <w:t xml:space="preserve">). Il n'en demeure pas moins que ceux-ci ont un TEMI de 50 % sur les revenus provenant de la RRQ, du REÉR et de </w:t>
      </w:r>
      <w:r>
        <w:lastRenderedPageBreak/>
        <w:t>l'excédent du revenu d'emploi sur l'exemption de 3 500 $. Si la capacité à intervenir sur le</w:t>
      </w:r>
      <w:r w:rsidR="0053078C">
        <w:t>s</w:t>
      </w:r>
      <w:r>
        <w:t xml:space="preserve"> rentes est limitée</w:t>
      </w:r>
      <w:r w:rsidR="0053078C">
        <w:t xml:space="preserve"> et que le salaire justifie nos besoins financiers, il aurait été tout de même possible de défiscaliser progressivement en douceur le REER de Madame avant l'âge de 65 ans et de transférer le montant dans un CÉLI. De cette façon, dès l'âge de 65 ans, Madame aurait pu combler son train de vie en retirant des montants de son CÉLI sans pour autant affecter son SRG.</w:t>
      </w:r>
    </w:p>
    <w:p w14:paraId="17676F11" w14:textId="77777777" w:rsidR="002E77EE" w:rsidRDefault="002E77EE" w:rsidP="00BD727A">
      <w:pPr>
        <w:jc w:val="both"/>
      </w:pPr>
    </w:p>
    <w:p w14:paraId="6004135B" w14:textId="77777777" w:rsidR="002E77EE" w:rsidRDefault="002E77EE" w:rsidP="006C34CF">
      <w:pPr>
        <w:pStyle w:val="Titre4"/>
        <w:numPr>
          <w:ilvl w:val="3"/>
          <w:numId w:val="19"/>
        </w:numPr>
      </w:pPr>
      <w:bookmarkStart w:id="22" w:name="_Toc314397818"/>
      <w:bookmarkStart w:id="23" w:name="_Toc443569362"/>
      <w:r>
        <w:t>Optimisation et planification</w:t>
      </w:r>
      <w:bookmarkEnd w:id="22"/>
      <w:bookmarkEnd w:id="23"/>
    </w:p>
    <w:p w14:paraId="534519E0" w14:textId="77777777" w:rsidR="001F20BE" w:rsidRDefault="001F20BE" w:rsidP="002F541C"/>
    <w:p w14:paraId="1AF4BE7C" w14:textId="74F773EC" w:rsidR="00FE6B12" w:rsidRDefault="00073A93" w:rsidP="00815B19">
      <w:pPr>
        <w:jc w:val="both"/>
      </w:pPr>
      <w:r>
        <w:t xml:space="preserve">L'intérêt ultime à maitriser les règles de conformité et les modes de fonctionnement </w:t>
      </w:r>
      <w:proofErr w:type="gramStart"/>
      <w:r>
        <w:t>est</w:t>
      </w:r>
      <w:proofErr w:type="gramEnd"/>
      <w:r>
        <w:t xml:space="preserve"> de permettre d'en trouver les opportunités afin de bien planifier et d'optimiser la valeur de nos ressources financières. Dans cette partie de l'ouvrage, nous aborderons différentes stratégies de planification et d'optimisation relativement</w:t>
      </w:r>
      <w:r w:rsidR="00815B19">
        <w:t xml:space="preserve"> au programme de la </w:t>
      </w:r>
      <w:r w:rsidR="00362289">
        <w:t>S</w:t>
      </w:r>
      <w:r w:rsidR="00815B19">
        <w:t>écurité de la vieillesse.</w:t>
      </w:r>
    </w:p>
    <w:p w14:paraId="47312C4D" w14:textId="77777777" w:rsidR="00D17338" w:rsidRDefault="00D17338" w:rsidP="00815B19">
      <w:pPr>
        <w:jc w:val="both"/>
      </w:pPr>
    </w:p>
    <w:p w14:paraId="4E4CD39C" w14:textId="77777777" w:rsidR="00315A5F" w:rsidRDefault="00315A5F" w:rsidP="006C34CF">
      <w:pPr>
        <w:numPr>
          <w:ilvl w:val="4"/>
          <w:numId w:val="11"/>
        </w:numPr>
        <w:ind w:left="1134" w:hanging="1134"/>
        <w:jc w:val="both"/>
      </w:pPr>
      <w:r w:rsidRPr="00315A5F">
        <w:t>SRG</w:t>
      </w:r>
    </w:p>
    <w:p w14:paraId="63D2E7C2" w14:textId="77777777" w:rsidR="00C41880" w:rsidRDefault="00C41880" w:rsidP="00C41880">
      <w:pPr>
        <w:jc w:val="both"/>
      </w:pPr>
    </w:p>
    <w:p w14:paraId="23E7E8C9" w14:textId="5427234A" w:rsidR="00C41880" w:rsidRDefault="00A01C0E" w:rsidP="00C41880">
      <w:pPr>
        <w:jc w:val="both"/>
      </w:pPr>
      <w:r>
        <w:t xml:space="preserve">Les stratégies visant à maximiser le SRG aspirent </w:t>
      </w:r>
      <w:r w:rsidR="00C14327">
        <w:t>toutes</w:t>
      </w:r>
      <w:r>
        <w:t xml:space="preserve"> à le soustraire de la récupération de 50 % (TEMI) qui s'initie dès les premiers dollars gagnés (sauf </w:t>
      </w:r>
      <w:r w:rsidR="00D427BA">
        <w:t xml:space="preserve">ceux générés par </w:t>
      </w:r>
      <w:r>
        <w:t xml:space="preserve">le SRG, la PSV et le premier 3 500 $ de revenu d'emploi). Nous devons, en toute compréhension, reconnaître que ces stratégies demeurent tributaires d'un train de vie à la retraite qui sera </w:t>
      </w:r>
      <w:r w:rsidR="00362289">
        <w:t xml:space="preserve"> très </w:t>
      </w:r>
      <w:r w:rsidR="00D427BA">
        <w:rPr>
          <w:color w:val="FF6700" w:themeColor="accent3"/>
        </w:rPr>
        <w:t>MODESTE</w:t>
      </w:r>
      <w:r w:rsidR="00D427BA">
        <w:t>.</w:t>
      </w:r>
      <w:r>
        <w:t xml:space="preserve"> Rappelons-nous qu'une personne célibataire, ayant droit à la PSV et au maximum du SRG, recevra environ 16 000 $ (environ 25 500 $ pour un couple). Les stratégies viseront donc à préserver pleinement ces montants tout en y ajoutant des recettes ou des réductions de </w:t>
      </w:r>
      <w:r w:rsidR="00C14327">
        <w:t>déboursés</w:t>
      </w:r>
      <w:r>
        <w:t xml:space="preserve"> qui </w:t>
      </w:r>
      <w:r w:rsidR="00D427BA">
        <w:t>permettront d'assumer un train de vie un peu plus élevé.</w:t>
      </w:r>
      <w:r w:rsidR="00796579">
        <w:t xml:space="preserve"> Finalement, contrairement aux stratégies qui seront élaborées pour maximiser la PSV, le fait d'être en couple ne concède aucun avantage particulier puisque les calculs du SRG s'effectuent en combinant les revenus des conjoints. </w:t>
      </w:r>
    </w:p>
    <w:p w14:paraId="387DABB7" w14:textId="77777777" w:rsidR="00CF4282" w:rsidRDefault="00CF4282" w:rsidP="00C41880">
      <w:pPr>
        <w:jc w:val="both"/>
      </w:pPr>
    </w:p>
    <w:p w14:paraId="0078DFD8" w14:textId="77777777" w:rsidR="00D70007" w:rsidRDefault="00D70007" w:rsidP="00C41880">
      <w:pPr>
        <w:jc w:val="both"/>
      </w:pPr>
    </w:p>
    <w:p w14:paraId="48316F36" w14:textId="19976E82" w:rsidR="00CF4282" w:rsidRPr="000F289D" w:rsidRDefault="00CF4282" w:rsidP="006C34CF">
      <w:pPr>
        <w:pStyle w:val="Paragraphedeliste"/>
        <w:numPr>
          <w:ilvl w:val="0"/>
          <w:numId w:val="10"/>
        </w:numPr>
        <w:ind w:hanging="11"/>
        <w:jc w:val="both"/>
        <w:rPr>
          <w:color w:val="FF6700" w:themeColor="accent3"/>
        </w:rPr>
      </w:pPr>
      <w:r w:rsidRPr="000F289D">
        <w:rPr>
          <w:color w:val="FF6700" w:themeColor="accent3"/>
        </w:rPr>
        <w:t xml:space="preserve">Défiscalisation du </w:t>
      </w:r>
      <w:r w:rsidR="000265BB" w:rsidRPr="000F289D">
        <w:rPr>
          <w:color w:val="FF6700" w:themeColor="accent3"/>
        </w:rPr>
        <w:t>REÉR</w:t>
      </w:r>
    </w:p>
    <w:p w14:paraId="5C88E47B" w14:textId="77777777" w:rsidR="00CF4282" w:rsidRDefault="00CF4282" w:rsidP="00CF4282">
      <w:pPr>
        <w:ind w:left="360"/>
        <w:jc w:val="both"/>
      </w:pPr>
    </w:p>
    <w:p w14:paraId="6F1CCF98" w14:textId="1645A9EC" w:rsidR="00490F37" w:rsidRDefault="00490F37" w:rsidP="00CF4282">
      <w:pPr>
        <w:ind w:left="360"/>
        <w:jc w:val="both"/>
      </w:pPr>
      <w:r>
        <w:t xml:space="preserve">Pour la strate de la population qui </w:t>
      </w:r>
      <w:r w:rsidR="00362289">
        <w:t>compte</w:t>
      </w:r>
      <w:r>
        <w:t xml:space="preserve">, au moment de leur retraite, </w:t>
      </w:r>
      <w:r w:rsidR="0074122F">
        <w:t xml:space="preserve">recevoir le SRG, l'idée même d'avoir épargné à même le REÉR est inadéquate puisque les retraits éventuels réduiront le SRG à un rythme de 50 %. Donc, la première chose à établir, pour ceux qui n'ont pas encore </w:t>
      </w:r>
      <w:r w:rsidR="00C14327">
        <w:t>amorcé</w:t>
      </w:r>
      <w:r w:rsidR="0074122F">
        <w:t xml:space="preserve"> leur phase de retraite, est de </w:t>
      </w:r>
      <w:r w:rsidR="0074122F">
        <w:lastRenderedPageBreak/>
        <w:t xml:space="preserve">privilégier l'épargne dans un CÉLI plutôt que dans un REÉR. Cette règle, dans ces cas, est indéniable. </w:t>
      </w:r>
      <w:r w:rsidR="008923CD">
        <w:t xml:space="preserve">Avec un plafond cumulatif de 41 000 $ (accroissement de </w:t>
      </w:r>
      <w:r w:rsidR="00362289">
        <w:t>5 500</w:t>
      </w:r>
      <w:r w:rsidR="008923CD">
        <w:t xml:space="preserve"> $ pour les années futures), par contribuable, au 1er janvier 2015, l'approche CÉLI va permettre </w:t>
      </w:r>
      <w:r w:rsidR="006D3452">
        <w:t>d'accroitre l'accessibilité future au SRG. Bien sûr, tout cela peut changer selon les gouvernements en place et les politiques qu'ils promulguent.</w:t>
      </w:r>
      <w:r w:rsidR="008923CD">
        <w:t xml:space="preserve"> </w:t>
      </w:r>
    </w:p>
    <w:p w14:paraId="23DDDDD5" w14:textId="77777777" w:rsidR="0074122F" w:rsidRDefault="0074122F" w:rsidP="00CF4282">
      <w:pPr>
        <w:ind w:left="360"/>
        <w:jc w:val="both"/>
      </w:pPr>
    </w:p>
    <w:p w14:paraId="1193F678" w14:textId="71C7A9C8" w:rsidR="0074122F" w:rsidRDefault="0074122F" w:rsidP="00CF4282">
      <w:pPr>
        <w:ind w:left="360"/>
        <w:jc w:val="both"/>
      </w:pPr>
      <w:r>
        <w:t>Maintenant, si le mauvais choix est déjà effectué</w:t>
      </w:r>
      <w:r w:rsidR="00A52701">
        <w:t>,</w:t>
      </w:r>
      <w:r>
        <w:t xml:space="preserve"> que le contribuable se retrouve avec  un peu d'épargne dans un REÉR et que celui-ci n'a pas encore atteint l'âge de 65 ans, il peut être intéressant de retirer progressivement </w:t>
      </w:r>
      <w:r w:rsidR="00A52701">
        <w:t xml:space="preserve">des montants du REÉR pour en effectuer le transfert dans un CÉLI. Cette opération doit s'effectuer avec beaucoup de </w:t>
      </w:r>
      <w:r w:rsidR="00C14327">
        <w:t>précautions</w:t>
      </w:r>
      <w:r w:rsidR="00A52701">
        <w:t xml:space="preserve"> puisqu'il faut s'assurer que le TEMI au moment des retraits du REÉR est faible et que la récupération supplémentaire future du SRG compensera les déboursés occasionnés par le retrait prématuré du REÉR.</w:t>
      </w:r>
    </w:p>
    <w:p w14:paraId="126E9AC6" w14:textId="77777777" w:rsidR="00A52701" w:rsidRDefault="00A52701" w:rsidP="00CF4282">
      <w:pPr>
        <w:ind w:left="360"/>
        <w:jc w:val="both"/>
      </w:pPr>
    </w:p>
    <w:p w14:paraId="70E072A0" w14:textId="5A808422" w:rsidR="00CF4282" w:rsidRPr="000F289D" w:rsidRDefault="00957EAF" w:rsidP="006C34CF">
      <w:pPr>
        <w:pStyle w:val="Paragraphedeliste"/>
        <w:numPr>
          <w:ilvl w:val="0"/>
          <w:numId w:val="10"/>
        </w:numPr>
        <w:ind w:hanging="11"/>
        <w:jc w:val="both"/>
        <w:rPr>
          <w:color w:val="FF6700" w:themeColor="accent3"/>
        </w:rPr>
      </w:pPr>
      <w:r w:rsidRPr="000F289D">
        <w:rPr>
          <w:color w:val="FF6700" w:themeColor="accent3"/>
        </w:rPr>
        <w:t>Habitation et</w:t>
      </w:r>
      <w:r w:rsidR="000265BB" w:rsidRPr="000F289D">
        <w:rPr>
          <w:color w:val="FF6700" w:themeColor="accent3"/>
        </w:rPr>
        <w:t xml:space="preserve"> gestion de la dette</w:t>
      </w:r>
    </w:p>
    <w:p w14:paraId="01A3FCEC" w14:textId="77777777" w:rsidR="000265BB" w:rsidRDefault="000265BB" w:rsidP="000265BB">
      <w:pPr>
        <w:ind w:left="360"/>
        <w:jc w:val="both"/>
      </w:pPr>
    </w:p>
    <w:p w14:paraId="75176722" w14:textId="06709C85" w:rsidR="00AA45E7" w:rsidRDefault="00AA45E7" w:rsidP="000265BB">
      <w:pPr>
        <w:ind w:left="360"/>
        <w:jc w:val="both"/>
      </w:pPr>
      <w:r>
        <w:t xml:space="preserve">Une autre façon d'augmenter les probabilités d'adhérer aux prestations du SRG est de détenir une résidence, certes modeste, mais bien </w:t>
      </w:r>
      <w:r w:rsidR="00957EAF">
        <w:t>entre</w:t>
      </w:r>
      <w:r>
        <w:t xml:space="preserve">tenue. Prenez note que les propos qui seront </w:t>
      </w:r>
      <w:r w:rsidR="00957EAF">
        <w:t>tenus</w:t>
      </w:r>
      <w:r>
        <w:t xml:space="preserve"> dans cette portion de l'ouvrage devront être interprétés à la lumière des analyses</w:t>
      </w:r>
      <w:r w:rsidR="00957EAF">
        <w:t xml:space="preserve"> et des limites que</w:t>
      </w:r>
      <w:r>
        <w:t xml:space="preserve"> nous présenterons au </w:t>
      </w:r>
      <w:r w:rsidRPr="00AA45E7">
        <w:rPr>
          <w:color w:val="008000"/>
        </w:rPr>
        <w:t>SUJET 8</w:t>
      </w:r>
      <w:r>
        <w:t xml:space="preserve"> portant sur l'habitation.  </w:t>
      </w:r>
    </w:p>
    <w:p w14:paraId="48083DD4" w14:textId="77777777" w:rsidR="000265BB" w:rsidRDefault="000265BB" w:rsidP="000265BB">
      <w:pPr>
        <w:ind w:left="360"/>
        <w:jc w:val="both"/>
      </w:pPr>
    </w:p>
    <w:p w14:paraId="67378B00" w14:textId="77777777" w:rsidR="006073E7" w:rsidRDefault="00957EAF" w:rsidP="000265BB">
      <w:pPr>
        <w:ind w:left="360"/>
        <w:jc w:val="both"/>
      </w:pPr>
      <w:r>
        <w:t xml:space="preserve">Dans la mesure où un contribuable, durant sa vie active, fait l'acquisition d'une maison plutôt que d'opter pour un logement, celui-ci se retrouve donc à se constituer un capital (par le remboursement de son prêt hypothécaire) qui avec les années pourra prendre de la valeur (plus-value de la maison). Compte tenu du traitement fiscal préférentiel qui est conféré à la résidence principale, le capital et la plus-value éventuelle pourront être perçus sans que cela </w:t>
      </w:r>
      <w:r w:rsidR="006073E7">
        <w:t>ne génère d'impôt. De plus, cet encaissement ne réduira pas le SRG.</w:t>
      </w:r>
    </w:p>
    <w:p w14:paraId="1CD24D88" w14:textId="77777777" w:rsidR="006073E7" w:rsidRDefault="006073E7" w:rsidP="000265BB">
      <w:pPr>
        <w:ind w:left="360"/>
        <w:jc w:val="both"/>
      </w:pPr>
    </w:p>
    <w:p w14:paraId="5D118BD0" w14:textId="2C64FD96" w:rsidR="007B33DE" w:rsidRDefault="006073E7" w:rsidP="000265BB">
      <w:pPr>
        <w:ind w:left="360"/>
        <w:jc w:val="both"/>
      </w:pPr>
      <w:r>
        <w:t>Donc, la maison, de nature modeste, libre de dette hypothécaire et bien entretenue, permettra au contribuable</w:t>
      </w:r>
      <w:r w:rsidR="007B33DE">
        <w:t xml:space="preserve"> âgé de 65 ans et plus d'optimiser sa situation financière en réduisant son coût d'habitation si on le compare avec un logement. Cela réduit d'autant le revenu nécessaire</w:t>
      </w:r>
      <w:r w:rsidR="007904B5">
        <w:t xml:space="preserve"> (qui réduirait le SRG)</w:t>
      </w:r>
      <w:r w:rsidR="007B33DE">
        <w:t xml:space="preserve"> pour entretenir son train de vie et ainsi optimis</w:t>
      </w:r>
      <w:r w:rsidR="007904B5">
        <w:t>er</w:t>
      </w:r>
      <w:r w:rsidR="007B33DE">
        <w:t xml:space="preserve"> le SRG.</w:t>
      </w:r>
    </w:p>
    <w:p w14:paraId="3D939CB8" w14:textId="77777777" w:rsidR="007B33DE" w:rsidRDefault="007B33DE" w:rsidP="000265BB">
      <w:pPr>
        <w:ind w:left="360"/>
        <w:jc w:val="both"/>
      </w:pPr>
    </w:p>
    <w:p w14:paraId="32BC8115" w14:textId="1BD04ADC" w:rsidR="007904B5" w:rsidRDefault="007B33DE" w:rsidP="000265BB">
      <w:pPr>
        <w:ind w:left="360"/>
        <w:jc w:val="both"/>
      </w:pPr>
      <w:r>
        <w:lastRenderedPageBreak/>
        <w:t>Si le contribuable souhaite demeurer propriétaire de sa maison tout en augmentant ses recettes, il pourrait empiéter sur son capital habitation en finançant celles-ci par la prise d'une marge de crédit hypothécaire. Ce stratagème</w:t>
      </w:r>
      <w:r w:rsidR="006E4219">
        <w:t xml:space="preserve"> </w:t>
      </w:r>
      <w:r>
        <w:t>bien connu de</w:t>
      </w:r>
      <w:r w:rsidR="007904B5">
        <w:t xml:space="preserve"> l</w:t>
      </w:r>
      <w:r w:rsidRPr="007904B5">
        <w:rPr>
          <w:color w:val="FF6700" w:themeColor="accent3"/>
        </w:rPr>
        <w:t>'</w:t>
      </w:r>
      <w:r w:rsidR="007904B5">
        <w:rPr>
          <w:color w:val="FF6700" w:themeColor="accent3"/>
        </w:rPr>
        <w:t xml:space="preserve">HYPOTHÈQUE INVERSÉE </w:t>
      </w:r>
      <w:r>
        <w:t>doit faire l'objet d'une analyse sérieuse et doit tenir compte de plusieurs facteurs (montant et fluctuation du taux d'intérêt, durée de l'emprunt, croissance de l'emprunt, objectifs du contribuable, etc.) avant de conclure à son avantage.</w:t>
      </w:r>
    </w:p>
    <w:p w14:paraId="3A8E8072" w14:textId="535DEBE5" w:rsidR="007F3850" w:rsidRDefault="00362289" w:rsidP="000265BB">
      <w:pPr>
        <w:ind w:left="360"/>
        <w:jc w:val="both"/>
      </w:pPr>
      <w:r>
        <w:rPr>
          <w:noProof/>
          <w:lang w:eastAsia="fr-FR"/>
        </w:rPr>
        <w:drawing>
          <wp:anchor distT="0" distB="0" distL="114300" distR="114300" simplePos="0" relativeHeight="251876352" behindDoc="0" locked="0" layoutInCell="1" allowOverlap="1" wp14:anchorId="4544DA67" wp14:editId="67A3A80F">
            <wp:simplePos x="0" y="0"/>
            <wp:positionH relativeFrom="column">
              <wp:posOffset>3314700</wp:posOffset>
            </wp:positionH>
            <wp:positionV relativeFrom="paragraph">
              <wp:posOffset>10795</wp:posOffset>
            </wp:positionV>
            <wp:extent cx="685800" cy="681990"/>
            <wp:effectExtent l="0" t="0" r="0" b="3810"/>
            <wp:wrapNone/>
            <wp:docPr id="65" name="Image 65" descr="Macintosh HD:Users:marcbachand:Desktop:Capture d’écran 2015-06-08 à 17.04.54.pn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BE5CE1B" w14:textId="10CE3F45" w:rsidR="00362289" w:rsidRDefault="00362289" w:rsidP="000265BB">
      <w:pPr>
        <w:ind w:left="360"/>
        <w:jc w:val="both"/>
      </w:pPr>
    </w:p>
    <w:p w14:paraId="42625793" w14:textId="0C96EC61" w:rsidR="00975D8F" w:rsidRPr="00701CD6" w:rsidRDefault="00573C95" w:rsidP="000265BB">
      <w:pPr>
        <w:ind w:left="360"/>
        <w:jc w:val="both"/>
        <w:rPr>
          <w:color w:val="FF6700" w:themeColor="accent3"/>
        </w:rPr>
      </w:pPr>
      <w:hyperlink r:id="rId42" w:history="1">
        <w:r w:rsidR="00975D8F" w:rsidRPr="00701CD6">
          <w:rPr>
            <w:rStyle w:val="Lienhypertexte"/>
            <w:color w:val="FF6700" w:themeColor="accent3"/>
          </w:rPr>
          <w:t>Pour comprendre l'hypothèque inversée</w:t>
        </w:r>
      </w:hyperlink>
      <w:r w:rsidR="00975D8F" w:rsidRPr="00701CD6">
        <w:rPr>
          <w:color w:val="FF6700" w:themeColor="accent3"/>
        </w:rPr>
        <w:t xml:space="preserve"> </w:t>
      </w:r>
      <w:r w:rsidR="00975D8F" w:rsidRPr="00701CD6">
        <w:rPr>
          <w:color w:val="FF6700" w:themeColor="accent3"/>
        </w:rPr>
        <w:tab/>
      </w:r>
    </w:p>
    <w:p w14:paraId="112ECBF3" w14:textId="77777777" w:rsidR="007904B5" w:rsidRDefault="007904B5" w:rsidP="000265BB">
      <w:pPr>
        <w:ind w:left="360"/>
        <w:jc w:val="both"/>
      </w:pPr>
    </w:p>
    <w:p w14:paraId="65587EBF" w14:textId="77777777" w:rsidR="00701CD6" w:rsidRDefault="00701CD6" w:rsidP="000265BB">
      <w:pPr>
        <w:ind w:left="360"/>
        <w:jc w:val="both"/>
      </w:pPr>
    </w:p>
    <w:p w14:paraId="7DBE2833" w14:textId="03192940" w:rsidR="000265BB" w:rsidRPr="000F289D" w:rsidRDefault="000265BB" w:rsidP="006C34CF">
      <w:pPr>
        <w:pStyle w:val="Paragraphedeliste"/>
        <w:numPr>
          <w:ilvl w:val="0"/>
          <w:numId w:val="10"/>
        </w:numPr>
        <w:ind w:hanging="11"/>
        <w:jc w:val="both"/>
        <w:rPr>
          <w:color w:val="FF6700" w:themeColor="accent3"/>
        </w:rPr>
      </w:pPr>
      <w:r w:rsidRPr="000F289D">
        <w:rPr>
          <w:color w:val="FF6700" w:themeColor="accent3"/>
        </w:rPr>
        <w:t>Optimisation des revenus</w:t>
      </w:r>
    </w:p>
    <w:p w14:paraId="07E18191" w14:textId="77777777" w:rsidR="00AC26F4" w:rsidRDefault="00AC26F4" w:rsidP="00AC26F4">
      <w:pPr>
        <w:ind w:left="360"/>
        <w:jc w:val="both"/>
      </w:pPr>
    </w:p>
    <w:p w14:paraId="295DECFD" w14:textId="4666F7FE" w:rsidR="00AC26F4" w:rsidRDefault="00AC26F4" w:rsidP="00AC26F4">
      <w:pPr>
        <w:ind w:left="360"/>
        <w:jc w:val="both"/>
      </w:pPr>
      <w:r>
        <w:t>L'optimisation des revenus dans le contexte du SRG vise à reconnaître deux éléments sur lesquels il est possible d'articuler une stratégie qui bonifie le SRG:</w:t>
      </w:r>
    </w:p>
    <w:p w14:paraId="7F5DA3EF" w14:textId="77777777" w:rsidR="00AC26F4" w:rsidRDefault="00AC26F4" w:rsidP="00AC26F4">
      <w:pPr>
        <w:ind w:left="360"/>
        <w:jc w:val="both"/>
      </w:pPr>
    </w:p>
    <w:p w14:paraId="7744A1F6" w14:textId="66DDF28C" w:rsidR="00AC26F4" w:rsidRDefault="00AC26F4" w:rsidP="006C34CF">
      <w:pPr>
        <w:pStyle w:val="Paragraphedeliste"/>
        <w:numPr>
          <w:ilvl w:val="0"/>
          <w:numId w:val="12"/>
        </w:numPr>
        <w:jc w:val="both"/>
      </w:pPr>
      <w:r>
        <w:t>L'exemption</w:t>
      </w:r>
      <w:r w:rsidR="00251614">
        <w:t xml:space="preserve"> de 3 500 $ sur les revenus d'emploi par contribuable</w:t>
      </w:r>
    </w:p>
    <w:p w14:paraId="6BAEC703" w14:textId="77777777" w:rsidR="00251614" w:rsidRDefault="00251614" w:rsidP="00251614">
      <w:pPr>
        <w:ind w:left="1056"/>
        <w:jc w:val="both"/>
      </w:pPr>
    </w:p>
    <w:p w14:paraId="749AE723" w14:textId="08EEB8C5" w:rsidR="00251614" w:rsidRDefault="00251614" w:rsidP="006C34CF">
      <w:pPr>
        <w:pStyle w:val="Paragraphedeliste"/>
        <w:numPr>
          <w:ilvl w:val="0"/>
          <w:numId w:val="12"/>
        </w:numPr>
        <w:jc w:val="both"/>
      </w:pPr>
      <w:r>
        <w:t xml:space="preserve">Le calcul du SRG se renouvelle </w:t>
      </w:r>
      <w:r w:rsidR="00C14327">
        <w:t>chaque</w:t>
      </w:r>
      <w:r>
        <w:t xml:space="preserve"> année</w:t>
      </w:r>
    </w:p>
    <w:p w14:paraId="71345125" w14:textId="47A64739" w:rsidR="00AC26F4" w:rsidRDefault="00AC26F4" w:rsidP="00AC26F4">
      <w:pPr>
        <w:ind w:left="360"/>
        <w:jc w:val="both"/>
      </w:pPr>
    </w:p>
    <w:p w14:paraId="52CC222F" w14:textId="5FD3B3D0" w:rsidR="000725C8" w:rsidRDefault="00251614" w:rsidP="00AC26F4">
      <w:pPr>
        <w:ind w:left="360"/>
        <w:jc w:val="both"/>
      </w:pPr>
      <w:r>
        <w:t>Tout d'abord, durant la période de 65 à 70 ans, il est possible d'optimiser le SRG en privilégiant le revenu d'emploi (jusqu'à 3 500 $) pour compléter les revenus nécessaires à son train de vie plutôt que de miser sur la rente de la RRQ (report possible jusqu'à 70 ans) ou l'encaissement du REÉR (report possible jusqu'à 71 ans)</w:t>
      </w:r>
      <w:r w:rsidR="000725C8">
        <w:t>. Bien sûr, l'état de santé et la motivation à se trouver un petit emploi doivent être cohérents avec les objectifs du retraité.</w:t>
      </w:r>
    </w:p>
    <w:p w14:paraId="7DDE436E" w14:textId="77777777" w:rsidR="000725C8" w:rsidRDefault="000725C8" w:rsidP="00AC26F4">
      <w:pPr>
        <w:ind w:left="360"/>
        <w:jc w:val="both"/>
      </w:pPr>
    </w:p>
    <w:p w14:paraId="7CF03E68" w14:textId="510776A4" w:rsidR="00251614" w:rsidRDefault="000725C8" w:rsidP="00AC26F4">
      <w:pPr>
        <w:ind w:left="360"/>
        <w:jc w:val="both"/>
      </w:pPr>
      <w:r>
        <w:t xml:space="preserve">L'autre </w:t>
      </w:r>
      <w:r w:rsidR="00C14327">
        <w:t>idée</w:t>
      </w:r>
      <w:r>
        <w:t xml:space="preserve"> est de tirer profit du </w:t>
      </w:r>
      <w:r w:rsidR="00251614">
        <w:t xml:space="preserve"> </w:t>
      </w:r>
      <w:r>
        <w:t xml:space="preserve">fait que le calcul de la SRG se renouvelle </w:t>
      </w:r>
      <w:r w:rsidR="00C14327">
        <w:t>chaque</w:t>
      </w:r>
      <w:r>
        <w:t xml:space="preserve"> année. Pour une strate de la population dont les besoins financiers se </w:t>
      </w:r>
      <w:r w:rsidR="001271B0">
        <w:t>situent</w:t>
      </w:r>
      <w:r>
        <w:t xml:space="preserve"> juste un peu </w:t>
      </w:r>
      <w:r w:rsidR="001271B0">
        <w:t>au-delà</w:t>
      </w:r>
      <w:r>
        <w:t xml:space="preserve"> du seuil où le SRG devient nul, il pourrait être intéressant de générer (lorsque cela est possible, sur les revenus d'emplois et retrait REER par exemple) des revenus excédentaires pour une année donnée. Cet excédent servirait de liquidité</w:t>
      </w:r>
      <w:r w:rsidR="00B16D02">
        <w:t xml:space="preserve"> pour financer le train de vie de l'année subséquente, réduisant ainsi les revenus nécessaires pour assumer le train de vie. Cette réduction de revenu augmenterait le montant de SRG disponible.</w:t>
      </w:r>
    </w:p>
    <w:p w14:paraId="02D41F70" w14:textId="77777777" w:rsidR="00FA0EA2" w:rsidRDefault="00FA0EA2" w:rsidP="00AC26F4">
      <w:pPr>
        <w:ind w:left="360"/>
        <w:jc w:val="both"/>
      </w:pPr>
    </w:p>
    <w:p w14:paraId="3CFBABD2" w14:textId="77777777" w:rsidR="00362289" w:rsidRDefault="00362289" w:rsidP="00AC26F4">
      <w:pPr>
        <w:ind w:left="360"/>
        <w:jc w:val="both"/>
      </w:pPr>
    </w:p>
    <w:p w14:paraId="1DFB6EA8" w14:textId="77777777" w:rsidR="00362289" w:rsidRDefault="00362289" w:rsidP="00AC26F4">
      <w:pPr>
        <w:ind w:left="360"/>
        <w:jc w:val="both"/>
      </w:pPr>
    </w:p>
    <w:p w14:paraId="6C6909BC" w14:textId="13F459A7" w:rsidR="00A243F0" w:rsidRPr="000F289D" w:rsidRDefault="00362289" w:rsidP="006C34CF">
      <w:pPr>
        <w:pStyle w:val="Paragraphedeliste"/>
        <w:numPr>
          <w:ilvl w:val="0"/>
          <w:numId w:val="10"/>
        </w:numPr>
        <w:ind w:left="993" w:hanging="284"/>
        <w:jc w:val="both"/>
        <w:rPr>
          <w:color w:val="FF6700" w:themeColor="accent3"/>
        </w:rPr>
      </w:pPr>
      <w:r>
        <w:rPr>
          <w:noProof/>
          <w:lang w:eastAsia="fr-FR"/>
        </w:rPr>
        <w:drawing>
          <wp:anchor distT="0" distB="0" distL="114300" distR="114300" simplePos="0" relativeHeight="251880448" behindDoc="0" locked="0" layoutInCell="1" allowOverlap="1" wp14:anchorId="1AAC217B" wp14:editId="202022DA">
            <wp:simplePos x="0" y="0"/>
            <wp:positionH relativeFrom="column">
              <wp:posOffset>-300990</wp:posOffset>
            </wp:positionH>
            <wp:positionV relativeFrom="paragraph">
              <wp:posOffset>-67310</wp:posOffset>
            </wp:positionV>
            <wp:extent cx="383540" cy="723265"/>
            <wp:effectExtent l="177800" t="50800" r="99060" b="64135"/>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11">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0EA2" w:rsidRPr="000F289D">
        <w:rPr>
          <w:color w:val="FF6700" w:themeColor="accent3"/>
        </w:rPr>
        <w:t>E</w:t>
      </w:r>
      <w:r w:rsidR="00E54CDB" w:rsidRPr="000F289D">
        <w:rPr>
          <w:color w:val="FF6700" w:themeColor="accent3"/>
        </w:rPr>
        <w:t>XEMPLE</w:t>
      </w:r>
      <w:r w:rsidR="00A07AFE" w:rsidRPr="000F289D">
        <w:rPr>
          <w:color w:val="FF6700" w:themeColor="accent3"/>
        </w:rPr>
        <w:t xml:space="preserve"> </w:t>
      </w:r>
      <w:r w:rsidR="00DD51DD" w:rsidRPr="000F289D">
        <w:rPr>
          <w:color w:val="FF6700" w:themeColor="accent3"/>
        </w:rPr>
        <w:t>7-3</w:t>
      </w:r>
    </w:p>
    <w:p w14:paraId="43183C2B" w14:textId="77777777" w:rsidR="006B7FA8" w:rsidRDefault="006B7FA8" w:rsidP="006B7FA8">
      <w:pPr>
        <w:ind w:left="720"/>
        <w:jc w:val="both"/>
      </w:pPr>
    </w:p>
    <w:p w14:paraId="4DAEFB7B" w14:textId="19C41F60" w:rsidR="00D427BA" w:rsidRDefault="00AC26F4" w:rsidP="00C41880">
      <w:pPr>
        <w:jc w:val="both"/>
      </w:pPr>
      <w:r>
        <w:tab/>
      </w:r>
      <w:r w:rsidR="008F44E8">
        <w:t xml:space="preserve">Train de vie à la retraite de </w:t>
      </w:r>
      <w:r w:rsidR="008F44E8" w:rsidRPr="008F44E8">
        <w:rPr>
          <w:color w:val="008000"/>
        </w:rPr>
        <w:t>Marie Richer</w:t>
      </w:r>
      <w:r w:rsidR="008F44E8">
        <w:rPr>
          <w:color w:val="008000"/>
        </w:rPr>
        <w:t xml:space="preserve"> </w:t>
      </w:r>
      <w:r w:rsidR="008F44E8" w:rsidRPr="008F44E8">
        <w:t>(célibataire, âgée de 66 ans)</w:t>
      </w:r>
      <w:r w:rsidR="008F44E8">
        <w:tab/>
        <w:t>2</w:t>
      </w:r>
      <w:r w:rsidR="002309A5">
        <w:t>4</w:t>
      </w:r>
      <w:r w:rsidR="008F44E8">
        <w:t xml:space="preserve"> 000 $</w:t>
      </w:r>
    </w:p>
    <w:p w14:paraId="54B3BC9B" w14:textId="77777777" w:rsidR="008F44E8" w:rsidRDefault="008F44E8" w:rsidP="00C41880">
      <w:pPr>
        <w:jc w:val="both"/>
      </w:pPr>
    </w:p>
    <w:p w14:paraId="0E577522" w14:textId="5F325AB4" w:rsidR="008F44E8" w:rsidRDefault="008F44E8" w:rsidP="00C41880">
      <w:pPr>
        <w:jc w:val="both"/>
      </w:pPr>
      <w:r>
        <w:tab/>
        <w:t>Revenu brut (avant impôt), nécessaire au train de vie</w:t>
      </w:r>
      <w:r w:rsidR="002309A5">
        <w:tab/>
      </w:r>
      <w:r w:rsidR="002309A5">
        <w:tab/>
      </w:r>
      <w:r w:rsidR="002309A5">
        <w:tab/>
      </w:r>
      <w:r w:rsidR="002309A5">
        <w:tab/>
        <w:t>25 250 $</w:t>
      </w:r>
    </w:p>
    <w:p w14:paraId="72CB43B3" w14:textId="77777777" w:rsidR="002309A5" w:rsidRDefault="002309A5" w:rsidP="00C41880">
      <w:pPr>
        <w:jc w:val="both"/>
      </w:pPr>
    </w:p>
    <w:p w14:paraId="10AEBC6A" w14:textId="016B41F8" w:rsidR="002309A5" w:rsidRDefault="00142C2F" w:rsidP="00C41880">
      <w:pPr>
        <w:jc w:val="both"/>
      </w:pPr>
      <w:r>
        <w:rPr>
          <w:noProof/>
          <w:lang w:eastAsia="fr-FR"/>
        </w:rPr>
        <w:drawing>
          <wp:anchor distT="0" distB="0" distL="114300" distR="114300" simplePos="0" relativeHeight="251878400" behindDoc="0" locked="0" layoutInCell="1" allowOverlap="1" wp14:anchorId="1C585A1B" wp14:editId="78443E46">
            <wp:simplePos x="0" y="0"/>
            <wp:positionH relativeFrom="column">
              <wp:posOffset>5486400</wp:posOffset>
            </wp:positionH>
            <wp:positionV relativeFrom="paragraph">
              <wp:posOffset>116205</wp:posOffset>
            </wp:positionV>
            <wp:extent cx="508000" cy="685800"/>
            <wp:effectExtent l="0" t="0" r="0" b="0"/>
            <wp:wrapNone/>
            <wp:docPr id="66" name="Image 66" descr="Macintosh HD:Users:marcbachand:Desktop:Capture d’écran 2015-06-08 à 17.18.41.pn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55781">
        <w:tab/>
        <w:t>Établissement du revenu brut</w:t>
      </w:r>
    </w:p>
    <w:p w14:paraId="27EB5589" w14:textId="4B5E72E9" w:rsidR="00455781" w:rsidRDefault="00455781" w:rsidP="00C41880">
      <w:pPr>
        <w:jc w:val="both"/>
      </w:pPr>
    </w:p>
    <w:p w14:paraId="12DA273C" w14:textId="33862854" w:rsidR="00C41880" w:rsidRDefault="00455781" w:rsidP="00C41880">
      <w:pPr>
        <w:jc w:val="both"/>
      </w:pPr>
      <w:r>
        <w:tab/>
        <w:t xml:space="preserve">Montant brut établi par tâtonnement, avec la  </w:t>
      </w:r>
      <w:hyperlink r:id="rId44" w:history="1">
        <w:r w:rsidR="00DA7497">
          <w:rPr>
            <w:rStyle w:val="Lienhypertexte"/>
            <w:color w:val="FF6700" w:themeColor="accent3"/>
          </w:rPr>
          <w:t>Calculatrice d'impôt</w:t>
        </w:r>
      </w:hyperlink>
    </w:p>
    <w:p w14:paraId="6D15F4A5" w14:textId="77777777" w:rsidR="00142C2F" w:rsidRDefault="00455781" w:rsidP="00C41880">
      <w:pPr>
        <w:jc w:val="both"/>
      </w:pPr>
      <w:r>
        <w:tab/>
      </w:r>
    </w:p>
    <w:p w14:paraId="561FF5D2" w14:textId="1F3A3C94" w:rsidR="00C41880" w:rsidRDefault="00142C2F" w:rsidP="00C41880">
      <w:pPr>
        <w:jc w:val="both"/>
      </w:pPr>
      <w:r>
        <w:tab/>
      </w:r>
      <w:r w:rsidR="00455781">
        <w:t xml:space="preserve">Montant net après impôt </w:t>
      </w:r>
      <w:r w:rsidR="00455781">
        <w:tab/>
      </w:r>
      <w:r w:rsidR="00455781">
        <w:tab/>
      </w:r>
      <w:r w:rsidR="00455781">
        <w:tab/>
      </w:r>
      <w:r w:rsidR="00A243F0">
        <w:tab/>
      </w:r>
      <w:r w:rsidR="00455781">
        <w:t>21 703 $</w:t>
      </w:r>
      <w:r>
        <w:rPr>
          <w:rStyle w:val="Marquenotebasdepage"/>
        </w:rPr>
        <w:footnoteReference w:customMarkFollows="1" w:id="15"/>
        <w:t>12</w:t>
      </w:r>
    </w:p>
    <w:p w14:paraId="353B5D7F" w14:textId="18F2BF9A" w:rsidR="00455781" w:rsidRDefault="00455781" w:rsidP="00C41880">
      <w:pPr>
        <w:jc w:val="both"/>
      </w:pPr>
      <w:r>
        <w:tab/>
      </w:r>
      <w:r w:rsidR="00142C2F">
        <w:t>Plus:</w:t>
      </w:r>
      <w:r w:rsidR="00142C2F">
        <w:tab/>
      </w:r>
      <w:r>
        <w:t>Autres crédits, QC</w:t>
      </w:r>
    </w:p>
    <w:p w14:paraId="310DC60A" w14:textId="1604BA1D" w:rsidR="00455781" w:rsidRDefault="00455781" w:rsidP="00C41880">
      <w:pPr>
        <w:jc w:val="both"/>
      </w:pPr>
      <w:r>
        <w:tab/>
      </w:r>
      <w:r>
        <w:tab/>
      </w:r>
      <w:r w:rsidR="00A243F0">
        <w:tab/>
      </w:r>
      <w:r>
        <w:t>Vivant seule</w:t>
      </w:r>
      <w:r>
        <w:tab/>
      </w:r>
      <w:r>
        <w:tab/>
      </w:r>
      <w:r>
        <w:tab/>
        <w:t>1 325 $</w:t>
      </w:r>
    </w:p>
    <w:p w14:paraId="23266F01" w14:textId="4E64B83C" w:rsidR="00C41880" w:rsidRDefault="00455781" w:rsidP="00C41880">
      <w:pPr>
        <w:jc w:val="both"/>
      </w:pPr>
      <w:r>
        <w:tab/>
      </w:r>
      <w:r>
        <w:tab/>
      </w:r>
      <w:r w:rsidR="00A243F0">
        <w:tab/>
      </w:r>
      <w:r>
        <w:t>Personne âgée</w:t>
      </w:r>
      <w:r>
        <w:tab/>
      </w:r>
      <w:r>
        <w:tab/>
        <w:t>2 435 $</w:t>
      </w:r>
    </w:p>
    <w:p w14:paraId="549F3389" w14:textId="08FCBD80" w:rsidR="00455781" w:rsidRDefault="00455781" w:rsidP="00C41880">
      <w:pPr>
        <w:jc w:val="both"/>
      </w:pPr>
      <w:r>
        <w:tab/>
      </w:r>
      <w:r>
        <w:tab/>
      </w:r>
      <w:r w:rsidR="00A243F0">
        <w:tab/>
      </w:r>
      <w:r>
        <w:t>Revenu de pension</w:t>
      </w:r>
      <w:r>
        <w:tab/>
      </w:r>
      <w:r w:rsidRPr="00455781">
        <w:rPr>
          <w:u w:val="single"/>
        </w:rPr>
        <w:t>2 160 $</w:t>
      </w:r>
    </w:p>
    <w:p w14:paraId="22EA5FC1" w14:textId="62FE99F6" w:rsidR="00C41880" w:rsidRDefault="00142C2F" w:rsidP="00C41880">
      <w:pPr>
        <w:jc w:val="both"/>
      </w:pPr>
      <w:r>
        <w:tab/>
      </w:r>
      <w:r>
        <w:tab/>
      </w:r>
      <w:r>
        <w:tab/>
      </w:r>
      <w:r w:rsidR="00A243F0">
        <w:tab/>
      </w:r>
      <w:r>
        <w:tab/>
      </w:r>
      <w:r>
        <w:tab/>
      </w:r>
      <w:r>
        <w:tab/>
        <w:t>5 920 $</w:t>
      </w:r>
    </w:p>
    <w:p w14:paraId="268E0D54" w14:textId="5C6550A0" w:rsidR="00142C2F" w:rsidRPr="00142C2F" w:rsidRDefault="00142C2F" w:rsidP="00C41880">
      <w:pPr>
        <w:jc w:val="both"/>
        <w:rPr>
          <w:u w:val="single"/>
        </w:rPr>
      </w:pPr>
      <w:r>
        <w:tab/>
      </w:r>
      <w:r>
        <w:tab/>
      </w:r>
      <w:r>
        <w:tab/>
      </w:r>
      <w:r>
        <w:tab/>
      </w:r>
      <w:r w:rsidR="00A243F0">
        <w:tab/>
      </w:r>
      <w:r>
        <w:tab/>
      </w:r>
      <w:r>
        <w:tab/>
      </w:r>
      <w:r w:rsidRPr="00142C2F">
        <w:rPr>
          <w:u w:val="single"/>
        </w:rPr>
        <w:t xml:space="preserve">    20 %</w:t>
      </w:r>
      <w:r w:rsidRPr="00142C2F">
        <w:tab/>
        <w:t xml:space="preserve"> 1 184 $</w:t>
      </w:r>
      <w:r w:rsidRPr="00142C2F">
        <w:tab/>
      </w:r>
      <w:r w:rsidRPr="00142C2F">
        <w:tab/>
      </w:r>
    </w:p>
    <w:p w14:paraId="1416DFAB" w14:textId="6C100AFA" w:rsidR="00142C2F" w:rsidRDefault="00142C2F" w:rsidP="00142C2F">
      <w:pPr>
        <w:jc w:val="both"/>
      </w:pPr>
      <w:r>
        <w:tab/>
      </w:r>
      <w:r w:rsidR="00A243F0">
        <w:t>Plus:</w:t>
      </w:r>
      <w:r w:rsidR="00A243F0">
        <w:tab/>
      </w:r>
      <w:r>
        <w:t>Autres crédits, Fédéral</w:t>
      </w:r>
    </w:p>
    <w:p w14:paraId="3507DA14" w14:textId="35D2F74C" w:rsidR="00142C2F" w:rsidRDefault="00142C2F" w:rsidP="00142C2F">
      <w:pPr>
        <w:jc w:val="both"/>
      </w:pPr>
      <w:r>
        <w:tab/>
      </w:r>
      <w:r>
        <w:tab/>
      </w:r>
      <w:r w:rsidR="00A243F0">
        <w:tab/>
      </w:r>
      <w:r>
        <w:t>Personne âgée</w:t>
      </w:r>
      <w:r>
        <w:tab/>
      </w:r>
      <w:r>
        <w:tab/>
        <w:t>6 916 $</w:t>
      </w:r>
    </w:p>
    <w:p w14:paraId="09460244" w14:textId="4AD94311" w:rsidR="00142C2F" w:rsidRDefault="00142C2F" w:rsidP="00142C2F">
      <w:pPr>
        <w:jc w:val="both"/>
      </w:pPr>
      <w:r>
        <w:tab/>
      </w:r>
      <w:r>
        <w:tab/>
      </w:r>
      <w:r w:rsidR="00A243F0">
        <w:tab/>
      </w:r>
      <w:r>
        <w:t>Revenu de pension</w:t>
      </w:r>
      <w:r>
        <w:tab/>
      </w:r>
      <w:r w:rsidRPr="00455781">
        <w:rPr>
          <w:u w:val="single"/>
        </w:rPr>
        <w:t>2</w:t>
      </w:r>
      <w:r>
        <w:rPr>
          <w:u w:val="single"/>
        </w:rPr>
        <w:t xml:space="preserve"> 000</w:t>
      </w:r>
      <w:r w:rsidRPr="00455781">
        <w:rPr>
          <w:u w:val="single"/>
        </w:rPr>
        <w:t xml:space="preserve"> $</w:t>
      </w:r>
    </w:p>
    <w:p w14:paraId="5DD1ABBD" w14:textId="0BEEB1C7" w:rsidR="00142C2F" w:rsidRDefault="00142C2F" w:rsidP="00142C2F">
      <w:pPr>
        <w:jc w:val="both"/>
      </w:pPr>
      <w:r>
        <w:tab/>
      </w:r>
      <w:r>
        <w:tab/>
      </w:r>
      <w:r>
        <w:tab/>
      </w:r>
      <w:r w:rsidR="00A243F0">
        <w:tab/>
      </w:r>
      <w:r>
        <w:tab/>
      </w:r>
      <w:r>
        <w:tab/>
      </w:r>
      <w:r>
        <w:tab/>
        <w:t>8 916 $</w:t>
      </w:r>
    </w:p>
    <w:p w14:paraId="470A5FDE" w14:textId="70E27BCF" w:rsidR="00142C2F" w:rsidRDefault="00142C2F" w:rsidP="00142C2F">
      <w:pPr>
        <w:jc w:val="both"/>
      </w:pPr>
      <w:r>
        <w:tab/>
      </w:r>
      <w:r>
        <w:tab/>
      </w:r>
      <w:r>
        <w:tab/>
      </w:r>
      <w:r>
        <w:tab/>
      </w:r>
      <w:r w:rsidR="00A243F0">
        <w:tab/>
      </w:r>
      <w:r>
        <w:tab/>
      </w:r>
      <w:r>
        <w:tab/>
      </w:r>
      <w:r w:rsidRPr="00142C2F">
        <w:rPr>
          <w:u w:val="single"/>
        </w:rPr>
        <w:t xml:space="preserve">    </w:t>
      </w:r>
      <w:r>
        <w:rPr>
          <w:u w:val="single"/>
        </w:rPr>
        <w:t xml:space="preserve">12,5 </w:t>
      </w:r>
      <w:r w:rsidRPr="00142C2F">
        <w:rPr>
          <w:u w:val="single"/>
        </w:rPr>
        <w:t>%</w:t>
      </w:r>
      <w:r>
        <w:rPr>
          <w:u w:val="single"/>
        </w:rPr>
        <w:tab/>
        <w:t xml:space="preserve">  1 114 $</w:t>
      </w:r>
      <w:r>
        <w:tab/>
      </w:r>
      <w:r>
        <w:tab/>
      </w:r>
      <w:r>
        <w:tab/>
      </w:r>
      <w:r>
        <w:tab/>
      </w:r>
    </w:p>
    <w:p w14:paraId="740C9D37" w14:textId="69CB2634" w:rsidR="00142C2F" w:rsidRDefault="00142C2F" w:rsidP="00C41880">
      <w:pPr>
        <w:jc w:val="both"/>
      </w:pPr>
      <w:r>
        <w:tab/>
      </w:r>
    </w:p>
    <w:p w14:paraId="22F83175" w14:textId="3BB4B96C" w:rsidR="00142C2F" w:rsidRDefault="00142C2F" w:rsidP="00C41880">
      <w:pPr>
        <w:jc w:val="both"/>
        <w:rPr>
          <w:u w:val="double"/>
        </w:rPr>
      </w:pPr>
      <w:r>
        <w:tab/>
      </w:r>
      <w:r>
        <w:tab/>
      </w:r>
      <w:r>
        <w:tab/>
      </w:r>
      <w:r>
        <w:tab/>
      </w:r>
      <w:r>
        <w:tab/>
      </w:r>
      <w:r w:rsidR="00A243F0">
        <w:tab/>
      </w:r>
      <w:r>
        <w:tab/>
      </w:r>
      <w:r>
        <w:tab/>
      </w:r>
      <w:r>
        <w:tab/>
      </w:r>
      <w:r w:rsidRPr="00142C2F">
        <w:rPr>
          <w:u w:val="double"/>
        </w:rPr>
        <w:t>24 001 $</w:t>
      </w:r>
    </w:p>
    <w:p w14:paraId="3CABA884" w14:textId="77777777" w:rsidR="005D67E0" w:rsidRPr="00142C2F" w:rsidRDefault="005D67E0" w:rsidP="00C41880">
      <w:pPr>
        <w:jc w:val="both"/>
        <w:rPr>
          <w:u w:val="double"/>
        </w:rPr>
      </w:pPr>
    </w:p>
    <w:p w14:paraId="458D0F7E" w14:textId="77777777" w:rsidR="001F4FEC" w:rsidRDefault="00221BC1" w:rsidP="006A2CBB">
      <w:pPr>
        <w:pBdr>
          <w:top w:val="single" w:sz="4" w:space="1" w:color="auto"/>
          <w:left w:val="single" w:sz="4" w:space="4" w:color="auto"/>
          <w:bottom w:val="single" w:sz="4" w:space="1" w:color="auto"/>
          <w:right w:val="single" w:sz="4" w:space="4" w:color="auto"/>
        </w:pBdr>
        <w:jc w:val="both"/>
      </w:pPr>
      <w:r>
        <w:tab/>
        <w:t xml:space="preserve">Marie détient un REÉR de 150 000 $ pour compléter ses revenus de retraite. </w:t>
      </w:r>
    </w:p>
    <w:p w14:paraId="1B35BABD" w14:textId="77777777" w:rsidR="001F4FEC" w:rsidRDefault="001F4FEC" w:rsidP="00C41880">
      <w:pPr>
        <w:jc w:val="both"/>
      </w:pPr>
    </w:p>
    <w:p w14:paraId="16E80AF2" w14:textId="77777777" w:rsidR="006B7FA8" w:rsidRDefault="001F4FEC" w:rsidP="00C41880">
      <w:pPr>
        <w:jc w:val="both"/>
      </w:pPr>
      <w:r>
        <w:tab/>
      </w:r>
    </w:p>
    <w:p w14:paraId="00718DF1" w14:textId="77777777" w:rsidR="00C14327" w:rsidRDefault="00C14327" w:rsidP="00C41880">
      <w:pPr>
        <w:jc w:val="both"/>
      </w:pPr>
    </w:p>
    <w:p w14:paraId="11D599E1" w14:textId="26402BE0" w:rsidR="00455781" w:rsidRDefault="00221BC1" w:rsidP="00C41880">
      <w:pPr>
        <w:jc w:val="both"/>
      </w:pPr>
      <w:r>
        <w:t>Voici le détail de ses revenus</w:t>
      </w:r>
      <w:r w:rsidR="001F4FEC">
        <w:t xml:space="preserve"> sans optimisation</w:t>
      </w:r>
      <w:r>
        <w:t>:</w:t>
      </w:r>
      <w:r w:rsidR="00EF2171" w:rsidRPr="00EF2171">
        <w:rPr>
          <w:noProof/>
          <w:lang w:eastAsia="fr-FR"/>
        </w:rPr>
        <w:t xml:space="preserve"> </w:t>
      </w:r>
    </w:p>
    <w:p w14:paraId="3476BD65" w14:textId="77777777" w:rsidR="006B7FA8" w:rsidRDefault="006B7FA8" w:rsidP="00C41880">
      <w:pPr>
        <w:jc w:val="both"/>
      </w:pPr>
    </w:p>
    <w:tbl>
      <w:tblPr>
        <w:tblStyle w:val="Grille"/>
        <w:tblW w:w="0" w:type="auto"/>
        <w:tblLook w:val="04A0" w:firstRow="1" w:lastRow="0" w:firstColumn="1" w:lastColumn="0" w:noHBand="0" w:noVBand="1"/>
      </w:tblPr>
      <w:tblGrid>
        <w:gridCol w:w="6573"/>
        <w:gridCol w:w="6573"/>
      </w:tblGrid>
      <w:tr w:rsidR="001F4FEC" w14:paraId="4931D3C9" w14:textId="77777777" w:rsidTr="00627A42">
        <w:trPr>
          <w:trHeight w:val="3358"/>
        </w:trPr>
        <w:tc>
          <w:tcPr>
            <w:tcW w:w="6573" w:type="dxa"/>
            <w:shd w:val="clear" w:color="auto" w:fill="BCBFA1" w:themeFill="accent4" w:themeFillTint="99"/>
          </w:tcPr>
          <w:p w14:paraId="179697B2" w14:textId="77777777" w:rsidR="001F4FEC" w:rsidRDefault="001F4FEC" w:rsidP="001F4FEC">
            <w:pPr>
              <w:jc w:val="both"/>
            </w:pPr>
            <w:r>
              <w:t>20XX</w:t>
            </w:r>
            <w:r>
              <w:tab/>
            </w:r>
            <w:r>
              <w:tab/>
            </w:r>
            <w:r>
              <w:tab/>
            </w:r>
            <w:r>
              <w:tab/>
            </w:r>
            <w:r>
              <w:tab/>
            </w:r>
            <w:r>
              <w:tab/>
            </w:r>
            <w:r>
              <w:tab/>
            </w:r>
            <w:r>
              <w:tab/>
            </w:r>
          </w:p>
          <w:p w14:paraId="07463AB2" w14:textId="77777777" w:rsidR="001F4FEC" w:rsidRDefault="001F4FEC" w:rsidP="001F4FEC">
            <w:pPr>
              <w:jc w:val="both"/>
            </w:pPr>
          </w:p>
          <w:p w14:paraId="2C466687" w14:textId="77777777" w:rsidR="001F4FEC" w:rsidRDefault="001F4FEC" w:rsidP="001F4FEC">
            <w:pPr>
              <w:jc w:val="both"/>
            </w:pPr>
            <w:r>
              <w:tab/>
              <w:t>RPA</w:t>
            </w:r>
            <w:r>
              <w:tab/>
            </w:r>
            <w:r>
              <w:tab/>
            </w:r>
            <w:r>
              <w:tab/>
            </w:r>
            <w:r>
              <w:tab/>
              <w:t xml:space="preserve">  6 000 $</w:t>
            </w:r>
          </w:p>
          <w:p w14:paraId="23D814CC" w14:textId="7F6FAF41" w:rsidR="001F4FEC" w:rsidRDefault="001F4FEC" w:rsidP="001F4FEC">
            <w:pPr>
              <w:jc w:val="both"/>
            </w:pPr>
            <w:r>
              <w:tab/>
              <w:t xml:space="preserve">PSV </w:t>
            </w:r>
            <w:r>
              <w:tab/>
            </w:r>
            <w:r>
              <w:tab/>
            </w:r>
            <w:r>
              <w:tab/>
            </w:r>
            <w:r>
              <w:tab/>
              <w:t xml:space="preserve">  6 765 $</w:t>
            </w:r>
            <w:r>
              <w:tab/>
            </w:r>
          </w:p>
          <w:p w14:paraId="33A2A216" w14:textId="7AA34666" w:rsidR="001F4FEC" w:rsidRDefault="00EF2171" w:rsidP="001F4FEC">
            <w:pPr>
              <w:jc w:val="both"/>
            </w:pPr>
            <w:r>
              <w:rPr>
                <w:noProof/>
                <w:lang w:eastAsia="fr-FR"/>
              </w:rPr>
              <mc:AlternateContent>
                <mc:Choice Requires="wps">
                  <w:drawing>
                    <wp:anchor distT="0" distB="0" distL="114300" distR="114300" simplePos="0" relativeHeight="251888640" behindDoc="0" locked="0" layoutInCell="1" allowOverlap="1" wp14:anchorId="0B6D108E" wp14:editId="22F5EE3F">
                      <wp:simplePos x="0" y="0"/>
                      <wp:positionH relativeFrom="column">
                        <wp:posOffset>2876559</wp:posOffset>
                      </wp:positionH>
                      <wp:positionV relativeFrom="paragraph">
                        <wp:posOffset>158088</wp:posOffset>
                      </wp:positionV>
                      <wp:extent cx="763549" cy="283210"/>
                      <wp:effectExtent l="50800" t="127000" r="24130" b="148590"/>
                      <wp:wrapNone/>
                      <wp:docPr id="83" name="Flèche vers la gauche 83"/>
                      <wp:cNvGraphicFramePr/>
                      <a:graphic xmlns:a="http://schemas.openxmlformats.org/drawingml/2006/main">
                        <a:graphicData uri="http://schemas.microsoft.com/office/word/2010/wordprocessingShape">
                          <wps:wsp>
                            <wps:cNvSpPr/>
                            <wps:spPr>
                              <a:xfrm rot="20491107">
                                <a:off x="0" y="0"/>
                                <a:ext cx="763549" cy="283210"/>
                              </a:xfrm>
                              <a:prstGeom prst="leftArrow">
                                <a:avLst/>
                              </a:prstGeom>
                              <a:solidFill>
                                <a:srgbClr val="FF0000"/>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lèche vers la gauche 83" o:spid="_x0000_s1026" type="#_x0000_t66" style="position:absolute;margin-left:226.5pt;margin-top:12.45pt;width:60.1pt;height:22.3pt;rotation:-1211207fd;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" adj="4006" fillcolor="red" strokecolor="black [3213]"/>
                  </w:pict>
                </mc:Fallback>
              </mc:AlternateContent>
            </w:r>
            <w:r w:rsidR="001F4FEC">
              <w:tab/>
              <w:t>RRQ</w:t>
            </w:r>
            <w:r w:rsidR="001F4FEC">
              <w:tab/>
            </w:r>
            <w:r w:rsidR="001F4FEC">
              <w:tab/>
            </w:r>
            <w:r w:rsidR="001F4FEC">
              <w:tab/>
            </w:r>
            <w:r w:rsidR="001F4FEC">
              <w:tab/>
              <w:t xml:space="preserve">  2 200 $</w:t>
            </w:r>
          </w:p>
          <w:p w14:paraId="013106E1" w14:textId="77777777" w:rsidR="001F4FEC" w:rsidRDefault="001F4FEC" w:rsidP="001F4FEC">
            <w:pPr>
              <w:jc w:val="both"/>
              <w:rPr>
                <w:u w:val="single"/>
              </w:rPr>
            </w:pPr>
            <w:r>
              <w:tab/>
              <w:t>REÉR</w:t>
            </w:r>
            <w:r>
              <w:tab/>
            </w:r>
            <w:r>
              <w:tab/>
            </w:r>
            <w:r>
              <w:tab/>
            </w:r>
            <w:r>
              <w:tab/>
            </w:r>
            <w:r w:rsidRPr="006B0E58">
              <w:rPr>
                <w:shd w:val="clear" w:color="auto" w:fill="1BA9CC"/>
              </w:rPr>
              <w:t>10 285 $</w:t>
            </w:r>
          </w:p>
          <w:p w14:paraId="50E193E5" w14:textId="77777777" w:rsidR="001F4FEC" w:rsidRPr="006B7FA8" w:rsidRDefault="001F4FEC" w:rsidP="001F4FEC">
            <w:pPr>
              <w:jc w:val="both"/>
              <w:rPr>
                <w:color w:val="FF0000"/>
              </w:rPr>
            </w:pPr>
            <w:r w:rsidRPr="001F4FEC">
              <w:tab/>
            </w:r>
            <w:r w:rsidRPr="006B7FA8">
              <w:rPr>
                <w:color w:val="FF0000"/>
              </w:rPr>
              <w:t>SRG</w:t>
            </w:r>
            <w:r w:rsidRPr="006B7FA8">
              <w:rPr>
                <w:color w:val="FF0000"/>
              </w:rPr>
              <w:tab/>
            </w:r>
            <w:r w:rsidRPr="006B7FA8">
              <w:rPr>
                <w:color w:val="FF0000"/>
              </w:rPr>
              <w:tab/>
            </w:r>
            <w:r w:rsidRPr="006B7FA8">
              <w:rPr>
                <w:color w:val="FF0000"/>
              </w:rPr>
              <w:tab/>
            </w:r>
            <w:r w:rsidRPr="006B7FA8">
              <w:rPr>
                <w:color w:val="FF0000"/>
              </w:rPr>
              <w:tab/>
            </w:r>
            <w:r w:rsidRPr="006B7FA8">
              <w:rPr>
                <w:color w:val="FF0000"/>
                <w:u w:val="single"/>
              </w:rPr>
              <w:t xml:space="preserve">         0 $</w:t>
            </w:r>
            <w:r w:rsidRPr="006B7FA8">
              <w:rPr>
                <w:color w:val="FF0000"/>
              </w:rPr>
              <w:tab/>
            </w:r>
            <w:r w:rsidRPr="006B7FA8">
              <w:rPr>
                <w:color w:val="FF0000"/>
              </w:rPr>
              <w:tab/>
            </w:r>
          </w:p>
          <w:p w14:paraId="78F38DD5" w14:textId="77777777" w:rsidR="001F4FEC" w:rsidRDefault="001F4FEC" w:rsidP="001F4FEC">
            <w:pPr>
              <w:jc w:val="both"/>
              <w:rPr>
                <w:u w:val="double"/>
              </w:rPr>
            </w:pPr>
            <w:r>
              <w:tab/>
              <w:t>RI</w:t>
            </w:r>
            <w:r>
              <w:tab/>
            </w:r>
            <w:r>
              <w:tab/>
            </w:r>
            <w:r>
              <w:tab/>
            </w:r>
            <w:r>
              <w:tab/>
            </w:r>
            <w:r w:rsidRPr="001F4FEC">
              <w:rPr>
                <w:u w:val="double"/>
              </w:rPr>
              <w:t>25 250 $</w:t>
            </w:r>
          </w:p>
          <w:p w14:paraId="32952149" w14:textId="77777777" w:rsidR="001F4FEC" w:rsidRPr="001F4FEC" w:rsidRDefault="001F4FEC" w:rsidP="001F4FEC">
            <w:pPr>
              <w:jc w:val="both"/>
            </w:pPr>
          </w:p>
          <w:p w14:paraId="1E2ABF92" w14:textId="77777777" w:rsidR="001F4FEC" w:rsidRDefault="001F4FEC" w:rsidP="001F4FEC">
            <w:pPr>
              <w:jc w:val="both"/>
            </w:pPr>
            <w:r>
              <w:tab/>
              <w:t>Revenu, après impôt</w:t>
            </w:r>
            <w:r>
              <w:tab/>
            </w:r>
            <w:r w:rsidRPr="001F4FEC">
              <w:rPr>
                <w:u w:val="double"/>
              </w:rPr>
              <w:t>24 001 $</w:t>
            </w:r>
          </w:p>
          <w:p w14:paraId="3902BB60" w14:textId="77777777" w:rsidR="001F4FEC" w:rsidRDefault="001F4FEC" w:rsidP="001F4FEC">
            <w:pPr>
              <w:jc w:val="both"/>
            </w:pPr>
          </w:p>
        </w:tc>
        <w:tc>
          <w:tcPr>
            <w:tcW w:w="6573" w:type="dxa"/>
            <w:shd w:val="clear" w:color="auto" w:fill="E8E9DF" w:themeFill="accent4" w:themeFillTint="33"/>
          </w:tcPr>
          <w:p w14:paraId="67079E5A" w14:textId="5A6A92C2" w:rsidR="001F4FEC" w:rsidRDefault="001F4FEC" w:rsidP="001F4FEC">
            <w:pPr>
              <w:jc w:val="both"/>
            </w:pPr>
            <w:r>
              <w:t>20YY</w:t>
            </w:r>
            <w:r>
              <w:tab/>
            </w:r>
            <w:r>
              <w:tab/>
            </w:r>
            <w:r>
              <w:tab/>
            </w:r>
            <w:r>
              <w:tab/>
            </w:r>
            <w:r>
              <w:tab/>
            </w:r>
            <w:r>
              <w:tab/>
            </w:r>
            <w:r>
              <w:tab/>
            </w:r>
            <w:r>
              <w:tab/>
            </w:r>
          </w:p>
          <w:p w14:paraId="2A52E020" w14:textId="77777777" w:rsidR="001F4FEC" w:rsidRDefault="001F4FEC" w:rsidP="001F4FEC">
            <w:pPr>
              <w:jc w:val="both"/>
            </w:pPr>
          </w:p>
          <w:p w14:paraId="486D0803" w14:textId="77777777" w:rsidR="001F4FEC" w:rsidRDefault="001F4FEC" w:rsidP="001F4FEC">
            <w:pPr>
              <w:jc w:val="both"/>
            </w:pPr>
            <w:r>
              <w:tab/>
              <w:t>RPA</w:t>
            </w:r>
            <w:r>
              <w:tab/>
            </w:r>
            <w:r>
              <w:tab/>
            </w:r>
            <w:r>
              <w:tab/>
            </w:r>
            <w:r>
              <w:tab/>
              <w:t xml:space="preserve">  6 000 $</w:t>
            </w:r>
          </w:p>
          <w:p w14:paraId="19D93382" w14:textId="77777777" w:rsidR="001F4FEC" w:rsidRDefault="001F4FEC" w:rsidP="001F4FEC">
            <w:pPr>
              <w:jc w:val="both"/>
            </w:pPr>
            <w:r>
              <w:tab/>
              <w:t xml:space="preserve">PSV </w:t>
            </w:r>
            <w:r>
              <w:tab/>
            </w:r>
            <w:r>
              <w:tab/>
            </w:r>
            <w:r>
              <w:tab/>
            </w:r>
            <w:r>
              <w:tab/>
              <w:t xml:space="preserve">  6 765 $</w:t>
            </w:r>
            <w:r>
              <w:tab/>
            </w:r>
          </w:p>
          <w:p w14:paraId="3C99C297" w14:textId="6A909C38" w:rsidR="001F4FEC" w:rsidRDefault="00EF2171" w:rsidP="001F4FEC">
            <w:pPr>
              <w:jc w:val="both"/>
            </w:pPr>
            <w:r>
              <w:rPr>
                <w:noProof/>
                <w:lang w:eastAsia="fr-FR"/>
              </w:rPr>
              <mc:AlternateContent>
                <mc:Choice Requires="wps">
                  <w:drawing>
                    <wp:anchor distT="0" distB="0" distL="114300" distR="114300" simplePos="0" relativeHeight="251890688" behindDoc="0" locked="0" layoutInCell="1" allowOverlap="1" wp14:anchorId="7A13D803" wp14:editId="7FF9EFAF">
                      <wp:simplePos x="0" y="0"/>
                      <wp:positionH relativeFrom="column">
                        <wp:posOffset>2937951</wp:posOffset>
                      </wp:positionH>
                      <wp:positionV relativeFrom="paragraph">
                        <wp:posOffset>143520</wp:posOffset>
                      </wp:positionV>
                      <wp:extent cx="763270" cy="283210"/>
                      <wp:effectExtent l="50800" t="127000" r="24130" b="148590"/>
                      <wp:wrapNone/>
                      <wp:docPr id="87" name="Flèche vers la gauche 87"/>
                      <wp:cNvGraphicFramePr/>
                      <a:graphic xmlns:a="http://schemas.openxmlformats.org/drawingml/2006/main">
                        <a:graphicData uri="http://schemas.microsoft.com/office/word/2010/wordprocessingShape">
                          <wps:wsp>
                            <wps:cNvSpPr/>
                            <wps:spPr>
                              <a:xfrm rot="20491107">
                                <a:off x="0" y="0"/>
                                <a:ext cx="763270" cy="283210"/>
                              </a:xfrm>
                              <a:prstGeom prst="leftArrow">
                                <a:avLst/>
                              </a:prstGeom>
                              <a:solidFill>
                                <a:srgbClr val="FF0000"/>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lèche vers la gauche 87" o:spid="_x0000_s1026" type="#_x0000_t66" style="position:absolute;margin-left:231.35pt;margin-top:11.3pt;width:60.1pt;height:22.3pt;rotation:-1211207fd;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" adj="4007" fillcolor="red" strokecolor="black [3213]"/>
                  </w:pict>
                </mc:Fallback>
              </mc:AlternateContent>
            </w:r>
            <w:r w:rsidR="001F4FEC">
              <w:tab/>
              <w:t>RRQ</w:t>
            </w:r>
            <w:r w:rsidR="001F4FEC">
              <w:tab/>
            </w:r>
            <w:r w:rsidR="001F4FEC">
              <w:tab/>
            </w:r>
            <w:r w:rsidR="001F4FEC">
              <w:tab/>
            </w:r>
            <w:r w:rsidR="001F4FEC">
              <w:tab/>
              <w:t xml:space="preserve">  2 200 $</w:t>
            </w:r>
          </w:p>
          <w:p w14:paraId="71CAF5D1" w14:textId="77777777" w:rsidR="001F4FEC" w:rsidRDefault="001F4FEC" w:rsidP="001F4FEC">
            <w:pPr>
              <w:jc w:val="both"/>
              <w:rPr>
                <w:u w:val="single"/>
              </w:rPr>
            </w:pPr>
            <w:r>
              <w:tab/>
              <w:t>REÉR</w:t>
            </w:r>
            <w:r>
              <w:tab/>
            </w:r>
            <w:r>
              <w:tab/>
            </w:r>
            <w:r>
              <w:tab/>
            </w:r>
            <w:r>
              <w:tab/>
            </w:r>
            <w:r w:rsidRPr="006B0E58">
              <w:rPr>
                <w:shd w:val="clear" w:color="auto" w:fill="1BA9CC"/>
              </w:rPr>
              <w:t>10 285 $</w:t>
            </w:r>
          </w:p>
          <w:p w14:paraId="12454066" w14:textId="7086484D" w:rsidR="001F4FEC" w:rsidRPr="006B7FA8" w:rsidRDefault="001F4FEC" w:rsidP="001F4FEC">
            <w:pPr>
              <w:jc w:val="both"/>
              <w:rPr>
                <w:color w:val="FF0000"/>
              </w:rPr>
            </w:pPr>
            <w:r w:rsidRPr="001F4FEC">
              <w:tab/>
            </w:r>
            <w:r w:rsidRPr="006B7FA8">
              <w:rPr>
                <w:color w:val="FF0000"/>
              </w:rPr>
              <w:t>SRG</w:t>
            </w:r>
            <w:r w:rsidRPr="006B7FA8">
              <w:rPr>
                <w:color w:val="FF0000"/>
              </w:rPr>
              <w:tab/>
            </w:r>
            <w:r w:rsidRPr="006B7FA8">
              <w:rPr>
                <w:color w:val="FF0000"/>
              </w:rPr>
              <w:tab/>
            </w:r>
            <w:r w:rsidRPr="006B7FA8">
              <w:rPr>
                <w:color w:val="FF0000"/>
              </w:rPr>
              <w:tab/>
            </w:r>
            <w:r w:rsidRPr="006B7FA8">
              <w:rPr>
                <w:color w:val="FF0000"/>
              </w:rPr>
              <w:tab/>
            </w:r>
            <w:r w:rsidRPr="006B7FA8">
              <w:rPr>
                <w:color w:val="FF0000"/>
                <w:u w:val="single"/>
              </w:rPr>
              <w:t xml:space="preserve">         0 $</w:t>
            </w:r>
            <w:r w:rsidRPr="006B7FA8">
              <w:rPr>
                <w:color w:val="FF0000"/>
              </w:rPr>
              <w:tab/>
            </w:r>
            <w:r w:rsidRPr="006B7FA8">
              <w:rPr>
                <w:color w:val="FF0000"/>
              </w:rPr>
              <w:tab/>
            </w:r>
          </w:p>
          <w:p w14:paraId="05C44B12" w14:textId="77777777" w:rsidR="001F4FEC" w:rsidRDefault="001F4FEC" w:rsidP="001F4FEC">
            <w:pPr>
              <w:jc w:val="both"/>
              <w:rPr>
                <w:u w:val="double"/>
              </w:rPr>
            </w:pPr>
            <w:r>
              <w:tab/>
              <w:t>RI</w:t>
            </w:r>
            <w:r>
              <w:tab/>
            </w:r>
            <w:r>
              <w:tab/>
            </w:r>
            <w:r>
              <w:tab/>
            </w:r>
            <w:r>
              <w:tab/>
            </w:r>
            <w:r w:rsidRPr="001F4FEC">
              <w:rPr>
                <w:u w:val="double"/>
              </w:rPr>
              <w:t>25 250 $</w:t>
            </w:r>
          </w:p>
          <w:p w14:paraId="5680A5FD" w14:textId="77777777" w:rsidR="001F4FEC" w:rsidRPr="001F4FEC" w:rsidRDefault="001F4FEC" w:rsidP="001F4FEC">
            <w:pPr>
              <w:jc w:val="both"/>
            </w:pPr>
          </w:p>
          <w:p w14:paraId="206CBA72" w14:textId="77777777" w:rsidR="001F4FEC" w:rsidRDefault="001F4FEC" w:rsidP="001F4FEC">
            <w:pPr>
              <w:jc w:val="both"/>
            </w:pPr>
            <w:r>
              <w:tab/>
              <w:t>Revenu, après impôt</w:t>
            </w:r>
            <w:r>
              <w:tab/>
            </w:r>
            <w:r w:rsidRPr="001F4FEC">
              <w:rPr>
                <w:u w:val="double"/>
              </w:rPr>
              <w:t>24 001 $</w:t>
            </w:r>
          </w:p>
          <w:p w14:paraId="38DB1E9A" w14:textId="77777777" w:rsidR="001F4FEC" w:rsidRDefault="001F4FEC" w:rsidP="001F4FEC">
            <w:pPr>
              <w:jc w:val="both"/>
            </w:pPr>
          </w:p>
        </w:tc>
      </w:tr>
    </w:tbl>
    <w:p w14:paraId="7B05CBCA" w14:textId="64D65701" w:rsidR="006B7FA8" w:rsidRDefault="006A2CBB" w:rsidP="001F4FEC">
      <w:pPr>
        <w:jc w:val="both"/>
      </w:pPr>
      <w:r>
        <w:rPr>
          <w:noProof/>
          <w:lang w:eastAsia="fr-FR"/>
        </w:rPr>
        <mc:AlternateContent>
          <mc:Choice Requires="wps">
            <w:drawing>
              <wp:anchor distT="0" distB="0" distL="114300" distR="114300" simplePos="0" relativeHeight="251882496" behindDoc="0" locked="0" layoutInCell="1" allowOverlap="1" wp14:anchorId="7656D5FC" wp14:editId="7655FB61">
                <wp:simplePos x="0" y="0"/>
                <wp:positionH relativeFrom="column">
                  <wp:posOffset>-228600</wp:posOffset>
                </wp:positionH>
                <wp:positionV relativeFrom="paragraph">
                  <wp:posOffset>474980</wp:posOffset>
                </wp:positionV>
                <wp:extent cx="8458200" cy="377190"/>
                <wp:effectExtent l="76200" t="76200" r="76200" b="80010"/>
                <wp:wrapThrough wrapText="bothSides">
                  <wp:wrapPolygon edited="0">
                    <wp:start x="-195" y="-4364"/>
                    <wp:lineTo x="-195" y="24727"/>
                    <wp:lineTo x="21730" y="24727"/>
                    <wp:lineTo x="21730" y="-4364"/>
                    <wp:lineTo x="-195" y="-4364"/>
                  </wp:wrapPolygon>
                </wp:wrapThrough>
                <wp:docPr id="70" name="Rectangle à coins arrondis 70"/>
                <wp:cNvGraphicFramePr/>
                <a:graphic xmlns:a="http://schemas.openxmlformats.org/drawingml/2006/main">
                  <a:graphicData uri="http://schemas.microsoft.com/office/word/2010/wordprocessingShape">
                    <wps:wsp>
                      <wps:cNvSpPr/>
                      <wps:spPr>
                        <a:xfrm>
                          <a:off x="0" y="0"/>
                          <a:ext cx="8458200" cy="377190"/>
                        </a:xfrm>
                        <a:prstGeom prst="roundRect">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B5FF16F" w14:textId="5BEA6E88" w:rsidR="00573C95" w:rsidRPr="00627A42" w:rsidRDefault="00573C95" w:rsidP="006A2CBB">
                            <w:pPr>
                              <w:jc w:val="center"/>
                              <w:rPr>
                                <w:color w:val="000000" w:themeColor="text1"/>
                              </w:rPr>
                            </w:pPr>
                            <w:r w:rsidRPr="00627A42">
                              <w:rPr>
                                <w:color w:val="000000" w:themeColor="text1"/>
                              </w:rPr>
                              <w:t>Liquidités afin de maintenir le train de vie sur les deux années = 24 001 $ + 24 001 $ = 48 002 $</w:t>
                            </w:r>
                          </w:p>
                        </w:txbxContent>
                      </wps:txbx>
                      <wps:bodyPr/>
                    </wps:wsp>
                  </a:graphicData>
                </a:graphic>
                <wp14:sizeRelH relativeFrom="margin">
                  <wp14:pctWidth>0</wp14:pctWidth>
                </wp14:sizeRelH>
                <wp14:sizeRelV relativeFrom="margin">
                  <wp14:pctHeight>0</wp14:pctHeight>
                </wp14:sizeRelV>
              </wp:anchor>
            </w:drawing>
          </mc:Choice>
          <mc:Fallback>
            <w:pict>
              <v:roundrect id="Rectangle à coins arrondis 70" o:spid="_x0000_s1054" style="position:absolute;left:0;text-align:left;margin-left:-17.95pt;margin-top:37.4pt;width:666pt;height:29.7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" fillcolor="#94c600 [3204]">
                <v:fill color2="#84b100 [2884]" rotate="t" focus="100%" type="gradient">
                  <o:fill v:ext="view" type="gradientUnscaled"/>
                </v:fill>
                <v:textbox>
                  <w:txbxContent>
                    <w:p w14:paraId="7B5FF16F" w14:textId="5BEA6E88" w:rsidR="001501D6" w:rsidRPr="00627A42" w:rsidRDefault="001501D6" w:rsidP="006A2CBB">
                      <w:pPr>
                        <w:jc w:val="center"/>
                        <w:rPr>
                          <w:color w:val="000000" w:themeColor="text1"/>
                        </w:rPr>
                      </w:pPr>
                      <w:r w:rsidRPr="00627A42">
                        <w:rPr>
                          <w:color w:val="000000" w:themeColor="text1"/>
                        </w:rPr>
                        <w:t>Liquidités afin de maintenir le train de vie sur les deux années = 24 001 $ + 24 001 $ = 48 002 $</w:t>
                      </w:r>
                    </w:p>
                  </w:txbxContent>
                </v:textbox>
                <w10:wrap type="through"/>
              </v:roundrect>
            </w:pict>
          </mc:Fallback>
        </mc:AlternateContent>
      </w:r>
    </w:p>
    <w:p w14:paraId="0DD4AE3D" w14:textId="77777777" w:rsidR="006A2CBB" w:rsidRDefault="006A2CBB" w:rsidP="001F4FEC">
      <w:pPr>
        <w:jc w:val="both"/>
      </w:pPr>
    </w:p>
    <w:p w14:paraId="332D0AB7" w14:textId="77777777" w:rsidR="006A2CBB" w:rsidRDefault="006A2CBB" w:rsidP="001F4FEC">
      <w:pPr>
        <w:jc w:val="both"/>
      </w:pPr>
    </w:p>
    <w:p w14:paraId="2867F0BB" w14:textId="21A6A4C4" w:rsidR="006B7FA8" w:rsidRDefault="006B7FA8" w:rsidP="001F4FEC">
      <w:pPr>
        <w:jc w:val="both"/>
      </w:pPr>
    </w:p>
    <w:p w14:paraId="368B0296" w14:textId="77777777" w:rsidR="006B7FA8" w:rsidRDefault="006B7FA8" w:rsidP="001F4FEC">
      <w:pPr>
        <w:jc w:val="both"/>
      </w:pPr>
    </w:p>
    <w:p w14:paraId="0DEF075E" w14:textId="77777777" w:rsidR="006B7FA8" w:rsidRDefault="006B7FA8" w:rsidP="001F4FEC">
      <w:pPr>
        <w:jc w:val="both"/>
      </w:pPr>
    </w:p>
    <w:p w14:paraId="25FA5094" w14:textId="77777777" w:rsidR="006B7FA8" w:rsidRDefault="006B7FA8" w:rsidP="001F4FEC">
      <w:pPr>
        <w:jc w:val="both"/>
      </w:pPr>
    </w:p>
    <w:p w14:paraId="1F5EFD71" w14:textId="77777777" w:rsidR="00C14327" w:rsidRDefault="00C14327" w:rsidP="001F4FEC">
      <w:pPr>
        <w:jc w:val="both"/>
      </w:pPr>
    </w:p>
    <w:p w14:paraId="1A2D95F2" w14:textId="77777777" w:rsidR="00C14327" w:rsidRDefault="00C14327" w:rsidP="001F4FEC">
      <w:pPr>
        <w:jc w:val="both"/>
      </w:pPr>
    </w:p>
    <w:p w14:paraId="61DE253D" w14:textId="77777777" w:rsidR="00C14327" w:rsidRDefault="00C14327" w:rsidP="001F4FEC">
      <w:pPr>
        <w:jc w:val="both"/>
      </w:pPr>
    </w:p>
    <w:p w14:paraId="22477FD3" w14:textId="77777777" w:rsidR="00C14327" w:rsidRDefault="00C14327" w:rsidP="001F4FEC">
      <w:pPr>
        <w:jc w:val="both"/>
      </w:pPr>
    </w:p>
    <w:p w14:paraId="2E94C092" w14:textId="77777777" w:rsidR="000E1DD9" w:rsidRDefault="000E1DD9" w:rsidP="001F4FEC">
      <w:pPr>
        <w:jc w:val="both"/>
      </w:pPr>
    </w:p>
    <w:p w14:paraId="2D7661C0" w14:textId="3B6E7C04" w:rsidR="001F4FEC" w:rsidRDefault="001F4FEC" w:rsidP="001F4FEC">
      <w:pPr>
        <w:jc w:val="both"/>
      </w:pPr>
      <w:r>
        <w:lastRenderedPageBreak/>
        <w:t>Voici le détail de ses revenus avec optimisation:</w:t>
      </w:r>
    </w:p>
    <w:p w14:paraId="37955403" w14:textId="77777777" w:rsidR="006A2CBB" w:rsidRDefault="006A2CBB" w:rsidP="001F4FEC">
      <w:pPr>
        <w:jc w:val="both"/>
      </w:pPr>
    </w:p>
    <w:tbl>
      <w:tblPr>
        <w:tblStyle w:val="Grille"/>
        <w:tblW w:w="0" w:type="auto"/>
        <w:tblLook w:val="04A0" w:firstRow="1" w:lastRow="0" w:firstColumn="1" w:lastColumn="0" w:noHBand="0" w:noVBand="1"/>
      </w:tblPr>
      <w:tblGrid>
        <w:gridCol w:w="6573"/>
        <w:gridCol w:w="6573"/>
      </w:tblGrid>
      <w:tr w:rsidR="001F4FEC" w14:paraId="63C0C1A9" w14:textId="77777777" w:rsidTr="00627A42">
        <w:trPr>
          <w:trHeight w:val="3358"/>
        </w:trPr>
        <w:tc>
          <w:tcPr>
            <w:tcW w:w="6573" w:type="dxa"/>
            <w:shd w:val="clear" w:color="auto" w:fill="BCBFA1" w:themeFill="accent4" w:themeFillTint="99"/>
          </w:tcPr>
          <w:p w14:paraId="1B15796E" w14:textId="77777777" w:rsidR="001F4FEC" w:rsidRDefault="001F4FEC" w:rsidP="001F4FEC">
            <w:pPr>
              <w:jc w:val="both"/>
            </w:pPr>
            <w:r>
              <w:t>20XX</w:t>
            </w:r>
            <w:r>
              <w:tab/>
            </w:r>
            <w:r>
              <w:tab/>
            </w:r>
            <w:r>
              <w:tab/>
            </w:r>
            <w:r>
              <w:tab/>
            </w:r>
            <w:r>
              <w:tab/>
            </w:r>
            <w:r>
              <w:tab/>
            </w:r>
            <w:r>
              <w:tab/>
            </w:r>
            <w:r>
              <w:tab/>
            </w:r>
          </w:p>
          <w:p w14:paraId="21E0312D" w14:textId="77777777" w:rsidR="001F4FEC" w:rsidRDefault="001F4FEC" w:rsidP="001F4FEC">
            <w:pPr>
              <w:jc w:val="both"/>
            </w:pPr>
          </w:p>
          <w:p w14:paraId="30CB5860" w14:textId="77777777" w:rsidR="001F4FEC" w:rsidRDefault="001F4FEC" w:rsidP="001F4FEC">
            <w:pPr>
              <w:jc w:val="both"/>
            </w:pPr>
            <w:r>
              <w:tab/>
              <w:t>RPA</w:t>
            </w:r>
            <w:r>
              <w:tab/>
            </w:r>
            <w:r>
              <w:tab/>
            </w:r>
            <w:r>
              <w:tab/>
            </w:r>
            <w:r>
              <w:tab/>
              <w:t xml:space="preserve">  6 000 $</w:t>
            </w:r>
          </w:p>
          <w:p w14:paraId="040A2A3A" w14:textId="77777777" w:rsidR="001F4FEC" w:rsidRDefault="001F4FEC" w:rsidP="001F4FEC">
            <w:pPr>
              <w:jc w:val="both"/>
            </w:pPr>
            <w:r>
              <w:tab/>
              <w:t xml:space="preserve">PSV </w:t>
            </w:r>
            <w:r>
              <w:tab/>
            </w:r>
            <w:r>
              <w:tab/>
            </w:r>
            <w:r>
              <w:tab/>
            </w:r>
            <w:r>
              <w:tab/>
              <w:t xml:space="preserve">  6 765 $</w:t>
            </w:r>
            <w:r>
              <w:tab/>
            </w:r>
          </w:p>
          <w:p w14:paraId="1502B443" w14:textId="0CC58783" w:rsidR="001F4FEC" w:rsidRDefault="00EF2171" w:rsidP="001F4FEC">
            <w:pPr>
              <w:jc w:val="both"/>
            </w:pPr>
            <w:r>
              <w:rPr>
                <w:noProof/>
                <w:lang w:eastAsia="fr-FR"/>
              </w:rPr>
              <mc:AlternateContent>
                <mc:Choice Requires="wps">
                  <w:drawing>
                    <wp:anchor distT="0" distB="0" distL="114300" distR="114300" simplePos="0" relativeHeight="251892736" behindDoc="0" locked="0" layoutInCell="1" allowOverlap="1" wp14:anchorId="4044FF33" wp14:editId="5BCD09F9">
                      <wp:simplePos x="0" y="0"/>
                      <wp:positionH relativeFrom="column">
                        <wp:posOffset>2882706</wp:posOffset>
                      </wp:positionH>
                      <wp:positionV relativeFrom="paragraph">
                        <wp:posOffset>128915</wp:posOffset>
                      </wp:positionV>
                      <wp:extent cx="763270" cy="283210"/>
                      <wp:effectExtent l="50800" t="127000" r="24130" b="148590"/>
                      <wp:wrapNone/>
                      <wp:docPr id="88" name="Flèche vers la gauche 88"/>
                      <wp:cNvGraphicFramePr/>
                      <a:graphic xmlns:a="http://schemas.openxmlformats.org/drawingml/2006/main">
                        <a:graphicData uri="http://schemas.microsoft.com/office/word/2010/wordprocessingShape">
                          <wps:wsp>
                            <wps:cNvSpPr/>
                            <wps:spPr>
                              <a:xfrm rot="20491107">
                                <a:off x="0" y="0"/>
                                <a:ext cx="763270" cy="283210"/>
                              </a:xfrm>
                              <a:prstGeom prst="leftArrow">
                                <a:avLst/>
                              </a:prstGeom>
                              <a:solidFill>
                                <a:srgbClr val="FF0000"/>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lèche vers la gauche 88" o:spid="_x0000_s1026" type="#_x0000_t66" style="position:absolute;margin-left:227pt;margin-top:10.15pt;width:60.1pt;height:22.3pt;rotation:-1211207fd;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" adj="4007" fillcolor="red" strokecolor="black [3213]"/>
                  </w:pict>
                </mc:Fallback>
              </mc:AlternateContent>
            </w:r>
            <w:r w:rsidR="001F4FEC">
              <w:tab/>
              <w:t>RRQ</w:t>
            </w:r>
            <w:r w:rsidR="001F4FEC">
              <w:tab/>
            </w:r>
            <w:r w:rsidR="001F4FEC">
              <w:tab/>
            </w:r>
            <w:r w:rsidR="001F4FEC">
              <w:tab/>
            </w:r>
            <w:r w:rsidR="001F4FEC">
              <w:tab/>
              <w:t xml:space="preserve">  2 200 $</w:t>
            </w:r>
          </w:p>
          <w:p w14:paraId="23CA22DE" w14:textId="54C8C61B" w:rsidR="001F4FEC" w:rsidRDefault="001F4FEC" w:rsidP="001F4FEC">
            <w:pPr>
              <w:jc w:val="both"/>
              <w:rPr>
                <w:u w:val="single"/>
              </w:rPr>
            </w:pPr>
            <w:r>
              <w:tab/>
              <w:t>REÉR</w:t>
            </w:r>
            <w:r>
              <w:tab/>
            </w:r>
            <w:r>
              <w:tab/>
            </w:r>
            <w:r>
              <w:tab/>
            </w:r>
            <w:r>
              <w:tab/>
            </w:r>
            <w:r w:rsidRPr="006B0E58">
              <w:rPr>
                <w:shd w:val="clear" w:color="auto" w:fill="1BA9CC"/>
              </w:rPr>
              <w:t>1</w:t>
            </w:r>
            <w:r w:rsidR="006B7FA8" w:rsidRPr="006B0E58">
              <w:rPr>
                <w:shd w:val="clear" w:color="auto" w:fill="1BA9CC"/>
              </w:rPr>
              <w:t>5 8</w:t>
            </w:r>
            <w:r w:rsidRPr="006B0E58">
              <w:rPr>
                <w:shd w:val="clear" w:color="auto" w:fill="1BA9CC"/>
              </w:rPr>
              <w:t>35 $</w:t>
            </w:r>
          </w:p>
          <w:p w14:paraId="1CA85ECA" w14:textId="52150DF6" w:rsidR="001F4FEC" w:rsidRPr="006B7FA8" w:rsidRDefault="001F4FEC" w:rsidP="001F4FEC">
            <w:pPr>
              <w:jc w:val="both"/>
              <w:rPr>
                <w:color w:val="FF0000"/>
              </w:rPr>
            </w:pPr>
            <w:r w:rsidRPr="001F4FEC">
              <w:tab/>
            </w:r>
            <w:r w:rsidRPr="006B7FA8">
              <w:rPr>
                <w:color w:val="FF0000"/>
              </w:rPr>
              <w:t>SRG</w:t>
            </w:r>
            <w:r w:rsidRPr="006B7FA8">
              <w:rPr>
                <w:color w:val="FF0000"/>
              </w:rPr>
              <w:tab/>
            </w:r>
            <w:r w:rsidRPr="006B7FA8">
              <w:rPr>
                <w:color w:val="FF0000"/>
              </w:rPr>
              <w:tab/>
            </w:r>
            <w:r w:rsidRPr="006B7FA8">
              <w:rPr>
                <w:color w:val="FF0000"/>
              </w:rPr>
              <w:tab/>
            </w:r>
            <w:r w:rsidRPr="006B7FA8">
              <w:rPr>
                <w:color w:val="FF0000"/>
              </w:rPr>
              <w:tab/>
            </w:r>
            <w:r w:rsidRPr="006B7FA8">
              <w:rPr>
                <w:color w:val="FF0000"/>
                <w:u w:val="single"/>
              </w:rPr>
              <w:t xml:space="preserve">         0 $</w:t>
            </w:r>
            <w:r w:rsidRPr="006B7FA8">
              <w:rPr>
                <w:color w:val="FF0000"/>
              </w:rPr>
              <w:tab/>
            </w:r>
            <w:r w:rsidRPr="006B7FA8">
              <w:rPr>
                <w:color w:val="FF0000"/>
              </w:rPr>
              <w:tab/>
            </w:r>
          </w:p>
          <w:p w14:paraId="02493172" w14:textId="552BAD6B" w:rsidR="001F4FEC" w:rsidRDefault="001F4FEC" w:rsidP="001F4FEC">
            <w:pPr>
              <w:jc w:val="both"/>
              <w:rPr>
                <w:u w:val="double"/>
              </w:rPr>
            </w:pPr>
            <w:r>
              <w:tab/>
              <w:t>RI</w:t>
            </w:r>
            <w:r>
              <w:tab/>
            </w:r>
            <w:r>
              <w:tab/>
            </w:r>
            <w:r>
              <w:tab/>
            </w:r>
            <w:r>
              <w:tab/>
            </w:r>
            <w:r>
              <w:rPr>
                <w:u w:val="double"/>
              </w:rPr>
              <w:t>3</w:t>
            </w:r>
            <w:r w:rsidR="006B7FA8">
              <w:rPr>
                <w:u w:val="double"/>
              </w:rPr>
              <w:t>0 8</w:t>
            </w:r>
            <w:r>
              <w:rPr>
                <w:u w:val="double"/>
              </w:rPr>
              <w:t>00</w:t>
            </w:r>
            <w:r w:rsidRPr="001F4FEC">
              <w:rPr>
                <w:u w:val="double"/>
              </w:rPr>
              <w:t xml:space="preserve"> $</w:t>
            </w:r>
          </w:p>
          <w:p w14:paraId="4CFA8F85" w14:textId="77777777" w:rsidR="001F4FEC" w:rsidRPr="001F4FEC" w:rsidRDefault="001F4FEC" w:rsidP="001F4FEC">
            <w:pPr>
              <w:jc w:val="both"/>
            </w:pPr>
          </w:p>
          <w:p w14:paraId="4360C87F" w14:textId="3BACE8C9" w:rsidR="001F4FEC" w:rsidRDefault="001F4FEC" w:rsidP="001F4FEC">
            <w:pPr>
              <w:jc w:val="both"/>
            </w:pPr>
            <w:r>
              <w:tab/>
              <w:t>Revenu, après impôt</w:t>
            </w:r>
            <w:r>
              <w:tab/>
            </w:r>
            <w:r w:rsidRPr="001F4FEC">
              <w:rPr>
                <w:u w:val="double"/>
              </w:rPr>
              <w:t>2</w:t>
            </w:r>
            <w:r w:rsidR="006B7FA8">
              <w:rPr>
                <w:u w:val="double"/>
              </w:rPr>
              <w:t>7 968</w:t>
            </w:r>
            <w:r w:rsidRPr="001F4FEC">
              <w:rPr>
                <w:u w:val="double"/>
              </w:rPr>
              <w:t xml:space="preserve"> $</w:t>
            </w:r>
          </w:p>
          <w:p w14:paraId="72F87F2F" w14:textId="12FF0DCE" w:rsidR="001F4FEC" w:rsidRDefault="001F4FEC" w:rsidP="001F4FEC">
            <w:pPr>
              <w:jc w:val="both"/>
            </w:pPr>
          </w:p>
        </w:tc>
        <w:tc>
          <w:tcPr>
            <w:tcW w:w="6573" w:type="dxa"/>
            <w:shd w:val="clear" w:color="auto" w:fill="E8E9DF" w:themeFill="accent4" w:themeFillTint="33"/>
          </w:tcPr>
          <w:p w14:paraId="4234201E" w14:textId="77777777" w:rsidR="001F4FEC" w:rsidRDefault="001F4FEC" w:rsidP="001F4FEC">
            <w:pPr>
              <w:jc w:val="both"/>
            </w:pPr>
            <w:r>
              <w:t>20YY</w:t>
            </w:r>
            <w:r>
              <w:tab/>
            </w:r>
            <w:r>
              <w:tab/>
            </w:r>
            <w:r>
              <w:tab/>
            </w:r>
            <w:r>
              <w:tab/>
            </w:r>
            <w:r>
              <w:tab/>
            </w:r>
            <w:r>
              <w:tab/>
            </w:r>
            <w:r>
              <w:tab/>
            </w:r>
            <w:r>
              <w:tab/>
            </w:r>
          </w:p>
          <w:p w14:paraId="64C0E40E" w14:textId="77777777" w:rsidR="001F4FEC" w:rsidRDefault="001F4FEC" w:rsidP="001F4FEC">
            <w:pPr>
              <w:jc w:val="both"/>
            </w:pPr>
          </w:p>
          <w:p w14:paraId="56F9E006" w14:textId="77777777" w:rsidR="001F4FEC" w:rsidRDefault="001F4FEC" w:rsidP="001F4FEC">
            <w:pPr>
              <w:jc w:val="both"/>
            </w:pPr>
            <w:r>
              <w:tab/>
              <w:t>RPA</w:t>
            </w:r>
            <w:r>
              <w:tab/>
            </w:r>
            <w:r>
              <w:tab/>
            </w:r>
            <w:r>
              <w:tab/>
            </w:r>
            <w:r>
              <w:tab/>
              <w:t xml:space="preserve">  6 000 $</w:t>
            </w:r>
          </w:p>
          <w:p w14:paraId="4B143872" w14:textId="77777777" w:rsidR="001F4FEC" w:rsidRDefault="001F4FEC" w:rsidP="001F4FEC">
            <w:pPr>
              <w:jc w:val="both"/>
            </w:pPr>
            <w:r>
              <w:tab/>
              <w:t xml:space="preserve">PSV </w:t>
            </w:r>
            <w:r>
              <w:tab/>
            </w:r>
            <w:r>
              <w:tab/>
            </w:r>
            <w:r>
              <w:tab/>
            </w:r>
            <w:r>
              <w:tab/>
              <w:t xml:space="preserve">  6 765 $</w:t>
            </w:r>
            <w:r>
              <w:tab/>
            </w:r>
          </w:p>
          <w:p w14:paraId="61C64754" w14:textId="36651D94" w:rsidR="001F4FEC" w:rsidRDefault="00EF2171" w:rsidP="001F4FEC">
            <w:pPr>
              <w:jc w:val="both"/>
            </w:pPr>
            <w:r>
              <w:rPr>
                <w:noProof/>
                <w:lang w:eastAsia="fr-FR"/>
              </w:rPr>
              <mc:AlternateContent>
                <mc:Choice Requires="wps">
                  <w:drawing>
                    <wp:anchor distT="0" distB="0" distL="114300" distR="114300" simplePos="0" relativeHeight="251894784" behindDoc="0" locked="0" layoutInCell="1" allowOverlap="1" wp14:anchorId="1C5A33AF" wp14:editId="266FB61B">
                      <wp:simplePos x="0" y="0"/>
                      <wp:positionH relativeFrom="column">
                        <wp:posOffset>2937510</wp:posOffset>
                      </wp:positionH>
                      <wp:positionV relativeFrom="paragraph">
                        <wp:posOffset>128905</wp:posOffset>
                      </wp:positionV>
                      <wp:extent cx="763270" cy="283210"/>
                      <wp:effectExtent l="50800" t="127000" r="24130" b="148590"/>
                      <wp:wrapNone/>
                      <wp:docPr id="89" name="Flèche vers la gauche 89"/>
                      <wp:cNvGraphicFramePr/>
                      <a:graphic xmlns:a="http://schemas.openxmlformats.org/drawingml/2006/main">
                        <a:graphicData uri="http://schemas.microsoft.com/office/word/2010/wordprocessingShape">
                          <wps:wsp>
                            <wps:cNvSpPr/>
                            <wps:spPr>
                              <a:xfrm rot="20491107">
                                <a:off x="0" y="0"/>
                                <a:ext cx="763270" cy="283210"/>
                              </a:xfrm>
                              <a:prstGeom prst="leftArrow">
                                <a:avLst/>
                              </a:prstGeom>
                              <a:solidFill>
                                <a:srgbClr val="008000"/>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lèche vers la gauche 89" o:spid="_x0000_s1026" type="#_x0000_t66" style="position:absolute;margin-left:231.3pt;margin-top:10.15pt;width:60.1pt;height:22.3pt;rotation:-1211207fd;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" adj="4007" fillcolor="green" strokecolor="black [3213]"/>
                  </w:pict>
                </mc:Fallback>
              </mc:AlternateContent>
            </w:r>
            <w:r w:rsidR="001F4FEC">
              <w:tab/>
              <w:t>RRQ</w:t>
            </w:r>
            <w:r w:rsidR="001F4FEC">
              <w:tab/>
            </w:r>
            <w:r w:rsidR="001F4FEC">
              <w:tab/>
            </w:r>
            <w:r w:rsidR="001F4FEC">
              <w:tab/>
            </w:r>
            <w:r w:rsidR="001F4FEC">
              <w:tab/>
              <w:t xml:space="preserve">  2 200 $</w:t>
            </w:r>
          </w:p>
          <w:p w14:paraId="0EAB3A29" w14:textId="7FFD7940" w:rsidR="001F4FEC" w:rsidRDefault="001F4FEC" w:rsidP="001F4FEC">
            <w:pPr>
              <w:jc w:val="both"/>
              <w:rPr>
                <w:u w:val="single"/>
              </w:rPr>
            </w:pPr>
            <w:r>
              <w:tab/>
              <w:t>REÉR</w:t>
            </w:r>
            <w:r>
              <w:tab/>
            </w:r>
            <w:r>
              <w:tab/>
            </w:r>
            <w:r>
              <w:tab/>
            </w:r>
            <w:r>
              <w:tab/>
            </w:r>
            <w:r w:rsidR="006B7FA8" w:rsidRPr="006B0E58">
              <w:rPr>
                <w:shd w:val="clear" w:color="auto" w:fill="1BA9CC"/>
              </w:rPr>
              <w:t xml:space="preserve">         0</w:t>
            </w:r>
            <w:r w:rsidRPr="006B0E58">
              <w:rPr>
                <w:shd w:val="clear" w:color="auto" w:fill="1BA9CC"/>
              </w:rPr>
              <w:t xml:space="preserve"> $</w:t>
            </w:r>
          </w:p>
          <w:p w14:paraId="59E2E5CC" w14:textId="67D3760F" w:rsidR="001F4FEC" w:rsidRPr="006B7FA8" w:rsidRDefault="001F4FEC" w:rsidP="001F4FEC">
            <w:pPr>
              <w:jc w:val="both"/>
              <w:rPr>
                <w:color w:val="008000"/>
              </w:rPr>
            </w:pPr>
            <w:r w:rsidRPr="001F4FEC">
              <w:tab/>
            </w:r>
            <w:r w:rsidRPr="006B7FA8">
              <w:rPr>
                <w:color w:val="008000"/>
              </w:rPr>
              <w:t>SRG</w:t>
            </w:r>
            <w:r w:rsidRPr="006B7FA8">
              <w:rPr>
                <w:color w:val="008000"/>
              </w:rPr>
              <w:tab/>
            </w:r>
            <w:r w:rsidRPr="006B7FA8">
              <w:rPr>
                <w:color w:val="008000"/>
              </w:rPr>
              <w:tab/>
            </w:r>
            <w:r w:rsidRPr="006B7FA8">
              <w:rPr>
                <w:color w:val="008000"/>
              </w:rPr>
              <w:tab/>
            </w:r>
            <w:r w:rsidRPr="006B7FA8">
              <w:rPr>
                <w:color w:val="008000"/>
              </w:rPr>
              <w:tab/>
            </w:r>
            <w:r w:rsidR="006B7FA8" w:rsidRPr="006B7FA8">
              <w:rPr>
                <w:color w:val="008000"/>
                <w:u w:val="single"/>
              </w:rPr>
              <w:t xml:space="preserve">  5 073 </w:t>
            </w:r>
            <w:r w:rsidRPr="006B7FA8">
              <w:rPr>
                <w:color w:val="008000"/>
                <w:u w:val="single"/>
              </w:rPr>
              <w:t>$</w:t>
            </w:r>
            <w:r w:rsidR="0015216D">
              <w:rPr>
                <w:rStyle w:val="Marquenotebasdepage"/>
                <w:color w:val="008000"/>
                <w:u w:val="single"/>
              </w:rPr>
              <w:footnoteReference w:customMarkFollows="1" w:id="16"/>
              <w:t>13</w:t>
            </w:r>
            <w:r w:rsidRPr="006B7FA8">
              <w:rPr>
                <w:color w:val="008000"/>
              </w:rPr>
              <w:tab/>
            </w:r>
            <w:r w:rsidRPr="006B7FA8">
              <w:rPr>
                <w:color w:val="008000"/>
              </w:rPr>
              <w:tab/>
            </w:r>
          </w:p>
          <w:p w14:paraId="7096B812" w14:textId="69871AF4" w:rsidR="001F4FEC" w:rsidRDefault="001F4FEC" w:rsidP="001F4FEC">
            <w:pPr>
              <w:jc w:val="both"/>
              <w:rPr>
                <w:u w:val="double"/>
              </w:rPr>
            </w:pPr>
            <w:r>
              <w:tab/>
              <w:t>RI</w:t>
            </w:r>
            <w:r>
              <w:tab/>
            </w:r>
            <w:r>
              <w:tab/>
            </w:r>
            <w:r>
              <w:tab/>
            </w:r>
            <w:r>
              <w:tab/>
            </w:r>
            <w:r w:rsidR="006B7FA8">
              <w:rPr>
                <w:u w:val="double"/>
              </w:rPr>
              <w:t xml:space="preserve">14 965 </w:t>
            </w:r>
            <w:r w:rsidRPr="001F4FEC">
              <w:rPr>
                <w:u w:val="double"/>
              </w:rPr>
              <w:t>$</w:t>
            </w:r>
          </w:p>
          <w:p w14:paraId="61207922" w14:textId="77777777" w:rsidR="001F4FEC" w:rsidRPr="001F4FEC" w:rsidRDefault="001F4FEC" w:rsidP="001F4FEC">
            <w:pPr>
              <w:jc w:val="both"/>
            </w:pPr>
          </w:p>
          <w:p w14:paraId="35D3EB16" w14:textId="11BDA679" w:rsidR="001F4FEC" w:rsidRDefault="001F4FEC" w:rsidP="001F4FEC">
            <w:pPr>
              <w:jc w:val="both"/>
            </w:pPr>
            <w:r>
              <w:tab/>
              <w:t>Revenu, après impôt</w:t>
            </w:r>
            <w:r>
              <w:tab/>
            </w:r>
            <w:r w:rsidRPr="001F4FEC">
              <w:rPr>
                <w:u w:val="double"/>
              </w:rPr>
              <w:t>2</w:t>
            </w:r>
            <w:r w:rsidR="006B7FA8">
              <w:rPr>
                <w:u w:val="double"/>
              </w:rPr>
              <w:t>0 038</w:t>
            </w:r>
            <w:r w:rsidRPr="001F4FEC">
              <w:rPr>
                <w:u w:val="double"/>
              </w:rPr>
              <w:t xml:space="preserve"> $</w:t>
            </w:r>
          </w:p>
          <w:p w14:paraId="1DEE8DC0" w14:textId="77777777" w:rsidR="001F4FEC" w:rsidRDefault="001F4FEC" w:rsidP="001F4FEC">
            <w:pPr>
              <w:jc w:val="both"/>
            </w:pPr>
          </w:p>
        </w:tc>
      </w:tr>
    </w:tbl>
    <w:p w14:paraId="424A7431" w14:textId="01B878FA" w:rsidR="000E1DD9" w:rsidRDefault="000E1DD9" w:rsidP="00C41880">
      <w:pPr>
        <w:jc w:val="both"/>
      </w:pPr>
    </w:p>
    <w:p w14:paraId="36AB3C9A" w14:textId="704A106B" w:rsidR="002C55B1" w:rsidRDefault="004F482A" w:rsidP="00C41880">
      <w:pPr>
        <w:jc w:val="both"/>
      </w:pPr>
      <w:r>
        <w:rPr>
          <w:noProof/>
          <w:lang w:eastAsia="fr-FR"/>
        </w:rPr>
        <mc:AlternateContent>
          <mc:Choice Requires="wps">
            <w:drawing>
              <wp:anchor distT="0" distB="0" distL="114300" distR="114300" simplePos="0" relativeHeight="251884544" behindDoc="0" locked="0" layoutInCell="1" allowOverlap="1" wp14:anchorId="67348879" wp14:editId="073F5EB3">
                <wp:simplePos x="0" y="0"/>
                <wp:positionH relativeFrom="column">
                  <wp:posOffset>-228600</wp:posOffset>
                </wp:positionH>
                <wp:positionV relativeFrom="paragraph">
                  <wp:posOffset>85090</wp:posOffset>
                </wp:positionV>
                <wp:extent cx="8458200" cy="377190"/>
                <wp:effectExtent l="57150" t="57150" r="57150" b="60960"/>
                <wp:wrapNone/>
                <wp:docPr id="85" name="Rectangle à coins arrondis 85"/>
                <wp:cNvGraphicFramePr/>
                <a:graphic xmlns:a="http://schemas.openxmlformats.org/drawingml/2006/main">
                  <a:graphicData uri="http://schemas.microsoft.com/office/word/2010/wordprocessingShape">
                    <wps:wsp>
                      <wps:cNvSpPr/>
                      <wps:spPr>
                        <a:xfrm>
                          <a:off x="0" y="0"/>
                          <a:ext cx="8458200" cy="377190"/>
                        </a:xfrm>
                        <a:prstGeom prst="roundRect">
                          <a:avLst/>
                        </a:prstGeom>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D5D041D" w14:textId="34045761" w:rsidR="00573C95" w:rsidRPr="00627A42" w:rsidRDefault="00573C95" w:rsidP="006A2CBB">
                            <w:pPr>
                              <w:jc w:val="center"/>
                              <w:rPr>
                                <w:color w:val="000000" w:themeColor="text1"/>
                              </w:rPr>
                            </w:pPr>
                            <w:r w:rsidRPr="00627A42">
                              <w:rPr>
                                <w:color w:val="000000" w:themeColor="text1"/>
                              </w:rPr>
                              <w:t>Liquidités afin de maintenir le train de vie sur les deux années = 27 968 $ + 20 038 $ = 48 006 $</w:t>
                            </w:r>
                          </w:p>
                        </w:txbxContent>
                      </wps:txbx>
                      <wps:bodyPr/>
                    </wps:wsp>
                  </a:graphicData>
                </a:graphic>
                <wp14:sizeRelH relativeFrom="margin">
                  <wp14:pctWidth>0</wp14:pctWidth>
                </wp14:sizeRelH>
                <wp14:sizeRelV relativeFrom="margin">
                  <wp14:pctHeight>0</wp14:pctHeight>
                </wp14:sizeRelV>
              </wp:anchor>
            </w:drawing>
          </mc:Choice>
          <mc:Fallback>
            <w:pict>
              <v:roundrect id="Rectangle à coins arrondis 85" o:spid="_x0000_s1055" style="position:absolute;left:0;text-align:left;margin-left:-17.95pt;margin-top:6.7pt;width:666pt;height:29.7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" fillcolor="#94c600 [3204]">
                <v:fill color2="#84b100 [2884]" rotate="t" focus="100%" type="gradient">
                  <o:fill v:ext="view" type="gradientUnscaled"/>
                </v:fill>
                <v:textbox>
                  <w:txbxContent>
                    <w:p w14:paraId="2D5D041D" w14:textId="34045761" w:rsidR="001501D6" w:rsidRPr="00627A42" w:rsidRDefault="001501D6" w:rsidP="006A2CBB">
                      <w:pPr>
                        <w:jc w:val="center"/>
                        <w:rPr>
                          <w:color w:val="000000" w:themeColor="text1"/>
                        </w:rPr>
                      </w:pPr>
                      <w:r w:rsidRPr="00627A42">
                        <w:rPr>
                          <w:color w:val="000000" w:themeColor="text1"/>
                        </w:rPr>
                        <w:t>Liquidités afin de maintenir le train de vie sur les deux années = 27 968 $ + 20 038 $ = 48 006 $</w:t>
                      </w:r>
                    </w:p>
                  </w:txbxContent>
                </v:textbox>
              </v:roundrect>
            </w:pict>
          </mc:Fallback>
        </mc:AlternateContent>
      </w:r>
    </w:p>
    <w:p w14:paraId="3D5847A1" w14:textId="003AF15C" w:rsidR="000E1DD9" w:rsidRDefault="000E1DD9" w:rsidP="00C41880">
      <w:pPr>
        <w:jc w:val="both"/>
      </w:pPr>
    </w:p>
    <w:p w14:paraId="7EC0BE6E" w14:textId="77777777" w:rsidR="000E1DD9" w:rsidRDefault="000E1DD9" w:rsidP="00C41880">
      <w:pPr>
        <w:jc w:val="both"/>
      </w:pPr>
    </w:p>
    <w:p w14:paraId="693C7209" w14:textId="77777777" w:rsidR="000E1DD9" w:rsidRDefault="000E1DD9" w:rsidP="00C41880">
      <w:pPr>
        <w:jc w:val="both"/>
      </w:pPr>
    </w:p>
    <w:p w14:paraId="24495C0C" w14:textId="054A3896" w:rsidR="006A2CBB" w:rsidRDefault="006A2CBB" w:rsidP="00C41880">
      <w:pPr>
        <w:jc w:val="both"/>
      </w:pPr>
      <w:r>
        <w:t>Cette planification permet d'optimiser la prise de SRG puisque dans le premier scénario ce montant est nul alors que dans le deuxième, Marie encaissera un montant de 5 073 $ à chaque deux années. Pour pousser l'analyse davantage</w:t>
      </w:r>
      <w:r w:rsidR="00EF2171">
        <w:t xml:space="preserve">, il convient d'identifier </w:t>
      </w:r>
      <w:r>
        <w:t>le véritable gain de Marie</w:t>
      </w:r>
      <w:r w:rsidR="00D7105F">
        <w:t xml:space="preserve"> </w:t>
      </w:r>
      <w:r w:rsidR="00EF2171">
        <w:t xml:space="preserve">comme étant celui </w:t>
      </w:r>
      <w:r w:rsidR="00D7105F">
        <w:t>correspond à son montant de REÉR préservé.</w:t>
      </w:r>
      <w:r w:rsidR="000E1DD9">
        <w:t xml:space="preserve"> </w:t>
      </w:r>
      <w:r w:rsidR="00D7105F">
        <w:t xml:space="preserve">C'est-à-dire 4 735 $ (15 835 $ - 10 285 $ - 10 285 $). </w:t>
      </w:r>
    </w:p>
    <w:p w14:paraId="7DC8127A" w14:textId="77777777" w:rsidR="000E1DD9" w:rsidRDefault="000E1DD9" w:rsidP="00802EC7">
      <w:pPr>
        <w:jc w:val="both"/>
      </w:pPr>
    </w:p>
    <w:p w14:paraId="013C9290" w14:textId="77777777" w:rsidR="0091517A" w:rsidRDefault="00802EC7" w:rsidP="00802EC7">
      <w:pPr>
        <w:jc w:val="both"/>
      </w:pPr>
      <w:r>
        <w:t>Maintenant, une question pour vous, pourquoi le gain d'optimisation sur le SRG est de 5 073 $ alors qu'il est de</w:t>
      </w:r>
    </w:p>
    <w:p w14:paraId="5554F9BF" w14:textId="55733863" w:rsidR="00802EC7" w:rsidRDefault="000E1DD9" w:rsidP="00802EC7">
      <w:pPr>
        <w:jc w:val="both"/>
        <w:rPr>
          <w:rFonts w:ascii="Avenir Book" w:hAnsi="Avenir Book"/>
        </w:rPr>
      </w:pPr>
      <w:r w:rsidRPr="00171817">
        <w:rPr>
          <w:rFonts w:asciiTheme="majorHAnsi" w:hAnsiTheme="majorHAnsi"/>
          <w:noProof/>
          <w:lang w:eastAsia="fr-FR"/>
        </w:rPr>
        <w:drawing>
          <wp:anchor distT="0" distB="0" distL="114300" distR="114300" simplePos="0" relativeHeight="251886592" behindDoc="0" locked="0" layoutInCell="1" allowOverlap="1" wp14:anchorId="140C43F1" wp14:editId="2F16BEDE">
            <wp:simplePos x="0" y="0"/>
            <wp:positionH relativeFrom="column">
              <wp:posOffset>6172200</wp:posOffset>
            </wp:positionH>
            <wp:positionV relativeFrom="paragraph">
              <wp:posOffset>39370</wp:posOffset>
            </wp:positionV>
            <wp:extent cx="685800" cy="741045"/>
            <wp:effectExtent l="0" t="0" r="0" b="0"/>
            <wp:wrapNone/>
            <wp:docPr id="86" name="Image 86" descr="Macintosh HD:Users:marcbachand:Desktop:logo_WIKI_FISCx180 - copie.pn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02EC7">
        <w:t>4 735 $ sur le REÉR</w:t>
      </w:r>
      <w:r w:rsidR="00802EC7" w:rsidRPr="00C545DC">
        <w:rPr>
          <w:rFonts w:ascii="Avenir Book" w:hAnsi="Avenir Book"/>
        </w:rPr>
        <w:t>?</w:t>
      </w:r>
      <w:r w:rsidR="00802EC7">
        <w:rPr>
          <w:rFonts w:ascii="Avenir Book" w:hAnsi="Avenir Book"/>
        </w:rPr>
        <w:t xml:space="preserve"> </w:t>
      </w:r>
    </w:p>
    <w:p w14:paraId="2520B951" w14:textId="77777777" w:rsidR="004F482A" w:rsidRDefault="004F482A" w:rsidP="00802EC7">
      <w:pPr>
        <w:jc w:val="both"/>
        <w:rPr>
          <w:rFonts w:asciiTheme="majorHAnsi" w:hAnsiTheme="majorHAnsi"/>
        </w:rPr>
      </w:pPr>
    </w:p>
    <w:p w14:paraId="7F79E002" w14:textId="77777777" w:rsidR="000E1DD9" w:rsidRDefault="00802EC7" w:rsidP="00802EC7">
      <w:pPr>
        <w:jc w:val="both"/>
        <w:rPr>
          <w:rFonts w:asciiTheme="majorHAnsi" w:hAnsiTheme="majorHAnsi"/>
        </w:rPr>
      </w:pPr>
      <w:r w:rsidRPr="00171817">
        <w:rPr>
          <w:rFonts w:asciiTheme="majorHAnsi" w:hAnsiTheme="majorHAnsi"/>
        </w:rPr>
        <w:t>Pour fournir ou trouver une réponse (après réflexion de votre part), rendez-vous sur</w:t>
      </w:r>
    </w:p>
    <w:p w14:paraId="745EF0CB" w14:textId="77777777" w:rsidR="00315A5F" w:rsidRDefault="00315A5F" w:rsidP="006C34CF">
      <w:pPr>
        <w:numPr>
          <w:ilvl w:val="4"/>
          <w:numId w:val="11"/>
        </w:numPr>
        <w:ind w:left="1134" w:hanging="1134"/>
        <w:jc w:val="both"/>
      </w:pPr>
      <w:r w:rsidRPr="00315A5F">
        <w:t>PSV</w:t>
      </w:r>
    </w:p>
    <w:p w14:paraId="24A8D4E0" w14:textId="77777777" w:rsidR="00525D29" w:rsidRDefault="00525D29" w:rsidP="00525D29">
      <w:pPr>
        <w:jc w:val="both"/>
      </w:pPr>
    </w:p>
    <w:p w14:paraId="704BDE6D" w14:textId="0A67FF9C" w:rsidR="00525D29" w:rsidRDefault="00525D29" w:rsidP="00525D29">
      <w:pPr>
        <w:jc w:val="both"/>
      </w:pPr>
      <w:r>
        <w:t>Les stratégies visant à maximiser l</w:t>
      </w:r>
      <w:r w:rsidR="0015216D">
        <w:t>a PSV</w:t>
      </w:r>
      <w:r>
        <w:t xml:space="preserve"> aspirent </w:t>
      </w:r>
      <w:r w:rsidR="001271B0">
        <w:t>toutes</w:t>
      </w:r>
      <w:r>
        <w:t xml:space="preserve"> à l</w:t>
      </w:r>
      <w:r w:rsidR="00496D28">
        <w:t>a</w:t>
      </w:r>
      <w:r>
        <w:t xml:space="preserve"> soustraire de la récupération de </w:t>
      </w:r>
      <w:r w:rsidR="0015216D">
        <w:t>15</w:t>
      </w:r>
      <w:r>
        <w:t xml:space="preserve"> % (TEMI) qui s'initie dès les premiers dollars gagnés</w:t>
      </w:r>
      <w:r w:rsidR="00496D28">
        <w:t xml:space="preserve"> </w:t>
      </w:r>
      <w:r w:rsidR="001271B0">
        <w:t>au-delà</w:t>
      </w:r>
      <w:r w:rsidR="00496D28">
        <w:t xml:space="preserve"> du seuil de 71 592 $</w:t>
      </w:r>
      <w:r>
        <w:t xml:space="preserve"> (sauf ceux générés par PSV</w:t>
      </w:r>
      <w:r w:rsidR="00496D28">
        <w:t xml:space="preserve"> elle même).</w:t>
      </w:r>
      <w:r>
        <w:t xml:space="preserve"> Les stratégies viseront donc à préserver </w:t>
      </w:r>
      <w:r w:rsidR="00496D28">
        <w:t>au maximum la PSV pour les contribuables dont le train de vie avoisine la zone périlleuse (Revenu brut entre 71 592 $ et 116 692 $ par contribuable).</w:t>
      </w:r>
      <w:r>
        <w:t xml:space="preserve"> Finalement, contrairement aux stratégies qui </w:t>
      </w:r>
      <w:r w:rsidR="000E1DD9">
        <w:t>ont été</w:t>
      </w:r>
      <w:r>
        <w:t xml:space="preserve"> élaborées pour maximiser l</w:t>
      </w:r>
      <w:r w:rsidR="000E1DD9">
        <w:t>e SRG</w:t>
      </w:r>
      <w:r>
        <w:t xml:space="preserve">, le fait d'être en couple </w:t>
      </w:r>
      <w:r w:rsidR="000E1DD9">
        <w:t xml:space="preserve">constitue un important </w:t>
      </w:r>
      <w:r>
        <w:t xml:space="preserve">avantage </w:t>
      </w:r>
      <w:r w:rsidR="000E1DD9">
        <w:t xml:space="preserve">lorsque vient le temps d'élaborer des stratégies d'optimisation </w:t>
      </w:r>
      <w:r>
        <w:t xml:space="preserve">puisque les calculs de </w:t>
      </w:r>
      <w:r w:rsidR="000E1DD9">
        <w:t>la PSV</w:t>
      </w:r>
      <w:r>
        <w:t xml:space="preserve"> s'effectuent </w:t>
      </w:r>
      <w:r w:rsidR="000E1DD9">
        <w:t>de manière indépendante pour chacun des conjoints et que par ailleurs, il existe plusieurs règles permettant le fractionnement de certains revenus de retraite.</w:t>
      </w:r>
    </w:p>
    <w:p w14:paraId="7E0EDF64" w14:textId="77777777" w:rsidR="00525D29" w:rsidRDefault="00525D29" w:rsidP="00525D29">
      <w:pPr>
        <w:jc w:val="both"/>
      </w:pPr>
    </w:p>
    <w:p w14:paraId="73BAB480" w14:textId="782136A1" w:rsidR="000E1DD9" w:rsidRPr="000F289D" w:rsidRDefault="00DE62D1" w:rsidP="006C34CF">
      <w:pPr>
        <w:pStyle w:val="Paragraphedeliste"/>
        <w:numPr>
          <w:ilvl w:val="0"/>
          <w:numId w:val="10"/>
        </w:numPr>
        <w:ind w:left="1134" w:hanging="567"/>
        <w:jc w:val="both"/>
        <w:rPr>
          <w:color w:val="FF6700" w:themeColor="accent3"/>
        </w:rPr>
      </w:pPr>
      <w:r w:rsidRPr="000F289D">
        <w:rPr>
          <w:color w:val="FF6700" w:themeColor="accent3"/>
        </w:rPr>
        <w:t>Fractionnement du revenu avec le conjoint</w:t>
      </w:r>
    </w:p>
    <w:p w14:paraId="1DA20FA8" w14:textId="77777777" w:rsidR="00DE62D1" w:rsidRDefault="00DE62D1" w:rsidP="00DE62D1">
      <w:pPr>
        <w:ind w:left="567"/>
        <w:jc w:val="both"/>
      </w:pPr>
    </w:p>
    <w:p w14:paraId="1E16B2E4" w14:textId="0BE8AFC9" w:rsidR="00C40DE9" w:rsidRDefault="00F44A01" w:rsidP="00DE62D1">
      <w:pPr>
        <w:jc w:val="both"/>
      </w:pPr>
      <w:r>
        <w:t xml:space="preserve">Le fait d’être en couple est sûrement le statut le plus favorable à la maximisation de la PSV. Cet avantage conféré aux conjoints </w:t>
      </w:r>
      <w:r w:rsidR="00C40DE9">
        <w:t>se fonde sur deux règles techniques donnant un maximum de levier aux couples pour encaisser</w:t>
      </w:r>
      <w:r w:rsidR="00C02419">
        <w:t xml:space="preserve">, </w:t>
      </w:r>
      <w:r w:rsidR="00C40DE9">
        <w:t>à tout le moins</w:t>
      </w:r>
      <w:r w:rsidR="00C02419">
        <w:t>,</w:t>
      </w:r>
      <w:r w:rsidR="00C40DE9">
        <w:t xml:space="preserve"> une partie de la PSV.</w:t>
      </w:r>
    </w:p>
    <w:p w14:paraId="21994FA1" w14:textId="77777777" w:rsidR="00C40DE9" w:rsidRDefault="00C40DE9" w:rsidP="00DE62D1">
      <w:pPr>
        <w:jc w:val="both"/>
      </w:pPr>
    </w:p>
    <w:p w14:paraId="6D3F53F4" w14:textId="6D2912D8" w:rsidR="00DE62D1" w:rsidRDefault="00C40DE9" w:rsidP="006C34CF">
      <w:pPr>
        <w:pStyle w:val="Paragraphedeliste"/>
        <w:numPr>
          <w:ilvl w:val="0"/>
          <w:numId w:val="13"/>
        </w:numPr>
        <w:jc w:val="both"/>
      </w:pPr>
      <w:r>
        <w:t xml:space="preserve">Tout d’abord il ne faut pas </w:t>
      </w:r>
      <w:r w:rsidR="001271B0">
        <w:t>oublier</w:t>
      </w:r>
      <w:r>
        <w:t xml:space="preserve"> que contrairement à la majorité des octrois sociaux, le calcul de la PSV s’effectue de </w:t>
      </w:r>
      <w:r w:rsidR="00C02419" w:rsidRPr="00C02419">
        <w:rPr>
          <w:color w:val="FF6700" w:themeColor="accent3"/>
        </w:rPr>
        <w:t>MANIÈRE INDIVIDUELLE</w:t>
      </w:r>
      <w:r>
        <w:t>, pour chaque contribuable. C’est donc dire qu’un couple pourrait soutenir un train de vie à la retraite correspondant à des revenus bruts de 400 000 $, tout en permettant à l’un des conjoints d’encaisser le maximum de sa PSV. Pour arriver à un tel résultat, il faudrait</w:t>
      </w:r>
      <w:r w:rsidR="00C02419">
        <w:t xml:space="preserve"> </w:t>
      </w:r>
      <w:r>
        <w:t xml:space="preserve">que les revenus soient gagnés de manière </w:t>
      </w:r>
      <w:r w:rsidR="001271B0">
        <w:t>disproportionnée</w:t>
      </w:r>
      <w:r>
        <w:t xml:space="preserve"> par les conjoints (disons 350 000 $ par madame et 50 000 $ pas monsieur). Dans cet exemple, monsieur toucherait la PSV annuelle maximum de 6 765 $.</w:t>
      </w:r>
    </w:p>
    <w:p w14:paraId="473C2D7F" w14:textId="77777777" w:rsidR="00241159" w:rsidRDefault="00241159" w:rsidP="00C40DE9">
      <w:pPr>
        <w:jc w:val="both"/>
      </w:pPr>
    </w:p>
    <w:p w14:paraId="6AAA2DF0" w14:textId="77777777" w:rsidR="00241159" w:rsidRDefault="00241159" w:rsidP="00C40DE9">
      <w:pPr>
        <w:jc w:val="both"/>
      </w:pPr>
    </w:p>
    <w:p w14:paraId="06EABB91" w14:textId="3880E9E2" w:rsidR="00241159" w:rsidRDefault="00CE22ED" w:rsidP="006C34CF">
      <w:pPr>
        <w:pStyle w:val="Paragraphedeliste"/>
        <w:numPr>
          <w:ilvl w:val="0"/>
          <w:numId w:val="13"/>
        </w:numPr>
        <w:jc w:val="both"/>
      </w:pPr>
      <w:r>
        <w:t>L’autre mécanique qui est disponible aux conjoints est le fractionnement de revenu de pension</w:t>
      </w:r>
      <w:r w:rsidR="00241159">
        <w:t xml:space="preserve">. Cette règle fiscale permet, en respectant certaines conditions, de déplacer jusqu’à 50 % du revenu de pension d’un conjoint à l’autre conjoint. Cette souplesse augmente les possibilités de niveler les revenus des conjoints et ainsi de se soustraire </w:t>
      </w:r>
      <w:r w:rsidR="001271B0">
        <w:t>au seuil</w:t>
      </w:r>
      <w:r w:rsidR="00241159">
        <w:t xml:space="preserve"> de réduction de la PSV (71 592 $ à 116 692 $). Pour comprendre le fonctionnement de cette règle fondamentale à la planification de la retraite et à la maximisation de la PSV, </w:t>
      </w:r>
      <w:r w:rsidR="001271B0">
        <w:t>consultez</w:t>
      </w:r>
      <w:r w:rsidR="00241159">
        <w:t xml:space="preserve"> la prochaine capsule. </w:t>
      </w:r>
    </w:p>
    <w:p w14:paraId="1DB130FF" w14:textId="42180C2B" w:rsidR="00241159" w:rsidRDefault="00C27DF5" w:rsidP="00241159">
      <w:pPr>
        <w:ind w:left="629"/>
        <w:jc w:val="both"/>
      </w:pPr>
      <w:r>
        <w:rPr>
          <w:noProof/>
          <w:lang w:eastAsia="fr-FR"/>
        </w:rPr>
        <w:lastRenderedPageBreak/>
        <w:drawing>
          <wp:anchor distT="0" distB="0" distL="114300" distR="114300" simplePos="0" relativeHeight="251896832" behindDoc="0" locked="0" layoutInCell="1" allowOverlap="1" wp14:anchorId="04143FF7" wp14:editId="4658C5F9">
            <wp:simplePos x="0" y="0"/>
            <wp:positionH relativeFrom="column">
              <wp:posOffset>4914900</wp:posOffset>
            </wp:positionH>
            <wp:positionV relativeFrom="paragraph">
              <wp:posOffset>21590</wp:posOffset>
            </wp:positionV>
            <wp:extent cx="579120" cy="571500"/>
            <wp:effectExtent l="0" t="0" r="5080" b="12700"/>
            <wp:wrapNone/>
            <wp:docPr id="90" name="Image 90">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21E648A" w14:textId="5E1D498B" w:rsidR="00CE22ED" w:rsidRPr="00C27DF5" w:rsidRDefault="00241159" w:rsidP="00241159">
      <w:pPr>
        <w:ind w:left="629"/>
        <w:jc w:val="both"/>
        <w:rPr>
          <w:color w:val="AF0013"/>
        </w:rPr>
      </w:pPr>
      <w:r>
        <w:tab/>
      </w:r>
      <w:r>
        <w:tab/>
      </w:r>
      <w:hyperlink r:id="rId46" w:history="1">
        <w:r w:rsidR="00757049">
          <w:rPr>
            <w:rStyle w:val="Lienhypertexte"/>
            <w:color w:val="AF0013"/>
          </w:rPr>
          <w:t xml:space="preserve">Capsule 7-2 Fractionnement du revenu de </w:t>
        </w:r>
        <w:r w:rsidR="00757049" w:rsidRPr="00E367D8">
          <w:rPr>
            <w:rStyle w:val="Lienhypertexte"/>
            <w:color w:val="9D0010"/>
          </w:rPr>
          <w:t>pension</w:t>
        </w:r>
      </w:hyperlink>
    </w:p>
    <w:p w14:paraId="2CABF043" w14:textId="06C4AC71" w:rsidR="00CE22ED" w:rsidRDefault="00CE22ED" w:rsidP="00DE62D1">
      <w:pPr>
        <w:jc w:val="both"/>
      </w:pPr>
    </w:p>
    <w:p w14:paraId="2D39B88C" w14:textId="2E313C73" w:rsidR="00DE62D1" w:rsidRDefault="00DE62D1" w:rsidP="00BC23AE">
      <w:pPr>
        <w:jc w:val="both"/>
      </w:pPr>
    </w:p>
    <w:p w14:paraId="3E591ED5" w14:textId="4D0A1BB1" w:rsidR="00650B84" w:rsidRDefault="00650B84" w:rsidP="00650B84">
      <w:pPr>
        <w:jc w:val="both"/>
      </w:pPr>
    </w:p>
    <w:p w14:paraId="6BCC5A8F" w14:textId="27862AC1" w:rsidR="00650B84" w:rsidRDefault="00A66503" w:rsidP="00C56719">
      <w:pPr>
        <w:ind w:left="1418"/>
        <w:jc w:val="both"/>
      </w:pPr>
      <w:r>
        <w:t>Deux précisions, suite au visionnement de la capsule. Bien que l’on y mentionne que la PSV n’est pas admissible à la règle de fractionnement, il faut bien saisir que par sa définition même, il s’agit d’un revenu qui est déjà</w:t>
      </w:r>
      <w:r w:rsidR="00BB3DD6">
        <w:t>, en substance,</w:t>
      </w:r>
      <w:r>
        <w:t xml:space="preserve"> fractionné dans un couple</w:t>
      </w:r>
      <w:r w:rsidR="00BB3DD6">
        <w:t xml:space="preserve"> puisque chacun y a droit. Quant à la rente d</w:t>
      </w:r>
      <w:r w:rsidR="00D644AD">
        <w:t xml:space="preserve">u </w:t>
      </w:r>
      <w:r w:rsidR="00BB3DD6">
        <w:t xml:space="preserve">RRQ, qui n’est également pas admissible à la </w:t>
      </w:r>
      <w:r w:rsidR="001271B0">
        <w:t>règle</w:t>
      </w:r>
      <w:r w:rsidR="00BB3DD6">
        <w:t xml:space="preserve"> fiscale de fractionnement de revenu de pension, il est possible d’arriver dans les faits à un fractionnement en demandant à la RRQ de répartir les rentes entre les conjoints selon un certain pourcentage. </w:t>
      </w:r>
      <w:r w:rsidR="00642C76">
        <w:t xml:space="preserve">Cette mécanique est alors réelle (contrairement à la règle fiscale qui est une fiction sans échange </w:t>
      </w:r>
      <w:r w:rsidR="001271B0">
        <w:t>réel</w:t>
      </w:r>
      <w:r w:rsidR="00642C76">
        <w:t xml:space="preserve"> de liquidités et avec la possibilité de changer les répartitions </w:t>
      </w:r>
      <w:r w:rsidR="001271B0">
        <w:t>chaque</w:t>
      </w:r>
      <w:r w:rsidR="00642C76">
        <w:t xml:space="preserve"> année).</w:t>
      </w:r>
    </w:p>
    <w:p w14:paraId="61230088" w14:textId="77777777" w:rsidR="00C56719" w:rsidRDefault="00C56719" w:rsidP="00C56719">
      <w:pPr>
        <w:ind w:left="1418"/>
        <w:jc w:val="both"/>
      </w:pPr>
    </w:p>
    <w:p w14:paraId="16D85A1E" w14:textId="77777777" w:rsidR="00C56719" w:rsidRDefault="00C56719" w:rsidP="00C56719">
      <w:pPr>
        <w:ind w:left="1418"/>
        <w:jc w:val="both"/>
      </w:pPr>
    </w:p>
    <w:p w14:paraId="616538E6" w14:textId="045E8408" w:rsidR="00642C76" w:rsidRDefault="00642C76" w:rsidP="00DE62D1">
      <w:pPr>
        <w:jc w:val="both"/>
      </w:pPr>
      <w:r>
        <w:t xml:space="preserve">Finalement, nous aimerions ajouter aux différents mécanismes de fractionnement, le REÉR au </w:t>
      </w:r>
      <w:r w:rsidR="00017BEA">
        <w:t xml:space="preserve">profit du </w:t>
      </w:r>
      <w:r>
        <w:t>conjoint.</w:t>
      </w:r>
      <w:r w:rsidR="00017BEA">
        <w:t xml:space="preserve"> Cette stratégie consiste pour le conjoint, ayant le revenu actuel et la perspe</w:t>
      </w:r>
      <w:r w:rsidR="00A471CA">
        <w:t>c</w:t>
      </w:r>
      <w:r w:rsidR="00017BEA">
        <w:t xml:space="preserve">tive de revenus à la retraite le plus </w:t>
      </w:r>
      <w:proofErr w:type="gramStart"/>
      <w:r w:rsidR="00017BEA">
        <w:t>élevé</w:t>
      </w:r>
      <w:proofErr w:type="gramEnd"/>
      <w:r w:rsidR="00A471CA">
        <w:t>, à cotiser au REÉR de son conjoint.  Voici le mode de fonctionnement d’une telle stratégie.</w:t>
      </w:r>
    </w:p>
    <w:p w14:paraId="1FC1581B" w14:textId="77777777" w:rsidR="00A471CA" w:rsidRDefault="00A471CA" w:rsidP="00DE62D1">
      <w:pPr>
        <w:jc w:val="both"/>
      </w:pPr>
    </w:p>
    <w:p w14:paraId="4258912A" w14:textId="77777777" w:rsidR="00A471CA" w:rsidRDefault="00A471CA" w:rsidP="00DE62D1">
      <w:pPr>
        <w:jc w:val="both"/>
      </w:pPr>
    </w:p>
    <w:p w14:paraId="5AC5D205" w14:textId="77777777" w:rsidR="00A471CA" w:rsidRDefault="00A471CA" w:rsidP="00DE62D1">
      <w:pPr>
        <w:jc w:val="both"/>
      </w:pPr>
    </w:p>
    <w:p w14:paraId="37D25AD0" w14:textId="77777777" w:rsidR="00C56719" w:rsidRDefault="00C56719" w:rsidP="00DE62D1">
      <w:pPr>
        <w:jc w:val="both"/>
      </w:pPr>
    </w:p>
    <w:p w14:paraId="1BF2A532" w14:textId="77777777" w:rsidR="00C56719" w:rsidRDefault="00C56719" w:rsidP="00DE62D1">
      <w:pPr>
        <w:jc w:val="both"/>
      </w:pPr>
    </w:p>
    <w:p w14:paraId="46B83B84" w14:textId="77777777" w:rsidR="00C56719" w:rsidRDefault="00C56719" w:rsidP="00DE62D1">
      <w:pPr>
        <w:jc w:val="both"/>
      </w:pPr>
    </w:p>
    <w:p w14:paraId="24D01451" w14:textId="77777777" w:rsidR="00C56719" w:rsidRDefault="00C56719" w:rsidP="00DE62D1">
      <w:pPr>
        <w:jc w:val="both"/>
      </w:pPr>
    </w:p>
    <w:p w14:paraId="7216FAE1" w14:textId="77777777" w:rsidR="00A471CA" w:rsidRDefault="00A471CA" w:rsidP="00DE62D1">
      <w:pPr>
        <w:jc w:val="both"/>
      </w:pPr>
    </w:p>
    <w:p w14:paraId="0C2BD91C" w14:textId="77777777" w:rsidR="00906903" w:rsidRDefault="00906903" w:rsidP="00DE62D1">
      <w:pPr>
        <w:jc w:val="both"/>
      </w:pPr>
    </w:p>
    <w:p w14:paraId="0934B7F4" w14:textId="77777777" w:rsidR="00906903" w:rsidRDefault="00906903" w:rsidP="00DE62D1">
      <w:pPr>
        <w:jc w:val="both"/>
      </w:pPr>
    </w:p>
    <w:p w14:paraId="76A38D9C" w14:textId="77777777" w:rsidR="00A471CA" w:rsidRDefault="00A471CA" w:rsidP="00DE62D1">
      <w:pPr>
        <w:jc w:val="both"/>
      </w:pPr>
    </w:p>
    <w:p w14:paraId="7B7C8DE2" w14:textId="77777777" w:rsidR="00A471CA" w:rsidRDefault="00A471CA" w:rsidP="00DE62D1">
      <w:pPr>
        <w:jc w:val="both"/>
      </w:pPr>
    </w:p>
    <w:p w14:paraId="745C0CD0" w14:textId="77777777" w:rsidR="00A471CA" w:rsidRDefault="00A471CA" w:rsidP="00DE62D1">
      <w:pPr>
        <w:jc w:val="both"/>
      </w:pPr>
    </w:p>
    <w:p w14:paraId="0F839984" w14:textId="77777777" w:rsidR="00A471CA" w:rsidRDefault="00A471CA" w:rsidP="00DE62D1">
      <w:pPr>
        <w:jc w:val="both"/>
      </w:pPr>
    </w:p>
    <w:tbl>
      <w:tblPr>
        <w:tblStyle w:val="Grille"/>
        <w:tblW w:w="0" w:type="auto"/>
        <w:tblLook w:val="04A0" w:firstRow="1" w:lastRow="0" w:firstColumn="1" w:lastColumn="0" w:noHBand="0" w:noVBand="1"/>
      </w:tblPr>
      <w:tblGrid>
        <w:gridCol w:w="4382"/>
        <w:gridCol w:w="4382"/>
        <w:gridCol w:w="4382"/>
      </w:tblGrid>
      <w:tr w:rsidR="00A471CA" w14:paraId="49C2B3A8" w14:textId="77777777" w:rsidTr="00511C0A">
        <w:tc>
          <w:tcPr>
            <w:tcW w:w="4382" w:type="dxa"/>
            <w:tcBorders>
              <w:top w:val="nil"/>
              <w:left w:val="nil"/>
              <w:bottom w:val="nil"/>
              <w:right w:val="nil"/>
            </w:tcBorders>
            <w:shd w:val="clear" w:color="auto" w:fill="E8E9DF" w:themeFill="accent4" w:themeFillTint="33"/>
          </w:tcPr>
          <w:p w14:paraId="4CC6E37A" w14:textId="77777777" w:rsidR="00A471CA" w:rsidRDefault="00A471CA" w:rsidP="00DE62D1">
            <w:pPr>
              <w:jc w:val="both"/>
            </w:pPr>
          </w:p>
        </w:tc>
        <w:tc>
          <w:tcPr>
            <w:tcW w:w="4382" w:type="dxa"/>
            <w:tcBorders>
              <w:top w:val="nil"/>
              <w:left w:val="nil"/>
              <w:bottom w:val="nil"/>
              <w:right w:val="nil"/>
            </w:tcBorders>
            <w:shd w:val="clear" w:color="auto" w:fill="E8E9DF" w:themeFill="accent4" w:themeFillTint="33"/>
          </w:tcPr>
          <w:p w14:paraId="05119604" w14:textId="06C0FF6C" w:rsidR="00A471CA" w:rsidRDefault="00A471CA" w:rsidP="00A471CA">
            <w:pPr>
              <w:jc w:val="center"/>
            </w:pPr>
            <w:r>
              <w:t>Contribuable</w:t>
            </w:r>
          </w:p>
        </w:tc>
        <w:tc>
          <w:tcPr>
            <w:tcW w:w="4382" w:type="dxa"/>
            <w:tcBorders>
              <w:top w:val="nil"/>
              <w:left w:val="nil"/>
              <w:bottom w:val="nil"/>
              <w:right w:val="nil"/>
            </w:tcBorders>
            <w:shd w:val="clear" w:color="auto" w:fill="E8E9DF" w:themeFill="accent4" w:themeFillTint="33"/>
          </w:tcPr>
          <w:p w14:paraId="0EB4D100" w14:textId="70813DFF" w:rsidR="00A471CA" w:rsidRDefault="00A471CA" w:rsidP="00A471CA">
            <w:pPr>
              <w:jc w:val="center"/>
            </w:pPr>
            <w:r>
              <w:t>Conjoint</w:t>
            </w:r>
          </w:p>
        </w:tc>
      </w:tr>
      <w:tr w:rsidR="00A471CA" w14:paraId="03E1C6C4" w14:textId="77777777" w:rsidTr="00B2574E">
        <w:tc>
          <w:tcPr>
            <w:tcW w:w="4382" w:type="dxa"/>
            <w:tcBorders>
              <w:top w:val="nil"/>
              <w:left w:val="nil"/>
              <w:bottom w:val="nil"/>
              <w:right w:val="nil"/>
            </w:tcBorders>
            <w:shd w:val="clear" w:color="auto" w:fill="E8E9DF" w:themeFill="accent4" w:themeFillTint="33"/>
          </w:tcPr>
          <w:p w14:paraId="63A1D477" w14:textId="77777777" w:rsidR="00DC696C" w:rsidRDefault="00DC696C" w:rsidP="00627059"/>
          <w:p w14:paraId="096E0B6A" w14:textId="5847E31C" w:rsidR="00A471CA" w:rsidRDefault="00A471CA" w:rsidP="00627059">
            <w:r>
              <w:t xml:space="preserve">Le plafond </w:t>
            </w:r>
            <w:r w:rsidR="00605FC6">
              <w:t xml:space="preserve">du </w:t>
            </w:r>
            <w:r>
              <w:t>REÉR disponible</w:t>
            </w:r>
          </w:p>
          <w:p w14:paraId="4D7318E2" w14:textId="29345B58" w:rsidR="00A471CA" w:rsidRDefault="00A471CA" w:rsidP="00627059"/>
        </w:tc>
        <w:tc>
          <w:tcPr>
            <w:tcW w:w="4382" w:type="dxa"/>
            <w:tcBorders>
              <w:top w:val="nil"/>
              <w:left w:val="nil"/>
              <w:bottom w:val="nil"/>
              <w:right w:val="nil"/>
            </w:tcBorders>
            <w:shd w:val="clear" w:color="auto" w:fill="ADA598" w:themeFill="accent2" w:themeFillTint="99"/>
          </w:tcPr>
          <w:p w14:paraId="538E82AC" w14:textId="351382CA" w:rsidR="00A471CA" w:rsidRDefault="00DC696C" w:rsidP="00DE62D1">
            <w:pPr>
              <w:jc w:val="both"/>
            </w:pPr>
            <w:r>
              <w:rPr>
                <w:noProof/>
                <w:lang w:eastAsia="fr-FR"/>
              </w:rPr>
              <w:drawing>
                <wp:anchor distT="0" distB="0" distL="114300" distR="114300" simplePos="0" relativeHeight="251898880" behindDoc="0" locked="0" layoutInCell="1" allowOverlap="1" wp14:anchorId="250A946F" wp14:editId="66A51E76">
                  <wp:simplePos x="0" y="0"/>
                  <wp:positionH relativeFrom="column">
                    <wp:posOffset>1103630</wp:posOffset>
                  </wp:positionH>
                  <wp:positionV relativeFrom="paragraph">
                    <wp:posOffset>143510</wp:posOffset>
                  </wp:positionV>
                  <wp:extent cx="342900" cy="344805"/>
                  <wp:effectExtent l="0" t="0" r="12700" b="10795"/>
                  <wp:wrapNone/>
                  <wp:docPr id="96" name="Image 96"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4382" w:type="dxa"/>
            <w:tcBorders>
              <w:top w:val="nil"/>
              <w:left w:val="nil"/>
              <w:bottom w:val="nil"/>
              <w:right w:val="nil"/>
            </w:tcBorders>
            <w:shd w:val="clear" w:color="auto" w:fill="DE0005"/>
          </w:tcPr>
          <w:p w14:paraId="1D37E1E5" w14:textId="77777777" w:rsidR="00A471CA" w:rsidRDefault="00A471CA" w:rsidP="00DE62D1">
            <w:pPr>
              <w:jc w:val="both"/>
            </w:pPr>
          </w:p>
        </w:tc>
      </w:tr>
      <w:tr w:rsidR="00A471CA" w14:paraId="76286D64" w14:textId="77777777" w:rsidTr="00B2574E">
        <w:tc>
          <w:tcPr>
            <w:tcW w:w="4382" w:type="dxa"/>
            <w:tcBorders>
              <w:top w:val="nil"/>
              <w:left w:val="nil"/>
              <w:bottom w:val="nil"/>
              <w:right w:val="nil"/>
            </w:tcBorders>
            <w:shd w:val="clear" w:color="auto" w:fill="E8E9DF" w:themeFill="accent4" w:themeFillTint="33"/>
          </w:tcPr>
          <w:p w14:paraId="5DB8A504" w14:textId="77777777" w:rsidR="00A471CA" w:rsidRDefault="00A471CA" w:rsidP="00627059">
            <w:r>
              <w:t>La cotisation au REÉR</w:t>
            </w:r>
          </w:p>
          <w:p w14:paraId="07930601" w14:textId="58A1149C" w:rsidR="00A471CA" w:rsidRDefault="00A471CA" w:rsidP="00627059"/>
        </w:tc>
        <w:tc>
          <w:tcPr>
            <w:tcW w:w="4382" w:type="dxa"/>
            <w:tcBorders>
              <w:top w:val="nil"/>
              <w:left w:val="nil"/>
              <w:bottom w:val="nil"/>
              <w:right w:val="nil"/>
            </w:tcBorders>
            <w:shd w:val="clear" w:color="auto" w:fill="ADA598" w:themeFill="accent2" w:themeFillTint="99"/>
          </w:tcPr>
          <w:p w14:paraId="2E59FBB4" w14:textId="5CF8567E" w:rsidR="00A471CA" w:rsidRDefault="00DC696C" w:rsidP="00DE62D1">
            <w:pPr>
              <w:jc w:val="both"/>
            </w:pPr>
            <w:r>
              <w:rPr>
                <w:noProof/>
                <w:lang w:eastAsia="fr-FR"/>
              </w:rPr>
              <w:drawing>
                <wp:anchor distT="0" distB="0" distL="114300" distR="114300" simplePos="0" relativeHeight="251902976" behindDoc="0" locked="0" layoutInCell="1" allowOverlap="1" wp14:anchorId="35EA6DCB" wp14:editId="0D6E3629">
                  <wp:simplePos x="0" y="0"/>
                  <wp:positionH relativeFrom="column">
                    <wp:posOffset>1103630</wp:posOffset>
                  </wp:positionH>
                  <wp:positionV relativeFrom="paragraph">
                    <wp:posOffset>334645</wp:posOffset>
                  </wp:positionV>
                  <wp:extent cx="342900" cy="344805"/>
                  <wp:effectExtent l="0" t="0" r="12700" b="10795"/>
                  <wp:wrapNone/>
                  <wp:docPr id="98" name="Image 98"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900928" behindDoc="0" locked="0" layoutInCell="1" allowOverlap="1" wp14:anchorId="1EE34124" wp14:editId="07B8D235">
                  <wp:simplePos x="0" y="0"/>
                  <wp:positionH relativeFrom="column">
                    <wp:posOffset>1103630</wp:posOffset>
                  </wp:positionH>
                  <wp:positionV relativeFrom="paragraph">
                    <wp:posOffset>-8255</wp:posOffset>
                  </wp:positionV>
                  <wp:extent cx="342900" cy="344805"/>
                  <wp:effectExtent l="0" t="0" r="12700" b="10795"/>
                  <wp:wrapNone/>
                  <wp:docPr id="97" name="Image 97"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4382" w:type="dxa"/>
            <w:tcBorders>
              <w:top w:val="nil"/>
              <w:left w:val="nil"/>
              <w:bottom w:val="nil"/>
              <w:right w:val="nil"/>
            </w:tcBorders>
            <w:shd w:val="clear" w:color="auto" w:fill="DE0005"/>
          </w:tcPr>
          <w:p w14:paraId="4D19E9BA" w14:textId="308B8B3C" w:rsidR="00A471CA" w:rsidRDefault="00A471CA" w:rsidP="00DE62D1">
            <w:pPr>
              <w:jc w:val="both"/>
            </w:pPr>
          </w:p>
        </w:tc>
      </w:tr>
      <w:tr w:rsidR="00A471CA" w14:paraId="391AB700" w14:textId="77777777" w:rsidTr="00B2574E">
        <w:tc>
          <w:tcPr>
            <w:tcW w:w="4382" w:type="dxa"/>
            <w:tcBorders>
              <w:top w:val="nil"/>
              <w:left w:val="nil"/>
              <w:bottom w:val="nil"/>
              <w:right w:val="nil"/>
            </w:tcBorders>
            <w:shd w:val="clear" w:color="auto" w:fill="E8E9DF" w:themeFill="accent4" w:themeFillTint="33"/>
          </w:tcPr>
          <w:p w14:paraId="0F9F7D8C" w14:textId="77777777" w:rsidR="00A471CA" w:rsidRDefault="00A471CA" w:rsidP="00627059">
            <w:r>
              <w:t>La déduction fiscale</w:t>
            </w:r>
          </w:p>
          <w:p w14:paraId="07F999F4" w14:textId="36A0961D" w:rsidR="00A471CA" w:rsidRDefault="00A471CA" w:rsidP="00627059"/>
        </w:tc>
        <w:tc>
          <w:tcPr>
            <w:tcW w:w="4382" w:type="dxa"/>
            <w:tcBorders>
              <w:top w:val="nil"/>
              <w:left w:val="nil"/>
              <w:bottom w:val="nil"/>
              <w:right w:val="nil"/>
            </w:tcBorders>
            <w:shd w:val="clear" w:color="auto" w:fill="ADA598" w:themeFill="accent2" w:themeFillTint="99"/>
          </w:tcPr>
          <w:p w14:paraId="0D93EC9A" w14:textId="7AE5CD0D" w:rsidR="00A471CA" w:rsidRDefault="00A471CA" w:rsidP="00DE62D1">
            <w:pPr>
              <w:jc w:val="both"/>
            </w:pPr>
          </w:p>
        </w:tc>
        <w:tc>
          <w:tcPr>
            <w:tcW w:w="4382" w:type="dxa"/>
            <w:tcBorders>
              <w:top w:val="nil"/>
              <w:left w:val="nil"/>
              <w:bottom w:val="nil"/>
              <w:right w:val="nil"/>
            </w:tcBorders>
            <w:shd w:val="clear" w:color="auto" w:fill="DE0005"/>
          </w:tcPr>
          <w:p w14:paraId="7EE883F1" w14:textId="74693703" w:rsidR="00A471CA" w:rsidRDefault="00873223" w:rsidP="00DE62D1">
            <w:pPr>
              <w:jc w:val="both"/>
            </w:pPr>
            <w:r>
              <w:rPr>
                <w:noProof/>
                <w:lang w:eastAsia="fr-FR"/>
              </w:rPr>
              <w:drawing>
                <wp:anchor distT="0" distB="0" distL="114300" distR="114300" simplePos="0" relativeHeight="251909120" behindDoc="0" locked="0" layoutInCell="1" allowOverlap="1" wp14:anchorId="5C567D99" wp14:editId="0C0A5BFF">
                  <wp:simplePos x="0" y="0"/>
                  <wp:positionH relativeFrom="column">
                    <wp:posOffset>1178560</wp:posOffset>
                  </wp:positionH>
                  <wp:positionV relativeFrom="paragraph">
                    <wp:posOffset>358140</wp:posOffset>
                  </wp:positionV>
                  <wp:extent cx="342900" cy="344805"/>
                  <wp:effectExtent l="0" t="0" r="12700" b="10795"/>
                  <wp:wrapNone/>
                  <wp:docPr id="91" name="Image 91"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A471CA" w14:paraId="74EEC1ED" w14:textId="77777777" w:rsidTr="00B2574E">
        <w:tc>
          <w:tcPr>
            <w:tcW w:w="4382" w:type="dxa"/>
            <w:tcBorders>
              <w:top w:val="nil"/>
              <w:left w:val="nil"/>
              <w:bottom w:val="nil"/>
              <w:right w:val="nil"/>
            </w:tcBorders>
            <w:shd w:val="clear" w:color="auto" w:fill="E8E9DF" w:themeFill="accent4" w:themeFillTint="33"/>
          </w:tcPr>
          <w:p w14:paraId="74A01755" w14:textId="38599866" w:rsidR="00A471CA" w:rsidRDefault="00605FC6" w:rsidP="00627059">
            <w:r>
              <w:t>La p</w:t>
            </w:r>
            <w:r w:rsidR="00A471CA">
              <w:t>ropriété du REÉR</w:t>
            </w:r>
          </w:p>
          <w:p w14:paraId="4E0B4DE1" w14:textId="06929F35" w:rsidR="00A471CA" w:rsidRDefault="00A471CA" w:rsidP="00627059"/>
        </w:tc>
        <w:tc>
          <w:tcPr>
            <w:tcW w:w="4382" w:type="dxa"/>
            <w:tcBorders>
              <w:top w:val="nil"/>
              <w:left w:val="nil"/>
              <w:bottom w:val="nil"/>
              <w:right w:val="nil"/>
            </w:tcBorders>
            <w:shd w:val="clear" w:color="auto" w:fill="ADA598" w:themeFill="accent2" w:themeFillTint="99"/>
          </w:tcPr>
          <w:p w14:paraId="22B79BD0" w14:textId="77777777" w:rsidR="00A471CA" w:rsidRDefault="00A471CA" w:rsidP="00DE62D1">
            <w:pPr>
              <w:jc w:val="both"/>
            </w:pPr>
          </w:p>
        </w:tc>
        <w:tc>
          <w:tcPr>
            <w:tcW w:w="4382" w:type="dxa"/>
            <w:tcBorders>
              <w:top w:val="nil"/>
              <w:left w:val="nil"/>
              <w:bottom w:val="nil"/>
              <w:right w:val="nil"/>
            </w:tcBorders>
            <w:shd w:val="clear" w:color="auto" w:fill="DE0005"/>
          </w:tcPr>
          <w:p w14:paraId="78E143B0" w14:textId="50784DE6" w:rsidR="00A471CA" w:rsidRDefault="005A63E8" w:rsidP="00DE62D1">
            <w:pPr>
              <w:jc w:val="both"/>
            </w:pPr>
            <w:r>
              <w:rPr>
                <w:noProof/>
                <w:lang w:eastAsia="fr-FR"/>
              </w:rPr>
              <w:drawing>
                <wp:anchor distT="0" distB="0" distL="114300" distR="114300" simplePos="0" relativeHeight="251911168" behindDoc="0" locked="0" layoutInCell="1" allowOverlap="1" wp14:anchorId="6132C388" wp14:editId="32513E1B">
                  <wp:simplePos x="0" y="0"/>
                  <wp:positionH relativeFrom="column">
                    <wp:posOffset>1178560</wp:posOffset>
                  </wp:positionH>
                  <wp:positionV relativeFrom="paragraph">
                    <wp:posOffset>327660</wp:posOffset>
                  </wp:positionV>
                  <wp:extent cx="342900" cy="344805"/>
                  <wp:effectExtent l="0" t="0" r="12700" b="10795"/>
                  <wp:wrapNone/>
                  <wp:docPr id="92" name="Image 92"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A471CA" w14:paraId="649C022E" w14:textId="77777777" w:rsidTr="00B2574E">
        <w:tc>
          <w:tcPr>
            <w:tcW w:w="4382" w:type="dxa"/>
            <w:tcBorders>
              <w:top w:val="nil"/>
              <w:left w:val="nil"/>
              <w:bottom w:val="nil"/>
              <w:right w:val="nil"/>
            </w:tcBorders>
            <w:shd w:val="clear" w:color="auto" w:fill="E8E9DF" w:themeFill="accent4" w:themeFillTint="33"/>
          </w:tcPr>
          <w:p w14:paraId="3CAC0FEA" w14:textId="2ED83E6D" w:rsidR="00A471CA" w:rsidRDefault="00605FC6" w:rsidP="00627059">
            <w:r>
              <w:t>Les r</w:t>
            </w:r>
            <w:r w:rsidR="00A471CA">
              <w:t>etrait</w:t>
            </w:r>
            <w:r>
              <w:t>s</w:t>
            </w:r>
            <w:r w:rsidR="00A471CA">
              <w:t xml:space="preserve"> du REÉR et </w:t>
            </w:r>
            <w:r>
              <w:t xml:space="preserve">leur </w:t>
            </w:r>
            <w:r w:rsidR="00A471CA">
              <w:t>imposition</w:t>
            </w:r>
          </w:p>
          <w:p w14:paraId="4EC4BB6E" w14:textId="500C7840" w:rsidR="00A471CA" w:rsidRDefault="00A471CA" w:rsidP="00627059"/>
        </w:tc>
        <w:tc>
          <w:tcPr>
            <w:tcW w:w="4382" w:type="dxa"/>
            <w:tcBorders>
              <w:top w:val="nil"/>
              <w:left w:val="nil"/>
              <w:bottom w:val="nil"/>
              <w:right w:val="nil"/>
            </w:tcBorders>
            <w:shd w:val="clear" w:color="auto" w:fill="ADA598" w:themeFill="accent2" w:themeFillTint="99"/>
          </w:tcPr>
          <w:p w14:paraId="6C575B47" w14:textId="77777777" w:rsidR="00A471CA" w:rsidRDefault="00A471CA" w:rsidP="00DE62D1">
            <w:pPr>
              <w:jc w:val="both"/>
            </w:pPr>
          </w:p>
        </w:tc>
        <w:tc>
          <w:tcPr>
            <w:tcW w:w="4382" w:type="dxa"/>
            <w:tcBorders>
              <w:top w:val="nil"/>
              <w:left w:val="nil"/>
              <w:bottom w:val="nil"/>
              <w:right w:val="nil"/>
            </w:tcBorders>
            <w:shd w:val="clear" w:color="auto" w:fill="DE0005"/>
          </w:tcPr>
          <w:p w14:paraId="6E559758" w14:textId="33334203" w:rsidR="00A471CA" w:rsidRDefault="00A471CA" w:rsidP="00627059"/>
        </w:tc>
      </w:tr>
    </w:tbl>
    <w:p w14:paraId="457F9D1E" w14:textId="77777777" w:rsidR="00A471CA" w:rsidRDefault="00A471CA" w:rsidP="00DE62D1">
      <w:pPr>
        <w:jc w:val="both"/>
      </w:pPr>
    </w:p>
    <w:p w14:paraId="0344C26C" w14:textId="4A618DD1" w:rsidR="00642C76" w:rsidRDefault="00511C0A" w:rsidP="00DE62D1">
      <w:pPr>
        <w:jc w:val="both"/>
      </w:pPr>
      <w:r>
        <w:t>La stratégie du REÉR au profit du conjoint permet de planifier la répartition du capital retraite du couple pour tenter d’atteindre un équilibre où les deux conjoints verraient leurs revenus de retraite correspondent à des montants similaires. Cette planification est sans risque pour les couples mariés puisque le REÉR f</w:t>
      </w:r>
      <w:r w:rsidR="00D41821">
        <w:t xml:space="preserve">ait </w:t>
      </w:r>
      <w:r>
        <w:t xml:space="preserve">partie du patrimoine familial qui se doit d’être réparti de façon égale en cas d’échec à l’union. Pour les conjoints de fait, il n’est pas recommandé d’utiliser cette pratique puisque ceux-ci ne sont </w:t>
      </w:r>
      <w:r w:rsidR="00D644AD">
        <w:t>assujettis</w:t>
      </w:r>
      <w:r>
        <w:t xml:space="preserve"> au partage du patrimoine familial. </w:t>
      </w:r>
    </w:p>
    <w:p w14:paraId="16E28053" w14:textId="77777777" w:rsidR="00511C0A" w:rsidRDefault="00511C0A" w:rsidP="00DE62D1">
      <w:pPr>
        <w:jc w:val="both"/>
      </w:pPr>
    </w:p>
    <w:p w14:paraId="2CFFF653" w14:textId="7EEE0F70" w:rsidR="00DE62D1" w:rsidRPr="000F289D" w:rsidRDefault="00DE62D1" w:rsidP="006C34CF">
      <w:pPr>
        <w:pStyle w:val="Paragraphedeliste"/>
        <w:numPr>
          <w:ilvl w:val="0"/>
          <w:numId w:val="10"/>
        </w:numPr>
        <w:ind w:left="1418" w:hanging="851"/>
        <w:jc w:val="both"/>
        <w:rPr>
          <w:color w:val="FF6700" w:themeColor="accent3"/>
        </w:rPr>
      </w:pPr>
      <w:r w:rsidRPr="000F289D">
        <w:rPr>
          <w:color w:val="FF6700" w:themeColor="accent3"/>
        </w:rPr>
        <w:t>Maximisation du CELI</w:t>
      </w:r>
    </w:p>
    <w:p w14:paraId="43EB31AD" w14:textId="77777777" w:rsidR="00DE62D1" w:rsidRDefault="00DE62D1" w:rsidP="00DE62D1">
      <w:pPr>
        <w:jc w:val="both"/>
      </w:pPr>
    </w:p>
    <w:p w14:paraId="02518B2E" w14:textId="61DBEEBD" w:rsidR="006302BB" w:rsidRPr="006302BB" w:rsidRDefault="006302BB" w:rsidP="006302BB">
      <w:pPr>
        <w:jc w:val="both"/>
      </w:pPr>
      <w:r>
        <w:t xml:space="preserve">Dans le même ordre idée, mais pour des strates de revenus beaucoup plus élevées que lorsque nous discutions de la maximisation du SRG, le CÉLI demeure un outil fiscal d’épargne extrêmement intéressant pour déjouer les seuils de récupération de la PSV. Dans le cas où un contribuable anticipe générer des revenus de retraite entre 70 000 $ et 120 000 $, celui-ci devrait </w:t>
      </w:r>
      <w:r w:rsidR="00DD39B1">
        <w:t xml:space="preserve">tout d’abord </w:t>
      </w:r>
      <w:r>
        <w:t>contribuer</w:t>
      </w:r>
      <w:r w:rsidR="00DD39B1">
        <w:t xml:space="preserve"> </w:t>
      </w:r>
      <w:r>
        <w:t xml:space="preserve"> au maximum au CÉLI et </w:t>
      </w:r>
      <w:r w:rsidR="00DD39B1">
        <w:t xml:space="preserve">ensuite </w:t>
      </w:r>
      <w:r>
        <w:t xml:space="preserve">compléter son épargne dans le REÉR. En maximisant le CÉLI, ce contribuable se verra </w:t>
      </w:r>
      <w:r w:rsidR="00DD39B1">
        <w:t>d</w:t>
      </w:r>
      <w:r>
        <w:t>étenteur d’un capital important pour compléter ses revenus de retraite sans pour autant faire en sorte que ses retraits soient inclus dans les revenus qui réduisent le montant de la PSV.</w:t>
      </w:r>
      <w:r w:rsidRPr="006302BB">
        <w:t xml:space="preserve"> Avec un plafond cumulatif de 41 000 $ (accroissement de </w:t>
      </w:r>
      <w:r w:rsidR="002C55B1">
        <w:t>5 5</w:t>
      </w:r>
      <w:r w:rsidRPr="006302BB">
        <w:t xml:space="preserve">00 $ pour les </w:t>
      </w:r>
      <w:r w:rsidRPr="006302BB">
        <w:lastRenderedPageBreak/>
        <w:t xml:space="preserve">années futures), par contribuable, au 1er janvier 2015, l'approche CÉLI va permettre d'accroitre l'accessibilité future </w:t>
      </w:r>
      <w:r>
        <w:t>à la PSV</w:t>
      </w:r>
      <w:r w:rsidRPr="006302BB">
        <w:t xml:space="preserve">. </w:t>
      </w:r>
    </w:p>
    <w:p w14:paraId="3D2D32FE" w14:textId="77777777" w:rsidR="00DE62D1" w:rsidRDefault="00DE62D1" w:rsidP="00DE62D1">
      <w:pPr>
        <w:jc w:val="both"/>
      </w:pPr>
    </w:p>
    <w:p w14:paraId="33159E08" w14:textId="1C32B50F" w:rsidR="00DE62D1" w:rsidRDefault="000B382C" w:rsidP="006C34CF">
      <w:pPr>
        <w:pStyle w:val="Paragraphedeliste"/>
        <w:numPr>
          <w:ilvl w:val="0"/>
          <w:numId w:val="10"/>
        </w:numPr>
        <w:ind w:left="1134" w:hanging="567"/>
        <w:jc w:val="both"/>
      </w:pPr>
      <w:r>
        <w:tab/>
      </w:r>
      <w:r w:rsidR="00DE62D1" w:rsidRPr="000F289D">
        <w:rPr>
          <w:color w:val="FF6700" w:themeColor="accent3"/>
        </w:rPr>
        <w:t xml:space="preserve">L'actionnaire dirigeant </w:t>
      </w:r>
    </w:p>
    <w:p w14:paraId="73C9DF1B" w14:textId="77777777" w:rsidR="00DB1010" w:rsidRDefault="00DB1010" w:rsidP="00DB1010">
      <w:pPr>
        <w:jc w:val="both"/>
      </w:pPr>
    </w:p>
    <w:p w14:paraId="50D7AE26" w14:textId="77777777" w:rsidR="00AE0746" w:rsidRDefault="00AE0746" w:rsidP="00DB1010">
      <w:pPr>
        <w:jc w:val="both"/>
      </w:pPr>
    </w:p>
    <w:tbl>
      <w:tblPr>
        <w:tblStyle w:val="Grille"/>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2"/>
        <w:gridCol w:w="4382"/>
      </w:tblGrid>
      <w:tr w:rsidR="00C91107" w14:paraId="60983098" w14:textId="77777777" w:rsidTr="00A46330">
        <w:tc>
          <w:tcPr>
            <w:tcW w:w="4382" w:type="dxa"/>
            <w:shd w:val="clear" w:color="auto" w:fill="E8E9DF" w:themeFill="accent4" w:themeFillTint="33"/>
          </w:tcPr>
          <w:p w14:paraId="4E94E5C6" w14:textId="77777777" w:rsidR="00C91107" w:rsidRDefault="00C91107" w:rsidP="00A46330">
            <w:pPr>
              <w:jc w:val="both"/>
            </w:pPr>
          </w:p>
        </w:tc>
        <w:tc>
          <w:tcPr>
            <w:tcW w:w="4382" w:type="dxa"/>
            <w:shd w:val="clear" w:color="auto" w:fill="E8E9DF" w:themeFill="accent4" w:themeFillTint="33"/>
          </w:tcPr>
          <w:p w14:paraId="413FB3FF" w14:textId="593C0026" w:rsidR="00C91107" w:rsidRDefault="00C91107" w:rsidP="00A46330">
            <w:pPr>
              <w:jc w:val="center"/>
            </w:pPr>
          </w:p>
        </w:tc>
      </w:tr>
      <w:tr w:rsidR="00C91107" w14:paraId="1962B7E0" w14:textId="77777777" w:rsidTr="00A46330">
        <w:tc>
          <w:tcPr>
            <w:tcW w:w="4382" w:type="dxa"/>
            <w:shd w:val="clear" w:color="auto" w:fill="E8E9DF" w:themeFill="accent4" w:themeFillTint="33"/>
          </w:tcPr>
          <w:p w14:paraId="498D1DF2" w14:textId="77777777" w:rsidR="00C91107" w:rsidRDefault="00C91107" w:rsidP="00A46330"/>
          <w:p w14:paraId="45C2A7E1" w14:textId="4020EE14" w:rsidR="00C91107" w:rsidRDefault="00C91107" w:rsidP="00A46330">
            <w:r>
              <w:t>Salaire vs dividendes</w:t>
            </w:r>
          </w:p>
          <w:p w14:paraId="57AF29D8" w14:textId="77777777" w:rsidR="00C91107" w:rsidRDefault="00C91107" w:rsidP="00A46330"/>
        </w:tc>
        <w:tc>
          <w:tcPr>
            <w:tcW w:w="4382" w:type="dxa"/>
            <w:shd w:val="clear" w:color="auto" w:fill="ADA598" w:themeFill="accent2" w:themeFillTint="99"/>
          </w:tcPr>
          <w:p w14:paraId="75E52BC4" w14:textId="77777777" w:rsidR="00C91107" w:rsidRDefault="00C91107" w:rsidP="00A46330">
            <w:pPr>
              <w:jc w:val="both"/>
            </w:pPr>
            <w:r>
              <w:rPr>
                <w:noProof/>
                <w:lang w:eastAsia="fr-FR"/>
              </w:rPr>
              <w:drawing>
                <wp:anchor distT="0" distB="0" distL="114300" distR="114300" simplePos="0" relativeHeight="251919360" behindDoc="0" locked="0" layoutInCell="1" allowOverlap="1" wp14:anchorId="411ADFAB" wp14:editId="3F03795D">
                  <wp:simplePos x="0" y="0"/>
                  <wp:positionH relativeFrom="column">
                    <wp:posOffset>1103630</wp:posOffset>
                  </wp:positionH>
                  <wp:positionV relativeFrom="paragraph">
                    <wp:posOffset>143510</wp:posOffset>
                  </wp:positionV>
                  <wp:extent cx="342900" cy="344805"/>
                  <wp:effectExtent l="0" t="0" r="12700" b="10795"/>
                  <wp:wrapNone/>
                  <wp:docPr id="93" name="Image 93"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C91107" w14:paraId="4AAC421A" w14:textId="77777777" w:rsidTr="00A46330">
        <w:tc>
          <w:tcPr>
            <w:tcW w:w="4382" w:type="dxa"/>
            <w:shd w:val="clear" w:color="auto" w:fill="E8E9DF" w:themeFill="accent4" w:themeFillTint="33"/>
          </w:tcPr>
          <w:p w14:paraId="7B34DD38" w14:textId="052F8ADB" w:rsidR="00C91107" w:rsidRDefault="00C91107" w:rsidP="00A46330">
            <w:r>
              <w:t>Contrôle sur le niveau de rémunération</w:t>
            </w:r>
          </w:p>
          <w:p w14:paraId="3617AD2C" w14:textId="77777777" w:rsidR="00C91107" w:rsidRDefault="00C91107" w:rsidP="00A46330"/>
        </w:tc>
        <w:tc>
          <w:tcPr>
            <w:tcW w:w="4382" w:type="dxa"/>
            <w:shd w:val="clear" w:color="auto" w:fill="ADA598" w:themeFill="accent2" w:themeFillTint="99"/>
          </w:tcPr>
          <w:p w14:paraId="455B4654" w14:textId="0EBF7DAF" w:rsidR="00C91107" w:rsidRDefault="00C91107" w:rsidP="00A46330">
            <w:pPr>
              <w:jc w:val="both"/>
            </w:pPr>
            <w:r>
              <w:rPr>
                <w:noProof/>
                <w:lang w:eastAsia="fr-FR"/>
              </w:rPr>
              <w:drawing>
                <wp:anchor distT="0" distB="0" distL="114300" distR="114300" simplePos="0" relativeHeight="251920384" behindDoc="0" locked="0" layoutInCell="1" allowOverlap="1" wp14:anchorId="3351D2AD" wp14:editId="51F0637D">
                  <wp:simplePos x="0" y="0"/>
                  <wp:positionH relativeFrom="column">
                    <wp:posOffset>1103630</wp:posOffset>
                  </wp:positionH>
                  <wp:positionV relativeFrom="paragraph">
                    <wp:posOffset>114300</wp:posOffset>
                  </wp:positionV>
                  <wp:extent cx="342900" cy="344805"/>
                  <wp:effectExtent l="0" t="0" r="12700" b="10795"/>
                  <wp:wrapNone/>
                  <wp:docPr id="95" name="Image 95"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C91107" w14:paraId="535DA612" w14:textId="77777777" w:rsidTr="00A46330">
        <w:tc>
          <w:tcPr>
            <w:tcW w:w="4382" w:type="dxa"/>
            <w:shd w:val="clear" w:color="auto" w:fill="E8E9DF" w:themeFill="accent4" w:themeFillTint="33"/>
          </w:tcPr>
          <w:p w14:paraId="4D70BD8E" w14:textId="3329F7F0" w:rsidR="00C91107" w:rsidRDefault="00C91107" w:rsidP="00A46330">
            <w:r>
              <w:t>Fractionnement avec conjointe (salaires ou dividendes)</w:t>
            </w:r>
          </w:p>
          <w:p w14:paraId="7924CFD1" w14:textId="77777777" w:rsidR="00C91107" w:rsidRDefault="00C91107" w:rsidP="00A46330"/>
        </w:tc>
        <w:tc>
          <w:tcPr>
            <w:tcW w:w="4382" w:type="dxa"/>
            <w:shd w:val="clear" w:color="auto" w:fill="ADA598" w:themeFill="accent2" w:themeFillTint="99"/>
          </w:tcPr>
          <w:p w14:paraId="14457FF6" w14:textId="63455FA4" w:rsidR="00C91107" w:rsidRDefault="00C91107" w:rsidP="00A46330">
            <w:pPr>
              <w:jc w:val="both"/>
            </w:pPr>
            <w:r>
              <w:rPr>
                <w:noProof/>
                <w:lang w:eastAsia="fr-FR"/>
              </w:rPr>
              <w:drawing>
                <wp:anchor distT="0" distB="0" distL="114300" distR="114300" simplePos="0" relativeHeight="251921408" behindDoc="0" locked="0" layoutInCell="1" allowOverlap="1" wp14:anchorId="0353C140" wp14:editId="519F03A1">
                  <wp:simplePos x="0" y="0"/>
                  <wp:positionH relativeFrom="column">
                    <wp:posOffset>1103630</wp:posOffset>
                  </wp:positionH>
                  <wp:positionV relativeFrom="paragraph">
                    <wp:posOffset>5080</wp:posOffset>
                  </wp:positionV>
                  <wp:extent cx="342900" cy="344805"/>
                  <wp:effectExtent l="0" t="0" r="12700" b="10795"/>
                  <wp:wrapNone/>
                  <wp:docPr id="94" name="Image 94"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C91107" w14:paraId="0C292CBB" w14:textId="77777777" w:rsidTr="00A46330">
        <w:tc>
          <w:tcPr>
            <w:tcW w:w="4382" w:type="dxa"/>
            <w:shd w:val="clear" w:color="auto" w:fill="E8E9DF" w:themeFill="accent4" w:themeFillTint="33"/>
          </w:tcPr>
          <w:p w14:paraId="7E70887D" w14:textId="57FC6172" w:rsidR="00C91107" w:rsidRDefault="00C91107" w:rsidP="00A46330">
            <w:r>
              <w:t xml:space="preserve">Fractionnement avec les enfants mineurs (salaires) </w:t>
            </w:r>
          </w:p>
          <w:p w14:paraId="2F84D996" w14:textId="15A88E87" w:rsidR="00C91107" w:rsidRDefault="00C91107" w:rsidP="00A46330"/>
        </w:tc>
        <w:tc>
          <w:tcPr>
            <w:tcW w:w="4382" w:type="dxa"/>
            <w:shd w:val="clear" w:color="auto" w:fill="ADA598" w:themeFill="accent2" w:themeFillTint="99"/>
          </w:tcPr>
          <w:p w14:paraId="169C16C0" w14:textId="709C6951" w:rsidR="00C91107" w:rsidRDefault="00C91107" w:rsidP="00A46330">
            <w:pPr>
              <w:jc w:val="both"/>
            </w:pPr>
            <w:r>
              <w:rPr>
                <w:noProof/>
                <w:lang w:eastAsia="fr-FR"/>
              </w:rPr>
              <w:drawing>
                <wp:anchor distT="0" distB="0" distL="114300" distR="114300" simplePos="0" relativeHeight="251923456" behindDoc="0" locked="0" layoutInCell="1" allowOverlap="1" wp14:anchorId="3B813C0A" wp14:editId="2D563692">
                  <wp:simplePos x="0" y="0"/>
                  <wp:positionH relativeFrom="column">
                    <wp:posOffset>1103630</wp:posOffset>
                  </wp:positionH>
                  <wp:positionV relativeFrom="paragraph">
                    <wp:posOffset>9525</wp:posOffset>
                  </wp:positionV>
                  <wp:extent cx="342900" cy="344805"/>
                  <wp:effectExtent l="0" t="0" r="12700" b="10795"/>
                  <wp:wrapNone/>
                  <wp:docPr id="101" name="Image 101"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C91107" w14:paraId="7C721EF7" w14:textId="77777777" w:rsidTr="00A46330">
        <w:tc>
          <w:tcPr>
            <w:tcW w:w="4382" w:type="dxa"/>
            <w:shd w:val="clear" w:color="auto" w:fill="E8E9DF" w:themeFill="accent4" w:themeFillTint="33"/>
          </w:tcPr>
          <w:p w14:paraId="158196BD" w14:textId="1FCD5FF6" w:rsidR="00C91107" w:rsidRDefault="00C91107" w:rsidP="00A46330">
            <w:r>
              <w:t xml:space="preserve">Fractionnement avec les enfants majeurs (salaires ou dividendes) </w:t>
            </w:r>
          </w:p>
          <w:p w14:paraId="4BC57C74" w14:textId="77777777" w:rsidR="00C91107" w:rsidRDefault="00C91107" w:rsidP="00A46330"/>
        </w:tc>
        <w:tc>
          <w:tcPr>
            <w:tcW w:w="4382" w:type="dxa"/>
            <w:shd w:val="clear" w:color="auto" w:fill="ADA598" w:themeFill="accent2" w:themeFillTint="99"/>
          </w:tcPr>
          <w:p w14:paraId="72443DC9" w14:textId="5F785B6D" w:rsidR="00C91107" w:rsidRDefault="00C91107" w:rsidP="00A46330">
            <w:pPr>
              <w:jc w:val="both"/>
            </w:pPr>
            <w:r>
              <w:rPr>
                <w:noProof/>
                <w:lang w:eastAsia="fr-FR"/>
              </w:rPr>
              <w:drawing>
                <wp:anchor distT="0" distB="0" distL="114300" distR="114300" simplePos="0" relativeHeight="251925504" behindDoc="0" locked="0" layoutInCell="1" allowOverlap="1" wp14:anchorId="27583D04" wp14:editId="03540017">
                  <wp:simplePos x="0" y="0"/>
                  <wp:positionH relativeFrom="column">
                    <wp:posOffset>1103630</wp:posOffset>
                  </wp:positionH>
                  <wp:positionV relativeFrom="paragraph">
                    <wp:posOffset>13970</wp:posOffset>
                  </wp:positionV>
                  <wp:extent cx="342900" cy="344805"/>
                  <wp:effectExtent l="0" t="0" r="12700" b="10795"/>
                  <wp:wrapNone/>
                  <wp:docPr id="102" name="Image 102"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C91107" w14:paraId="7F7F8CE6" w14:textId="77777777" w:rsidTr="00A46330">
        <w:tc>
          <w:tcPr>
            <w:tcW w:w="4382" w:type="dxa"/>
            <w:shd w:val="clear" w:color="auto" w:fill="E8E9DF" w:themeFill="accent4" w:themeFillTint="33"/>
          </w:tcPr>
          <w:p w14:paraId="24E720CF" w14:textId="5BA8F4F4" w:rsidR="00C91107" w:rsidRDefault="00C91107" w:rsidP="00A46330">
            <w:r>
              <w:t>Vente des actions de la société (avec prise de l’exonération pour gain en capital)</w:t>
            </w:r>
          </w:p>
          <w:p w14:paraId="5A1A1B1D" w14:textId="77777777" w:rsidR="00C91107" w:rsidRDefault="00C91107" w:rsidP="00A46330"/>
        </w:tc>
        <w:tc>
          <w:tcPr>
            <w:tcW w:w="4382" w:type="dxa"/>
            <w:shd w:val="clear" w:color="auto" w:fill="ADA598" w:themeFill="accent2" w:themeFillTint="99"/>
          </w:tcPr>
          <w:p w14:paraId="368EFC21" w14:textId="48941BF1" w:rsidR="00C91107" w:rsidRDefault="00C91107" w:rsidP="00A46330">
            <w:pPr>
              <w:jc w:val="both"/>
            </w:pPr>
            <w:r>
              <w:rPr>
                <w:noProof/>
                <w:lang w:eastAsia="fr-FR"/>
              </w:rPr>
              <w:drawing>
                <wp:anchor distT="0" distB="0" distL="114300" distR="114300" simplePos="0" relativeHeight="251927552" behindDoc="0" locked="0" layoutInCell="1" allowOverlap="1" wp14:anchorId="7500BF1F" wp14:editId="6D21D451">
                  <wp:simplePos x="0" y="0"/>
                  <wp:positionH relativeFrom="column">
                    <wp:posOffset>1103630</wp:posOffset>
                  </wp:positionH>
                  <wp:positionV relativeFrom="paragraph">
                    <wp:posOffset>18415</wp:posOffset>
                  </wp:positionV>
                  <wp:extent cx="342900" cy="344805"/>
                  <wp:effectExtent l="0" t="0" r="12700" b="10795"/>
                  <wp:wrapNone/>
                  <wp:docPr id="103" name="Image 103"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bl>
    <w:p w14:paraId="25E7A9BB" w14:textId="564F1403" w:rsidR="00A46330" w:rsidRDefault="00A46330" w:rsidP="00A46330">
      <w:pPr>
        <w:jc w:val="both"/>
      </w:pPr>
      <w:r>
        <w:t>De tous les contribuables, c’est l’individu en affaires, à la fois, actionnaire et</w:t>
      </w:r>
      <w:r w:rsidR="00076743">
        <w:t xml:space="preserve"> </w:t>
      </w:r>
      <w:r>
        <w:t xml:space="preserve">dirigeant d’une société privée, qui se retrouve avec les opportunités de planification les plus nombreuses.  Ce sujet excessivement </w:t>
      </w:r>
      <w:r w:rsidR="00D644AD">
        <w:t>dense</w:t>
      </w:r>
      <w:r>
        <w:t xml:space="preserve"> sera traité plus à fond</w:t>
      </w:r>
      <w:r w:rsidR="00076743">
        <w:t xml:space="preserve"> </w:t>
      </w:r>
      <w:r>
        <w:t>ultérieur</w:t>
      </w:r>
      <w:r w:rsidR="00076743">
        <w:t>e</w:t>
      </w:r>
      <w:r>
        <w:t>ment. Pour l’instant,</w:t>
      </w:r>
      <w:r w:rsidR="00D92C1C">
        <w:t xml:space="preserve"> </w:t>
      </w:r>
      <w:r>
        <w:t xml:space="preserve">notons différents outils mis à la disposition de l’actionnaire dirigeant dans sa quête de contrôle et de fractionnement de ses revenus de retraite afin de maximiser la PSV. L’objectif ultime étant de garder le revenu assujetti sous le seuil </w:t>
      </w:r>
      <w:r>
        <w:tab/>
        <w:t xml:space="preserve">d’environ 72 000 $, tout en permettant, lorsque cela est nécessaire, de générer d’autres liquidités (afin de pouvoir au train de vie) non utilisées dans le calcul de la réduction de la PSV.  </w:t>
      </w:r>
    </w:p>
    <w:p w14:paraId="7D40BCEB" w14:textId="77777777" w:rsidR="00AE0746" w:rsidRDefault="00AE0746" w:rsidP="00DB1010">
      <w:pPr>
        <w:jc w:val="both"/>
      </w:pPr>
    </w:p>
    <w:p w14:paraId="43672BBF" w14:textId="77777777" w:rsidR="00A46330" w:rsidRDefault="00A46330" w:rsidP="00DB1010">
      <w:pPr>
        <w:jc w:val="both"/>
      </w:pPr>
    </w:p>
    <w:p w14:paraId="68061CCB" w14:textId="77777777" w:rsidR="00A46330" w:rsidRDefault="00A46330" w:rsidP="00DB1010">
      <w:pPr>
        <w:jc w:val="both"/>
      </w:pPr>
    </w:p>
    <w:p w14:paraId="0C64BE49" w14:textId="77777777" w:rsidR="00034CFF" w:rsidRDefault="00034CFF" w:rsidP="00DB1010">
      <w:pPr>
        <w:jc w:val="both"/>
      </w:pPr>
    </w:p>
    <w:p w14:paraId="20CEFFE3" w14:textId="473EABDD" w:rsidR="009E4B3E" w:rsidRPr="009E4B3E" w:rsidRDefault="00315A5F" w:rsidP="006C34CF">
      <w:pPr>
        <w:numPr>
          <w:ilvl w:val="4"/>
          <w:numId w:val="11"/>
        </w:numPr>
        <w:ind w:left="1134" w:hanging="1134"/>
        <w:jc w:val="both"/>
        <w:rPr>
          <w:color w:val="FF0000"/>
        </w:rPr>
      </w:pPr>
      <w:r w:rsidRPr="00315A5F">
        <w:lastRenderedPageBreak/>
        <w:t xml:space="preserve">Report </w:t>
      </w:r>
      <w:r w:rsidR="00531348">
        <w:t xml:space="preserve">volontaire </w:t>
      </w:r>
      <w:r w:rsidRPr="00315A5F">
        <w:t>de la PSV</w:t>
      </w:r>
      <w:r w:rsidR="004E339C">
        <w:t xml:space="preserve"> </w:t>
      </w:r>
    </w:p>
    <w:p w14:paraId="775E2E1D" w14:textId="77777777" w:rsidR="00531348" w:rsidRDefault="00531348">
      <w:pPr>
        <w:rPr>
          <w:color w:val="FF0000"/>
        </w:rPr>
      </w:pPr>
    </w:p>
    <w:p w14:paraId="5925D974" w14:textId="4E967CB1" w:rsidR="00531539" w:rsidRDefault="00531348" w:rsidP="00531348">
      <w:pPr>
        <w:jc w:val="both"/>
      </w:pPr>
      <w:r>
        <w:t>Depuis le 1</w:t>
      </w:r>
      <w:r w:rsidRPr="00531348">
        <w:rPr>
          <w:vertAlign w:val="superscript"/>
        </w:rPr>
        <w:t>er</w:t>
      </w:r>
      <w:r>
        <w:t xml:space="preserve"> juillet 2013, les personnes admissibles à la PSV peuvent faire le choix d’en effectuer le report dans le temps et ainsi bonifier leur prestation de ,6 %/mois reporté (7,2 %/année). La période maximale du report est de 60 mois (encaissement de la PSV à 70 ans). Une fois le choix d’adhérer à la PSV</w:t>
      </w:r>
      <w:r w:rsidR="00C911A8">
        <w:t xml:space="preserve"> réalisé</w:t>
      </w:r>
      <w:r>
        <w:t xml:space="preserve">, celui-ci devient irréversible. </w:t>
      </w:r>
    </w:p>
    <w:p w14:paraId="246FDA70" w14:textId="77777777" w:rsidR="00C911A8" w:rsidRDefault="00C911A8" w:rsidP="00531348">
      <w:pPr>
        <w:jc w:val="both"/>
      </w:pPr>
    </w:p>
    <w:p w14:paraId="4A26CFFC" w14:textId="77777777" w:rsidR="00531539" w:rsidRDefault="00531539" w:rsidP="00531348">
      <w:pPr>
        <w:jc w:val="both"/>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4820"/>
        <w:gridCol w:w="5383"/>
      </w:tblGrid>
      <w:tr w:rsidR="00531539" w14:paraId="5D376FA5" w14:textId="77777777" w:rsidTr="004E5F6F">
        <w:tc>
          <w:tcPr>
            <w:tcW w:w="2943" w:type="dxa"/>
            <w:shd w:val="clear" w:color="auto" w:fill="E8E9DF" w:themeFill="accent4" w:themeFillTint="33"/>
          </w:tcPr>
          <w:p w14:paraId="4CABC67A" w14:textId="77777777" w:rsidR="00531539" w:rsidRDefault="00531539" w:rsidP="00531539">
            <w:pPr>
              <w:jc w:val="both"/>
            </w:pPr>
          </w:p>
        </w:tc>
        <w:tc>
          <w:tcPr>
            <w:tcW w:w="4820" w:type="dxa"/>
            <w:shd w:val="clear" w:color="auto" w:fill="E8E9DF" w:themeFill="accent4" w:themeFillTint="33"/>
          </w:tcPr>
          <w:p w14:paraId="74EA0178" w14:textId="5E6C5A41" w:rsidR="00531539" w:rsidRDefault="00531539" w:rsidP="00531539">
            <w:pPr>
              <w:jc w:val="center"/>
            </w:pPr>
            <w:r>
              <w:t>Pourcentage de majoration</w:t>
            </w:r>
          </w:p>
        </w:tc>
        <w:tc>
          <w:tcPr>
            <w:tcW w:w="5383" w:type="dxa"/>
            <w:shd w:val="clear" w:color="auto" w:fill="E8E9DF" w:themeFill="accent4" w:themeFillTint="33"/>
          </w:tcPr>
          <w:p w14:paraId="50475FEA" w14:textId="7E3A7A39" w:rsidR="00531539" w:rsidRDefault="00531539" w:rsidP="00531539">
            <w:pPr>
              <w:jc w:val="center"/>
            </w:pPr>
            <w:r>
              <w:t xml:space="preserve">Montant annuel de </w:t>
            </w:r>
            <w:r w:rsidR="00C911A8">
              <w:t xml:space="preserve">la </w:t>
            </w:r>
            <w:r>
              <w:t>PSV</w:t>
            </w:r>
          </w:p>
        </w:tc>
      </w:tr>
      <w:tr w:rsidR="00531539" w14:paraId="572EF603" w14:textId="77777777" w:rsidTr="004E5F6F">
        <w:tc>
          <w:tcPr>
            <w:tcW w:w="2943" w:type="dxa"/>
            <w:shd w:val="clear" w:color="auto" w:fill="E8E9DF" w:themeFill="accent4" w:themeFillTint="33"/>
          </w:tcPr>
          <w:p w14:paraId="4205A11F" w14:textId="77777777" w:rsidR="00531539" w:rsidRDefault="00531539" w:rsidP="00483E0E"/>
          <w:p w14:paraId="7AF3EEA0" w14:textId="6C752D39" w:rsidR="00531539" w:rsidRDefault="00531539" w:rsidP="00483E0E">
            <w:r>
              <w:t>Avant 65 ans</w:t>
            </w:r>
          </w:p>
          <w:p w14:paraId="7B166DB4" w14:textId="77777777" w:rsidR="00531539" w:rsidRDefault="00531539" w:rsidP="00483E0E"/>
        </w:tc>
        <w:tc>
          <w:tcPr>
            <w:tcW w:w="4820" w:type="dxa"/>
            <w:shd w:val="clear" w:color="auto" w:fill="7F7F7F" w:themeFill="text1" w:themeFillTint="80"/>
          </w:tcPr>
          <w:p w14:paraId="6D030098" w14:textId="77777777" w:rsidR="00531539" w:rsidRPr="00C911A8" w:rsidRDefault="00531539" w:rsidP="00531539">
            <w:pPr>
              <w:jc w:val="center"/>
              <w:rPr>
                <w:color w:val="FFFFFF" w:themeColor="background1"/>
              </w:rPr>
            </w:pPr>
          </w:p>
          <w:p w14:paraId="267B7CB7" w14:textId="0634FECD" w:rsidR="00531539" w:rsidRPr="00C911A8" w:rsidRDefault="00531539" w:rsidP="00531539">
            <w:pPr>
              <w:jc w:val="center"/>
              <w:rPr>
                <w:color w:val="FFFFFF" w:themeColor="background1"/>
              </w:rPr>
            </w:pPr>
            <w:r w:rsidRPr="00C911A8">
              <w:rPr>
                <w:color w:val="FFFFFF" w:themeColor="background1"/>
              </w:rPr>
              <w:t>Aucune demande anticipée possible</w:t>
            </w:r>
          </w:p>
        </w:tc>
        <w:tc>
          <w:tcPr>
            <w:tcW w:w="5383" w:type="dxa"/>
            <w:shd w:val="clear" w:color="auto" w:fill="74A510" w:themeFill="background2" w:themeFillShade="80"/>
          </w:tcPr>
          <w:p w14:paraId="273ABB5C" w14:textId="77777777" w:rsidR="00531539" w:rsidRPr="00C911A8" w:rsidRDefault="00531539" w:rsidP="00C911A8">
            <w:pPr>
              <w:jc w:val="center"/>
              <w:rPr>
                <w:color w:val="FFFFFF" w:themeColor="background1"/>
              </w:rPr>
            </w:pPr>
          </w:p>
          <w:p w14:paraId="6A6C48BA" w14:textId="133280E1" w:rsidR="00531539" w:rsidRPr="00C911A8" w:rsidRDefault="00531539" w:rsidP="00C911A8">
            <w:pPr>
              <w:jc w:val="center"/>
              <w:rPr>
                <w:color w:val="FFFFFF" w:themeColor="background1"/>
              </w:rPr>
            </w:pPr>
            <w:r w:rsidRPr="00C911A8">
              <w:rPr>
                <w:color w:val="FFFFFF" w:themeColor="background1"/>
              </w:rPr>
              <w:t>Nul</w:t>
            </w:r>
          </w:p>
        </w:tc>
      </w:tr>
      <w:tr w:rsidR="00531539" w14:paraId="25839E7C" w14:textId="77777777" w:rsidTr="004E5F6F">
        <w:tc>
          <w:tcPr>
            <w:tcW w:w="2943" w:type="dxa"/>
            <w:shd w:val="clear" w:color="auto" w:fill="E8E9DF" w:themeFill="accent4" w:themeFillTint="33"/>
          </w:tcPr>
          <w:p w14:paraId="3FA0C741" w14:textId="5F73E9FE" w:rsidR="00531539" w:rsidRDefault="00531539" w:rsidP="00483E0E">
            <w:r>
              <w:t>À 65 ans</w:t>
            </w:r>
          </w:p>
          <w:p w14:paraId="1608CD40" w14:textId="77777777" w:rsidR="00531539" w:rsidRDefault="00531539" w:rsidP="00483E0E"/>
        </w:tc>
        <w:tc>
          <w:tcPr>
            <w:tcW w:w="4820" w:type="dxa"/>
            <w:shd w:val="clear" w:color="auto" w:fill="7F7F7F" w:themeFill="text1" w:themeFillTint="80"/>
          </w:tcPr>
          <w:p w14:paraId="6AB6D269" w14:textId="7EC40BCD" w:rsidR="00531539" w:rsidRPr="00C911A8" w:rsidRDefault="00531539" w:rsidP="00531539">
            <w:pPr>
              <w:jc w:val="center"/>
              <w:rPr>
                <w:color w:val="FFFFFF" w:themeColor="background1"/>
              </w:rPr>
            </w:pPr>
            <w:r w:rsidRPr="00C911A8">
              <w:rPr>
                <w:color w:val="FFFFFF" w:themeColor="background1"/>
              </w:rPr>
              <w:t>100 %</w:t>
            </w:r>
          </w:p>
        </w:tc>
        <w:tc>
          <w:tcPr>
            <w:tcW w:w="5383" w:type="dxa"/>
            <w:shd w:val="clear" w:color="auto" w:fill="74A510" w:themeFill="background2" w:themeFillShade="80"/>
          </w:tcPr>
          <w:p w14:paraId="02B2EEE6" w14:textId="13870405" w:rsidR="00531539" w:rsidRPr="00C911A8" w:rsidRDefault="00531539" w:rsidP="00C911A8">
            <w:pPr>
              <w:jc w:val="center"/>
              <w:rPr>
                <w:color w:val="FFFFFF" w:themeColor="background1"/>
              </w:rPr>
            </w:pPr>
            <w:r w:rsidRPr="00C911A8">
              <w:rPr>
                <w:color w:val="FFFFFF" w:themeColor="background1"/>
              </w:rPr>
              <w:t>6 765 $</w:t>
            </w:r>
          </w:p>
        </w:tc>
      </w:tr>
      <w:tr w:rsidR="00531539" w14:paraId="14D934D8" w14:textId="77777777" w:rsidTr="004E5F6F">
        <w:tc>
          <w:tcPr>
            <w:tcW w:w="2943" w:type="dxa"/>
            <w:shd w:val="clear" w:color="auto" w:fill="E8E9DF" w:themeFill="accent4" w:themeFillTint="33"/>
          </w:tcPr>
          <w:p w14:paraId="4563C5FA" w14:textId="6C580365" w:rsidR="00531539" w:rsidRDefault="00531539" w:rsidP="00483E0E">
            <w:r>
              <w:t>À 66 ans</w:t>
            </w:r>
          </w:p>
          <w:p w14:paraId="1FAEEAE1" w14:textId="77777777" w:rsidR="00531539" w:rsidRDefault="00531539" w:rsidP="00483E0E"/>
        </w:tc>
        <w:tc>
          <w:tcPr>
            <w:tcW w:w="4820" w:type="dxa"/>
            <w:shd w:val="clear" w:color="auto" w:fill="7F7F7F" w:themeFill="text1" w:themeFillTint="80"/>
          </w:tcPr>
          <w:p w14:paraId="1475722A" w14:textId="2E7D4F88" w:rsidR="00531539" w:rsidRPr="00C911A8" w:rsidRDefault="00531539" w:rsidP="00531539">
            <w:pPr>
              <w:jc w:val="center"/>
              <w:rPr>
                <w:color w:val="FFFFFF" w:themeColor="background1"/>
              </w:rPr>
            </w:pPr>
            <w:r w:rsidRPr="00C911A8">
              <w:rPr>
                <w:color w:val="FFFFFF" w:themeColor="background1"/>
              </w:rPr>
              <w:t>107,2 %</w:t>
            </w:r>
          </w:p>
        </w:tc>
        <w:tc>
          <w:tcPr>
            <w:tcW w:w="5383" w:type="dxa"/>
            <w:shd w:val="clear" w:color="auto" w:fill="74A510" w:themeFill="background2" w:themeFillShade="80"/>
          </w:tcPr>
          <w:p w14:paraId="78A9601D" w14:textId="3DB1E3D9" w:rsidR="00531539" w:rsidRPr="00C911A8" w:rsidRDefault="00531539" w:rsidP="00C911A8">
            <w:pPr>
              <w:jc w:val="center"/>
              <w:rPr>
                <w:color w:val="FFFFFF" w:themeColor="background1"/>
              </w:rPr>
            </w:pPr>
            <w:r w:rsidRPr="00C911A8">
              <w:rPr>
                <w:color w:val="FFFFFF" w:themeColor="background1"/>
              </w:rPr>
              <w:t>7 252 $</w:t>
            </w:r>
          </w:p>
        </w:tc>
      </w:tr>
      <w:tr w:rsidR="00531539" w14:paraId="6BFE5BFE" w14:textId="77777777" w:rsidTr="004E5F6F">
        <w:tc>
          <w:tcPr>
            <w:tcW w:w="2943" w:type="dxa"/>
            <w:shd w:val="clear" w:color="auto" w:fill="E8E9DF" w:themeFill="accent4" w:themeFillTint="33"/>
          </w:tcPr>
          <w:p w14:paraId="6BCD0321" w14:textId="699C99BF" w:rsidR="00531539" w:rsidRDefault="00531539" w:rsidP="00483E0E">
            <w:r>
              <w:t>À 67 ans</w:t>
            </w:r>
          </w:p>
          <w:p w14:paraId="32FDFFD3" w14:textId="77777777" w:rsidR="00531539" w:rsidRDefault="00531539" w:rsidP="00483E0E"/>
        </w:tc>
        <w:tc>
          <w:tcPr>
            <w:tcW w:w="4820" w:type="dxa"/>
            <w:shd w:val="clear" w:color="auto" w:fill="7F7F7F" w:themeFill="text1" w:themeFillTint="80"/>
          </w:tcPr>
          <w:p w14:paraId="554C1ECA" w14:textId="1860DBE4" w:rsidR="00531539" w:rsidRPr="00C911A8" w:rsidRDefault="00531539" w:rsidP="00531539">
            <w:pPr>
              <w:jc w:val="center"/>
              <w:rPr>
                <w:color w:val="FFFFFF" w:themeColor="background1"/>
              </w:rPr>
            </w:pPr>
            <w:r w:rsidRPr="00C911A8">
              <w:rPr>
                <w:color w:val="FFFFFF" w:themeColor="background1"/>
              </w:rPr>
              <w:t>114,4 %</w:t>
            </w:r>
          </w:p>
        </w:tc>
        <w:tc>
          <w:tcPr>
            <w:tcW w:w="5383" w:type="dxa"/>
            <w:shd w:val="clear" w:color="auto" w:fill="74A510" w:themeFill="background2" w:themeFillShade="80"/>
          </w:tcPr>
          <w:p w14:paraId="6445FCC1" w14:textId="6C7EBFDD" w:rsidR="00531539" w:rsidRPr="00C911A8" w:rsidRDefault="00531539" w:rsidP="00C911A8">
            <w:pPr>
              <w:jc w:val="center"/>
              <w:rPr>
                <w:color w:val="FFFFFF" w:themeColor="background1"/>
              </w:rPr>
            </w:pPr>
            <w:r w:rsidRPr="00C911A8">
              <w:rPr>
                <w:color w:val="FFFFFF" w:themeColor="background1"/>
              </w:rPr>
              <w:t>7 739 $</w:t>
            </w:r>
          </w:p>
        </w:tc>
      </w:tr>
      <w:tr w:rsidR="00531539" w14:paraId="295C095C" w14:textId="77777777" w:rsidTr="004E5F6F">
        <w:tc>
          <w:tcPr>
            <w:tcW w:w="2943" w:type="dxa"/>
            <w:shd w:val="clear" w:color="auto" w:fill="E8E9DF" w:themeFill="accent4" w:themeFillTint="33"/>
          </w:tcPr>
          <w:p w14:paraId="181BFDFC" w14:textId="610CE6C7" w:rsidR="00531539" w:rsidRDefault="00531539" w:rsidP="00483E0E">
            <w:r>
              <w:t>À 68 ans</w:t>
            </w:r>
          </w:p>
          <w:p w14:paraId="04EB76CE" w14:textId="77777777" w:rsidR="00531539" w:rsidRDefault="00531539" w:rsidP="00483E0E"/>
        </w:tc>
        <w:tc>
          <w:tcPr>
            <w:tcW w:w="4820" w:type="dxa"/>
            <w:shd w:val="clear" w:color="auto" w:fill="7F7F7F" w:themeFill="text1" w:themeFillTint="80"/>
          </w:tcPr>
          <w:p w14:paraId="58397089" w14:textId="56E0783E" w:rsidR="00531539" w:rsidRPr="00C911A8" w:rsidRDefault="00531539" w:rsidP="00531539">
            <w:pPr>
              <w:jc w:val="center"/>
              <w:rPr>
                <w:color w:val="FFFFFF" w:themeColor="background1"/>
              </w:rPr>
            </w:pPr>
            <w:r w:rsidRPr="00C911A8">
              <w:rPr>
                <w:color w:val="FFFFFF" w:themeColor="background1"/>
              </w:rPr>
              <w:t>121,6 %</w:t>
            </w:r>
          </w:p>
        </w:tc>
        <w:tc>
          <w:tcPr>
            <w:tcW w:w="5383" w:type="dxa"/>
            <w:shd w:val="clear" w:color="auto" w:fill="74A510" w:themeFill="background2" w:themeFillShade="80"/>
          </w:tcPr>
          <w:p w14:paraId="2E9F1E59" w14:textId="55937ECA" w:rsidR="00531539" w:rsidRPr="00C911A8" w:rsidRDefault="00531539" w:rsidP="00C911A8">
            <w:pPr>
              <w:jc w:val="center"/>
              <w:rPr>
                <w:color w:val="FFFFFF" w:themeColor="background1"/>
              </w:rPr>
            </w:pPr>
            <w:r w:rsidRPr="00C911A8">
              <w:rPr>
                <w:color w:val="FFFFFF" w:themeColor="background1"/>
              </w:rPr>
              <w:t>8 226 $</w:t>
            </w:r>
          </w:p>
        </w:tc>
      </w:tr>
      <w:tr w:rsidR="00531539" w14:paraId="08440F8D" w14:textId="77777777" w:rsidTr="004E5F6F">
        <w:tc>
          <w:tcPr>
            <w:tcW w:w="2943" w:type="dxa"/>
            <w:shd w:val="clear" w:color="auto" w:fill="E8E9DF" w:themeFill="accent4" w:themeFillTint="33"/>
          </w:tcPr>
          <w:p w14:paraId="46FE40F3" w14:textId="230E9042" w:rsidR="00531539" w:rsidRDefault="00531539" w:rsidP="00483E0E">
            <w:r>
              <w:t>À 69 ans</w:t>
            </w:r>
          </w:p>
          <w:p w14:paraId="67B42E85" w14:textId="77777777" w:rsidR="00531539" w:rsidRDefault="00531539" w:rsidP="00483E0E"/>
        </w:tc>
        <w:tc>
          <w:tcPr>
            <w:tcW w:w="4820" w:type="dxa"/>
            <w:shd w:val="clear" w:color="auto" w:fill="7F7F7F" w:themeFill="text1" w:themeFillTint="80"/>
          </w:tcPr>
          <w:p w14:paraId="0669A0ED" w14:textId="7C71C81F" w:rsidR="00531539" w:rsidRPr="00C911A8" w:rsidRDefault="00531539" w:rsidP="00531539">
            <w:pPr>
              <w:jc w:val="center"/>
              <w:rPr>
                <w:color w:val="FFFFFF" w:themeColor="background1"/>
              </w:rPr>
            </w:pPr>
            <w:r w:rsidRPr="00C911A8">
              <w:rPr>
                <w:color w:val="FFFFFF" w:themeColor="background1"/>
              </w:rPr>
              <w:t>128,8 %</w:t>
            </w:r>
          </w:p>
        </w:tc>
        <w:tc>
          <w:tcPr>
            <w:tcW w:w="5383" w:type="dxa"/>
            <w:shd w:val="clear" w:color="auto" w:fill="74A510" w:themeFill="background2" w:themeFillShade="80"/>
          </w:tcPr>
          <w:p w14:paraId="1D4F5A33" w14:textId="1673EED1" w:rsidR="00531539" w:rsidRPr="00C911A8" w:rsidRDefault="00531539" w:rsidP="00C911A8">
            <w:pPr>
              <w:jc w:val="center"/>
              <w:rPr>
                <w:color w:val="FFFFFF" w:themeColor="background1"/>
              </w:rPr>
            </w:pPr>
            <w:r w:rsidRPr="00C911A8">
              <w:rPr>
                <w:color w:val="FFFFFF" w:themeColor="background1"/>
              </w:rPr>
              <w:t>8 713 $</w:t>
            </w:r>
          </w:p>
        </w:tc>
      </w:tr>
      <w:tr w:rsidR="00531539" w14:paraId="62A361CC" w14:textId="77777777" w:rsidTr="004E5F6F">
        <w:tc>
          <w:tcPr>
            <w:tcW w:w="2943" w:type="dxa"/>
            <w:shd w:val="clear" w:color="auto" w:fill="E8E9DF" w:themeFill="accent4" w:themeFillTint="33"/>
          </w:tcPr>
          <w:p w14:paraId="6AA2E5C1" w14:textId="0655069E" w:rsidR="00531539" w:rsidRDefault="00531539" w:rsidP="00483E0E">
            <w:r>
              <w:t>À 70 ans</w:t>
            </w:r>
          </w:p>
          <w:p w14:paraId="030521D3" w14:textId="37A5B1CD" w:rsidR="00531539" w:rsidRDefault="00531539" w:rsidP="00483E0E"/>
        </w:tc>
        <w:tc>
          <w:tcPr>
            <w:tcW w:w="4820" w:type="dxa"/>
            <w:shd w:val="clear" w:color="auto" w:fill="7F7F7F" w:themeFill="text1" w:themeFillTint="80"/>
          </w:tcPr>
          <w:p w14:paraId="76EF4B01" w14:textId="34175927" w:rsidR="00531539" w:rsidRPr="00C911A8" w:rsidRDefault="00531539" w:rsidP="00531539">
            <w:pPr>
              <w:jc w:val="center"/>
              <w:rPr>
                <w:color w:val="FFFFFF" w:themeColor="background1"/>
              </w:rPr>
            </w:pPr>
            <w:r w:rsidRPr="00C911A8">
              <w:rPr>
                <w:color w:val="FFFFFF" w:themeColor="background1"/>
              </w:rPr>
              <w:t>136 %</w:t>
            </w:r>
          </w:p>
        </w:tc>
        <w:tc>
          <w:tcPr>
            <w:tcW w:w="5383" w:type="dxa"/>
            <w:shd w:val="clear" w:color="auto" w:fill="74A510" w:themeFill="background2" w:themeFillShade="80"/>
          </w:tcPr>
          <w:p w14:paraId="551D5DC6" w14:textId="789D7CD2" w:rsidR="00531539" w:rsidRPr="00C911A8" w:rsidRDefault="00531539" w:rsidP="00C911A8">
            <w:pPr>
              <w:jc w:val="center"/>
              <w:rPr>
                <w:color w:val="FFFFFF" w:themeColor="background1"/>
              </w:rPr>
            </w:pPr>
            <w:r w:rsidRPr="00C911A8">
              <w:rPr>
                <w:color w:val="FFFFFF" w:themeColor="background1"/>
              </w:rPr>
              <w:t>9 200 $</w:t>
            </w:r>
          </w:p>
        </w:tc>
      </w:tr>
    </w:tbl>
    <w:p w14:paraId="4ADFDDC5" w14:textId="77777777" w:rsidR="00531539" w:rsidRDefault="00531539" w:rsidP="00531539">
      <w:pPr>
        <w:jc w:val="both"/>
      </w:pPr>
    </w:p>
    <w:p w14:paraId="721BCCBB" w14:textId="77777777" w:rsidR="00C911A8" w:rsidRDefault="00C911A8" w:rsidP="00531348">
      <w:pPr>
        <w:jc w:val="both"/>
        <w:rPr>
          <w:color w:val="FF0000"/>
        </w:rPr>
      </w:pPr>
    </w:p>
    <w:p w14:paraId="22DA99F6" w14:textId="77777777" w:rsidR="00CC3C51" w:rsidRDefault="00C911A8" w:rsidP="00531348">
      <w:pPr>
        <w:jc w:val="both"/>
        <w:rPr>
          <w:rFonts w:ascii="Avenir Book" w:hAnsi="Avenir Book"/>
        </w:rPr>
      </w:pPr>
      <w:r>
        <w:t xml:space="preserve">Maintenant, la question qui nous intéresse tous ; </w:t>
      </w:r>
      <w:r w:rsidRPr="00076743">
        <w:rPr>
          <w:u w:val="single"/>
        </w:rPr>
        <w:t>est-il souhaitable de reporter l’adhésion à la PSV</w:t>
      </w:r>
      <w:r>
        <w:t xml:space="preserve"> pour avoir droit à une prestation plus généreuse</w:t>
      </w:r>
      <w:r w:rsidRPr="00C911A8">
        <w:rPr>
          <w:rFonts w:ascii="Avenir Book" w:hAnsi="Avenir Book"/>
        </w:rPr>
        <w:t>?</w:t>
      </w:r>
      <w:r>
        <w:rPr>
          <w:rFonts w:ascii="Avenir Book" w:hAnsi="Avenir Book"/>
        </w:rPr>
        <w:t xml:space="preserve"> </w:t>
      </w:r>
    </w:p>
    <w:p w14:paraId="40AC8F8D" w14:textId="77777777" w:rsidR="00CC3C51" w:rsidRDefault="00CC3C51" w:rsidP="00531348">
      <w:pPr>
        <w:jc w:val="both"/>
        <w:rPr>
          <w:rFonts w:ascii="Avenir Book" w:hAnsi="Avenir Book"/>
        </w:rPr>
      </w:pPr>
    </w:p>
    <w:p w14:paraId="641DFE34" w14:textId="53D86BC8" w:rsidR="004E5F6F" w:rsidRDefault="00C911A8" w:rsidP="00531348">
      <w:pPr>
        <w:jc w:val="both"/>
        <w:rPr>
          <w:rFonts w:asciiTheme="majorHAnsi" w:hAnsiTheme="majorHAnsi"/>
        </w:rPr>
      </w:pPr>
      <w:r w:rsidRPr="00CC3C51">
        <w:rPr>
          <w:rFonts w:asciiTheme="majorHAnsi" w:hAnsiTheme="majorHAnsi"/>
        </w:rPr>
        <w:t>Pour répondre à cette question, de manière p</w:t>
      </w:r>
      <w:r w:rsidR="009D6EFE">
        <w:rPr>
          <w:rFonts w:asciiTheme="majorHAnsi" w:hAnsiTheme="majorHAnsi"/>
        </w:rPr>
        <w:t>u</w:t>
      </w:r>
      <w:r w:rsidRPr="00CC3C51">
        <w:rPr>
          <w:rFonts w:asciiTheme="majorHAnsi" w:hAnsiTheme="majorHAnsi"/>
        </w:rPr>
        <w:t>rement financière</w:t>
      </w:r>
      <w:r w:rsidR="00CC3C51" w:rsidRPr="00CC3C51">
        <w:rPr>
          <w:rFonts w:asciiTheme="majorHAnsi" w:hAnsiTheme="majorHAnsi"/>
        </w:rPr>
        <w:t xml:space="preserve">, </w:t>
      </w:r>
      <w:r w:rsidRPr="00CC3C51">
        <w:rPr>
          <w:rFonts w:asciiTheme="majorHAnsi" w:hAnsiTheme="majorHAnsi"/>
        </w:rPr>
        <w:t>il faut</w:t>
      </w:r>
      <w:r w:rsidR="00CC3C51" w:rsidRPr="00CC3C51">
        <w:rPr>
          <w:rFonts w:asciiTheme="majorHAnsi" w:hAnsiTheme="majorHAnsi"/>
        </w:rPr>
        <w:t xml:space="preserve"> connaître une seule variable…impossible à déterminer…à quel âge </w:t>
      </w:r>
      <w:r w:rsidR="00D644AD">
        <w:rPr>
          <w:rFonts w:asciiTheme="majorHAnsi" w:hAnsiTheme="majorHAnsi"/>
        </w:rPr>
        <w:t>vais</w:t>
      </w:r>
      <w:r w:rsidR="00CC3C51" w:rsidRPr="00CC3C51">
        <w:rPr>
          <w:rFonts w:asciiTheme="majorHAnsi" w:hAnsiTheme="majorHAnsi"/>
        </w:rPr>
        <w:t>-je mourir</w:t>
      </w:r>
      <w:r w:rsidR="00CC3C51" w:rsidRPr="00C911A8">
        <w:rPr>
          <w:rFonts w:ascii="Avenir Book" w:hAnsi="Avenir Book"/>
        </w:rPr>
        <w:t>?</w:t>
      </w:r>
      <w:r w:rsidR="00CC3C51">
        <w:rPr>
          <w:rFonts w:ascii="Avenir Book" w:hAnsi="Avenir Book"/>
        </w:rPr>
        <w:t xml:space="preserve"> </w:t>
      </w:r>
      <w:r w:rsidR="00CC3C51" w:rsidRPr="00CC3C51">
        <w:rPr>
          <w:rFonts w:asciiTheme="majorHAnsi" w:hAnsiTheme="majorHAnsi"/>
        </w:rPr>
        <w:t xml:space="preserve">Dans </w:t>
      </w:r>
      <w:r w:rsidR="00CC3C51">
        <w:rPr>
          <w:rFonts w:asciiTheme="majorHAnsi" w:hAnsiTheme="majorHAnsi"/>
        </w:rPr>
        <w:t>la prochaine</w:t>
      </w:r>
      <w:r w:rsidR="00CC3C51" w:rsidRPr="00CC3C51">
        <w:rPr>
          <w:rFonts w:asciiTheme="majorHAnsi" w:hAnsiTheme="majorHAnsi"/>
        </w:rPr>
        <w:t xml:space="preserve"> capsule, nous vous </w:t>
      </w:r>
      <w:r w:rsidR="00CC3C51" w:rsidRPr="00CC3C51">
        <w:rPr>
          <w:rFonts w:asciiTheme="majorHAnsi" w:hAnsiTheme="majorHAnsi"/>
        </w:rPr>
        <w:lastRenderedPageBreak/>
        <w:t>présenterons comment faire ce calcul mortuaire.</w:t>
      </w:r>
      <w:r w:rsidR="00CC3C51">
        <w:rPr>
          <w:rFonts w:asciiTheme="majorHAnsi" w:hAnsiTheme="majorHAnsi"/>
        </w:rPr>
        <w:t xml:space="preserve"> Juste avant, nous vous fournirons quelques critères qualitatifs qui peuvent servir à appuyer la décision à prendre quant au moment de l’adhésion à la PSV.</w:t>
      </w:r>
    </w:p>
    <w:p w14:paraId="44D09112" w14:textId="77777777" w:rsidR="004E5F6F" w:rsidRDefault="004E5F6F" w:rsidP="00531348">
      <w:pPr>
        <w:jc w:val="both"/>
        <w:rPr>
          <w:rFonts w:asciiTheme="majorHAnsi" w:hAnsiTheme="majorHAnsi"/>
        </w:rPr>
      </w:pPr>
    </w:p>
    <w:p w14:paraId="52C9D378" w14:textId="77777777" w:rsidR="004E5F6F" w:rsidRDefault="004E5F6F" w:rsidP="00531348">
      <w:pPr>
        <w:jc w:val="both"/>
        <w:rPr>
          <w:rFonts w:asciiTheme="majorHAnsi" w:hAnsiTheme="majorHAnsi"/>
        </w:rPr>
      </w:pPr>
    </w:p>
    <w:tbl>
      <w:tblPr>
        <w:tblStyle w:val="Grille"/>
        <w:tblW w:w="131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2977"/>
        <w:gridCol w:w="2693"/>
      </w:tblGrid>
      <w:tr w:rsidR="004E5F6F" w14:paraId="5036D806" w14:textId="77777777" w:rsidTr="002A3809">
        <w:tc>
          <w:tcPr>
            <w:tcW w:w="7479" w:type="dxa"/>
            <w:shd w:val="clear" w:color="auto" w:fill="000000" w:themeFill="text1"/>
          </w:tcPr>
          <w:p w14:paraId="105A357C" w14:textId="2DE9D21C" w:rsidR="004E5F6F" w:rsidRDefault="004E5F6F" w:rsidP="004E5F6F">
            <w:pPr>
              <w:jc w:val="both"/>
            </w:pPr>
            <w:r>
              <w:t>Situations et critères</w:t>
            </w:r>
          </w:p>
        </w:tc>
        <w:tc>
          <w:tcPr>
            <w:tcW w:w="2977" w:type="dxa"/>
            <w:shd w:val="clear" w:color="auto" w:fill="000000" w:themeFill="text1"/>
          </w:tcPr>
          <w:p w14:paraId="6FC296A2" w14:textId="7597323A" w:rsidR="004E5F6F" w:rsidRDefault="004E5F6F" w:rsidP="004E5F6F">
            <w:pPr>
              <w:jc w:val="center"/>
            </w:pPr>
            <w:r>
              <w:t>Prendre la PSV à 65 ans</w:t>
            </w:r>
          </w:p>
        </w:tc>
        <w:tc>
          <w:tcPr>
            <w:tcW w:w="2693" w:type="dxa"/>
            <w:shd w:val="clear" w:color="auto" w:fill="000000" w:themeFill="text1"/>
          </w:tcPr>
          <w:p w14:paraId="1719B4B9" w14:textId="6CA5352D" w:rsidR="004E5F6F" w:rsidRDefault="004E5F6F" w:rsidP="004E5F6F">
            <w:pPr>
              <w:jc w:val="center"/>
            </w:pPr>
            <w:r>
              <w:t>Reporter la PSV</w:t>
            </w:r>
          </w:p>
        </w:tc>
      </w:tr>
      <w:tr w:rsidR="004E5F6F" w:rsidRPr="00C911A8" w14:paraId="0BEEB00B" w14:textId="77777777" w:rsidTr="002A3809">
        <w:tc>
          <w:tcPr>
            <w:tcW w:w="7479" w:type="dxa"/>
            <w:shd w:val="clear" w:color="auto" w:fill="D9D9D9" w:themeFill="background1" w:themeFillShade="D9"/>
          </w:tcPr>
          <w:p w14:paraId="5EE44B45" w14:textId="77777777" w:rsidR="004E5F6F" w:rsidRDefault="004E5F6F" w:rsidP="004E5F6F"/>
          <w:p w14:paraId="77287586" w14:textId="66317F40" w:rsidR="004E5F6F" w:rsidRDefault="004E5F6F" w:rsidP="004E5F6F">
            <w:r>
              <w:t>Votre revenu est faible</w:t>
            </w:r>
          </w:p>
          <w:p w14:paraId="03509463" w14:textId="77777777" w:rsidR="004E5F6F" w:rsidRDefault="004E5F6F" w:rsidP="004E5F6F"/>
        </w:tc>
        <w:tc>
          <w:tcPr>
            <w:tcW w:w="2977" w:type="dxa"/>
            <w:shd w:val="clear" w:color="auto" w:fill="DFFF82" w:themeFill="accent1" w:themeFillTint="66"/>
          </w:tcPr>
          <w:p w14:paraId="455951F0" w14:textId="45EAAC32" w:rsidR="004E5F6F" w:rsidRPr="00C911A8" w:rsidRDefault="00BB7C9C" w:rsidP="004E5F6F">
            <w:pPr>
              <w:jc w:val="center"/>
              <w:rPr>
                <w:color w:val="FFFFFF" w:themeColor="background1"/>
              </w:rPr>
            </w:pPr>
            <w:r>
              <w:rPr>
                <w:noProof/>
                <w:lang w:eastAsia="fr-FR"/>
              </w:rPr>
              <w:drawing>
                <wp:anchor distT="0" distB="0" distL="114300" distR="114300" simplePos="0" relativeHeight="251931648" behindDoc="0" locked="0" layoutInCell="1" allowOverlap="1" wp14:anchorId="1D42E435" wp14:editId="56DCE1B7">
                  <wp:simplePos x="0" y="0"/>
                  <wp:positionH relativeFrom="column">
                    <wp:posOffset>622935</wp:posOffset>
                  </wp:positionH>
                  <wp:positionV relativeFrom="paragraph">
                    <wp:posOffset>539115</wp:posOffset>
                  </wp:positionV>
                  <wp:extent cx="342900" cy="344805"/>
                  <wp:effectExtent l="0" t="0" r="12700" b="10795"/>
                  <wp:wrapNone/>
                  <wp:docPr id="108" name="Image 108"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929600" behindDoc="0" locked="0" layoutInCell="1" allowOverlap="1" wp14:anchorId="5D4D58E8" wp14:editId="52873F1F">
                  <wp:simplePos x="0" y="0"/>
                  <wp:positionH relativeFrom="column">
                    <wp:posOffset>622935</wp:posOffset>
                  </wp:positionH>
                  <wp:positionV relativeFrom="paragraph">
                    <wp:posOffset>81915</wp:posOffset>
                  </wp:positionV>
                  <wp:extent cx="342900" cy="344805"/>
                  <wp:effectExtent l="0" t="0" r="12700" b="10795"/>
                  <wp:wrapNone/>
                  <wp:docPr id="107" name="Image 107"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0EA931F8" w14:textId="77777777" w:rsidR="004E5F6F" w:rsidRPr="00C911A8" w:rsidRDefault="004E5F6F" w:rsidP="004E5F6F">
            <w:pPr>
              <w:jc w:val="center"/>
              <w:rPr>
                <w:color w:val="FFFFFF" w:themeColor="background1"/>
              </w:rPr>
            </w:pPr>
          </w:p>
        </w:tc>
      </w:tr>
      <w:tr w:rsidR="004E5F6F" w:rsidRPr="00C911A8" w14:paraId="31FEA2AC" w14:textId="77777777" w:rsidTr="002A3809">
        <w:tc>
          <w:tcPr>
            <w:tcW w:w="7479" w:type="dxa"/>
            <w:shd w:val="clear" w:color="auto" w:fill="D9D9D9" w:themeFill="background1" w:themeFillShade="D9"/>
          </w:tcPr>
          <w:p w14:paraId="1D752290" w14:textId="50B53922" w:rsidR="004E5F6F" w:rsidRDefault="004E5F6F" w:rsidP="004E5F6F">
            <w:r>
              <w:t>Votre revenu avoisine 72 000 $ sans le dépasser</w:t>
            </w:r>
          </w:p>
          <w:p w14:paraId="31BBBAE4" w14:textId="77777777" w:rsidR="004E5F6F" w:rsidRDefault="004E5F6F" w:rsidP="004E5F6F"/>
        </w:tc>
        <w:tc>
          <w:tcPr>
            <w:tcW w:w="2977" w:type="dxa"/>
            <w:shd w:val="clear" w:color="auto" w:fill="DFFF82" w:themeFill="accent1" w:themeFillTint="66"/>
          </w:tcPr>
          <w:p w14:paraId="5E7347D9" w14:textId="468915A6" w:rsidR="004E5F6F" w:rsidRPr="00C911A8" w:rsidRDefault="00BB7C9C" w:rsidP="004E5F6F">
            <w:pPr>
              <w:jc w:val="center"/>
              <w:rPr>
                <w:color w:val="FFFFFF" w:themeColor="background1"/>
              </w:rPr>
            </w:pPr>
            <w:r>
              <w:rPr>
                <w:noProof/>
                <w:lang w:eastAsia="fr-FR"/>
              </w:rPr>
              <w:drawing>
                <wp:anchor distT="0" distB="0" distL="114300" distR="114300" simplePos="0" relativeHeight="251933696" behindDoc="0" locked="0" layoutInCell="1" allowOverlap="1" wp14:anchorId="17D070A7" wp14:editId="14105E38">
                  <wp:simplePos x="0" y="0"/>
                  <wp:positionH relativeFrom="column">
                    <wp:posOffset>622935</wp:posOffset>
                  </wp:positionH>
                  <wp:positionV relativeFrom="paragraph">
                    <wp:posOffset>314960</wp:posOffset>
                  </wp:positionV>
                  <wp:extent cx="342900" cy="344805"/>
                  <wp:effectExtent l="0" t="0" r="12700" b="10795"/>
                  <wp:wrapNone/>
                  <wp:docPr id="109" name="Image 109"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73557F39" w14:textId="535DBD38" w:rsidR="004E5F6F" w:rsidRPr="00C911A8" w:rsidRDefault="004E5F6F" w:rsidP="004E5F6F">
            <w:pPr>
              <w:jc w:val="center"/>
              <w:rPr>
                <w:color w:val="FFFFFF" w:themeColor="background1"/>
              </w:rPr>
            </w:pPr>
          </w:p>
        </w:tc>
      </w:tr>
      <w:tr w:rsidR="004E5F6F" w:rsidRPr="00C911A8" w14:paraId="25EDB51E" w14:textId="77777777" w:rsidTr="002A3809">
        <w:tc>
          <w:tcPr>
            <w:tcW w:w="7479" w:type="dxa"/>
            <w:shd w:val="clear" w:color="auto" w:fill="D9D9D9" w:themeFill="background1" w:themeFillShade="D9"/>
          </w:tcPr>
          <w:p w14:paraId="10B368CB" w14:textId="2420A31B" w:rsidR="004E5F6F" w:rsidRDefault="004E5F6F" w:rsidP="004E5F6F">
            <w:r>
              <w:t>Votre santé est précaire</w:t>
            </w:r>
          </w:p>
          <w:p w14:paraId="4DC7F216" w14:textId="77777777" w:rsidR="004E5F6F" w:rsidRDefault="004E5F6F" w:rsidP="004E5F6F"/>
        </w:tc>
        <w:tc>
          <w:tcPr>
            <w:tcW w:w="2977" w:type="dxa"/>
            <w:shd w:val="clear" w:color="auto" w:fill="DFFF82" w:themeFill="accent1" w:themeFillTint="66"/>
          </w:tcPr>
          <w:p w14:paraId="0A9F14A1" w14:textId="26091C22" w:rsidR="004E5F6F" w:rsidRPr="00C911A8" w:rsidRDefault="004E5F6F" w:rsidP="004E5F6F">
            <w:pPr>
              <w:jc w:val="center"/>
              <w:rPr>
                <w:color w:val="FFFFFF" w:themeColor="background1"/>
              </w:rPr>
            </w:pPr>
          </w:p>
        </w:tc>
        <w:tc>
          <w:tcPr>
            <w:tcW w:w="2693" w:type="dxa"/>
            <w:shd w:val="clear" w:color="auto" w:fill="30EAF5"/>
          </w:tcPr>
          <w:p w14:paraId="13E727C7" w14:textId="46389B34" w:rsidR="004E5F6F" w:rsidRPr="00C911A8" w:rsidRDefault="004E5F6F" w:rsidP="004E5F6F">
            <w:pPr>
              <w:jc w:val="center"/>
              <w:rPr>
                <w:color w:val="FFFFFF" w:themeColor="background1"/>
              </w:rPr>
            </w:pPr>
          </w:p>
        </w:tc>
      </w:tr>
      <w:tr w:rsidR="004E5F6F" w:rsidRPr="00C911A8" w14:paraId="1A4A7009" w14:textId="77777777" w:rsidTr="002A3809">
        <w:tc>
          <w:tcPr>
            <w:tcW w:w="7479" w:type="dxa"/>
            <w:shd w:val="clear" w:color="auto" w:fill="D9D9D9" w:themeFill="background1" w:themeFillShade="D9"/>
          </w:tcPr>
          <w:p w14:paraId="2B49FFBD" w14:textId="1B5ECBD9" w:rsidR="004E5F6F" w:rsidRDefault="004E5F6F" w:rsidP="004E5F6F">
            <w:r>
              <w:t>Vous voulez surtout profiter de votre retraite au début</w:t>
            </w:r>
          </w:p>
          <w:p w14:paraId="50E4C635" w14:textId="77777777" w:rsidR="004E5F6F" w:rsidRDefault="004E5F6F" w:rsidP="004E5F6F"/>
        </w:tc>
        <w:tc>
          <w:tcPr>
            <w:tcW w:w="2977" w:type="dxa"/>
            <w:shd w:val="clear" w:color="auto" w:fill="DFFF82" w:themeFill="accent1" w:themeFillTint="66"/>
          </w:tcPr>
          <w:p w14:paraId="7394C335" w14:textId="52FB46CF" w:rsidR="004E5F6F" w:rsidRPr="00C911A8" w:rsidRDefault="00BB7C9C" w:rsidP="004E5F6F">
            <w:pPr>
              <w:jc w:val="center"/>
              <w:rPr>
                <w:color w:val="FFFFFF" w:themeColor="background1"/>
              </w:rPr>
            </w:pPr>
            <w:r>
              <w:rPr>
                <w:noProof/>
                <w:lang w:eastAsia="fr-FR"/>
              </w:rPr>
              <w:drawing>
                <wp:anchor distT="0" distB="0" distL="114300" distR="114300" simplePos="0" relativeHeight="251935744" behindDoc="0" locked="0" layoutInCell="1" allowOverlap="1" wp14:anchorId="0CD86372" wp14:editId="63F6396C">
                  <wp:simplePos x="0" y="0"/>
                  <wp:positionH relativeFrom="column">
                    <wp:posOffset>622935</wp:posOffset>
                  </wp:positionH>
                  <wp:positionV relativeFrom="paragraph">
                    <wp:posOffset>12065</wp:posOffset>
                  </wp:positionV>
                  <wp:extent cx="342900" cy="344805"/>
                  <wp:effectExtent l="0" t="0" r="12700" b="10795"/>
                  <wp:wrapNone/>
                  <wp:docPr id="110" name="Image 110"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2D11ADEF" w14:textId="67DFD6C8" w:rsidR="004E5F6F" w:rsidRPr="00C911A8" w:rsidRDefault="00BB7C9C" w:rsidP="004E5F6F">
            <w:pPr>
              <w:jc w:val="center"/>
              <w:rPr>
                <w:color w:val="FFFFFF" w:themeColor="background1"/>
              </w:rPr>
            </w:pPr>
            <w:r>
              <w:rPr>
                <w:noProof/>
                <w:lang w:eastAsia="fr-FR"/>
              </w:rPr>
              <w:drawing>
                <wp:anchor distT="0" distB="0" distL="114300" distR="114300" simplePos="0" relativeHeight="251937792" behindDoc="0" locked="0" layoutInCell="1" allowOverlap="1" wp14:anchorId="176C04FD" wp14:editId="113FA8A0">
                  <wp:simplePos x="0" y="0"/>
                  <wp:positionH relativeFrom="column">
                    <wp:posOffset>561340</wp:posOffset>
                  </wp:positionH>
                  <wp:positionV relativeFrom="paragraph">
                    <wp:posOffset>354965</wp:posOffset>
                  </wp:positionV>
                  <wp:extent cx="342900" cy="344805"/>
                  <wp:effectExtent l="0" t="0" r="12700" b="10795"/>
                  <wp:wrapNone/>
                  <wp:docPr id="111" name="Image 111"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4E5F6F" w:rsidRPr="00C911A8" w14:paraId="7BEC37E6" w14:textId="77777777" w:rsidTr="002A3809">
        <w:tc>
          <w:tcPr>
            <w:tcW w:w="7479" w:type="dxa"/>
            <w:shd w:val="clear" w:color="auto" w:fill="D9D9D9" w:themeFill="background1" w:themeFillShade="D9"/>
          </w:tcPr>
          <w:p w14:paraId="34B8C450" w14:textId="54FB0A35" w:rsidR="004E5F6F" w:rsidRDefault="004E5F6F" w:rsidP="004E5F6F">
            <w:r>
              <w:t>Votre revenu est supérieur à 117  000 $</w:t>
            </w:r>
          </w:p>
          <w:p w14:paraId="2F500FFF" w14:textId="77777777" w:rsidR="004E5F6F" w:rsidRDefault="004E5F6F" w:rsidP="004E5F6F"/>
        </w:tc>
        <w:tc>
          <w:tcPr>
            <w:tcW w:w="2977" w:type="dxa"/>
            <w:shd w:val="clear" w:color="auto" w:fill="DFFF82" w:themeFill="accent1" w:themeFillTint="66"/>
          </w:tcPr>
          <w:p w14:paraId="2D8288CC" w14:textId="3CB79AD1" w:rsidR="004E5F6F" w:rsidRPr="00C911A8" w:rsidRDefault="004E5F6F" w:rsidP="004E5F6F">
            <w:pPr>
              <w:jc w:val="center"/>
              <w:rPr>
                <w:color w:val="FFFFFF" w:themeColor="background1"/>
              </w:rPr>
            </w:pPr>
          </w:p>
        </w:tc>
        <w:tc>
          <w:tcPr>
            <w:tcW w:w="2693" w:type="dxa"/>
            <w:shd w:val="clear" w:color="auto" w:fill="30EAF5"/>
          </w:tcPr>
          <w:p w14:paraId="03C6C7D0" w14:textId="60452FED" w:rsidR="004E5F6F" w:rsidRPr="00C911A8" w:rsidRDefault="002A3809" w:rsidP="004E5F6F">
            <w:pPr>
              <w:jc w:val="center"/>
              <w:rPr>
                <w:color w:val="FFFFFF" w:themeColor="background1"/>
              </w:rPr>
            </w:pPr>
            <w:r>
              <w:rPr>
                <w:noProof/>
                <w:lang w:eastAsia="fr-FR"/>
              </w:rPr>
              <w:drawing>
                <wp:anchor distT="0" distB="0" distL="114300" distR="114300" simplePos="0" relativeHeight="251939840" behindDoc="0" locked="0" layoutInCell="1" allowOverlap="1" wp14:anchorId="16840663" wp14:editId="594C7F79">
                  <wp:simplePos x="0" y="0"/>
                  <wp:positionH relativeFrom="column">
                    <wp:posOffset>561340</wp:posOffset>
                  </wp:positionH>
                  <wp:positionV relativeFrom="paragraph">
                    <wp:posOffset>317500</wp:posOffset>
                  </wp:positionV>
                  <wp:extent cx="342900" cy="344805"/>
                  <wp:effectExtent l="0" t="0" r="12700" b="10795"/>
                  <wp:wrapNone/>
                  <wp:docPr id="112" name="Image 112"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4E5F6F" w:rsidRPr="00C911A8" w14:paraId="77DCE227" w14:textId="77777777" w:rsidTr="002A3809">
        <w:tc>
          <w:tcPr>
            <w:tcW w:w="7479" w:type="dxa"/>
            <w:shd w:val="clear" w:color="auto" w:fill="D9D9D9" w:themeFill="background1" w:themeFillShade="D9"/>
          </w:tcPr>
          <w:p w14:paraId="30295B61" w14:textId="1AD8F853" w:rsidR="004E5F6F" w:rsidRDefault="004E5F6F" w:rsidP="004E5F6F">
            <w:r>
              <w:t>Vous n’avez pas encore pris votre retraite</w:t>
            </w:r>
          </w:p>
          <w:p w14:paraId="3DA37693" w14:textId="77777777" w:rsidR="004E5F6F" w:rsidRDefault="004E5F6F" w:rsidP="004E5F6F"/>
        </w:tc>
        <w:tc>
          <w:tcPr>
            <w:tcW w:w="2977" w:type="dxa"/>
            <w:shd w:val="clear" w:color="auto" w:fill="DFFF82" w:themeFill="accent1" w:themeFillTint="66"/>
          </w:tcPr>
          <w:p w14:paraId="4308B32E" w14:textId="2965E360" w:rsidR="004E5F6F" w:rsidRPr="00C911A8" w:rsidRDefault="004E5F6F" w:rsidP="004E5F6F">
            <w:pPr>
              <w:jc w:val="center"/>
              <w:rPr>
                <w:color w:val="FFFFFF" w:themeColor="background1"/>
              </w:rPr>
            </w:pPr>
          </w:p>
        </w:tc>
        <w:tc>
          <w:tcPr>
            <w:tcW w:w="2693" w:type="dxa"/>
            <w:shd w:val="clear" w:color="auto" w:fill="30EAF5"/>
          </w:tcPr>
          <w:p w14:paraId="3FCEB404" w14:textId="603E7024" w:rsidR="004E5F6F" w:rsidRPr="00C911A8" w:rsidRDefault="002A3809" w:rsidP="004E5F6F">
            <w:pPr>
              <w:jc w:val="center"/>
              <w:rPr>
                <w:color w:val="FFFFFF" w:themeColor="background1"/>
              </w:rPr>
            </w:pPr>
            <w:r>
              <w:rPr>
                <w:noProof/>
                <w:lang w:eastAsia="fr-FR"/>
              </w:rPr>
              <w:drawing>
                <wp:anchor distT="0" distB="0" distL="114300" distR="114300" simplePos="0" relativeHeight="251941888" behindDoc="0" locked="0" layoutInCell="1" allowOverlap="1" wp14:anchorId="7654DF9D" wp14:editId="5F9AE077">
                  <wp:simplePos x="0" y="0"/>
                  <wp:positionH relativeFrom="column">
                    <wp:posOffset>561340</wp:posOffset>
                  </wp:positionH>
                  <wp:positionV relativeFrom="paragraph">
                    <wp:posOffset>280670</wp:posOffset>
                  </wp:positionV>
                  <wp:extent cx="342900" cy="344805"/>
                  <wp:effectExtent l="0" t="0" r="12700" b="10795"/>
                  <wp:wrapNone/>
                  <wp:docPr id="113" name="Image 113"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4E5F6F" w:rsidRPr="00C911A8" w14:paraId="5662F8F7" w14:textId="77777777" w:rsidTr="002A3809">
        <w:tc>
          <w:tcPr>
            <w:tcW w:w="7479" w:type="dxa"/>
            <w:shd w:val="clear" w:color="auto" w:fill="D9D9D9" w:themeFill="background1" w:themeFillShade="D9"/>
          </w:tcPr>
          <w:p w14:paraId="6FDCF72A" w14:textId="7F85B586" w:rsidR="004E5F6F" w:rsidRDefault="00BB7C9C" w:rsidP="004E5F6F">
            <w:r>
              <w:t>Votre génétique et santé sont prometteuses</w:t>
            </w:r>
          </w:p>
          <w:p w14:paraId="0B02EFFC" w14:textId="77777777" w:rsidR="004E5F6F" w:rsidRDefault="004E5F6F" w:rsidP="004E5F6F"/>
        </w:tc>
        <w:tc>
          <w:tcPr>
            <w:tcW w:w="2977" w:type="dxa"/>
            <w:shd w:val="clear" w:color="auto" w:fill="DFFF82" w:themeFill="accent1" w:themeFillTint="66"/>
          </w:tcPr>
          <w:p w14:paraId="0ABD556A" w14:textId="118073B6" w:rsidR="004E5F6F" w:rsidRPr="00C911A8" w:rsidRDefault="004E5F6F" w:rsidP="004E5F6F">
            <w:pPr>
              <w:jc w:val="center"/>
              <w:rPr>
                <w:color w:val="FFFFFF" w:themeColor="background1"/>
              </w:rPr>
            </w:pPr>
          </w:p>
        </w:tc>
        <w:tc>
          <w:tcPr>
            <w:tcW w:w="2693" w:type="dxa"/>
            <w:shd w:val="clear" w:color="auto" w:fill="30EAF5"/>
          </w:tcPr>
          <w:p w14:paraId="1C828632" w14:textId="0DF08C2E" w:rsidR="004E5F6F" w:rsidRPr="00C911A8" w:rsidRDefault="002A3809" w:rsidP="004E5F6F">
            <w:pPr>
              <w:jc w:val="center"/>
              <w:rPr>
                <w:color w:val="FFFFFF" w:themeColor="background1"/>
              </w:rPr>
            </w:pPr>
            <w:r>
              <w:rPr>
                <w:noProof/>
                <w:lang w:eastAsia="fr-FR"/>
              </w:rPr>
              <w:drawing>
                <wp:anchor distT="0" distB="0" distL="114300" distR="114300" simplePos="0" relativeHeight="251943936" behindDoc="0" locked="0" layoutInCell="1" allowOverlap="1" wp14:anchorId="4F51BCFF" wp14:editId="5660EE18">
                  <wp:simplePos x="0" y="0"/>
                  <wp:positionH relativeFrom="column">
                    <wp:posOffset>561340</wp:posOffset>
                  </wp:positionH>
                  <wp:positionV relativeFrom="paragraph">
                    <wp:posOffset>357505</wp:posOffset>
                  </wp:positionV>
                  <wp:extent cx="342900" cy="344805"/>
                  <wp:effectExtent l="0" t="0" r="12700" b="10795"/>
                  <wp:wrapNone/>
                  <wp:docPr id="114" name="Image 114"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4E5F6F" w:rsidRPr="00C911A8" w14:paraId="2F9DC636" w14:textId="77777777" w:rsidTr="002A3809">
        <w:tc>
          <w:tcPr>
            <w:tcW w:w="7479" w:type="dxa"/>
            <w:shd w:val="clear" w:color="auto" w:fill="D9D9D9" w:themeFill="background1" w:themeFillShade="D9"/>
          </w:tcPr>
          <w:p w14:paraId="2DF5FC8A" w14:textId="31A14F25" w:rsidR="004E5F6F" w:rsidRDefault="00BB7C9C" w:rsidP="004E5F6F">
            <w:r>
              <w:t>Vous anticipez de gros gains en capital dans les prochaines années</w:t>
            </w:r>
          </w:p>
          <w:p w14:paraId="50E607AF" w14:textId="77777777" w:rsidR="004E5F6F" w:rsidRDefault="004E5F6F" w:rsidP="004E5F6F"/>
        </w:tc>
        <w:tc>
          <w:tcPr>
            <w:tcW w:w="2977" w:type="dxa"/>
            <w:shd w:val="clear" w:color="auto" w:fill="DFFF82" w:themeFill="accent1" w:themeFillTint="66"/>
          </w:tcPr>
          <w:p w14:paraId="23C19E57" w14:textId="4B2BED2E" w:rsidR="004E5F6F" w:rsidRPr="00C911A8" w:rsidRDefault="004E5F6F" w:rsidP="004E5F6F">
            <w:pPr>
              <w:jc w:val="center"/>
              <w:rPr>
                <w:color w:val="FFFFFF" w:themeColor="background1"/>
              </w:rPr>
            </w:pPr>
          </w:p>
        </w:tc>
        <w:tc>
          <w:tcPr>
            <w:tcW w:w="2693" w:type="dxa"/>
            <w:shd w:val="clear" w:color="auto" w:fill="30EAF5"/>
          </w:tcPr>
          <w:p w14:paraId="55E43A4F" w14:textId="25394D71" w:rsidR="004E5F6F" w:rsidRPr="00C911A8" w:rsidRDefault="00795CDE" w:rsidP="004E5F6F">
            <w:pPr>
              <w:jc w:val="center"/>
              <w:rPr>
                <w:color w:val="FFFFFF" w:themeColor="background1"/>
              </w:rPr>
            </w:pPr>
            <w:r>
              <w:rPr>
                <w:noProof/>
                <w:lang w:eastAsia="fr-FR"/>
              </w:rPr>
              <w:drawing>
                <wp:anchor distT="0" distB="0" distL="114300" distR="114300" simplePos="0" relativeHeight="251945984" behindDoc="0" locked="0" layoutInCell="1" allowOverlap="1" wp14:anchorId="47E6A53D" wp14:editId="225C9EAD">
                  <wp:simplePos x="0" y="0"/>
                  <wp:positionH relativeFrom="column">
                    <wp:posOffset>561340</wp:posOffset>
                  </wp:positionH>
                  <wp:positionV relativeFrom="paragraph">
                    <wp:posOffset>377825</wp:posOffset>
                  </wp:positionV>
                  <wp:extent cx="342900" cy="344805"/>
                  <wp:effectExtent l="0" t="0" r="12700" b="10795"/>
                  <wp:wrapNone/>
                  <wp:docPr id="99" name="Image 99"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795CDE" w:rsidRPr="00C911A8" w14:paraId="758BC6E8" w14:textId="77777777" w:rsidTr="002A3809">
        <w:tc>
          <w:tcPr>
            <w:tcW w:w="7479" w:type="dxa"/>
            <w:shd w:val="clear" w:color="auto" w:fill="D9D9D9" w:themeFill="background1" w:themeFillShade="D9"/>
          </w:tcPr>
          <w:p w14:paraId="66A0BFB8" w14:textId="6A47E5C0" w:rsidR="00795CDE" w:rsidRDefault="00795CDE" w:rsidP="004E5F6F">
            <w:r>
              <w:t>Vous n’avez pas besoin de la PSV pour votre subvenir à votre train de vie et vos rendements sur placements sont minimes</w:t>
            </w:r>
          </w:p>
        </w:tc>
        <w:tc>
          <w:tcPr>
            <w:tcW w:w="2977" w:type="dxa"/>
            <w:shd w:val="clear" w:color="auto" w:fill="DFFF82" w:themeFill="accent1" w:themeFillTint="66"/>
          </w:tcPr>
          <w:p w14:paraId="3FE7E111" w14:textId="77777777" w:rsidR="00795CDE" w:rsidRPr="00C911A8" w:rsidRDefault="00795CDE" w:rsidP="004E5F6F">
            <w:pPr>
              <w:jc w:val="center"/>
              <w:rPr>
                <w:color w:val="FFFFFF" w:themeColor="background1"/>
              </w:rPr>
            </w:pPr>
          </w:p>
        </w:tc>
        <w:tc>
          <w:tcPr>
            <w:tcW w:w="2693" w:type="dxa"/>
            <w:shd w:val="clear" w:color="auto" w:fill="30EAF5"/>
          </w:tcPr>
          <w:p w14:paraId="3DB2203E" w14:textId="0E8BD364" w:rsidR="00795CDE" w:rsidRPr="00C911A8" w:rsidRDefault="00795CDE" w:rsidP="004E5F6F">
            <w:pPr>
              <w:jc w:val="center"/>
              <w:rPr>
                <w:color w:val="FFFFFF" w:themeColor="background1"/>
              </w:rPr>
            </w:pPr>
          </w:p>
        </w:tc>
      </w:tr>
    </w:tbl>
    <w:p w14:paraId="5EF66815" w14:textId="797C6285" w:rsidR="00526FFE" w:rsidRDefault="00526FFE" w:rsidP="00531348">
      <w:pPr>
        <w:jc w:val="both"/>
        <w:rPr>
          <w:rFonts w:asciiTheme="majorHAnsi" w:eastAsiaTheme="majorEastAsia" w:hAnsiTheme="majorHAnsi" w:cstheme="majorBidi"/>
          <w:b/>
          <w:bCs/>
          <w:color w:val="6E9400" w:themeColor="accent1" w:themeShade="BF"/>
          <w:sz w:val="28"/>
          <w:szCs w:val="28"/>
        </w:rPr>
      </w:pPr>
    </w:p>
    <w:p w14:paraId="7BC92CA2" w14:textId="33DC7A5C" w:rsidR="001C1F38" w:rsidRDefault="001C1F38" w:rsidP="0005201F">
      <w:pPr>
        <w:rPr>
          <w:color w:val="AF0013"/>
        </w:rPr>
      </w:pPr>
      <w:r>
        <w:rPr>
          <w:noProof/>
          <w:lang w:eastAsia="fr-FR"/>
        </w:rPr>
        <w:drawing>
          <wp:anchor distT="0" distB="0" distL="114300" distR="114300" simplePos="0" relativeHeight="251948032" behindDoc="0" locked="0" layoutInCell="1" allowOverlap="1" wp14:anchorId="287CD5FC" wp14:editId="1AA5D506">
            <wp:simplePos x="0" y="0"/>
            <wp:positionH relativeFrom="column">
              <wp:posOffset>4572000</wp:posOffset>
            </wp:positionH>
            <wp:positionV relativeFrom="paragraph">
              <wp:posOffset>25400</wp:posOffset>
            </wp:positionV>
            <wp:extent cx="579120" cy="571500"/>
            <wp:effectExtent l="0" t="0" r="5080" b="12700"/>
            <wp:wrapNone/>
            <wp:docPr id="100" name="Image 100">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251DC25" w14:textId="073F18C4" w:rsidR="00034CFF" w:rsidRDefault="00573C95" w:rsidP="0005201F">
      <w:pPr>
        <w:rPr>
          <w:color w:val="AF0013"/>
        </w:rPr>
      </w:pPr>
      <w:hyperlink r:id="rId50" w:history="1">
        <w:r w:rsidR="0005201F" w:rsidRPr="00E367D8">
          <w:rPr>
            <w:rStyle w:val="Lienhypertexte"/>
            <w:color w:val="AF0013"/>
          </w:rPr>
          <w:t xml:space="preserve">Capsule 7-3 Seuil d’indifférence – </w:t>
        </w:r>
        <w:r w:rsidR="0005201F" w:rsidRPr="00657D59">
          <w:rPr>
            <w:rStyle w:val="Lienhypertexte"/>
            <w:color w:val="9D0010"/>
          </w:rPr>
          <w:t>Report</w:t>
        </w:r>
        <w:r w:rsidR="0005201F" w:rsidRPr="00E367D8">
          <w:rPr>
            <w:rStyle w:val="Lienhypertexte"/>
            <w:color w:val="AF0013"/>
          </w:rPr>
          <w:t xml:space="preserve"> de la PSV à 70 ans</w:t>
        </w:r>
      </w:hyperlink>
      <w:r w:rsidR="001C1F38" w:rsidRPr="00E367D8">
        <w:rPr>
          <w:color w:val="AF0013"/>
        </w:rPr>
        <w:t xml:space="preserve"> </w:t>
      </w:r>
      <w:r w:rsidR="00034CFF" w:rsidRPr="00E367D8">
        <w:rPr>
          <w:color w:val="AF0013"/>
        </w:rPr>
        <w:br w:type="page"/>
      </w:r>
    </w:p>
    <w:p w14:paraId="1F6DDE35" w14:textId="77777777" w:rsidR="00FD0F0D" w:rsidRDefault="00FD0F0D" w:rsidP="006C34CF">
      <w:pPr>
        <w:pStyle w:val="Titre2"/>
        <w:numPr>
          <w:ilvl w:val="1"/>
          <w:numId w:val="6"/>
        </w:numPr>
        <w:tabs>
          <w:tab w:val="left" w:pos="567"/>
          <w:tab w:val="left" w:pos="1134"/>
        </w:tabs>
        <w:ind w:hanging="792"/>
        <w:rPr>
          <w:szCs w:val="28"/>
        </w:rPr>
      </w:pPr>
      <w:bookmarkStart w:id="24" w:name="_Toc314397819"/>
      <w:bookmarkStart w:id="25" w:name="_Toc443569363"/>
      <w:r w:rsidRPr="007B5563">
        <w:rPr>
          <w:szCs w:val="28"/>
        </w:rPr>
        <w:lastRenderedPageBreak/>
        <w:t>Au provincial</w:t>
      </w:r>
      <w:bookmarkEnd w:id="24"/>
      <w:bookmarkEnd w:id="25"/>
    </w:p>
    <w:p w14:paraId="4F51A259" w14:textId="77777777" w:rsidR="00094CB0" w:rsidRDefault="00094CB0" w:rsidP="00094CB0"/>
    <w:p w14:paraId="41A314D0" w14:textId="476AD92D" w:rsidR="005414B9" w:rsidRDefault="00094CB0" w:rsidP="00134E67">
      <w:pPr>
        <w:jc w:val="both"/>
      </w:pPr>
      <w:r>
        <w:t xml:space="preserve">En pleine période de la </w:t>
      </w:r>
      <w:r>
        <w:rPr>
          <w:color w:val="FF6700" w:themeColor="accent3"/>
        </w:rPr>
        <w:t>RÉVOLUTION TRANQUILLE</w:t>
      </w:r>
      <w:r>
        <w:t xml:space="preserve">, le Québec s'est doté d'un </w:t>
      </w:r>
      <w:r w:rsidR="00134E67">
        <w:t>organisme</w:t>
      </w:r>
      <w:r>
        <w:t xml:space="preserve"> afin de permettre</w:t>
      </w:r>
      <w:r w:rsidR="00134E67">
        <w:t xml:space="preserve"> à ses citoyens de se </w:t>
      </w:r>
      <w:r w:rsidR="001A23DD">
        <w:t>donner</w:t>
      </w:r>
      <w:r w:rsidR="00134E67">
        <w:t xml:space="preserve"> de</w:t>
      </w:r>
      <w:r w:rsidR="001A23DD">
        <w:t>s</w:t>
      </w:r>
      <w:r w:rsidR="00134E67">
        <w:t xml:space="preserve"> moyens financiers qui viseraient à faciliter </w:t>
      </w:r>
      <w:r w:rsidR="001A23DD">
        <w:t xml:space="preserve">et sécuriser </w:t>
      </w:r>
      <w:r w:rsidR="00134E67">
        <w:t>leur prise de retraite. La Régie de Rentes du Québec (RRQ)</w:t>
      </w:r>
      <w:r w:rsidR="001A23DD">
        <w:t xml:space="preserve"> est </w:t>
      </w:r>
      <w:r w:rsidR="005414B9">
        <w:t xml:space="preserve">donc </w:t>
      </w:r>
      <w:r w:rsidR="001A23DD">
        <w:t xml:space="preserve">créée en juillet 1965 et le </w:t>
      </w:r>
      <w:r w:rsidR="00095F92">
        <w:t>R</w:t>
      </w:r>
      <w:r w:rsidR="001A23DD">
        <w:t>égime de rentes du Québec est instauré le 1er janvier 1966 (Les taux de cotisation combinés sont alors de 3,6 %. Ils demeureront identiques au cours des 20 années suivantes).</w:t>
      </w:r>
      <w:r w:rsidR="00EC5142">
        <w:t xml:space="preserve"> Le </w:t>
      </w:r>
      <w:r w:rsidR="00095F92">
        <w:t>R</w:t>
      </w:r>
      <w:r w:rsidR="00EC5142">
        <w:t>égime de rentes du Québec constitue l'apport provincial au filet social des futurs retraités. Contrairement au programme de la Sécurité de la vieillesse qui se veut universel, admissible à tous</w:t>
      </w:r>
      <w:r w:rsidR="00095F92">
        <w:t xml:space="preserve"> les Canadiens, le Régime de rentes du Québec est réservé aux travailleurs. </w:t>
      </w:r>
      <w:r w:rsidR="00EB518B">
        <w:t xml:space="preserve">Dans les faits, ce régime est acquis au travailleur et constitue un </w:t>
      </w:r>
      <w:r w:rsidR="0043502C">
        <w:rPr>
          <w:color w:val="FF6700" w:themeColor="accent3"/>
        </w:rPr>
        <w:t>RÉGIME D'ÉPARGNE OBLIGATOIRE</w:t>
      </w:r>
      <w:r w:rsidR="00EB518B">
        <w:t xml:space="preserve"> donnant droit à des </w:t>
      </w:r>
      <w:r w:rsidR="0043502C" w:rsidRPr="0043502C">
        <w:rPr>
          <w:color w:val="FF6700" w:themeColor="accent3"/>
        </w:rPr>
        <w:t>PRESTATIONS DÉTERMINÉES</w:t>
      </w:r>
      <w:r w:rsidR="00486093">
        <w:rPr>
          <w:color w:val="FF6700" w:themeColor="accent3"/>
        </w:rPr>
        <w:t xml:space="preserve"> INDEXÉES</w:t>
      </w:r>
      <w:r w:rsidR="0043502C">
        <w:t>.</w:t>
      </w:r>
      <w:r w:rsidR="00486093">
        <w:t xml:space="preserve"> </w:t>
      </w:r>
      <w:r w:rsidR="00095F92">
        <w:t>Le Québec est la seule province à gérer ses fonds publics de retraite, dans les autres provinces les travailleurs adhèrent au Régime de pensions du Canada (RPC).</w:t>
      </w:r>
      <w:r w:rsidR="005414B9">
        <w:t xml:space="preserve"> Ces deux régimes ont vu le jour au même moment et sont très semblables. Néanmoins, au cours des dernières années le régime québécois a dû adopter des mesures de pérennisation, en haussant notamment les taux de cotisations, que le régime fédéral n'a pas </w:t>
      </w:r>
      <w:r w:rsidR="000808DA">
        <w:t xml:space="preserve">été contraint de </w:t>
      </w:r>
      <w:r w:rsidR="005414B9">
        <w:t>suivre. Essentiellement, cette différence est imputable à la courbe démographique québécoise (proportion de la population active vs la population à la retraite) qui hypothèque plus lourdement</w:t>
      </w:r>
      <w:r w:rsidR="000808DA">
        <w:t xml:space="preserve"> son</w:t>
      </w:r>
      <w:r w:rsidR="005414B9">
        <w:t xml:space="preserve"> régime de retraite que celle s'appliqu</w:t>
      </w:r>
      <w:r w:rsidR="000808DA">
        <w:t>ant</w:t>
      </w:r>
      <w:r w:rsidR="005414B9">
        <w:t xml:space="preserve"> au reste du Canada.</w:t>
      </w:r>
    </w:p>
    <w:p w14:paraId="0E5FDC5B" w14:textId="77777777" w:rsidR="005414B9" w:rsidRDefault="005414B9" w:rsidP="00134E67">
      <w:pPr>
        <w:jc w:val="both"/>
      </w:pPr>
    </w:p>
    <w:p w14:paraId="54F25E36" w14:textId="2B1D1AC5" w:rsidR="00FD0F0D" w:rsidRDefault="00FD0F0D" w:rsidP="006C34CF">
      <w:pPr>
        <w:pStyle w:val="Titre3"/>
        <w:numPr>
          <w:ilvl w:val="2"/>
          <w:numId w:val="6"/>
        </w:numPr>
        <w:ind w:left="709" w:hanging="709"/>
      </w:pPr>
      <w:bookmarkStart w:id="26" w:name="_Toc314397820"/>
      <w:bookmarkStart w:id="27" w:name="_Toc443569364"/>
      <w:r>
        <w:t xml:space="preserve">Le </w:t>
      </w:r>
      <w:r w:rsidR="00095F92">
        <w:t>R</w:t>
      </w:r>
      <w:r>
        <w:t>égime de rentes du Québec (RRQ)</w:t>
      </w:r>
      <w:bookmarkEnd w:id="26"/>
      <w:bookmarkEnd w:id="27"/>
    </w:p>
    <w:p w14:paraId="0E954E3A" w14:textId="77777777" w:rsidR="005414B9" w:rsidRDefault="005414B9" w:rsidP="002F541C"/>
    <w:p w14:paraId="0CF54026" w14:textId="652898D3" w:rsidR="00C15982" w:rsidRPr="000F289D" w:rsidRDefault="00C15982" w:rsidP="006C34CF">
      <w:pPr>
        <w:pStyle w:val="Paragraphedeliste"/>
        <w:numPr>
          <w:ilvl w:val="0"/>
          <w:numId w:val="10"/>
        </w:numPr>
        <w:rPr>
          <w:color w:val="FF6700" w:themeColor="accent3"/>
        </w:rPr>
      </w:pPr>
      <w:r w:rsidRPr="000F289D">
        <w:rPr>
          <w:color w:val="FF6700" w:themeColor="accent3"/>
        </w:rPr>
        <w:t>Évolution et changement</w:t>
      </w:r>
    </w:p>
    <w:p w14:paraId="56A82DE3" w14:textId="77777777" w:rsidR="00C15982" w:rsidRDefault="00C15982" w:rsidP="00450584">
      <w:pPr>
        <w:jc w:val="both"/>
      </w:pPr>
    </w:p>
    <w:p w14:paraId="2CFA754F" w14:textId="35B91DAA" w:rsidR="00B75B11" w:rsidRDefault="00681DCD" w:rsidP="00450584">
      <w:pPr>
        <w:jc w:val="both"/>
      </w:pPr>
      <w:r>
        <w:t xml:space="preserve">Comme tous les grands programmes publics qui visent à apporter soutien et sécurité à </w:t>
      </w:r>
      <w:r w:rsidR="008443AE">
        <w:t>sa</w:t>
      </w:r>
      <w:r>
        <w:t xml:space="preserve"> population, </w:t>
      </w:r>
      <w:r w:rsidR="00C15982">
        <w:t>Le Régime de rentes du Québe</w:t>
      </w:r>
      <w:r>
        <w:t xml:space="preserve">c </w:t>
      </w:r>
      <w:r w:rsidR="00C15982">
        <w:t>est</w:t>
      </w:r>
      <w:r>
        <w:t xml:space="preserve"> soumis à d'importantes pressions qui se manifestent par l'évolution démographique, le climat économique et les visées politiques. </w:t>
      </w:r>
      <w:r w:rsidR="001A232E">
        <w:t>Afin de pérenniser le régime, celui-ci</w:t>
      </w:r>
      <w:r>
        <w:t xml:space="preserve"> </w:t>
      </w:r>
      <w:r w:rsidR="001A232E">
        <w:t xml:space="preserve">a fait l'objet de plusieurs changements depuis son instauration. Pour contrer les effets de la réduction de l'indice de fécondité, de </w:t>
      </w:r>
      <w:r w:rsidR="000D7F46">
        <w:t>l’</w:t>
      </w:r>
      <w:r w:rsidR="001A232E">
        <w:t xml:space="preserve">augmentation importante de l'espérance de vie  et les fluctuations des indices économiques, des mesures ont </w:t>
      </w:r>
      <w:r w:rsidR="000D7F46">
        <w:t>dû</w:t>
      </w:r>
      <w:r w:rsidR="001A232E">
        <w:t xml:space="preserve"> être </w:t>
      </w:r>
      <w:r w:rsidR="00EB518B">
        <w:t xml:space="preserve">entreprises. Celles-ci se sont résumées essentiellement par la majoration répétée des taux de cotisation et </w:t>
      </w:r>
      <w:r w:rsidR="000808DA">
        <w:t>la</w:t>
      </w:r>
      <w:r w:rsidR="00EB518B">
        <w:t xml:space="preserve"> mise en oeuvre de certains incitatifs visant à favoriser le report de l'adhésion </w:t>
      </w:r>
      <w:r w:rsidR="005B3B91">
        <w:t>au</w:t>
      </w:r>
      <w:r w:rsidR="00EB518B">
        <w:t xml:space="preserve"> RRQ.</w:t>
      </w:r>
      <w:r w:rsidR="00950DA0">
        <w:t xml:space="preserve"> Cette pratique s'est avérée nécessaire puisque le principe fondateur du régime en est un de "pay-as-you-go". C'est-à-dire que les prestations des retraités sont payées par les cotisations courantes des travailleurs.</w:t>
      </w:r>
      <w:r w:rsidR="00800CF8">
        <w:t xml:space="preserve"> </w:t>
      </w:r>
      <w:r w:rsidR="00800CF8">
        <w:lastRenderedPageBreak/>
        <w:t xml:space="preserve">Néanmoins, une réserve a été constituée afin de permettre au régime de tenir ses promesses auprès des futurs retraités. </w:t>
      </w:r>
      <w:r w:rsidR="00B75B11">
        <w:t xml:space="preserve">Actuellement, les cotisations versées par les travailleurs surpassent à peine les prestations versées aux retraitées. Quant à elle, la </w:t>
      </w:r>
      <w:r w:rsidR="00800CF8">
        <w:t xml:space="preserve"> réserve est présentement de </w:t>
      </w:r>
      <w:r w:rsidR="00B75B11">
        <w:t>52</w:t>
      </w:r>
      <w:r w:rsidR="00800CF8">
        <w:t xml:space="preserve"> milliards de dollars</w:t>
      </w:r>
      <w:r w:rsidR="00B75B11">
        <w:t>.</w:t>
      </w:r>
    </w:p>
    <w:p w14:paraId="1C33BC90" w14:textId="77777777" w:rsidR="00B75B11" w:rsidRDefault="00B75B11" w:rsidP="00450584">
      <w:pPr>
        <w:jc w:val="both"/>
      </w:pPr>
    </w:p>
    <w:p w14:paraId="3CBC1609" w14:textId="1FFB1B1B" w:rsidR="002F541C" w:rsidRDefault="00800CF8" w:rsidP="00450584">
      <w:pPr>
        <w:jc w:val="both"/>
      </w:pPr>
      <w:r>
        <w:t xml:space="preserve"> </w:t>
      </w:r>
      <w:r w:rsidR="00031F06">
        <w:t>Examinons quatre graphiques</w:t>
      </w:r>
      <w:r w:rsidR="00031F06">
        <w:rPr>
          <w:rStyle w:val="Marquenotebasdepage"/>
        </w:rPr>
        <w:footnoteReference w:customMarkFollows="1" w:id="17"/>
        <w:t>14</w:t>
      </w:r>
      <w:r w:rsidR="00031F06">
        <w:t xml:space="preserve"> qui </w:t>
      </w:r>
      <w:proofErr w:type="gramStart"/>
      <w:r w:rsidR="00031F06">
        <w:t>présentent</w:t>
      </w:r>
      <w:proofErr w:type="gramEnd"/>
      <w:r w:rsidR="00031F06">
        <w:t xml:space="preserve"> le contexte démographique dans lequel le régime a d</w:t>
      </w:r>
      <w:r w:rsidR="000808DA">
        <w:t>û</w:t>
      </w:r>
      <w:r w:rsidR="00031F06">
        <w:t xml:space="preserve"> évoluer. </w:t>
      </w:r>
    </w:p>
    <w:p w14:paraId="7F447661" w14:textId="48A2E3CF" w:rsidR="00632D9F" w:rsidRDefault="00B75B11">
      <w:r>
        <w:rPr>
          <w:noProof/>
          <w:lang w:eastAsia="fr-FR"/>
        </w:rPr>
        <w:drawing>
          <wp:anchor distT="0" distB="0" distL="114300" distR="114300" simplePos="0" relativeHeight="251950080" behindDoc="0" locked="0" layoutInCell="1" allowOverlap="1" wp14:anchorId="7980A25B" wp14:editId="1F3B8157">
            <wp:simplePos x="0" y="0"/>
            <wp:positionH relativeFrom="column">
              <wp:posOffset>-114300</wp:posOffset>
            </wp:positionH>
            <wp:positionV relativeFrom="paragraph">
              <wp:posOffset>177800</wp:posOffset>
            </wp:positionV>
            <wp:extent cx="6057265" cy="3221355"/>
            <wp:effectExtent l="0" t="0" r="0" b="4445"/>
            <wp:wrapSquare wrapText="bothSides"/>
            <wp:docPr id="106" name="Image 106" descr="Macintosh HD:Users:marcbachand:Desktop:Capture d’écran 2015-06-26 à 12.0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26 à 12.02.56.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57265" cy="32213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10B0499" w14:textId="1D15B03B" w:rsidR="00632D9F" w:rsidRDefault="0011037A" w:rsidP="003D24A8">
      <w:pPr>
        <w:jc w:val="both"/>
      </w:pPr>
      <w:r>
        <w:t>Selon l'institut de la statistique du Québec, e</w:t>
      </w:r>
      <w:r w:rsidR="003D24A8">
        <w:t xml:space="preserve">n 1966, au moment de la </w:t>
      </w:r>
      <w:r>
        <w:rPr>
          <w:color w:val="FF6700" w:themeColor="accent3"/>
        </w:rPr>
        <w:t>CRÉATION DE LA RRQ</w:t>
      </w:r>
      <w:r w:rsidR="003D24A8">
        <w:t>, alors que la population du Québec était de près de 5,</w:t>
      </w:r>
      <w:r w:rsidR="005C682B">
        <w:t>8</w:t>
      </w:r>
      <w:r w:rsidR="003D24A8">
        <w:t xml:space="preserve"> M d'habitants</w:t>
      </w:r>
      <w:r w:rsidR="005C682B">
        <w:t xml:space="preserve">, 43 % de sa population était âgée de moins de 20 ans </w:t>
      </w:r>
      <w:r w:rsidR="000808DA">
        <w:t>alors que</w:t>
      </w:r>
      <w:r w:rsidR="005C682B">
        <w:t xml:space="preserve"> 6,1 % était âgée de 65 ans et plus.</w:t>
      </w:r>
    </w:p>
    <w:p w14:paraId="6634F06C" w14:textId="77777777" w:rsidR="005414B9" w:rsidRDefault="005414B9" w:rsidP="003D24A8">
      <w:pPr>
        <w:jc w:val="both"/>
      </w:pPr>
    </w:p>
    <w:p w14:paraId="4CD2E00D" w14:textId="77777777" w:rsidR="00632D9F" w:rsidRDefault="00632D9F" w:rsidP="003D24A8">
      <w:pPr>
        <w:jc w:val="both"/>
      </w:pPr>
    </w:p>
    <w:p w14:paraId="50EA3853" w14:textId="77777777" w:rsidR="00632D9F" w:rsidRDefault="00632D9F" w:rsidP="003D24A8">
      <w:pPr>
        <w:jc w:val="both"/>
      </w:pPr>
    </w:p>
    <w:p w14:paraId="447FADAE" w14:textId="77777777" w:rsidR="00632D9F" w:rsidRDefault="00632D9F" w:rsidP="003D24A8">
      <w:pPr>
        <w:jc w:val="both"/>
      </w:pPr>
    </w:p>
    <w:p w14:paraId="7136CAC5" w14:textId="77777777" w:rsidR="00632D9F" w:rsidRDefault="00632D9F" w:rsidP="003D24A8">
      <w:pPr>
        <w:jc w:val="both"/>
      </w:pPr>
    </w:p>
    <w:p w14:paraId="5E0DCA3F" w14:textId="0C6BF5EC" w:rsidR="00632D9F" w:rsidRDefault="00632D9F" w:rsidP="003D24A8">
      <w:pPr>
        <w:jc w:val="both"/>
      </w:pPr>
    </w:p>
    <w:p w14:paraId="5214B544" w14:textId="4B55F75E" w:rsidR="00632D9F" w:rsidRDefault="00632D9F" w:rsidP="003D24A8">
      <w:pPr>
        <w:jc w:val="both"/>
      </w:pPr>
    </w:p>
    <w:p w14:paraId="7F7ADE7F" w14:textId="77777777" w:rsidR="00632D9F" w:rsidRDefault="00632D9F" w:rsidP="003D24A8">
      <w:pPr>
        <w:jc w:val="both"/>
      </w:pPr>
    </w:p>
    <w:p w14:paraId="42D99433" w14:textId="77777777" w:rsidR="00632D9F" w:rsidRDefault="00632D9F" w:rsidP="003D24A8">
      <w:pPr>
        <w:jc w:val="both"/>
      </w:pPr>
    </w:p>
    <w:p w14:paraId="30174943" w14:textId="77777777" w:rsidR="00632D9F" w:rsidRDefault="00632D9F" w:rsidP="003D24A8">
      <w:pPr>
        <w:jc w:val="both"/>
      </w:pPr>
    </w:p>
    <w:p w14:paraId="086255ED" w14:textId="77777777" w:rsidR="00632D9F" w:rsidRDefault="00632D9F" w:rsidP="003D24A8">
      <w:pPr>
        <w:jc w:val="both"/>
      </w:pPr>
    </w:p>
    <w:p w14:paraId="3F871C9F" w14:textId="77777777" w:rsidR="00632D9F" w:rsidRDefault="00632D9F" w:rsidP="003D24A8">
      <w:pPr>
        <w:jc w:val="both"/>
      </w:pPr>
    </w:p>
    <w:p w14:paraId="3D61CA17" w14:textId="77777777" w:rsidR="00632D9F" w:rsidRDefault="00632D9F" w:rsidP="002F541C"/>
    <w:p w14:paraId="17CEB499" w14:textId="4E352FD0" w:rsidR="005C682B" w:rsidRDefault="005C682B" w:rsidP="0011037A">
      <w:pPr>
        <w:jc w:val="both"/>
      </w:pPr>
      <w:r>
        <w:rPr>
          <w:noProof/>
          <w:lang w:eastAsia="fr-FR"/>
        </w:rPr>
        <w:lastRenderedPageBreak/>
        <w:drawing>
          <wp:anchor distT="0" distB="0" distL="114300" distR="114300" simplePos="0" relativeHeight="251949056" behindDoc="0" locked="0" layoutInCell="1" allowOverlap="1" wp14:anchorId="7C101C2A" wp14:editId="3BD89252">
            <wp:simplePos x="0" y="0"/>
            <wp:positionH relativeFrom="column">
              <wp:posOffset>-228600</wp:posOffset>
            </wp:positionH>
            <wp:positionV relativeFrom="paragraph">
              <wp:posOffset>-342900</wp:posOffset>
            </wp:positionV>
            <wp:extent cx="6057265" cy="3196590"/>
            <wp:effectExtent l="0" t="0" r="0" b="3810"/>
            <wp:wrapSquare wrapText="bothSides"/>
            <wp:docPr id="115" name="Image 115" descr="Macintosh HD:Users:marcbachand:Desktop:Capture d’écran 2015-06-26 à 12.0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26 à 12.04.13.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57265" cy="31965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1037A">
        <w:t>Selon l'Institut de la statistique du Québec, en</w:t>
      </w:r>
      <w:r>
        <w:t xml:space="preserve"> 19</w:t>
      </w:r>
      <w:r w:rsidR="0011037A">
        <w:t>8</w:t>
      </w:r>
      <w:r>
        <w:t xml:space="preserve">6, au moment de la </w:t>
      </w:r>
      <w:r w:rsidR="0011037A">
        <w:rPr>
          <w:color w:val="FF6700" w:themeColor="accent3"/>
        </w:rPr>
        <w:t>PREMIÈRE HAUSSE DES COTISATIONS D</w:t>
      </w:r>
      <w:r w:rsidR="005B3B91">
        <w:rPr>
          <w:color w:val="FF6700" w:themeColor="accent3"/>
        </w:rPr>
        <w:t>U R</w:t>
      </w:r>
      <w:r w:rsidR="0011037A">
        <w:rPr>
          <w:color w:val="FF6700" w:themeColor="accent3"/>
        </w:rPr>
        <w:t>RQ</w:t>
      </w:r>
      <w:r>
        <w:t xml:space="preserve">, alors que la population du Québec était de près de </w:t>
      </w:r>
      <w:r w:rsidR="00C83EAE">
        <w:t>6,7</w:t>
      </w:r>
      <w:r>
        <w:t xml:space="preserve"> M d'habitants, </w:t>
      </w:r>
      <w:r w:rsidR="00C83EAE">
        <w:t>27,5</w:t>
      </w:r>
      <w:r>
        <w:t xml:space="preserve"> % de sa population était âgée de moins de 20 ans </w:t>
      </w:r>
      <w:r w:rsidR="000808DA">
        <w:t>alors que</w:t>
      </w:r>
      <w:r>
        <w:t xml:space="preserve"> </w:t>
      </w:r>
      <w:r w:rsidR="00C83EAE">
        <w:t>9,8</w:t>
      </w:r>
      <w:r>
        <w:t xml:space="preserve"> % était âgée de</w:t>
      </w:r>
      <w:r w:rsidR="00C83EAE">
        <w:t xml:space="preserve"> </w:t>
      </w:r>
      <w:r>
        <w:t>65 ans et plus.</w:t>
      </w:r>
      <w:r w:rsidR="00064781">
        <w:t xml:space="preserve"> Les premiers grands retards quant au financement du régime proviennent de cette période.</w:t>
      </w:r>
    </w:p>
    <w:p w14:paraId="7C7040C0" w14:textId="77777777" w:rsidR="00632D9F" w:rsidRDefault="00632D9F" w:rsidP="002F541C"/>
    <w:p w14:paraId="7970F816" w14:textId="77777777" w:rsidR="00632D9F" w:rsidRDefault="00632D9F" w:rsidP="002F541C"/>
    <w:p w14:paraId="7DEA6B62" w14:textId="4238E8EC" w:rsidR="00632D9F" w:rsidRDefault="00632D9F" w:rsidP="002F541C"/>
    <w:p w14:paraId="45290D46" w14:textId="44CE36B9" w:rsidR="0011037A" w:rsidRDefault="00064781" w:rsidP="00064781">
      <w:pPr>
        <w:jc w:val="both"/>
      </w:pPr>
      <w:r>
        <w:rPr>
          <w:noProof/>
          <w:lang w:eastAsia="fr-FR"/>
        </w:rPr>
        <w:drawing>
          <wp:anchor distT="0" distB="0" distL="114300" distR="114300" simplePos="0" relativeHeight="251951104" behindDoc="0" locked="0" layoutInCell="1" allowOverlap="1" wp14:anchorId="050D553A" wp14:editId="6EDD28C7">
            <wp:simplePos x="0" y="0"/>
            <wp:positionH relativeFrom="column">
              <wp:posOffset>-228600</wp:posOffset>
            </wp:positionH>
            <wp:positionV relativeFrom="paragraph">
              <wp:posOffset>24130</wp:posOffset>
            </wp:positionV>
            <wp:extent cx="6057265" cy="3249295"/>
            <wp:effectExtent l="0" t="0" r="0" b="1905"/>
            <wp:wrapSquare wrapText="bothSides"/>
            <wp:docPr id="116" name="Image 116" descr="Macintosh HD:Users:marcbachand:Desktop:Capture d’écran 2015-06-26 à 12.0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Capture d’écran 2015-06-26 à 12.06.05.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57265" cy="32492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1037A">
        <w:t xml:space="preserve">Selon l'Institut de la statistique du Québec, en 2015, alors que la population du Québec </w:t>
      </w:r>
      <w:r>
        <w:t>est</w:t>
      </w:r>
      <w:r w:rsidR="0011037A">
        <w:t xml:space="preserve"> de près de </w:t>
      </w:r>
      <w:r>
        <w:t>8,3 M</w:t>
      </w:r>
      <w:r w:rsidR="0011037A">
        <w:t xml:space="preserve"> d'habitants, </w:t>
      </w:r>
      <w:r>
        <w:t xml:space="preserve">20,5 </w:t>
      </w:r>
      <w:r w:rsidR="0011037A">
        <w:t xml:space="preserve">% de sa population </w:t>
      </w:r>
      <w:r w:rsidR="00C2207B">
        <w:t>est</w:t>
      </w:r>
      <w:r w:rsidR="0011037A">
        <w:t xml:space="preserve"> âgée de moins de 20 ans </w:t>
      </w:r>
      <w:r w:rsidR="000808DA">
        <w:t>alors que 1</w:t>
      </w:r>
      <w:r>
        <w:t>7,4</w:t>
      </w:r>
      <w:r w:rsidR="0011037A">
        <w:t xml:space="preserve"> % </w:t>
      </w:r>
      <w:r w:rsidR="00C2207B">
        <w:t>est</w:t>
      </w:r>
      <w:r w:rsidR="0011037A">
        <w:t xml:space="preserve"> âgée de</w:t>
      </w:r>
      <w:r w:rsidR="00C83EAE">
        <w:t xml:space="preserve"> </w:t>
      </w:r>
      <w:r w:rsidR="0011037A">
        <w:t>65 ans et plus.</w:t>
      </w:r>
      <w:r w:rsidR="00C2207B">
        <w:t xml:space="preserve"> </w:t>
      </w:r>
      <w:r>
        <w:t>La réforme</w:t>
      </w:r>
      <w:r w:rsidR="00C2207B">
        <w:t xml:space="preserve"> du régime en 2011</w:t>
      </w:r>
      <w:r w:rsidR="002758B9">
        <w:t xml:space="preserve"> était essentielle et</w:t>
      </w:r>
      <w:r w:rsidR="00C2207B">
        <w:t xml:space="preserve"> démontrait clairement qu'il y</w:t>
      </w:r>
      <w:r w:rsidR="002758B9">
        <w:t xml:space="preserve"> aurait eu </w:t>
      </w:r>
      <w:r w:rsidR="00C2207B">
        <w:t>péril dans la demeure.</w:t>
      </w:r>
    </w:p>
    <w:p w14:paraId="6EF43043" w14:textId="6D9ED922" w:rsidR="00C52A85" w:rsidRDefault="005618D6" w:rsidP="0011037A">
      <w:pPr>
        <w:jc w:val="both"/>
      </w:pPr>
      <w:r>
        <w:rPr>
          <w:noProof/>
          <w:lang w:eastAsia="fr-FR"/>
        </w:rPr>
        <w:lastRenderedPageBreak/>
        <w:drawing>
          <wp:anchor distT="0" distB="0" distL="114300" distR="114300" simplePos="0" relativeHeight="251952128" behindDoc="0" locked="0" layoutInCell="1" allowOverlap="1" wp14:anchorId="49BDA410" wp14:editId="6FCE7020">
            <wp:simplePos x="0" y="0"/>
            <wp:positionH relativeFrom="column">
              <wp:posOffset>-457200</wp:posOffset>
            </wp:positionH>
            <wp:positionV relativeFrom="paragraph">
              <wp:posOffset>0</wp:posOffset>
            </wp:positionV>
            <wp:extent cx="6057265" cy="3319145"/>
            <wp:effectExtent l="0" t="0" r="0" b="8255"/>
            <wp:wrapSquare wrapText="bothSides"/>
            <wp:docPr id="117" name="Image 117" descr="Macintosh HD:Users:marcbachand:Desktop:Capture d’écran 2015-06-26 à 12.0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cbachand:Desktop:Capture d’écran 2015-06-26 à 12.08.17.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57265" cy="33191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52A85">
        <w:t xml:space="preserve">Selon les prévisions de l'Institut de la statistique du Québec, en 2037, alors que la population du Québec sera de près de 9,4 M d'habitants, 20,4 % de sa population sera âgée de moins de 20 ans </w:t>
      </w:r>
      <w:r w:rsidR="000808DA">
        <w:t xml:space="preserve">alors que </w:t>
      </w:r>
      <w:r w:rsidR="00C52A85">
        <w:t xml:space="preserve">26 % sera âgée de 65 ans et plus. À cet instant, le ratio du nombre de </w:t>
      </w:r>
      <w:r w:rsidR="00C52A85">
        <w:rPr>
          <w:color w:val="FF6700" w:themeColor="accent3"/>
        </w:rPr>
        <w:t>COTISANTS POUR CHAQUE RETRAITÉ</w:t>
      </w:r>
      <w:r w:rsidR="00C52A85">
        <w:t xml:space="preserve"> ne sera plus que de 1,65</w:t>
      </w:r>
      <w:r w:rsidR="00C52A85">
        <w:rPr>
          <w:rStyle w:val="Marquenotebasdepage"/>
        </w:rPr>
        <w:footnoteReference w:customMarkFollows="1" w:id="18"/>
        <w:t>16</w:t>
      </w:r>
    </w:p>
    <w:p w14:paraId="12E0FB5A" w14:textId="77777777" w:rsidR="00C52A85" w:rsidRDefault="00C52A85" w:rsidP="0011037A">
      <w:pPr>
        <w:jc w:val="both"/>
      </w:pPr>
    </w:p>
    <w:p w14:paraId="5C175581" w14:textId="77777777" w:rsidR="00C52A85" w:rsidRDefault="00C52A85" w:rsidP="0011037A">
      <w:pPr>
        <w:jc w:val="both"/>
      </w:pPr>
    </w:p>
    <w:p w14:paraId="06381D58" w14:textId="77777777" w:rsidR="00C52A85" w:rsidRDefault="00C52A85" w:rsidP="0011037A">
      <w:pPr>
        <w:jc w:val="both"/>
      </w:pPr>
    </w:p>
    <w:p w14:paraId="66302B14" w14:textId="77777777" w:rsidR="005618D6" w:rsidRDefault="005618D6" w:rsidP="005618D6">
      <w:pPr>
        <w:tabs>
          <w:tab w:val="left" w:pos="10137"/>
        </w:tabs>
        <w:ind w:left="360"/>
      </w:pPr>
    </w:p>
    <w:p w14:paraId="60F19639" w14:textId="77777777" w:rsidR="005618D6" w:rsidRDefault="005618D6" w:rsidP="005618D6">
      <w:pPr>
        <w:tabs>
          <w:tab w:val="left" w:pos="10137"/>
        </w:tabs>
        <w:ind w:left="360"/>
      </w:pPr>
    </w:p>
    <w:p w14:paraId="2F1D017E" w14:textId="77777777" w:rsidR="005618D6" w:rsidRDefault="005618D6" w:rsidP="005618D6">
      <w:pPr>
        <w:tabs>
          <w:tab w:val="left" w:pos="10137"/>
        </w:tabs>
        <w:ind w:left="360"/>
      </w:pPr>
    </w:p>
    <w:p w14:paraId="06CF1120" w14:textId="77777777" w:rsidR="005618D6" w:rsidRDefault="005618D6" w:rsidP="005618D6">
      <w:pPr>
        <w:tabs>
          <w:tab w:val="left" w:pos="10137"/>
        </w:tabs>
        <w:ind w:left="360"/>
      </w:pPr>
    </w:p>
    <w:p w14:paraId="50D09DA4" w14:textId="77777777" w:rsidR="005618D6" w:rsidRDefault="005618D6" w:rsidP="005618D6">
      <w:pPr>
        <w:tabs>
          <w:tab w:val="left" w:pos="10137"/>
        </w:tabs>
        <w:ind w:left="360"/>
      </w:pPr>
    </w:p>
    <w:p w14:paraId="6E3C6C13" w14:textId="77777777" w:rsidR="005618D6" w:rsidRDefault="005618D6" w:rsidP="005618D6">
      <w:pPr>
        <w:tabs>
          <w:tab w:val="left" w:pos="10137"/>
        </w:tabs>
        <w:ind w:left="360"/>
      </w:pPr>
    </w:p>
    <w:p w14:paraId="1F0B0A64" w14:textId="77777777" w:rsidR="005618D6" w:rsidRDefault="005618D6" w:rsidP="005618D6">
      <w:pPr>
        <w:tabs>
          <w:tab w:val="left" w:pos="10137"/>
        </w:tabs>
        <w:ind w:left="360"/>
      </w:pPr>
    </w:p>
    <w:p w14:paraId="059A70FA" w14:textId="77777777" w:rsidR="005618D6" w:rsidRDefault="005618D6" w:rsidP="005618D6">
      <w:pPr>
        <w:tabs>
          <w:tab w:val="left" w:pos="10137"/>
        </w:tabs>
        <w:ind w:left="360"/>
      </w:pPr>
    </w:p>
    <w:p w14:paraId="10ECE7B6" w14:textId="77777777" w:rsidR="005618D6" w:rsidRDefault="005618D6" w:rsidP="005618D6">
      <w:pPr>
        <w:tabs>
          <w:tab w:val="left" w:pos="10137"/>
        </w:tabs>
        <w:ind w:left="360"/>
      </w:pPr>
    </w:p>
    <w:p w14:paraId="6B81F021" w14:textId="77777777" w:rsidR="005618D6" w:rsidRDefault="005618D6" w:rsidP="005618D6">
      <w:pPr>
        <w:tabs>
          <w:tab w:val="left" w:pos="10137"/>
        </w:tabs>
        <w:ind w:left="360"/>
      </w:pPr>
    </w:p>
    <w:p w14:paraId="6CFA831B" w14:textId="77777777" w:rsidR="005618D6" w:rsidRDefault="005618D6" w:rsidP="005618D6">
      <w:pPr>
        <w:tabs>
          <w:tab w:val="left" w:pos="10137"/>
        </w:tabs>
        <w:ind w:left="360"/>
      </w:pPr>
    </w:p>
    <w:p w14:paraId="72E618F9" w14:textId="77777777" w:rsidR="005618D6" w:rsidRDefault="005618D6" w:rsidP="005618D6">
      <w:pPr>
        <w:tabs>
          <w:tab w:val="left" w:pos="10137"/>
        </w:tabs>
        <w:ind w:left="360"/>
      </w:pPr>
    </w:p>
    <w:p w14:paraId="0058F362" w14:textId="77777777" w:rsidR="005618D6" w:rsidRDefault="005618D6" w:rsidP="005618D6">
      <w:pPr>
        <w:tabs>
          <w:tab w:val="left" w:pos="10137"/>
        </w:tabs>
        <w:ind w:left="360"/>
      </w:pPr>
    </w:p>
    <w:p w14:paraId="0F93EA15" w14:textId="3B2A13A8" w:rsidR="00D410C3" w:rsidRPr="000F289D" w:rsidRDefault="00D763C6" w:rsidP="006C34CF">
      <w:pPr>
        <w:pStyle w:val="Paragraphedeliste"/>
        <w:numPr>
          <w:ilvl w:val="0"/>
          <w:numId w:val="10"/>
        </w:numPr>
        <w:tabs>
          <w:tab w:val="left" w:pos="10137"/>
        </w:tabs>
        <w:rPr>
          <w:color w:val="FF6700" w:themeColor="accent3"/>
        </w:rPr>
      </w:pPr>
      <w:r w:rsidRPr="000F289D">
        <w:rPr>
          <w:color w:val="FF6700" w:themeColor="accent3"/>
        </w:rPr>
        <w:t>L'équité générationnelle</w:t>
      </w:r>
    </w:p>
    <w:p w14:paraId="3B96ED98" w14:textId="77777777" w:rsidR="005618D6" w:rsidRDefault="005618D6" w:rsidP="005618D6">
      <w:pPr>
        <w:tabs>
          <w:tab w:val="left" w:pos="10137"/>
        </w:tabs>
        <w:ind w:left="360"/>
      </w:pPr>
    </w:p>
    <w:p w14:paraId="68E4C8E6" w14:textId="204180A5" w:rsidR="002D12D7" w:rsidRDefault="002D12D7" w:rsidP="00EA20EE">
      <w:pPr>
        <w:jc w:val="both"/>
      </w:pPr>
      <w:r>
        <w:t xml:space="preserve">La question de l'équité générationnelle tout en </w:t>
      </w:r>
      <w:r w:rsidR="00B86D1C">
        <w:t>étant</w:t>
      </w:r>
      <w:r>
        <w:t xml:space="preserve"> importante constitue un sujet </w:t>
      </w:r>
      <w:r w:rsidR="00EA20EE">
        <w:t>qui n'est pas facile à cerner. Lorsqu'il est en question, il faut aborder le débat avec une vue d'ensemble qui s'interroge sur tous les programmes sociaux pourvus par l'État et non pas par une courte analyse visant un programme en particulier. Par exemple, si la génération</w:t>
      </w:r>
      <w:r w:rsidR="00C52A85">
        <w:t xml:space="preserve"> d</w:t>
      </w:r>
      <w:r w:rsidR="00EA20EE">
        <w:t xml:space="preserve">es </w:t>
      </w:r>
      <w:r w:rsidR="00792D77">
        <w:t>Baby-boomers</w:t>
      </w:r>
      <w:r w:rsidR="00EA20EE">
        <w:t xml:space="preserve"> </w:t>
      </w:r>
      <w:r w:rsidR="00C52A85">
        <w:t>bénéficie d'une rente d</w:t>
      </w:r>
      <w:r w:rsidR="005B3B91">
        <w:t>u</w:t>
      </w:r>
      <w:r w:rsidR="00C52A85">
        <w:t xml:space="preserve"> RRQ qu'ils ont peu </w:t>
      </w:r>
      <w:r w:rsidR="00792D77">
        <w:t>financée</w:t>
      </w:r>
      <w:r w:rsidR="00C52A85">
        <w:t xml:space="preserve"> comparativement à celle qui sera versée aux futures générations, ceux-ci auront, par ailleurs, déboursé pour un système de service de garde pour lequel ils n'ont obtenu aucun bénéfice. Ce type de comparaisons sont innombrables et peuvent même se traduire par des propos philosophiques où l'on pourrait se demander s'il existe plus grand gain pour une génération que l'espérance de voir sa vie</w:t>
      </w:r>
      <w:r w:rsidR="005618D6">
        <w:t xml:space="preserve"> prolongée, avec la perspective de la vivre en santé le plus longtemps possible.</w:t>
      </w:r>
      <w:r w:rsidR="00C52A85">
        <w:t xml:space="preserve"> À la page suivante</w:t>
      </w:r>
      <w:r w:rsidR="005618D6">
        <w:t>, nous vous présentons un texte</w:t>
      </w:r>
      <w:r w:rsidR="005618D6">
        <w:rPr>
          <w:rStyle w:val="Marquenotebasdepage"/>
        </w:rPr>
        <w:footnoteReference w:customMarkFollows="1" w:id="19"/>
        <w:t>17</w:t>
      </w:r>
      <w:r w:rsidR="005618D6">
        <w:t xml:space="preserve"> sur le sujet</w:t>
      </w:r>
      <w:r w:rsidR="00EB1FBB">
        <w:t xml:space="preserve"> de l'équité générationnelle en matière du programme de rente de retraite d</w:t>
      </w:r>
      <w:r w:rsidR="005B3B91">
        <w:t>u</w:t>
      </w:r>
      <w:r w:rsidR="00EB1FBB">
        <w:t xml:space="preserve"> RRQ</w:t>
      </w:r>
      <w:r w:rsidR="005618D6">
        <w:t>.</w:t>
      </w:r>
      <w:r>
        <w:t xml:space="preserve"> </w:t>
      </w:r>
    </w:p>
    <w:p w14:paraId="6645E0C4" w14:textId="67D21C9D" w:rsidR="008443AE" w:rsidRDefault="00852384">
      <w:r w:rsidRPr="00D410C3">
        <w:br w:type="page"/>
      </w:r>
      <w:r w:rsidR="00EF1E4A">
        <w:rPr>
          <w:noProof/>
          <w:lang w:eastAsia="fr-FR"/>
        </w:rPr>
        <w:lastRenderedPageBreak/>
        <w:drawing>
          <wp:anchor distT="0" distB="0" distL="114300" distR="114300" simplePos="0" relativeHeight="251953152" behindDoc="0" locked="0" layoutInCell="1" allowOverlap="1" wp14:anchorId="76D97997" wp14:editId="782CC740">
            <wp:simplePos x="0" y="0"/>
            <wp:positionH relativeFrom="column">
              <wp:posOffset>914400</wp:posOffset>
            </wp:positionH>
            <wp:positionV relativeFrom="paragraph">
              <wp:posOffset>-839689</wp:posOffset>
            </wp:positionV>
            <wp:extent cx="6514843" cy="7643079"/>
            <wp:effectExtent l="0" t="0" r="0" b="2540"/>
            <wp:wrapNone/>
            <wp:docPr id="118" name="Image 118" descr="Macintosh HD:Users:marcbachand:Desktop:Capture d’écran 2015-06-26 à 12.3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rcbachand:Desktop:Capture d’écran 2015-06-26 à 12.38.13.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15586" cy="7643951"/>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F78DE">
        <w:br w:type="page"/>
      </w:r>
    </w:p>
    <w:p w14:paraId="3A82BB43" w14:textId="4456DADC" w:rsidR="005414B9" w:rsidRPr="000F289D" w:rsidRDefault="005414B9" w:rsidP="006C34CF">
      <w:pPr>
        <w:pStyle w:val="Paragraphedeliste"/>
        <w:numPr>
          <w:ilvl w:val="0"/>
          <w:numId w:val="10"/>
        </w:numPr>
        <w:ind w:left="1134" w:hanging="425"/>
        <w:rPr>
          <w:color w:val="FF6700" w:themeColor="accent3"/>
        </w:rPr>
      </w:pPr>
      <w:r w:rsidRPr="000F289D">
        <w:rPr>
          <w:color w:val="FF6700" w:themeColor="accent3"/>
        </w:rPr>
        <w:lastRenderedPageBreak/>
        <w:t>La structure du régime</w:t>
      </w:r>
    </w:p>
    <w:p w14:paraId="7E5C3551" w14:textId="77777777" w:rsidR="002758B9" w:rsidRDefault="002758B9" w:rsidP="002758B9">
      <w:pPr>
        <w:ind w:left="360"/>
      </w:pPr>
    </w:p>
    <w:p w14:paraId="433D0EFF" w14:textId="13BFB5DB" w:rsidR="009C2F35" w:rsidRDefault="009C2F35" w:rsidP="002758B9">
      <w:pPr>
        <w:ind w:left="360"/>
      </w:pPr>
      <w:r>
        <w:t xml:space="preserve">Le régime de rentes du Québec vise à fournir des rentrées de fonds périodiques à tous les </w:t>
      </w:r>
      <w:r w:rsidR="00792D77">
        <w:t>Québécois</w:t>
      </w:r>
      <w:r>
        <w:t xml:space="preserve"> qui ont été </w:t>
      </w:r>
      <w:r w:rsidR="00792D77">
        <w:t>travailleurs</w:t>
      </w:r>
      <w:r>
        <w:t xml:space="preserve"> ou </w:t>
      </w:r>
      <w:r w:rsidR="00792D77">
        <w:t>entrepreneurs</w:t>
      </w:r>
      <w:r>
        <w:t xml:space="preserve"> durant leur vie active. Ces revenus sont versés suite à des événements bien précis, soit la retraite, l'invalidité ou le décès. </w:t>
      </w:r>
    </w:p>
    <w:p w14:paraId="5548F278" w14:textId="77777777" w:rsidR="00D763C6" w:rsidRDefault="00D763C6" w:rsidP="00D763C6">
      <w:pPr>
        <w:ind w:left="360"/>
      </w:pPr>
    </w:p>
    <w:p w14:paraId="3CBF944F" w14:textId="4056F70D" w:rsidR="00FD5255" w:rsidRDefault="002758B9" w:rsidP="00D763C6">
      <w:pPr>
        <w:ind w:left="360"/>
      </w:pPr>
      <w:r w:rsidRPr="00EC2312">
        <w:rPr>
          <w:color w:val="FF6700" w:themeColor="accent3"/>
        </w:rPr>
        <w:t>I</w:t>
      </w:r>
      <w:r w:rsidR="006C4C47">
        <w:rPr>
          <w:color w:val="FF6700" w:themeColor="accent3"/>
        </w:rPr>
        <w:t>MAGE</w:t>
      </w:r>
      <w:r w:rsidRPr="00EC2312">
        <w:rPr>
          <w:color w:val="FF6700" w:themeColor="accent3"/>
        </w:rPr>
        <w:t xml:space="preserve"> 7</w:t>
      </w:r>
      <w:r>
        <w:rPr>
          <w:color w:val="FF6700" w:themeColor="accent3"/>
        </w:rPr>
        <w:t>-7</w:t>
      </w:r>
      <w:r w:rsidRPr="00EC2312">
        <w:rPr>
          <w:color w:val="FF6700" w:themeColor="accent3"/>
        </w:rPr>
        <w:tab/>
      </w:r>
      <w:r>
        <w:rPr>
          <w:color w:val="FF6700" w:themeColor="accent3"/>
        </w:rPr>
        <w:t>Les composantes du régime de rentes du Québec</w:t>
      </w:r>
    </w:p>
    <w:p w14:paraId="6A8AC2A7" w14:textId="35513764" w:rsidR="00D763C6" w:rsidRDefault="000B5495" w:rsidP="00D763C6">
      <w:pPr>
        <w:ind w:left="360"/>
      </w:pPr>
      <w:r>
        <w:rPr>
          <w:noProof/>
          <w:lang w:eastAsia="fr-FR"/>
        </w:rPr>
        <w:drawing>
          <wp:anchor distT="0" distB="0" distL="114300" distR="114300" simplePos="0" relativeHeight="251966464" behindDoc="0" locked="0" layoutInCell="1" allowOverlap="1" wp14:anchorId="426022AE" wp14:editId="07C6C82E">
            <wp:simplePos x="0" y="0"/>
            <wp:positionH relativeFrom="column">
              <wp:posOffset>-228600</wp:posOffset>
            </wp:positionH>
            <wp:positionV relativeFrom="paragraph">
              <wp:posOffset>63500</wp:posOffset>
            </wp:positionV>
            <wp:extent cx="8258810" cy="3041015"/>
            <wp:effectExtent l="0" t="0" r="0" b="6985"/>
            <wp:wrapNone/>
            <wp:docPr id="135" name="Image 135" descr="Macintosh HD:Users:marcbachand:Desktop:Capture d’écran 2015-07-14 à 10.2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7-14 à 10.29.40.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258810" cy="30410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D84F080" w14:textId="26614B9A" w:rsidR="00782AB2" w:rsidRDefault="00782AB2" w:rsidP="00D763C6">
      <w:pPr>
        <w:ind w:left="360"/>
      </w:pPr>
    </w:p>
    <w:p w14:paraId="01B9A5C7" w14:textId="5B4E0928" w:rsidR="009C2F35" w:rsidRDefault="009C2F35" w:rsidP="00D763C6">
      <w:pPr>
        <w:ind w:left="360"/>
      </w:pPr>
    </w:p>
    <w:p w14:paraId="4A197798" w14:textId="79CDBCE8" w:rsidR="009C2F35" w:rsidRDefault="009C2F35" w:rsidP="00D763C6">
      <w:pPr>
        <w:ind w:left="360"/>
      </w:pPr>
    </w:p>
    <w:p w14:paraId="4E0DD3D1" w14:textId="474DC310" w:rsidR="009C2F35" w:rsidRDefault="009C2F35" w:rsidP="00D763C6">
      <w:pPr>
        <w:ind w:left="360"/>
      </w:pPr>
    </w:p>
    <w:p w14:paraId="0383E25B" w14:textId="17FB27DD" w:rsidR="009C2F35" w:rsidRDefault="009C2F35" w:rsidP="00D763C6">
      <w:pPr>
        <w:ind w:left="360"/>
      </w:pPr>
    </w:p>
    <w:p w14:paraId="758F5FF9" w14:textId="298CC118" w:rsidR="009C2F35" w:rsidRDefault="009C2F35" w:rsidP="00D763C6">
      <w:pPr>
        <w:ind w:left="360"/>
      </w:pPr>
    </w:p>
    <w:p w14:paraId="1861C606" w14:textId="3E7B4CFB" w:rsidR="009C2F35" w:rsidRDefault="009C2F35" w:rsidP="00D763C6">
      <w:pPr>
        <w:ind w:left="360"/>
      </w:pPr>
    </w:p>
    <w:p w14:paraId="79F6A3AD" w14:textId="5BE674EF" w:rsidR="009C2F35" w:rsidRDefault="009C2F35" w:rsidP="00D763C6">
      <w:pPr>
        <w:ind w:left="360"/>
      </w:pPr>
    </w:p>
    <w:p w14:paraId="05F21957" w14:textId="58B9279A" w:rsidR="009C2F35" w:rsidRDefault="009C2F35" w:rsidP="00D763C6">
      <w:pPr>
        <w:ind w:left="360"/>
      </w:pPr>
    </w:p>
    <w:p w14:paraId="33C2CAE4" w14:textId="06B513F6" w:rsidR="009C2F35" w:rsidRDefault="009C2F35" w:rsidP="00D763C6">
      <w:pPr>
        <w:ind w:left="360"/>
      </w:pPr>
    </w:p>
    <w:p w14:paraId="52EE4DB7" w14:textId="0D5FA1E7" w:rsidR="009C2F35" w:rsidRDefault="009C2F35" w:rsidP="00D763C6">
      <w:pPr>
        <w:ind w:left="360"/>
      </w:pPr>
    </w:p>
    <w:p w14:paraId="1B284ADC" w14:textId="7225F5BD" w:rsidR="009C2F35" w:rsidRDefault="009C2F35" w:rsidP="00D763C6">
      <w:pPr>
        <w:ind w:left="360"/>
      </w:pPr>
    </w:p>
    <w:p w14:paraId="73CCAA8B" w14:textId="1DF71957" w:rsidR="009C2F35" w:rsidRDefault="009C2F35" w:rsidP="00D763C6">
      <w:pPr>
        <w:ind w:left="360"/>
      </w:pPr>
    </w:p>
    <w:p w14:paraId="685A716F" w14:textId="77777777" w:rsidR="00D763C6" w:rsidRDefault="00D763C6" w:rsidP="00D763C6">
      <w:pPr>
        <w:ind w:left="360"/>
      </w:pPr>
    </w:p>
    <w:p w14:paraId="70BE9752" w14:textId="1E11FF4C" w:rsidR="00D763C6" w:rsidRDefault="00D763C6" w:rsidP="00D763C6">
      <w:pPr>
        <w:ind w:left="360"/>
      </w:pPr>
    </w:p>
    <w:p w14:paraId="6FFA3FCF" w14:textId="77777777" w:rsidR="000B5495" w:rsidRDefault="000B5495"/>
    <w:p w14:paraId="5AC0297C" w14:textId="38184DC8" w:rsidR="00D763C6" w:rsidRPr="002F541C" w:rsidRDefault="00556120" w:rsidP="00C356C8">
      <w:pPr>
        <w:jc w:val="both"/>
      </w:pPr>
      <w:r>
        <w:t xml:space="preserve">Sauf pour la rente au conjoint survivant, la prestation de décès et le montant additionnel pour invalidité destiné aux bénéficiaires d'une rente de retraite (entre </w:t>
      </w:r>
      <w:r w:rsidR="00792D77">
        <w:t>60</w:t>
      </w:r>
      <w:r w:rsidR="00B86D1C">
        <w:t xml:space="preserve"> </w:t>
      </w:r>
      <w:r w:rsidR="00792D77">
        <w:t>e</w:t>
      </w:r>
      <w:r w:rsidR="00B86D1C">
        <w:t>t</w:t>
      </w:r>
      <w:r>
        <w:t xml:space="preserve"> 65 ans), les différentes rentes ne peuvent pas être combinées.</w:t>
      </w:r>
      <w:r w:rsidR="00C356C8">
        <w:t xml:space="preserve"> Les prochaines sections </w:t>
      </w:r>
      <w:r w:rsidR="000A3577">
        <w:t xml:space="preserve">de l'ouvrage </w:t>
      </w:r>
      <w:r w:rsidR="00C356C8">
        <w:t>porteront sur les différents montants qui peuvent être versés dans les contextes de la retraite et du décès. Les informations factuelles sont issues du site Web de la RRQ</w:t>
      </w:r>
      <w:r w:rsidR="00C356C8">
        <w:rPr>
          <w:rStyle w:val="Marquenotebasdepage"/>
        </w:rPr>
        <w:footnoteReference w:customMarkFollows="1" w:id="20"/>
        <w:t>17</w:t>
      </w:r>
      <w:r w:rsidR="00962DB4">
        <w:br w:type="page"/>
      </w:r>
      <w:r w:rsidR="00962DB4">
        <w:rPr>
          <w:noProof/>
          <w:lang w:eastAsia="fr-FR"/>
        </w:rPr>
        <mc:AlternateContent>
          <mc:Choice Requires="wps">
            <w:drawing>
              <wp:anchor distT="0" distB="0" distL="114300" distR="114300" simplePos="0" relativeHeight="251965440" behindDoc="0" locked="0" layoutInCell="1" allowOverlap="1" wp14:anchorId="0C95AD1B" wp14:editId="357E0ED8">
                <wp:simplePos x="0" y="0"/>
                <wp:positionH relativeFrom="column">
                  <wp:posOffset>7086600</wp:posOffset>
                </wp:positionH>
                <wp:positionV relativeFrom="paragraph">
                  <wp:posOffset>845820</wp:posOffset>
                </wp:positionV>
                <wp:extent cx="297815" cy="914400"/>
                <wp:effectExtent l="0" t="0" r="0" b="0"/>
                <wp:wrapSquare wrapText="bothSides"/>
                <wp:docPr id="129" name="Zone de texte 129"/>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FBC33E" w14:textId="77777777" w:rsidR="00573C95" w:rsidRDefault="00573C95"/>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29" o:spid="_x0000_s1056" type="#_x0000_t202" style="position:absolute;left:0;text-align:left;margin-left:558pt;margin-top:66.6pt;width:23.45pt;height:1in;z-index:251965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" filled="f" stroked="f">
                <v:textbox>
                  <w:txbxContent>
                    <w:p w14:paraId="60FBC33E" w14:textId="77777777" w:rsidR="001501D6" w:rsidRDefault="001501D6"/>
                  </w:txbxContent>
                </v:textbox>
                <w10:wrap type="square"/>
              </v:shape>
            </w:pict>
          </mc:Fallback>
        </mc:AlternateContent>
      </w:r>
    </w:p>
    <w:p w14:paraId="5F16CC08" w14:textId="1724EBFC" w:rsidR="00B723A8" w:rsidRDefault="00E96AF0" w:rsidP="00E96AF0">
      <w:pPr>
        <w:pStyle w:val="Titre4"/>
      </w:pPr>
      <w:bookmarkStart w:id="28" w:name="_Toc314397821"/>
      <w:bookmarkStart w:id="29" w:name="_Toc443569365"/>
      <w:r>
        <w:lastRenderedPageBreak/>
        <w:t>2.2.</w:t>
      </w:r>
      <w:r w:rsidR="00C47AB3">
        <w:t>1</w:t>
      </w:r>
      <w:r>
        <w:t>.1</w:t>
      </w:r>
      <w:r w:rsidR="00432B0B">
        <w:t>.</w:t>
      </w:r>
      <w:r>
        <w:t xml:space="preserve"> </w:t>
      </w:r>
      <w:r w:rsidR="00B723A8">
        <w:t>Les rentes de retraite</w:t>
      </w:r>
      <w:bookmarkEnd w:id="28"/>
      <w:bookmarkEnd w:id="29"/>
    </w:p>
    <w:p w14:paraId="724910D4" w14:textId="77777777" w:rsidR="005E5B95" w:rsidRDefault="005E5B95" w:rsidP="005E5B95"/>
    <w:p w14:paraId="22435959" w14:textId="1519FC8B" w:rsidR="005E5B95" w:rsidRDefault="004952D8" w:rsidP="00E31373">
      <w:pPr>
        <w:jc w:val="both"/>
      </w:pPr>
      <w:r>
        <w:t>Les rentes de retraite constituent</w:t>
      </w:r>
      <w:r w:rsidR="00CC5C5B">
        <w:t xml:space="preserve"> une source de </w:t>
      </w:r>
      <w:r w:rsidR="00792D77">
        <w:t>revenus</w:t>
      </w:r>
      <w:r w:rsidR="00CC5C5B">
        <w:t xml:space="preserve"> prévisible et identifiable </w:t>
      </w:r>
      <w:r w:rsidR="00624171">
        <w:t xml:space="preserve">(puisqu'il s'agit d'un régime à prestation déterminée) </w:t>
      </w:r>
      <w:r w:rsidR="00CC5C5B">
        <w:t>qui permet aux contribuables de pourvoir, en partie, à leu</w:t>
      </w:r>
      <w:r w:rsidR="00624171">
        <w:t>r</w:t>
      </w:r>
      <w:r w:rsidR="00CC5C5B">
        <w:t xml:space="preserve"> besoin financier au moment de la retraite. Elle</w:t>
      </w:r>
      <w:r w:rsidR="00AA49BE">
        <w:t>s</w:t>
      </w:r>
      <w:r w:rsidR="00CC5C5B">
        <w:t xml:space="preserve"> peu</w:t>
      </w:r>
      <w:r w:rsidR="00AA49BE">
        <w:t>ven</w:t>
      </w:r>
      <w:r w:rsidR="00CC5C5B">
        <w:t>t couvrir jusqu'à 25</w:t>
      </w:r>
      <w:r w:rsidR="00AA49BE">
        <w:t xml:space="preserve"> </w:t>
      </w:r>
      <w:r w:rsidR="00CC5C5B">
        <w:t xml:space="preserve">% </w:t>
      </w:r>
      <w:r w:rsidR="00AA49BE">
        <w:t xml:space="preserve">du revenu d'emploi ou d'entreprise qui était généré durant la vie active du travailleur. </w:t>
      </w:r>
    </w:p>
    <w:p w14:paraId="0CC77690" w14:textId="77777777" w:rsidR="005E5B95" w:rsidRDefault="005E5B95" w:rsidP="005E5B95"/>
    <w:p w14:paraId="1C7827C3" w14:textId="189F0683" w:rsidR="005E5B95" w:rsidRPr="000F289D" w:rsidRDefault="005E5B95" w:rsidP="006C34CF">
      <w:pPr>
        <w:pStyle w:val="Paragraphedeliste"/>
        <w:numPr>
          <w:ilvl w:val="0"/>
          <w:numId w:val="10"/>
        </w:numPr>
        <w:ind w:left="1134" w:hanging="425"/>
        <w:rPr>
          <w:color w:val="FF6700" w:themeColor="accent3"/>
        </w:rPr>
      </w:pPr>
      <w:r w:rsidRPr="000F289D">
        <w:rPr>
          <w:color w:val="FF6700" w:themeColor="accent3"/>
        </w:rPr>
        <w:t>Admissibilité</w:t>
      </w:r>
    </w:p>
    <w:p w14:paraId="07C1CB96" w14:textId="77777777" w:rsidR="00AA49BE" w:rsidRDefault="00AA49BE" w:rsidP="00AA49BE">
      <w:pPr>
        <w:ind w:left="709"/>
      </w:pPr>
    </w:p>
    <w:p w14:paraId="32764AA9" w14:textId="3C8CD595" w:rsidR="003F0E80" w:rsidRDefault="00AA49BE" w:rsidP="00E31373">
      <w:pPr>
        <w:jc w:val="both"/>
      </w:pPr>
      <w:r>
        <w:t xml:space="preserve">Pour être admissible minimalement à sa rente de retraite, il suffit d'avoir cotisé au RRQ au moins une année. Bien que l'admissibilité à </w:t>
      </w:r>
      <w:r w:rsidRPr="00394E46">
        <w:rPr>
          <w:color w:val="FF6700" w:themeColor="accent3"/>
        </w:rPr>
        <w:t>100 %</w:t>
      </w:r>
      <w:r>
        <w:t xml:space="preserve"> de sa rente ne peut s'effectuer qu'à l'âge de </w:t>
      </w:r>
      <w:r w:rsidRPr="00394E46">
        <w:rPr>
          <w:color w:val="FF6700" w:themeColor="accent3"/>
        </w:rPr>
        <w:t xml:space="preserve">65 </w:t>
      </w:r>
      <w:r w:rsidR="00394E46" w:rsidRPr="00394E46">
        <w:rPr>
          <w:color w:val="FF6700" w:themeColor="accent3"/>
        </w:rPr>
        <w:t>ANS</w:t>
      </w:r>
      <w:r>
        <w:t>, il est possible d'en faire la demande dès l'âge de 60 ans</w:t>
      </w:r>
      <w:r w:rsidR="00394E46">
        <w:t xml:space="preserve">. Dans ce cas, la demande anticipée sera sanctionnée par une réduction de la rente correspondante </w:t>
      </w:r>
      <w:r w:rsidR="00D83B88">
        <w:t>de</w:t>
      </w:r>
      <w:r w:rsidR="00394E46">
        <w:t xml:space="preserve"> </w:t>
      </w:r>
      <w:r w:rsidR="00E31373">
        <w:t>,6 %/mois</w:t>
      </w:r>
      <w:r w:rsidR="00E31373">
        <w:rPr>
          <w:rStyle w:val="Marquenotebasdepage"/>
        </w:rPr>
        <w:footnoteReference w:customMarkFollows="1" w:id="21"/>
        <w:t>18</w:t>
      </w:r>
      <w:r w:rsidR="00E31373">
        <w:t xml:space="preserve"> d'anticipation (7,2 % pour une année). À l'opposé, le report</w:t>
      </w:r>
      <w:r w:rsidR="00624171">
        <w:t xml:space="preserve"> (jusqu'à l'âge maximum de 70 ans)</w:t>
      </w:r>
      <w:r w:rsidR="00E31373">
        <w:t xml:space="preserve"> de la demande de la rente se verra bonifi</w:t>
      </w:r>
      <w:r w:rsidR="00B86D1C">
        <w:t>er</w:t>
      </w:r>
      <w:r w:rsidR="00E31373">
        <w:t xml:space="preserve"> de ,7 %/mois</w:t>
      </w:r>
      <w:r w:rsidR="003F0E80">
        <w:t xml:space="preserve"> (8,4 % pour une année). Le message étant clair, inciter la population à demeurer active sur le marché du travail le plus longtemps possible.</w:t>
      </w:r>
      <w:r w:rsidR="009075AC">
        <w:t xml:space="preserve"> </w:t>
      </w:r>
      <w:r w:rsidR="003F0E80">
        <w:t>Par ailleurs,</w:t>
      </w:r>
      <w:r w:rsidR="00173B40">
        <w:t xml:space="preserve"> dans les faits,</w:t>
      </w:r>
      <w:r w:rsidR="003F0E80">
        <w:t xml:space="preserve"> </w:t>
      </w:r>
      <w:r w:rsidR="009075AC">
        <w:t>l'âge médian de la retraite au Québec est de 60,3 ans (62,3 ans pour l'ensemble du Canada)</w:t>
      </w:r>
      <w:r w:rsidR="009075AC">
        <w:rPr>
          <w:rStyle w:val="Marquenotebasdepage"/>
        </w:rPr>
        <w:footnoteReference w:customMarkFollows="1" w:id="22"/>
        <w:t>19</w:t>
      </w:r>
      <w:r w:rsidR="009075AC">
        <w:t xml:space="preserve">. Toutefois, cette tendance est présentement à la hausse, ce qui s'inscrit dans le contexte actuel des gains appréciables effectués en matière d'espérance de vie </w:t>
      </w:r>
      <w:r w:rsidR="00173B40">
        <w:t>et du</w:t>
      </w:r>
      <w:r w:rsidR="009075AC">
        <w:t xml:space="preserve"> report annoncé </w:t>
      </w:r>
      <w:r w:rsidR="003C1C19">
        <w:t xml:space="preserve">à 67 ans </w:t>
      </w:r>
      <w:r w:rsidR="009075AC">
        <w:t xml:space="preserve">de </w:t>
      </w:r>
      <w:r w:rsidR="003C1C19">
        <w:t xml:space="preserve">l'admissibilité à </w:t>
      </w:r>
      <w:r w:rsidR="009075AC">
        <w:t>la PSV</w:t>
      </w:r>
      <w:r w:rsidR="00D83B88">
        <w:t xml:space="preserve"> (remise en cause suite aux dernières élections, mais néanmoins une tendance forte à l'échelle mondiale)</w:t>
      </w:r>
      <w:r w:rsidR="003C1C19">
        <w:t xml:space="preserve">. </w:t>
      </w:r>
    </w:p>
    <w:p w14:paraId="27C9888A" w14:textId="77777777" w:rsidR="005E5B95" w:rsidRDefault="005E5B95" w:rsidP="005E5B95">
      <w:pPr>
        <w:ind w:left="709"/>
      </w:pPr>
    </w:p>
    <w:p w14:paraId="7987CB67" w14:textId="1D8F972C" w:rsidR="005E5B95" w:rsidRPr="000F289D" w:rsidRDefault="005E5B95" w:rsidP="006C34CF">
      <w:pPr>
        <w:pStyle w:val="Paragraphedeliste"/>
        <w:numPr>
          <w:ilvl w:val="0"/>
          <w:numId w:val="10"/>
        </w:numPr>
        <w:ind w:left="1134" w:hanging="425"/>
        <w:rPr>
          <w:color w:val="FF6700" w:themeColor="accent3"/>
        </w:rPr>
      </w:pPr>
      <w:r w:rsidRPr="000F289D">
        <w:rPr>
          <w:color w:val="FF6700" w:themeColor="accent3"/>
        </w:rPr>
        <w:t>Cotisations</w:t>
      </w:r>
    </w:p>
    <w:p w14:paraId="4330B8E0" w14:textId="77777777" w:rsidR="008357D8" w:rsidRDefault="008357D8" w:rsidP="008357D8">
      <w:pPr>
        <w:ind w:left="709"/>
      </w:pPr>
    </w:p>
    <w:p w14:paraId="3F314683" w14:textId="6C0825F3" w:rsidR="008357D8" w:rsidRDefault="00624171" w:rsidP="00624171">
      <w:pPr>
        <w:jc w:val="both"/>
      </w:pPr>
      <w:r>
        <w:t xml:space="preserve">Le financement du RRQ s'effectue par les cotisations de tous les travailleurs (autonomes ou employés) du Québec âgés de 18 ans et plus et dont le revenu annuel d'emploi ou d'entreprise est supérieur à l'exemption de 3 500 $. </w:t>
      </w:r>
      <w:r w:rsidR="00F31845">
        <w:t xml:space="preserve">Les cotisations cessent lorsque le salaire de l'employé ou le revenu d'entreprise d'un travailleur autonome excède le </w:t>
      </w:r>
      <w:r w:rsidR="00AC3FE6">
        <w:t>maximum des gains admissibles (MGA)</w:t>
      </w:r>
      <w:r w:rsidR="00F31845">
        <w:t xml:space="preserve"> (53 600 $ en 2015). À</w:t>
      </w:r>
      <w:r>
        <w:t xml:space="preserve"> cette cotisation du travailleur, s'ajoute celle de l'employeur. Pour le travailleur autonome, afin de refléter cette double cotisation (employé et </w:t>
      </w:r>
      <w:r>
        <w:lastRenderedPageBreak/>
        <w:t xml:space="preserve">employeur), celui-ci doit défrayer, à la fois, </w:t>
      </w:r>
      <w:r w:rsidR="00D83B88">
        <w:t>une</w:t>
      </w:r>
      <w:r>
        <w:t xml:space="preserve"> cotisation qui tient lieu de l'employé et </w:t>
      </w:r>
      <w:r w:rsidR="00D83B88">
        <w:t>une</w:t>
      </w:r>
      <w:r>
        <w:t xml:space="preserve"> cotisation qui tient lieu de l'employeur. Au fil des années, comme nous en avons témoigné précédemment, les taux de cotisations ont beaucoup fluctué puisque l'équilibre financier du régime s'est maintenu essentiellement par des augmentations de cotisations sans jamais amput</w:t>
      </w:r>
      <w:r w:rsidR="00E51633">
        <w:t>er</w:t>
      </w:r>
      <w:r>
        <w:t xml:space="preserve"> ou remettre en question les sommes versé</w:t>
      </w:r>
      <w:r w:rsidR="00622DF4">
        <w:t>es</w:t>
      </w:r>
      <w:r>
        <w:t xml:space="preserve"> aux bénéficiaires.</w:t>
      </w:r>
    </w:p>
    <w:p w14:paraId="76728DD2" w14:textId="422033E2" w:rsidR="0002484A" w:rsidRDefault="00E51633" w:rsidP="00E51633">
      <w:pPr>
        <w:tabs>
          <w:tab w:val="left" w:pos="930"/>
        </w:tabs>
        <w:jc w:val="both"/>
      </w:pPr>
      <w:r>
        <w:tab/>
      </w:r>
    </w:p>
    <w:tbl>
      <w:tblPr>
        <w:tblStyle w:val="Grillemoyenne3-Accent3"/>
        <w:tblW w:w="0" w:type="auto"/>
        <w:tblLayout w:type="fixed"/>
        <w:tblLook w:val="04A0" w:firstRow="1" w:lastRow="0" w:firstColumn="1" w:lastColumn="0" w:noHBand="0" w:noVBand="1"/>
      </w:tblPr>
      <w:tblGrid>
        <w:gridCol w:w="1526"/>
        <w:gridCol w:w="2551"/>
        <w:gridCol w:w="2835"/>
        <w:gridCol w:w="2694"/>
      </w:tblGrid>
      <w:tr w:rsidR="00C50D84" w14:paraId="5B43E6D5" w14:textId="77777777" w:rsidTr="00C50D84">
        <w:trPr>
          <w:cnfStyle w:val="100000000000" w:firstRow="1" w:lastRow="0" w:firstColumn="0" w:lastColumn="0" w:oddVBand="0" w:evenVBand="0" w:oddHBand="0"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1526" w:type="dxa"/>
          </w:tcPr>
          <w:p w14:paraId="743F89D3" w14:textId="6B0B25EE" w:rsidR="00CE61E1" w:rsidRDefault="00CE61E1" w:rsidP="001218C9">
            <w:pPr>
              <w:jc w:val="center"/>
            </w:pPr>
            <w:r>
              <w:t>Année</w:t>
            </w:r>
          </w:p>
        </w:tc>
        <w:tc>
          <w:tcPr>
            <w:tcW w:w="2551" w:type="dxa"/>
          </w:tcPr>
          <w:p w14:paraId="4497497B" w14:textId="5AA9D11E" w:rsidR="00CE61E1" w:rsidRDefault="00CE61E1" w:rsidP="001218C9">
            <w:pPr>
              <w:jc w:val="center"/>
              <w:cnfStyle w:val="100000000000" w:firstRow="1" w:lastRow="0" w:firstColumn="0" w:lastColumn="0" w:oddVBand="0" w:evenVBand="0" w:oddHBand="0" w:evenHBand="0" w:firstRowFirstColumn="0" w:firstRowLastColumn="0" w:lastRowFirstColumn="0" w:lastRowLastColumn="0"/>
            </w:pPr>
            <w:r>
              <w:t>Cotisation</w:t>
            </w:r>
            <w:r w:rsidR="00750681">
              <w:t>s</w:t>
            </w:r>
            <w:r>
              <w:t xml:space="preserve"> employé</w:t>
            </w:r>
          </w:p>
        </w:tc>
        <w:tc>
          <w:tcPr>
            <w:tcW w:w="2835" w:type="dxa"/>
          </w:tcPr>
          <w:p w14:paraId="7AEAC7D3" w14:textId="3FC851BA" w:rsidR="00CE61E1" w:rsidRDefault="00CE61E1" w:rsidP="001218C9">
            <w:pPr>
              <w:jc w:val="center"/>
              <w:cnfStyle w:val="100000000000" w:firstRow="1" w:lastRow="0" w:firstColumn="0" w:lastColumn="0" w:oddVBand="0" w:evenVBand="0" w:oddHBand="0" w:evenHBand="0" w:firstRowFirstColumn="0" w:firstRowLastColumn="0" w:lastRowFirstColumn="0" w:lastRowLastColumn="0"/>
            </w:pPr>
            <w:r>
              <w:t>Cotisation</w:t>
            </w:r>
            <w:r w:rsidR="00750681">
              <w:t>s</w:t>
            </w:r>
            <w:r>
              <w:t xml:space="preserve"> employeur</w:t>
            </w:r>
          </w:p>
        </w:tc>
        <w:tc>
          <w:tcPr>
            <w:tcW w:w="2694" w:type="dxa"/>
          </w:tcPr>
          <w:p w14:paraId="2ABAB69C" w14:textId="02F420A5" w:rsidR="00CE61E1" w:rsidRDefault="00CE61E1" w:rsidP="001218C9">
            <w:pPr>
              <w:jc w:val="center"/>
              <w:cnfStyle w:val="100000000000" w:firstRow="1" w:lastRow="0" w:firstColumn="0" w:lastColumn="0" w:oddVBand="0" w:evenVBand="0" w:oddHBand="0" w:evenHBand="0" w:firstRowFirstColumn="0" w:firstRowLastColumn="0" w:lastRowFirstColumn="0" w:lastRowLastColumn="0"/>
            </w:pPr>
            <w:r>
              <w:t>Cotisation</w:t>
            </w:r>
            <w:r w:rsidR="00750681">
              <w:t>s</w:t>
            </w:r>
          </w:p>
          <w:p w14:paraId="1C00E92F" w14:textId="57FC3EA9" w:rsidR="00CE61E1" w:rsidRDefault="00CE61E1" w:rsidP="00624171">
            <w:pPr>
              <w:jc w:val="both"/>
              <w:cnfStyle w:val="100000000000" w:firstRow="1" w:lastRow="0" w:firstColumn="0" w:lastColumn="0" w:oddVBand="0" w:evenVBand="0" w:oddHBand="0" w:evenHBand="0" w:firstRowFirstColumn="0" w:firstRowLastColumn="0" w:lastRowFirstColumn="0" w:lastRowLastColumn="0"/>
            </w:pPr>
            <w:r>
              <w:t>travailleur autonome</w:t>
            </w:r>
          </w:p>
        </w:tc>
      </w:tr>
      <w:tr w:rsidR="00C50D84" w14:paraId="04EF8E8F" w14:textId="77777777" w:rsidTr="0009098F">
        <w:trPr>
          <w:cnfStyle w:val="000000100000" w:firstRow="0" w:lastRow="0" w:firstColumn="0" w:lastColumn="0" w:oddVBand="0" w:evenVBand="0" w:oddHBand="1" w:evenHBand="0" w:firstRowFirstColumn="0" w:firstRowLastColumn="0" w:lastRowFirstColumn="0" w:lastRowLastColumn="0"/>
          <w:trHeight w:hRule="exact" w:val="372"/>
        </w:trPr>
        <w:tc>
          <w:tcPr>
            <w:cnfStyle w:val="001000000000" w:firstRow="0" w:lastRow="0" w:firstColumn="1" w:lastColumn="0" w:oddVBand="0" w:evenVBand="0" w:oddHBand="0" w:evenHBand="0" w:firstRowFirstColumn="0" w:firstRowLastColumn="0" w:lastRowFirstColumn="0" w:lastRowLastColumn="0"/>
            <w:tcW w:w="1526" w:type="dxa"/>
          </w:tcPr>
          <w:p w14:paraId="56FB6593" w14:textId="0AEB2430" w:rsidR="00CE61E1" w:rsidRPr="00CE61E1" w:rsidRDefault="00CE61E1" w:rsidP="00CE61E1">
            <w:r w:rsidRPr="00CE61E1">
              <w:t>2017</w:t>
            </w:r>
          </w:p>
        </w:tc>
        <w:tc>
          <w:tcPr>
            <w:tcW w:w="2551" w:type="dxa"/>
          </w:tcPr>
          <w:p w14:paraId="05749D56" w14:textId="243BEF6D"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5.4 %</w:t>
            </w:r>
          </w:p>
        </w:tc>
        <w:tc>
          <w:tcPr>
            <w:tcW w:w="2835" w:type="dxa"/>
          </w:tcPr>
          <w:p w14:paraId="65C4930E" w14:textId="33A96951"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5.4 %</w:t>
            </w:r>
          </w:p>
        </w:tc>
        <w:tc>
          <w:tcPr>
            <w:tcW w:w="2694" w:type="dxa"/>
          </w:tcPr>
          <w:p w14:paraId="414A5D5F" w14:textId="17ABB462"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10.8 %</w:t>
            </w:r>
          </w:p>
        </w:tc>
      </w:tr>
      <w:tr w:rsidR="00CE61E1" w14:paraId="12702254"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753CC728" w14:textId="79D800EE" w:rsidR="00CE61E1" w:rsidRPr="00CE61E1" w:rsidRDefault="00CE61E1" w:rsidP="00CE61E1">
            <w:r w:rsidRPr="00CE61E1">
              <w:t>2016</w:t>
            </w:r>
          </w:p>
        </w:tc>
        <w:tc>
          <w:tcPr>
            <w:tcW w:w="2551" w:type="dxa"/>
          </w:tcPr>
          <w:p w14:paraId="37B1471D" w14:textId="2DA26A89"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5.325 %</w:t>
            </w:r>
          </w:p>
        </w:tc>
        <w:tc>
          <w:tcPr>
            <w:tcW w:w="2835" w:type="dxa"/>
          </w:tcPr>
          <w:p w14:paraId="2701E77F" w14:textId="053A24AB"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5.325 %</w:t>
            </w:r>
          </w:p>
        </w:tc>
        <w:tc>
          <w:tcPr>
            <w:tcW w:w="2694" w:type="dxa"/>
          </w:tcPr>
          <w:p w14:paraId="0F1AC350" w14:textId="3133E32D"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10.65 %</w:t>
            </w:r>
          </w:p>
        </w:tc>
      </w:tr>
      <w:tr w:rsidR="00C50D84" w14:paraId="2F63A8F4"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72E1B632" w14:textId="6EA89857" w:rsidR="00CE61E1" w:rsidRPr="00CE61E1" w:rsidRDefault="00CE61E1" w:rsidP="00CE61E1">
            <w:r w:rsidRPr="00CE61E1">
              <w:t>2015</w:t>
            </w:r>
          </w:p>
        </w:tc>
        <w:tc>
          <w:tcPr>
            <w:tcW w:w="2551" w:type="dxa"/>
          </w:tcPr>
          <w:p w14:paraId="58179985" w14:textId="4ADDD48C"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5.25 %</w:t>
            </w:r>
          </w:p>
        </w:tc>
        <w:tc>
          <w:tcPr>
            <w:tcW w:w="2835" w:type="dxa"/>
          </w:tcPr>
          <w:p w14:paraId="1C6958D0" w14:textId="229D583D"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5.25 %</w:t>
            </w:r>
          </w:p>
        </w:tc>
        <w:tc>
          <w:tcPr>
            <w:tcW w:w="2694" w:type="dxa"/>
          </w:tcPr>
          <w:p w14:paraId="1080E0B5" w14:textId="2E9F0B71"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10.5 %</w:t>
            </w:r>
          </w:p>
        </w:tc>
      </w:tr>
      <w:tr w:rsidR="00CE61E1" w14:paraId="09027624"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D556A77" w14:textId="54E93D29" w:rsidR="00CE61E1" w:rsidRPr="00CE61E1" w:rsidRDefault="00CE61E1" w:rsidP="00CE61E1">
            <w:r w:rsidRPr="00CE61E1">
              <w:t>2014</w:t>
            </w:r>
          </w:p>
        </w:tc>
        <w:tc>
          <w:tcPr>
            <w:tcW w:w="2551" w:type="dxa"/>
          </w:tcPr>
          <w:p w14:paraId="70E21831" w14:textId="3B2FE357"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5.175 %</w:t>
            </w:r>
          </w:p>
        </w:tc>
        <w:tc>
          <w:tcPr>
            <w:tcW w:w="2835" w:type="dxa"/>
          </w:tcPr>
          <w:p w14:paraId="2CC6FC26" w14:textId="094EE4C5"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5.175 %</w:t>
            </w:r>
          </w:p>
        </w:tc>
        <w:tc>
          <w:tcPr>
            <w:tcW w:w="2694" w:type="dxa"/>
          </w:tcPr>
          <w:p w14:paraId="68C40A74" w14:textId="2686BC94"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10.35 %</w:t>
            </w:r>
          </w:p>
        </w:tc>
      </w:tr>
      <w:tr w:rsidR="00C50D84" w14:paraId="012D6B6F"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3E7AEE76" w14:textId="12DC3BF8" w:rsidR="00CE61E1" w:rsidRPr="00CE61E1" w:rsidRDefault="00CE61E1" w:rsidP="00CE61E1">
            <w:r w:rsidRPr="00CE61E1">
              <w:t>2013</w:t>
            </w:r>
          </w:p>
        </w:tc>
        <w:tc>
          <w:tcPr>
            <w:tcW w:w="2551" w:type="dxa"/>
          </w:tcPr>
          <w:p w14:paraId="0D1B053A" w14:textId="37314A56"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5.1 %</w:t>
            </w:r>
          </w:p>
        </w:tc>
        <w:tc>
          <w:tcPr>
            <w:tcW w:w="2835" w:type="dxa"/>
          </w:tcPr>
          <w:p w14:paraId="60A44C2C" w14:textId="32AB0D6B"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5.1 %</w:t>
            </w:r>
          </w:p>
        </w:tc>
        <w:tc>
          <w:tcPr>
            <w:tcW w:w="2694" w:type="dxa"/>
          </w:tcPr>
          <w:p w14:paraId="1A0B267A" w14:textId="346B331F"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10.2 %</w:t>
            </w:r>
          </w:p>
        </w:tc>
      </w:tr>
      <w:tr w:rsidR="00CE61E1" w14:paraId="6AB159DB"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467F455C" w14:textId="25F5460D" w:rsidR="00CE61E1" w:rsidRPr="00CE61E1" w:rsidRDefault="00CE61E1" w:rsidP="00CE61E1">
            <w:r w:rsidRPr="00CE61E1">
              <w:t>2012</w:t>
            </w:r>
          </w:p>
        </w:tc>
        <w:tc>
          <w:tcPr>
            <w:tcW w:w="2551" w:type="dxa"/>
          </w:tcPr>
          <w:p w14:paraId="1B94B191" w14:textId="16A95229"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5.025 %</w:t>
            </w:r>
          </w:p>
        </w:tc>
        <w:tc>
          <w:tcPr>
            <w:tcW w:w="2835" w:type="dxa"/>
          </w:tcPr>
          <w:p w14:paraId="326CD022" w14:textId="672E9005"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5.025 %</w:t>
            </w:r>
          </w:p>
        </w:tc>
        <w:tc>
          <w:tcPr>
            <w:tcW w:w="2694" w:type="dxa"/>
          </w:tcPr>
          <w:p w14:paraId="137974A2" w14:textId="25BF336D"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10.05 %</w:t>
            </w:r>
          </w:p>
        </w:tc>
      </w:tr>
      <w:tr w:rsidR="00C50D84" w14:paraId="47ED05FA"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30D109FD" w14:textId="1CEF4F58" w:rsidR="00CE61E1" w:rsidRPr="00CE61E1" w:rsidRDefault="00CE61E1" w:rsidP="00CE61E1">
            <w:pPr>
              <w:tabs>
                <w:tab w:val="left" w:pos="354"/>
                <w:tab w:val="center" w:pos="655"/>
              </w:tabs>
            </w:pPr>
            <w:r w:rsidRPr="00CE61E1">
              <w:t>2003-2011</w:t>
            </w:r>
            <w:r w:rsidRPr="00CE61E1">
              <w:tab/>
              <w:t>2011</w:t>
            </w:r>
          </w:p>
        </w:tc>
        <w:tc>
          <w:tcPr>
            <w:tcW w:w="2551" w:type="dxa"/>
          </w:tcPr>
          <w:p w14:paraId="5E790A2C" w14:textId="78C1BBD8"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4.95 %</w:t>
            </w:r>
          </w:p>
        </w:tc>
        <w:tc>
          <w:tcPr>
            <w:tcW w:w="2835" w:type="dxa"/>
          </w:tcPr>
          <w:p w14:paraId="64881CF6" w14:textId="0057FAF8"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4.95 %</w:t>
            </w:r>
          </w:p>
        </w:tc>
        <w:tc>
          <w:tcPr>
            <w:tcW w:w="2694" w:type="dxa"/>
          </w:tcPr>
          <w:p w14:paraId="54CC078C" w14:textId="3324AC66"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9.9 %</w:t>
            </w:r>
          </w:p>
        </w:tc>
      </w:tr>
      <w:tr w:rsidR="00CE61E1" w14:paraId="76474FA9"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40BFF38" w14:textId="3E73A3DA" w:rsidR="00CE61E1" w:rsidRPr="00CE61E1" w:rsidRDefault="00CE61E1" w:rsidP="00CE61E1">
            <w:r w:rsidRPr="00CE61E1">
              <w:t>2002</w:t>
            </w:r>
          </w:p>
        </w:tc>
        <w:tc>
          <w:tcPr>
            <w:tcW w:w="2551" w:type="dxa"/>
          </w:tcPr>
          <w:p w14:paraId="2B4AD1E6" w14:textId="3B503C37"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4.7 %</w:t>
            </w:r>
          </w:p>
        </w:tc>
        <w:tc>
          <w:tcPr>
            <w:tcW w:w="2835" w:type="dxa"/>
          </w:tcPr>
          <w:p w14:paraId="70633420" w14:textId="4A43A5D4"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4.7 %</w:t>
            </w:r>
          </w:p>
        </w:tc>
        <w:tc>
          <w:tcPr>
            <w:tcW w:w="2694" w:type="dxa"/>
          </w:tcPr>
          <w:p w14:paraId="28D3AC15" w14:textId="20F689B1"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9.4 %</w:t>
            </w:r>
          </w:p>
        </w:tc>
      </w:tr>
      <w:tr w:rsidR="00C50D84" w14:paraId="59131B62"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3C6DB28" w14:textId="7561B98F" w:rsidR="00CE61E1" w:rsidRPr="00CE61E1" w:rsidRDefault="00CE61E1" w:rsidP="00CE61E1">
            <w:r w:rsidRPr="00CE61E1">
              <w:t>2001</w:t>
            </w:r>
          </w:p>
        </w:tc>
        <w:tc>
          <w:tcPr>
            <w:tcW w:w="2551" w:type="dxa"/>
          </w:tcPr>
          <w:p w14:paraId="4ED24820" w14:textId="1022CF71"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4.3 %</w:t>
            </w:r>
          </w:p>
        </w:tc>
        <w:tc>
          <w:tcPr>
            <w:tcW w:w="2835" w:type="dxa"/>
          </w:tcPr>
          <w:p w14:paraId="7425CF1C" w14:textId="203D9687"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4.3 %</w:t>
            </w:r>
          </w:p>
        </w:tc>
        <w:tc>
          <w:tcPr>
            <w:tcW w:w="2694" w:type="dxa"/>
          </w:tcPr>
          <w:p w14:paraId="69875D0E" w14:textId="2D0D0D77"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8.6 %</w:t>
            </w:r>
          </w:p>
        </w:tc>
      </w:tr>
      <w:tr w:rsidR="00CE61E1" w14:paraId="748EDFFB"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57D2E23D" w14:textId="41189B36" w:rsidR="00CE61E1" w:rsidRPr="00CE61E1" w:rsidRDefault="00CE61E1" w:rsidP="00CE61E1">
            <w:r w:rsidRPr="00CE61E1">
              <w:t>2000</w:t>
            </w:r>
          </w:p>
        </w:tc>
        <w:tc>
          <w:tcPr>
            <w:tcW w:w="2551" w:type="dxa"/>
          </w:tcPr>
          <w:p w14:paraId="503E2BC8" w14:textId="227CE424"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3.9 %</w:t>
            </w:r>
          </w:p>
        </w:tc>
        <w:tc>
          <w:tcPr>
            <w:tcW w:w="2835" w:type="dxa"/>
          </w:tcPr>
          <w:p w14:paraId="7C226787" w14:textId="75C4791B"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3.9 %</w:t>
            </w:r>
          </w:p>
        </w:tc>
        <w:tc>
          <w:tcPr>
            <w:tcW w:w="2694" w:type="dxa"/>
          </w:tcPr>
          <w:p w14:paraId="4EEA9802" w14:textId="68CA509D"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7.8 %</w:t>
            </w:r>
          </w:p>
        </w:tc>
      </w:tr>
      <w:tr w:rsidR="00C50D84" w14:paraId="2B6A9015"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358770C0" w14:textId="68072E9F" w:rsidR="00CE61E1" w:rsidRPr="00CE61E1" w:rsidRDefault="00CE61E1" w:rsidP="00CE61E1">
            <w:r w:rsidRPr="00CE61E1">
              <w:t>1999</w:t>
            </w:r>
          </w:p>
        </w:tc>
        <w:tc>
          <w:tcPr>
            <w:tcW w:w="2551" w:type="dxa"/>
          </w:tcPr>
          <w:p w14:paraId="27FD4FD1" w14:textId="2C48F47F"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3.5 %</w:t>
            </w:r>
          </w:p>
        </w:tc>
        <w:tc>
          <w:tcPr>
            <w:tcW w:w="2835" w:type="dxa"/>
          </w:tcPr>
          <w:p w14:paraId="3BEBC524" w14:textId="0D66E644"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3.5 %</w:t>
            </w:r>
          </w:p>
        </w:tc>
        <w:tc>
          <w:tcPr>
            <w:tcW w:w="2694" w:type="dxa"/>
          </w:tcPr>
          <w:p w14:paraId="5EF6C31A" w14:textId="348394B1"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7 %</w:t>
            </w:r>
          </w:p>
        </w:tc>
      </w:tr>
      <w:tr w:rsidR="00CE61E1" w14:paraId="01BA1890"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61C9C815" w14:textId="769478F4" w:rsidR="00CE61E1" w:rsidRPr="00CE61E1" w:rsidRDefault="00CE61E1" w:rsidP="00CE61E1">
            <w:r w:rsidRPr="00CE61E1">
              <w:t>1998</w:t>
            </w:r>
          </w:p>
        </w:tc>
        <w:tc>
          <w:tcPr>
            <w:tcW w:w="2551" w:type="dxa"/>
          </w:tcPr>
          <w:p w14:paraId="150DC990" w14:textId="05D8878E"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3.2 %</w:t>
            </w:r>
          </w:p>
        </w:tc>
        <w:tc>
          <w:tcPr>
            <w:tcW w:w="2835" w:type="dxa"/>
          </w:tcPr>
          <w:p w14:paraId="4CFA5D6C" w14:textId="3F9C7015"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3.2 %</w:t>
            </w:r>
          </w:p>
        </w:tc>
        <w:tc>
          <w:tcPr>
            <w:tcW w:w="2694" w:type="dxa"/>
          </w:tcPr>
          <w:p w14:paraId="3BDED658" w14:textId="36EC153B"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6.4 %</w:t>
            </w:r>
          </w:p>
        </w:tc>
      </w:tr>
      <w:tr w:rsidR="00C50D84" w14:paraId="081CD554"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5E07C8E9" w14:textId="38F117C3" w:rsidR="00CE61E1" w:rsidRPr="00CE61E1" w:rsidRDefault="00CE61E1" w:rsidP="00CE61E1">
            <w:r w:rsidRPr="00CE61E1">
              <w:t>1997</w:t>
            </w:r>
          </w:p>
        </w:tc>
        <w:tc>
          <w:tcPr>
            <w:tcW w:w="2551" w:type="dxa"/>
          </w:tcPr>
          <w:p w14:paraId="6BB37DA4" w14:textId="5ED4F6C6"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3 %</w:t>
            </w:r>
          </w:p>
        </w:tc>
        <w:tc>
          <w:tcPr>
            <w:tcW w:w="2835" w:type="dxa"/>
          </w:tcPr>
          <w:p w14:paraId="5FE7E51A" w14:textId="6F84A400"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3 %</w:t>
            </w:r>
          </w:p>
        </w:tc>
        <w:tc>
          <w:tcPr>
            <w:tcW w:w="2694" w:type="dxa"/>
          </w:tcPr>
          <w:p w14:paraId="5E4CFF45" w14:textId="19F7447D"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6 %</w:t>
            </w:r>
          </w:p>
        </w:tc>
      </w:tr>
      <w:tr w:rsidR="00CE61E1" w14:paraId="2FD14AEB"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02001E7" w14:textId="142955B4" w:rsidR="00CE61E1" w:rsidRPr="00CE61E1" w:rsidRDefault="00CE61E1" w:rsidP="00CE61E1">
            <w:r w:rsidRPr="00CE61E1">
              <w:t>1996</w:t>
            </w:r>
          </w:p>
        </w:tc>
        <w:tc>
          <w:tcPr>
            <w:tcW w:w="2551" w:type="dxa"/>
          </w:tcPr>
          <w:p w14:paraId="36F5BF67" w14:textId="2B0BFFDE"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2.8 %</w:t>
            </w:r>
          </w:p>
        </w:tc>
        <w:tc>
          <w:tcPr>
            <w:tcW w:w="2835" w:type="dxa"/>
          </w:tcPr>
          <w:p w14:paraId="0CBCAD02" w14:textId="4E94940D"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2.8 %</w:t>
            </w:r>
          </w:p>
        </w:tc>
        <w:tc>
          <w:tcPr>
            <w:tcW w:w="2694" w:type="dxa"/>
          </w:tcPr>
          <w:p w14:paraId="3D45F05B" w14:textId="3E0B30E6"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5.6 %</w:t>
            </w:r>
          </w:p>
        </w:tc>
      </w:tr>
      <w:tr w:rsidR="00C50D84" w14:paraId="6B958B17"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D719DA9" w14:textId="10C9A745" w:rsidR="00CE61E1" w:rsidRPr="00CE61E1" w:rsidRDefault="00CE61E1" w:rsidP="00CE61E1">
            <w:r w:rsidRPr="00CE61E1">
              <w:t>1995</w:t>
            </w:r>
          </w:p>
        </w:tc>
        <w:tc>
          <w:tcPr>
            <w:tcW w:w="2551" w:type="dxa"/>
          </w:tcPr>
          <w:p w14:paraId="2ABA11F8" w14:textId="0663BDBF"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2.7 %</w:t>
            </w:r>
          </w:p>
        </w:tc>
        <w:tc>
          <w:tcPr>
            <w:tcW w:w="2835" w:type="dxa"/>
          </w:tcPr>
          <w:p w14:paraId="3F502C10" w14:textId="3500A0E6"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2.7 %</w:t>
            </w:r>
          </w:p>
        </w:tc>
        <w:tc>
          <w:tcPr>
            <w:tcW w:w="2694" w:type="dxa"/>
          </w:tcPr>
          <w:p w14:paraId="01B73AE8" w14:textId="4E5FB7F4"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5.4 %</w:t>
            </w:r>
          </w:p>
        </w:tc>
      </w:tr>
      <w:tr w:rsidR="00CE61E1" w14:paraId="5B095CFD"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2B96B74A" w14:textId="7ECE7152" w:rsidR="00CE61E1" w:rsidRPr="00CE61E1" w:rsidRDefault="00CE61E1" w:rsidP="00CE61E1">
            <w:r w:rsidRPr="00CE61E1">
              <w:t>1994</w:t>
            </w:r>
          </w:p>
        </w:tc>
        <w:tc>
          <w:tcPr>
            <w:tcW w:w="2551" w:type="dxa"/>
          </w:tcPr>
          <w:p w14:paraId="50024F8C" w14:textId="3B72F08D"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2.6 %</w:t>
            </w:r>
          </w:p>
        </w:tc>
        <w:tc>
          <w:tcPr>
            <w:tcW w:w="2835" w:type="dxa"/>
          </w:tcPr>
          <w:p w14:paraId="03B29A82" w14:textId="742959CA"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2.6 %</w:t>
            </w:r>
          </w:p>
        </w:tc>
        <w:tc>
          <w:tcPr>
            <w:tcW w:w="2694" w:type="dxa"/>
          </w:tcPr>
          <w:p w14:paraId="75DE2F3C" w14:textId="4920E1A8"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5.2 %</w:t>
            </w:r>
          </w:p>
        </w:tc>
      </w:tr>
      <w:tr w:rsidR="00C50D84" w14:paraId="50797986"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B4F5A69" w14:textId="50DE600F" w:rsidR="00CE61E1" w:rsidRPr="00CE61E1" w:rsidRDefault="00CE61E1" w:rsidP="00CE61E1">
            <w:r w:rsidRPr="00CE61E1">
              <w:t>1993</w:t>
            </w:r>
          </w:p>
        </w:tc>
        <w:tc>
          <w:tcPr>
            <w:tcW w:w="2551" w:type="dxa"/>
          </w:tcPr>
          <w:p w14:paraId="4E4C20CC" w14:textId="4383127C"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2.5 %</w:t>
            </w:r>
          </w:p>
        </w:tc>
        <w:tc>
          <w:tcPr>
            <w:tcW w:w="2835" w:type="dxa"/>
          </w:tcPr>
          <w:p w14:paraId="599303DB" w14:textId="71668A19"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2.5 %</w:t>
            </w:r>
          </w:p>
        </w:tc>
        <w:tc>
          <w:tcPr>
            <w:tcW w:w="2694" w:type="dxa"/>
          </w:tcPr>
          <w:p w14:paraId="7807C8EA" w14:textId="0D7DD7F4"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5 %</w:t>
            </w:r>
          </w:p>
        </w:tc>
      </w:tr>
      <w:tr w:rsidR="00CE61E1" w14:paraId="755DB8E5"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059BC2EC" w14:textId="7E17F04B" w:rsidR="00CE61E1" w:rsidRPr="00CE61E1" w:rsidRDefault="00CE61E1" w:rsidP="00CE61E1">
            <w:r w:rsidRPr="00CE61E1">
              <w:t>1992</w:t>
            </w:r>
          </w:p>
        </w:tc>
        <w:tc>
          <w:tcPr>
            <w:tcW w:w="2551" w:type="dxa"/>
          </w:tcPr>
          <w:p w14:paraId="43919B3F" w14:textId="166900E8"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2.4 %</w:t>
            </w:r>
          </w:p>
        </w:tc>
        <w:tc>
          <w:tcPr>
            <w:tcW w:w="2835" w:type="dxa"/>
          </w:tcPr>
          <w:p w14:paraId="43FD8C9D" w14:textId="05CCDAB2"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2.4 %</w:t>
            </w:r>
          </w:p>
        </w:tc>
        <w:tc>
          <w:tcPr>
            <w:tcW w:w="2694" w:type="dxa"/>
          </w:tcPr>
          <w:p w14:paraId="71083CDF" w14:textId="2FD27107"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4.8 %</w:t>
            </w:r>
          </w:p>
        </w:tc>
      </w:tr>
      <w:tr w:rsidR="00C50D84" w14:paraId="7AE98466"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44E13C59" w14:textId="776A6D12" w:rsidR="00CE61E1" w:rsidRPr="00CE61E1" w:rsidRDefault="00CE61E1" w:rsidP="00CE61E1">
            <w:r w:rsidRPr="00CE61E1">
              <w:t>1991</w:t>
            </w:r>
          </w:p>
        </w:tc>
        <w:tc>
          <w:tcPr>
            <w:tcW w:w="2551" w:type="dxa"/>
          </w:tcPr>
          <w:p w14:paraId="0FD4EDB7" w14:textId="5554804C"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2.3 %</w:t>
            </w:r>
          </w:p>
        </w:tc>
        <w:tc>
          <w:tcPr>
            <w:tcW w:w="2835" w:type="dxa"/>
          </w:tcPr>
          <w:p w14:paraId="76B02E9D" w14:textId="1EEE8AA6"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2.3 %</w:t>
            </w:r>
          </w:p>
        </w:tc>
        <w:tc>
          <w:tcPr>
            <w:tcW w:w="2694" w:type="dxa"/>
          </w:tcPr>
          <w:p w14:paraId="5FF93285" w14:textId="3746D4AA"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4.6 %</w:t>
            </w:r>
          </w:p>
        </w:tc>
      </w:tr>
      <w:tr w:rsidR="00CE61E1" w14:paraId="69C60023"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41801015" w14:textId="48E7473F" w:rsidR="00CE61E1" w:rsidRPr="00CE61E1" w:rsidRDefault="00CE61E1" w:rsidP="00CE61E1">
            <w:r w:rsidRPr="00CE61E1">
              <w:t>1990</w:t>
            </w:r>
          </w:p>
        </w:tc>
        <w:tc>
          <w:tcPr>
            <w:tcW w:w="2551" w:type="dxa"/>
          </w:tcPr>
          <w:p w14:paraId="68F5D60F" w14:textId="25CAD068"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2.2 %</w:t>
            </w:r>
          </w:p>
        </w:tc>
        <w:tc>
          <w:tcPr>
            <w:tcW w:w="2835" w:type="dxa"/>
          </w:tcPr>
          <w:p w14:paraId="3A21F4E3" w14:textId="4049CDAF"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2.2 %</w:t>
            </w:r>
          </w:p>
        </w:tc>
        <w:tc>
          <w:tcPr>
            <w:tcW w:w="2694" w:type="dxa"/>
          </w:tcPr>
          <w:p w14:paraId="43BC7079" w14:textId="33593D4C"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4.4 %</w:t>
            </w:r>
          </w:p>
        </w:tc>
      </w:tr>
      <w:tr w:rsidR="00C50D84" w14:paraId="2DF8750D"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319733CD" w14:textId="6BA51187" w:rsidR="00CE61E1" w:rsidRPr="00CE61E1" w:rsidRDefault="00CE61E1" w:rsidP="00CE61E1">
            <w:r w:rsidRPr="00CE61E1">
              <w:t>1989</w:t>
            </w:r>
          </w:p>
        </w:tc>
        <w:tc>
          <w:tcPr>
            <w:tcW w:w="2551" w:type="dxa"/>
          </w:tcPr>
          <w:p w14:paraId="10AB02FC" w14:textId="70A9F5BA"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2.1 %</w:t>
            </w:r>
          </w:p>
        </w:tc>
        <w:tc>
          <w:tcPr>
            <w:tcW w:w="2835" w:type="dxa"/>
          </w:tcPr>
          <w:p w14:paraId="0B9E4A47" w14:textId="6A648212"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2.1 %</w:t>
            </w:r>
          </w:p>
        </w:tc>
        <w:tc>
          <w:tcPr>
            <w:tcW w:w="2694" w:type="dxa"/>
          </w:tcPr>
          <w:p w14:paraId="52943945" w14:textId="019167A7"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4.2 %</w:t>
            </w:r>
          </w:p>
        </w:tc>
      </w:tr>
      <w:tr w:rsidR="00CE61E1" w14:paraId="29B240CC"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0E1ED49B" w14:textId="369E597C" w:rsidR="00CE61E1" w:rsidRPr="00CE61E1" w:rsidRDefault="00CE61E1" w:rsidP="00CE61E1">
            <w:r w:rsidRPr="00CE61E1">
              <w:t>1988</w:t>
            </w:r>
          </w:p>
        </w:tc>
        <w:tc>
          <w:tcPr>
            <w:tcW w:w="2551" w:type="dxa"/>
          </w:tcPr>
          <w:p w14:paraId="4FCEE3C6" w14:textId="4344D981"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2 %</w:t>
            </w:r>
          </w:p>
        </w:tc>
        <w:tc>
          <w:tcPr>
            <w:tcW w:w="2835" w:type="dxa"/>
          </w:tcPr>
          <w:p w14:paraId="4F04F5E0" w14:textId="2CDEE207"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2 %</w:t>
            </w:r>
          </w:p>
        </w:tc>
        <w:tc>
          <w:tcPr>
            <w:tcW w:w="2694" w:type="dxa"/>
          </w:tcPr>
          <w:p w14:paraId="0C596F24" w14:textId="42421961"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4 %</w:t>
            </w:r>
          </w:p>
        </w:tc>
      </w:tr>
      <w:tr w:rsidR="00C50D84" w14:paraId="28190C9B"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222A706" w14:textId="73DBC42F" w:rsidR="00CE61E1" w:rsidRPr="00CE61E1" w:rsidRDefault="00CE61E1" w:rsidP="00CE61E1">
            <w:r w:rsidRPr="00CE61E1">
              <w:t>1987</w:t>
            </w:r>
          </w:p>
        </w:tc>
        <w:tc>
          <w:tcPr>
            <w:tcW w:w="2551" w:type="dxa"/>
          </w:tcPr>
          <w:p w14:paraId="566E4A46" w14:textId="43590A4C"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1.9 %</w:t>
            </w:r>
          </w:p>
        </w:tc>
        <w:tc>
          <w:tcPr>
            <w:tcW w:w="2835" w:type="dxa"/>
          </w:tcPr>
          <w:p w14:paraId="60244901" w14:textId="7D91F92F"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1.9 %</w:t>
            </w:r>
          </w:p>
        </w:tc>
        <w:tc>
          <w:tcPr>
            <w:tcW w:w="2694" w:type="dxa"/>
          </w:tcPr>
          <w:p w14:paraId="6B118294" w14:textId="7CD4826A" w:rsidR="00CE61E1" w:rsidRPr="00CE61E1" w:rsidRDefault="00CE61E1" w:rsidP="00CE61E1">
            <w:pPr>
              <w:jc w:val="center"/>
              <w:cnfStyle w:val="000000100000" w:firstRow="0" w:lastRow="0" w:firstColumn="0" w:lastColumn="0" w:oddVBand="0" w:evenVBand="0" w:oddHBand="1" w:evenHBand="0" w:firstRowFirstColumn="0" w:firstRowLastColumn="0" w:lastRowFirstColumn="0" w:lastRowLastColumn="0"/>
            </w:pPr>
            <w:r w:rsidRPr="00CE61E1">
              <w:t>3.8 %</w:t>
            </w:r>
          </w:p>
        </w:tc>
      </w:tr>
      <w:tr w:rsidR="00CE61E1" w14:paraId="08F9CD57"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4DE8BF5B" w14:textId="2DF828A4" w:rsidR="00CE61E1" w:rsidRPr="00CE61E1" w:rsidRDefault="00CE61E1" w:rsidP="00CE61E1">
            <w:r w:rsidRPr="00CE61E1">
              <w:t>1966-1986</w:t>
            </w:r>
          </w:p>
        </w:tc>
        <w:tc>
          <w:tcPr>
            <w:tcW w:w="2551" w:type="dxa"/>
          </w:tcPr>
          <w:p w14:paraId="7501F76C" w14:textId="49ECD6AE"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1.8 %</w:t>
            </w:r>
          </w:p>
        </w:tc>
        <w:tc>
          <w:tcPr>
            <w:tcW w:w="2835" w:type="dxa"/>
          </w:tcPr>
          <w:p w14:paraId="677DE39E" w14:textId="64118DB0"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1.8 %</w:t>
            </w:r>
          </w:p>
        </w:tc>
        <w:tc>
          <w:tcPr>
            <w:tcW w:w="2694" w:type="dxa"/>
          </w:tcPr>
          <w:p w14:paraId="63920820" w14:textId="23C3B338" w:rsidR="00CE61E1" w:rsidRPr="00CE61E1" w:rsidRDefault="00CE61E1" w:rsidP="00CE61E1">
            <w:pPr>
              <w:jc w:val="center"/>
              <w:cnfStyle w:val="000000000000" w:firstRow="0" w:lastRow="0" w:firstColumn="0" w:lastColumn="0" w:oddVBand="0" w:evenVBand="0" w:oddHBand="0" w:evenHBand="0" w:firstRowFirstColumn="0" w:firstRowLastColumn="0" w:lastRowFirstColumn="0" w:lastRowLastColumn="0"/>
            </w:pPr>
            <w:r w:rsidRPr="00CE61E1">
              <w:t>3.6 %</w:t>
            </w:r>
          </w:p>
        </w:tc>
      </w:tr>
    </w:tbl>
    <w:p w14:paraId="282A534F" w14:textId="3353F997" w:rsidR="001200A6" w:rsidRPr="000F289D" w:rsidRDefault="00E54CDB" w:rsidP="006C34CF">
      <w:pPr>
        <w:pStyle w:val="Paragraphedeliste"/>
        <w:numPr>
          <w:ilvl w:val="0"/>
          <w:numId w:val="10"/>
        </w:numPr>
        <w:ind w:left="1134" w:hanging="425"/>
        <w:jc w:val="both"/>
        <w:rPr>
          <w:color w:val="FF6700" w:themeColor="accent3"/>
        </w:rPr>
      </w:pPr>
      <w:r w:rsidRPr="000F289D">
        <w:rPr>
          <w:color w:val="FF6700" w:themeColor="accent3"/>
        </w:rPr>
        <w:lastRenderedPageBreak/>
        <w:t>EXEMPLE</w:t>
      </w:r>
      <w:r w:rsidR="00DD51DD" w:rsidRPr="000F289D">
        <w:rPr>
          <w:color w:val="FF6700" w:themeColor="accent3"/>
        </w:rPr>
        <w:t xml:space="preserve"> 7-4</w:t>
      </w:r>
    </w:p>
    <w:p w14:paraId="752D49B6" w14:textId="77777777" w:rsidR="00E54CDB" w:rsidRDefault="00E54CDB" w:rsidP="00E54CDB">
      <w:pPr>
        <w:ind w:left="360"/>
        <w:jc w:val="both"/>
      </w:pPr>
    </w:p>
    <w:p w14:paraId="59585D1F" w14:textId="41FEBF7B" w:rsidR="00E54CDB" w:rsidRDefault="00E54CDB" w:rsidP="00E54CDB">
      <w:pPr>
        <w:ind w:left="360" w:hanging="502"/>
        <w:jc w:val="both"/>
        <w:rPr>
          <w:rFonts w:ascii="Avenir Book" w:hAnsi="Avenir Book"/>
        </w:rPr>
      </w:pPr>
      <w:r>
        <w:t xml:space="preserve">Quelles seront les cotisations </w:t>
      </w:r>
      <w:r w:rsidR="008C76E4">
        <w:t xml:space="preserve">du RRQ </w:t>
      </w:r>
      <w:r>
        <w:t xml:space="preserve">qui seront versées </w:t>
      </w:r>
      <w:r w:rsidR="008C76E4">
        <w:t>sur l</w:t>
      </w:r>
      <w:r>
        <w:t xml:space="preserve">e salaire brut </w:t>
      </w:r>
      <w:r w:rsidR="008C76E4">
        <w:t>de</w:t>
      </w:r>
      <w:r>
        <w:t xml:space="preserve"> 40 000 $ (en 2015)</w:t>
      </w:r>
      <w:r w:rsidR="008C76E4">
        <w:t xml:space="preserve"> d'un employé</w:t>
      </w:r>
      <w:r>
        <w:t xml:space="preserve"> </w:t>
      </w:r>
      <w:r w:rsidRPr="00E54CDB">
        <w:rPr>
          <w:rFonts w:ascii="Avenir Book" w:hAnsi="Avenir Book"/>
        </w:rPr>
        <w:t>?</w:t>
      </w:r>
    </w:p>
    <w:p w14:paraId="35151886" w14:textId="7072018F" w:rsidR="00E54CDB" w:rsidRDefault="00E54CDB" w:rsidP="00E54CDB">
      <w:pPr>
        <w:ind w:left="360" w:hanging="502"/>
        <w:jc w:val="both"/>
      </w:pPr>
      <w:r>
        <w:rPr>
          <w:noProof/>
          <w:lang w:eastAsia="fr-FR"/>
        </w:rPr>
        <mc:AlternateContent>
          <mc:Choice Requires="wps">
            <w:drawing>
              <wp:anchor distT="0" distB="0" distL="114300" distR="114300" simplePos="0" relativeHeight="251968512" behindDoc="0" locked="0" layoutInCell="1" allowOverlap="1" wp14:anchorId="0B0B41B9" wp14:editId="4CE63241">
                <wp:simplePos x="0" y="0"/>
                <wp:positionH relativeFrom="column">
                  <wp:posOffset>1485900</wp:posOffset>
                </wp:positionH>
                <wp:positionV relativeFrom="paragraph">
                  <wp:posOffset>102870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104" name="Ellipse 104"/>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4"/>
                        </a:fillRef>
                        <a:effectRef idx="1">
                          <a:schemeClr val="accent4"/>
                        </a:effectRef>
                        <a:fontRef idx="minor">
                          <a:schemeClr val="lt1"/>
                        </a:fontRef>
                      </wps:style>
                      <wps:txbx>
                        <w:txbxContent>
                          <w:p w14:paraId="5E022F22" w14:textId="77777777" w:rsidR="00573C95" w:rsidRDefault="00573C95" w:rsidP="00E54CDB">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04" o:spid="_x0000_s1057" style="position:absolute;left:0;text-align:left;margin-left:117pt;margin-top:8.1pt;width:36pt;height:36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" fillcolor="#909465 [3207]" strokecolor="white [3201]" strokeweight="1.75pt">
                <v:textbox>
                  <w:txbxContent>
                    <w:p w14:paraId="5E022F22" w14:textId="77777777" w:rsidR="001501D6" w:rsidRDefault="001501D6" w:rsidP="00E54CDB">
                      <w:pPr>
                        <w:jc w:val="center"/>
                      </w:pPr>
                      <w:r>
                        <w:t>1</w:t>
                      </w:r>
                    </w:p>
                  </w:txbxContent>
                </v:textbox>
                <w10:wrap type="through"/>
              </v:oval>
            </w:pict>
          </mc:Fallback>
        </mc:AlternateContent>
      </w:r>
    </w:p>
    <w:tbl>
      <w:tblPr>
        <w:tblStyle w:val="Grille"/>
        <w:tblpPr w:leftFromText="141" w:rightFromText="141" w:vertAnchor="text" w:horzAnchor="page" w:tblpX="5306" w:tblpY="4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8"/>
        <w:gridCol w:w="2891"/>
      </w:tblGrid>
      <w:tr w:rsidR="008C76E4" w14:paraId="23C2889F" w14:textId="77777777" w:rsidTr="00372278">
        <w:tc>
          <w:tcPr>
            <w:tcW w:w="2688" w:type="dxa"/>
            <w:shd w:val="clear" w:color="auto" w:fill="999772" w:themeFill="text2" w:themeFillTint="99"/>
          </w:tcPr>
          <w:p w14:paraId="4F12EA76" w14:textId="033761FF" w:rsidR="008C76E4" w:rsidRDefault="008C76E4" w:rsidP="008C76E4">
            <w:pPr>
              <w:jc w:val="both"/>
            </w:pPr>
            <w:r>
              <w:t>Salaire brut</w:t>
            </w:r>
          </w:p>
        </w:tc>
        <w:tc>
          <w:tcPr>
            <w:tcW w:w="2891" w:type="dxa"/>
            <w:shd w:val="clear" w:color="auto" w:fill="DDDCD0" w:themeFill="text2" w:themeFillTint="33"/>
          </w:tcPr>
          <w:p w14:paraId="23B9A382" w14:textId="7EB72190" w:rsidR="008C76E4" w:rsidRDefault="008C76E4" w:rsidP="008C76E4">
            <w:pPr>
              <w:jc w:val="both"/>
            </w:pPr>
            <w:r>
              <w:t>40 000 $</w:t>
            </w:r>
          </w:p>
        </w:tc>
      </w:tr>
      <w:tr w:rsidR="008C76E4" w14:paraId="2CB3D6AE" w14:textId="77777777" w:rsidTr="00372278">
        <w:tc>
          <w:tcPr>
            <w:tcW w:w="2688" w:type="dxa"/>
            <w:shd w:val="clear" w:color="auto" w:fill="999772" w:themeFill="text2" w:themeFillTint="99"/>
          </w:tcPr>
          <w:p w14:paraId="78FFFFCB" w14:textId="528F9EC7" w:rsidR="008C76E4" w:rsidRDefault="008C76E4" w:rsidP="008C76E4">
            <w:pPr>
              <w:jc w:val="both"/>
            </w:pPr>
            <w:r>
              <w:t>MS: Exemption</w:t>
            </w:r>
          </w:p>
        </w:tc>
        <w:tc>
          <w:tcPr>
            <w:tcW w:w="2891" w:type="dxa"/>
            <w:shd w:val="clear" w:color="auto" w:fill="DDDCD0" w:themeFill="text2" w:themeFillTint="33"/>
          </w:tcPr>
          <w:p w14:paraId="10050C41" w14:textId="241B8969" w:rsidR="008C76E4" w:rsidRPr="00F02AA1" w:rsidRDefault="008C76E4" w:rsidP="00F02AA1">
            <w:pPr>
              <w:jc w:val="both"/>
              <w:rPr>
                <w:u w:val="single"/>
              </w:rPr>
            </w:pPr>
            <w:r w:rsidRPr="00F02AA1">
              <w:rPr>
                <w:u w:val="single"/>
              </w:rPr>
              <w:t xml:space="preserve">  3 </w:t>
            </w:r>
            <w:r w:rsidR="00F02AA1">
              <w:rPr>
                <w:u w:val="single"/>
              </w:rPr>
              <w:t>5</w:t>
            </w:r>
            <w:r w:rsidRPr="00F02AA1">
              <w:rPr>
                <w:u w:val="single"/>
              </w:rPr>
              <w:t>00 $</w:t>
            </w:r>
          </w:p>
        </w:tc>
      </w:tr>
      <w:tr w:rsidR="008C76E4" w14:paraId="72074F00" w14:textId="77777777" w:rsidTr="00372278">
        <w:tc>
          <w:tcPr>
            <w:tcW w:w="2688" w:type="dxa"/>
            <w:shd w:val="clear" w:color="auto" w:fill="999772" w:themeFill="text2" w:themeFillTint="99"/>
          </w:tcPr>
          <w:p w14:paraId="0A3FAC7A" w14:textId="66A17910" w:rsidR="008C76E4" w:rsidRDefault="00F02AA1" w:rsidP="008C76E4">
            <w:pPr>
              <w:jc w:val="both"/>
            </w:pPr>
            <w:r>
              <w:t xml:space="preserve">Montant assujetti </w:t>
            </w:r>
          </w:p>
        </w:tc>
        <w:tc>
          <w:tcPr>
            <w:tcW w:w="2891" w:type="dxa"/>
            <w:shd w:val="clear" w:color="auto" w:fill="DDDCD0" w:themeFill="text2" w:themeFillTint="33"/>
          </w:tcPr>
          <w:p w14:paraId="47C880F0" w14:textId="1F89A00E" w:rsidR="008C76E4" w:rsidRDefault="00F02AA1" w:rsidP="00F02AA1">
            <w:pPr>
              <w:jc w:val="both"/>
            </w:pPr>
            <w:r>
              <w:t>36 500 $</w:t>
            </w:r>
          </w:p>
        </w:tc>
      </w:tr>
      <w:tr w:rsidR="008C76E4" w14:paraId="0B5AB323" w14:textId="77777777" w:rsidTr="00372278">
        <w:tc>
          <w:tcPr>
            <w:tcW w:w="2688" w:type="dxa"/>
            <w:shd w:val="clear" w:color="auto" w:fill="999772" w:themeFill="text2" w:themeFillTint="99"/>
          </w:tcPr>
          <w:p w14:paraId="1D6EAEB6" w14:textId="47E41CC9" w:rsidR="008C76E4" w:rsidRDefault="00F02AA1" w:rsidP="008C76E4">
            <w:pPr>
              <w:jc w:val="both"/>
            </w:pPr>
            <w:r>
              <w:t>Taux employé</w:t>
            </w:r>
          </w:p>
        </w:tc>
        <w:tc>
          <w:tcPr>
            <w:tcW w:w="2891" w:type="dxa"/>
            <w:shd w:val="clear" w:color="auto" w:fill="DDDCD0" w:themeFill="text2" w:themeFillTint="33"/>
          </w:tcPr>
          <w:p w14:paraId="3A312B66" w14:textId="15311C52" w:rsidR="008C76E4" w:rsidRDefault="00F02AA1" w:rsidP="008C76E4">
            <w:pPr>
              <w:jc w:val="both"/>
            </w:pPr>
            <w:r>
              <w:t>5,25 %</w:t>
            </w:r>
          </w:p>
        </w:tc>
      </w:tr>
      <w:tr w:rsidR="00F02AA1" w14:paraId="3EF09916" w14:textId="77777777" w:rsidTr="00372278">
        <w:tc>
          <w:tcPr>
            <w:tcW w:w="2688" w:type="dxa"/>
            <w:shd w:val="clear" w:color="auto" w:fill="999772" w:themeFill="text2" w:themeFillTint="99"/>
          </w:tcPr>
          <w:p w14:paraId="5E471CC8" w14:textId="77777777" w:rsidR="00F02AA1" w:rsidRDefault="00F02AA1" w:rsidP="008C76E4">
            <w:pPr>
              <w:jc w:val="both"/>
            </w:pPr>
          </w:p>
        </w:tc>
        <w:tc>
          <w:tcPr>
            <w:tcW w:w="2891" w:type="dxa"/>
            <w:shd w:val="clear" w:color="auto" w:fill="DDDCD0" w:themeFill="text2" w:themeFillTint="33"/>
          </w:tcPr>
          <w:p w14:paraId="69280264" w14:textId="77777777" w:rsidR="00F02AA1" w:rsidRDefault="00F02AA1" w:rsidP="008C76E4">
            <w:pPr>
              <w:jc w:val="both"/>
            </w:pPr>
          </w:p>
        </w:tc>
      </w:tr>
      <w:tr w:rsidR="00F02AA1" w14:paraId="5BB41AAE" w14:textId="77777777" w:rsidTr="00372278">
        <w:tc>
          <w:tcPr>
            <w:tcW w:w="2688" w:type="dxa"/>
            <w:shd w:val="clear" w:color="auto" w:fill="999772" w:themeFill="text2" w:themeFillTint="99"/>
          </w:tcPr>
          <w:p w14:paraId="616BEC91" w14:textId="27705ED4" w:rsidR="00F02AA1" w:rsidRDefault="00F02AA1" w:rsidP="008C76E4">
            <w:pPr>
              <w:jc w:val="both"/>
            </w:pPr>
            <w:r>
              <w:t>Cotisation RRQ</w:t>
            </w:r>
          </w:p>
        </w:tc>
        <w:tc>
          <w:tcPr>
            <w:tcW w:w="2891" w:type="dxa"/>
            <w:shd w:val="clear" w:color="auto" w:fill="FF6700" w:themeFill="accent3"/>
          </w:tcPr>
          <w:p w14:paraId="045F6BB8" w14:textId="7DCDF5D9" w:rsidR="00F02AA1" w:rsidRPr="005E63CC" w:rsidRDefault="00F02AA1" w:rsidP="008C76E4">
            <w:pPr>
              <w:jc w:val="both"/>
            </w:pPr>
            <w:r w:rsidRPr="005E63CC">
              <w:t>1 916.25 $</w:t>
            </w:r>
          </w:p>
        </w:tc>
      </w:tr>
    </w:tbl>
    <w:p w14:paraId="0E850B37" w14:textId="77777777" w:rsidR="008C76E4" w:rsidRDefault="00E54CDB" w:rsidP="008C76E4">
      <w:pPr>
        <w:jc w:val="both"/>
      </w:pPr>
      <w:r>
        <w:tab/>
        <w:t xml:space="preserve">Moindre de </w:t>
      </w:r>
      <w:r w:rsidR="008C76E4">
        <w:tab/>
      </w:r>
    </w:p>
    <w:p w14:paraId="221A7351" w14:textId="312C60A9" w:rsidR="008C76E4" w:rsidRDefault="008C76E4" w:rsidP="008C76E4">
      <w:pPr>
        <w:jc w:val="both"/>
      </w:pPr>
      <w:r>
        <w:t xml:space="preserve"> </w:t>
      </w:r>
    </w:p>
    <w:p w14:paraId="525CBF12" w14:textId="77777777" w:rsidR="001200A6" w:rsidRDefault="001200A6" w:rsidP="00624171">
      <w:pPr>
        <w:jc w:val="both"/>
      </w:pPr>
    </w:p>
    <w:p w14:paraId="0A5AC4F2" w14:textId="77777777" w:rsidR="0002484A" w:rsidRDefault="0002484A" w:rsidP="00624171">
      <w:pPr>
        <w:jc w:val="both"/>
      </w:pPr>
    </w:p>
    <w:p w14:paraId="57422253" w14:textId="77777777" w:rsidR="0002484A" w:rsidRDefault="0002484A" w:rsidP="00624171">
      <w:pPr>
        <w:jc w:val="both"/>
      </w:pPr>
    </w:p>
    <w:p w14:paraId="3196F957" w14:textId="77777777" w:rsidR="008C76E4" w:rsidRDefault="008C76E4" w:rsidP="00624171">
      <w:pPr>
        <w:jc w:val="both"/>
      </w:pPr>
    </w:p>
    <w:p w14:paraId="07E85E38" w14:textId="77777777" w:rsidR="008C76E4" w:rsidRDefault="008C76E4" w:rsidP="00624171">
      <w:pPr>
        <w:jc w:val="both"/>
      </w:pPr>
    </w:p>
    <w:p w14:paraId="0FDDA938" w14:textId="549D5100" w:rsidR="00F02AA1" w:rsidRDefault="00F02AA1" w:rsidP="00624171">
      <w:pPr>
        <w:jc w:val="both"/>
      </w:pPr>
      <w:r>
        <w:rPr>
          <w:noProof/>
          <w:lang w:eastAsia="fr-FR"/>
        </w:rPr>
        <mc:AlternateContent>
          <mc:Choice Requires="wps">
            <w:drawing>
              <wp:anchor distT="0" distB="0" distL="114300" distR="114300" simplePos="0" relativeHeight="251970560" behindDoc="0" locked="0" layoutInCell="1" allowOverlap="1" wp14:anchorId="685C3B71" wp14:editId="3622BE75">
                <wp:simplePos x="0" y="0"/>
                <wp:positionH relativeFrom="column">
                  <wp:posOffset>1485900</wp:posOffset>
                </wp:positionH>
                <wp:positionV relativeFrom="paragraph">
                  <wp:posOffset>93980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105" name="Ellipse 105"/>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4"/>
                        </a:fillRef>
                        <a:effectRef idx="1">
                          <a:schemeClr val="accent4"/>
                        </a:effectRef>
                        <a:fontRef idx="minor">
                          <a:schemeClr val="lt1"/>
                        </a:fontRef>
                      </wps:style>
                      <wps:txbx>
                        <w:txbxContent>
                          <w:p w14:paraId="6A7FB763" w14:textId="445701DD" w:rsidR="00573C95" w:rsidRDefault="00573C95" w:rsidP="00F02AA1">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05" o:spid="_x0000_s1058" style="position:absolute;left:0;text-align:left;margin-left:117pt;margin-top:7.4pt;width:36pt;height:36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" fillcolor="#909465 [3207]" strokecolor="white [3201]" strokeweight="1.75pt">
                <v:textbox>
                  <w:txbxContent>
                    <w:p w14:paraId="6A7FB763" w14:textId="445701DD" w:rsidR="001501D6" w:rsidRDefault="001501D6" w:rsidP="00F02AA1">
                      <w:pPr>
                        <w:jc w:val="center"/>
                      </w:pPr>
                      <w:r>
                        <w:t>2</w:t>
                      </w:r>
                    </w:p>
                  </w:txbxContent>
                </v:textbox>
                <w10:wrap type="through"/>
              </v:oval>
            </w:pict>
          </mc:Fallback>
        </mc:AlternateContent>
      </w:r>
      <w:r>
        <w:tab/>
      </w:r>
      <w:r>
        <w:tab/>
        <w:t xml:space="preserve"> </w:t>
      </w:r>
    </w:p>
    <w:tbl>
      <w:tblPr>
        <w:tblStyle w:val="Grille"/>
        <w:tblpPr w:leftFromText="141" w:rightFromText="141" w:vertAnchor="text" w:horzAnchor="page" w:tblpX="5306" w:tblpY="4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8"/>
        <w:gridCol w:w="2891"/>
      </w:tblGrid>
      <w:tr w:rsidR="00F02AA1" w14:paraId="247365B0" w14:textId="77777777" w:rsidTr="00372278">
        <w:tc>
          <w:tcPr>
            <w:tcW w:w="2688" w:type="dxa"/>
            <w:shd w:val="clear" w:color="auto" w:fill="A6A6A6" w:themeFill="background1" w:themeFillShade="A6"/>
          </w:tcPr>
          <w:p w14:paraId="45B187D5" w14:textId="4848FE06" w:rsidR="00F02AA1" w:rsidRDefault="00AC3FE6" w:rsidP="00AC3FE6">
            <w:pPr>
              <w:jc w:val="both"/>
            </w:pPr>
            <w:r>
              <w:t>MGA</w:t>
            </w:r>
          </w:p>
        </w:tc>
        <w:tc>
          <w:tcPr>
            <w:tcW w:w="2891" w:type="dxa"/>
            <w:shd w:val="clear" w:color="auto" w:fill="D9D9D9" w:themeFill="background1" w:themeFillShade="D9"/>
          </w:tcPr>
          <w:p w14:paraId="46B4E2F3" w14:textId="39219A17" w:rsidR="00F02AA1" w:rsidRDefault="00F02AA1" w:rsidP="00F02AA1">
            <w:pPr>
              <w:jc w:val="both"/>
            </w:pPr>
            <w:r>
              <w:t>53 600 $</w:t>
            </w:r>
          </w:p>
        </w:tc>
      </w:tr>
      <w:tr w:rsidR="00F02AA1" w:rsidRPr="00F02AA1" w14:paraId="75CB26D0" w14:textId="77777777" w:rsidTr="00372278">
        <w:tc>
          <w:tcPr>
            <w:tcW w:w="2688" w:type="dxa"/>
            <w:shd w:val="clear" w:color="auto" w:fill="A6A6A6" w:themeFill="background1" w:themeFillShade="A6"/>
          </w:tcPr>
          <w:p w14:paraId="7A10C981" w14:textId="77777777" w:rsidR="00F02AA1" w:rsidRDefault="00F02AA1" w:rsidP="00D94496">
            <w:pPr>
              <w:jc w:val="both"/>
            </w:pPr>
            <w:r>
              <w:t>MS: Exemption</w:t>
            </w:r>
          </w:p>
        </w:tc>
        <w:tc>
          <w:tcPr>
            <w:tcW w:w="2891" w:type="dxa"/>
            <w:shd w:val="clear" w:color="auto" w:fill="D9D9D9" w:themeFill="background1" w:themeFillShade="D9"/>
          </w:tcPr>
          <w:p w14:paraId="710F5F62" w14:textId="77777777" w:rsidR="00F02AA1" w:rsidRPr="00F02AA1" w:rsidRDefault="00F02AA1" w:rsidP="00D94496">
            <w:pPr>
              <w:jc w:val="both"/>
              <w:rPr>
                <w:u w:val="single"/>
              </w:rPr>
            </w:pPr>
            <w:r w:rsidRPr="00F02AA1">
              <w:rPr>
                <w:u w:val="single"/>
              </w:rPr>
              <w:t xml:space="preserve">  3 </w:t>
            </w:r>
            <w:r>
              <w:rPr>
                <w:u w:val="single"/>
              </w:rPr>
              <w:t>5</w:t>
            </w:r>
            <w:r w:rsidRPr="00F02AA1">
              <w:rPr>
                <w:u w:val="single"/>
              </w:rPr>
              <w:t>00 $</w:t>
            </w:r>
          </w:p>
        </w:tc>
      </w:tr>
      <w:tr w:rsidR="00F02AA1" w14:paraId="493752F1" w14:textId="77777777" w:rsidTr="00372278">
        <w:tc>
          <w:tcPr>
            <w:tcW w:w="2688" w:type="dxa"/>
            <w:shd w:val="clear" w:color="auto" w:fill="A6A6A6" w:themeFill="background1" w:themeFillShade="A6"/>
          </w:tcPr>
          <w:p w14:paraId="0D9CEF47" w14:textId="77777777" w:rsidR="00F02AA1" w:rsidRDefault="00F02AA1" w:rsidP="00D94496">
            <w:pPr>
              <w:jc w:val="both"/>
            </w:pPr>
            <w:r>
              <w:t xml:space="preserve">Montant assujetti </w:t>
            </w:r>
          </w:p>
        </w:tc>
        <w:tc>
          <w:tcPr>
            <w:tcW w:w="2891" w:type="dxa"/>
            <w:shd w:val="clear" w:color="auto" w:fill="D9D9D9" w:themeFill="background1" w:themeFillShade="D9"/>
          </w:tcPr>
          <w:p w14:paraId="5894380E" w14:textId="278EA620" w:rsidR="00F02AA1" w:rsidRDefault="00F02AA1" w:rsidP="00F02AA1">
            <w:pPr>
              <w:jc w:val="both"/>
            </w:pPr>
            <w:r>
              <w:t>50 100 $</w:t>
            </w:r>
          </w:p>
        </w:tc>
      </w:tr>
      <w:tr w:rsidR="00F02AA1" w14:paraId="35075FED" w14:textId="77777777" w:rsidTr="00372278">
        <w:tc>
          <w:tcPr>
            <w:tcW w:w="2688" w:type="dxa"/>
            <w:shd w:val="clear" w:color="auto" w:fill="A6A6A6" w:themeFill="background1" w:themeFillShade="A6"/>
          </w:tcPr>
          <w:p w14:paraId="6A75C9EE" w14:textId="77777777" w:rsidR="00F02AA1" w:rsidRDefault="00F02AA1" w:rsidP="00D94496">
            <w:pPr>
              <w:jc w:val="both"/>
            </w:pPr>
            <w:r>
              <w:t>Taux employé</w:t>
            </w:r>
          </w:p>
        </w:tc>
        <w:tc>
          <w:tcPr>
            <w:tcW w:w="2891" w:type="dxa"/>
            <w:shd w:val="clear" w:color="auto" w:fill="D9D9D9" w:themeFill="background1" w:themeFillShade="D9"/>
          </w:tcPr>
          <w:p w14:paraId="43D09C42" w14:textId="77777777" w:rsidR="00F02AA1" w:rsidRDefault="00F02AA1" w:rsidP="00D94496">
            <w:pPr>
              <w:jc w:val="both"/>
            </w:pPr>
            <w:r>
              <w:t>5,25 %</w:t>
            </w:r>
          </w:p>
        </w:tc>
      </w:tr>
      <w:tr w:rsidR="00F02AA1" w14:paraId="79E739FD" w14:textId="77777777" w:rsidTr="00372278">
        <w:tc>
          <w:tcPr>
            <w:tcW w:w="2688" w:type="dxa"/>
            <w:shd w:val="clear" w:color="auto" w:fill="A6A6A6" w:themeFill="background1" w:themeFillShade="A6"/>
          </w:tcPr>
          <w:p w14:paraId="76F7D9AA" w14:textId="77777777" w:rsidR="00F02AA1" w:rsidRDefault="00F02AA1" w:rsidP="00D94496">
            <w:pPr>
              <w:jc w:val="both"/>
            </w:pPr>
          </w:p>
        </w:tc>
        <w:tc>
          <w:tcPr>
            <w:tcW w:w="2891" w:type="dxa"/>
            <w:shd w:val="clear" w:color="auto" w:fill="D9D9D9" w:themeFill="background1" w:themeFillShade="D9"/>
          </w:tcPr>
          <w:p w14:paraId="1D665568" w14:textId="77777777" w:rsidR="00F02AA1" w:rsidRDefault="00F02AA1" w:rsidP="00D94496">
            <w:pPr>
              <w:jc w:val="both"/>
            </w:pPr>
          </w:p>
        </w:tc>
      </w:tr>
      <w:tr w:rsidR="00F02AA1" w14:paraId="71B46978" w14:textId="77777777" w:rsidTr="00372278">
        <w:tc>
          <w:tcPr>
            <w:tcW w:w="2688" w:type="dxa"/>
            <w:shd w:val="clear" w:color="auto" w:fill="A6A6A6" w:themeFill="background1" w:themeFillShade="A6"/>
          </w:tcPr>
          <w:p w14:paraId="36A89C7E" w14:textId="77777777" w:rsidR="00F02AA1" w:rsidRDefault="00F02AA1" w:rsidP="00D94496">
            <w:pPr>
              <w:jc w:val="both"/>
            </w:pPr>
            <w:r>
              <w:t>Cotisation RRQ</w:t>
            </w:r>
          </w:p>
        </w:tc>
        <w:tc>
          <w:tcPr>
            <w:tcW w:w="2891" w:type="dxa"/>
          </w:tcPr>
          <w:p w14:paraId="7D8851BB" w14:textId="238B8278" w:rsidR="00F02AA1" w:rsidRDefault="00F02AA1" w:rsidP="00F02AA1">
            <w:pPr>
              <w:jc w:val="both"/>
            </w:pPr>
            <w:r>
              <w:t>2 630,25 $</w:t>
            </w:r>
          </w:p>
        </w:tc>
      </w:tr>
    </w:tbl>
    <w:p w14:paraId="76CA01F6" w14:textId="32393E39" w:rsidR="008C76E4" w:rsidRDefault="00F02AA1" w:rsidP="00624171">
      <w:pPr>
        <w:jc w:val="both"/>
      </w:pPr>
      <w:r>
        <w:tab/>
      </w:r>
      <w:r>
        <w:tab/>
        <w:t xml:space="preserve">  Et de</w:t>
      </w:r>
    </w:p>
    <w:p w14:paraId="3EBA2597" w14:textId="77777777" w:rsidR="008C76E4" w:rsidRDefault="008C76E4" w:rsidP="00624171">
      <w:pPr>
        <w:jc w:val="both"/>
      </w:pPr>
    </w:p>
    <w:p w14:paraId="0640E900" w14:textId="77777777" w:rsidR="008C76E4" w:rsidRDefault="008C76E4" w:rsidP="00624171">
      <w:pPr>
        <w:jc w:val="both"/>
      </w:pPr>
    </w:p>
    <w:p w14:paraId="68947995" w14:textId="77777777" w:rsidR="00F02AA1" w:rsidRDefault="00F02AA1" w:rsidP="00624171">
      <w:pPr>
        <w:jc w:val="both"/>
      </w:pPr>
    </w:p>
    <w:p w14:paraId="23093D1F" w14:textId="77777777" w:rsidR="00F02AA1" w:rsidRDefault="00F02AA1" w:rsidP="00624171">
      <w:pPr>
        <w:jc w:val="both"/>
      </w:pPr>
    </w:p>
    <w:p w14:paraId="347A88A2" w14:textId="77777777" w:rsidR="00F02AA1" w:rsidRDefault="00F02AA1" w:rsidP="00624171">
      <w:pPr>
        <w:jc w:val="both"/>
      </w:pPr>
    </w:p>
    <w:p w14:paraId="5BD8756F" w14:textId="77777777" w:rsidR="00F02AA1" w:rsidRDefault="00F02AA1" w:rsidP="00624171">
      <w:pPr>
        <w:jc w:val="both"/>
      </w:pPr>
    </w:p>
    <w:p w14:paraId="1A1E0136" w14:textId="77777777" w:rsidR="00F02AA1" w:rsidRDefault="00F02AA1" w:rsidP="00624171">
      <w:pPr>
        <w:jc w:val="both"/>
      </w:pPr>
    </w:p>
    <w:p w14:paraId="0C213EF3" w14:textId="77777777" w:rsidR="00F02AA1" w:rsidRDefault="00F02AA1" w:rsidP="00624171">
      <w:pPr>
        <w:jc w:val="both"/>
      </w:pPr>
    </w:p>
    <w:p w14:paraId="7278AAF2" w14:textId="77777777" w:rsidR="00F02AA1" w:rsidRDefault="00F02AA1" w:rsidP="00624171">
      <w:pPr>
        <w:jc w:val="both"/>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2"/>
        <w:gridCol w:w="4382"/>
        <w:gridCol w:w="4382"/>
      </w:tblGrid>
      <w:tr w:rsidR="005E63CC" w:rsidRPr="005E63CC" w14:paraId="608AE1DC" w14:textId="77777777" w:rsidTr="00372278">
        <w:tc>
          <w:tcPr>
            <w:tcW w:w="4382" w:type="dxa"/>
            <w:shd w:val="clear" w:color="auto" w:fill="FF6700" w:themeFill="accent3"/>
          </w:tcPr>
          <w:p w14:paraId="54E410CA" w14:textId="4B079428" w:rsidR="005E63CC" w:rsidRDefault="005E63CC" w:rsidP="00624171">
            <w:pPr>
              <w:jc w:val="both"/>
            </w:pPr>
            <w:r>
              <w:t xml:space="preserve">Cotisation </w:t>
            </w:r>
            <w:proofErr w:type="gramStart"/>
            <w:r>
              <w:t>employé</w:t>
            </w:r>
            <w:proofErr w:type="gramEnd"/>
            <w:r>
              <w:t xml:space="preserve"> 1 916,25 $</w:t>
            </w:r>
          </w:p>
        </w:tc>
        <w:tc>
          <w:tcPr>
            <w:tcW w:w="4382" w:type="dxa"/>
            <w:shd w:val="clear" w:color="auto" w:fill="94C600" w:themeFill="accent1"/>
          </w:tcPr>
          <w:p w14:paraId="4C64EAF3" w14:textId="7CCB9732" w:rsidR="005E63CC" w:rsidRDefault="005E63CC" w:rsidP="00624171">
            <w:pPr>
              <w:jc w:val="both"/>
            </w:pPr>
            <w:r>
              <w:t>+ cotisation employeur 1 916,25 $</w:t>
            </w:r>
          </w:p>
        </w:tc>
        <w:tc>
          <w:tcPr>
            <w:tcW w:w="4382" w:type="dxa"/>
            <w:shd w:val="clear" w:color="auto" w:fill="357F73"/>
          </w:tcPr>
          <w:p w14:paraId="569656C0" w14:textId="2974631C" w:rsidR="005E63CC" w:rsidRPr="005E63CC" w:rsidRDefault="005E63CC" w:rsidP="00624171">
            <w:pPr>
              <w:jc w:val="both"/>
              <w:rPr>
                <w:color w:val="FFFFFF" w:themeColor="background1"/>
              </w:rPr>
            </w:pPr>
            <w:r w:rsidRPr="005E63CC">
              <w:rPr>
                <w:color w:val="FFFFFF" w:themeColor="background1"/>
              </w:rPr>
              <w:t>= 3 832,50 $</w:t>
            </w:r>
          </w:p>
        </w:tc>
      </w:tr>
    </w:tbl>
    <w:p w14:paraId="1A42E85F" w14:textId="77777777" w:rsidR="00F02AA1" w:rsidRDefault="00F02AA1" w:rsidP="00624171">
      <w:pPr>
        <w:jc w:val="both"/>
      </w:pPr>
    </w:p>
    <w:p w14:paraId="13D95211" w14:textId="77777777" w:rsidR="00F02AA1" w:rsidRDefault="00F02AA1" w:rsidP="00624171">
      <w:pPr>
        <w:jc w:val="both"/>
      </w:pPr>
    </w:p>
    <w:p w14:paraId="132E0994" w14:textId="77777777" w:rsidR="00F02AA1" w:rsidRDefault="00F02AA1" w:rsidP="00624171">
      <w:pPr>
        <w:jc w:val="both"/>
      </w:pPr>
    </w:p>
    <w:p w14:paraId="68323D78" w14:textId="77777777" w:rsidR="00F02AA1" w:rsidRDefault="00F02AA1" w:rsidP="00624171">
      <w:pPr>
        <w:jc w:val="both"/>
      </w:pPr>
    </w:p>
    <w:p w14:paraId="6A6D021A" w14:textId="77777777" w:rsidR="00F02AA1" w:rsidRDefault="00F02AA1" w:rsidP="00624171">
      <w:pPr>
        <w:jc w:val="both"/>
      </w:pPr>
    </w:p>
    <w:p w14:paraId="72F693A8" w14:textId="77777777" w:rsidR="00F02AA1" w:rsidRDefault="00F02AA1" w:rsidP="00624171">
      <w:pPr>
        <w:jc w:val="both"/>
      </w:pPr>
    </w:p>
    <w:p w14:paraId="788B89AA" w14:textId="77777777" w:rsidR="00F02AA1" w:rsidRDefault="00F02AA1" w:rsidP="00624171">
      <w:pPr>
        <w:jc w:val="both"/>
      </w:pPr>
    </w:p>
    <w:p w14:paraId="1F2B9CA7" w14:textId="77777777" w:rsidR="0002484A" w:rsidRDefault="0002484A" w:rsidP="00624171">
      <w:pPr>
        <w:jc w:val="both"/>
      </w:pPr>
    </w:p>
    <w:p w14:paraId="253C736F" w14:textId="379AECB3" w:rsidR="000A4B0F" w:rsidRPr="000F289D" w:rsidRDefault="000A4B0F" w:rsidP="006C34CF">
      <w:pPr>
        <w:pStyle w:val="Paragraphedeliste"/>
        <w:numPr>
          <w:ilvl w:val="0"/>
          <w:numId w:val="10"/>
        </w:numPr>
        <w:ind w:left="1134" w:hanging="425"/>
        <w:jc w:val="both"/>
        <w:rPr>
          <w:color w:val="FF6700" w:themeColor="accent3"/>
        </w:rPr>
      </w:pPr>
      <w:r w:rsidRPr="000F289D">
        <w:rPr>
          <w:color w:val="FF6700" w:themeColor="accent3"/>
        </w:rPr>
        <w:lastRenderedPageBreak/>
        <w:t>EXEMPLE</w:t>
      </w:r>
      <w:r w:rsidR="00DD51DD" w:rsidRPr="000F289D">
        <w:rPr>
          <w:color w:val="FF6700" w:themeColor="accent3"/>
        </w:rPr>
        <w:t xml:space="preserve"> 7-5</w:t>
      </w:r>
    </w:p>
    <w:p w14:paraId="1B254065" w14:textId="77777777" w:rsidR="000A4B0F" w:rsidRDefault="000A4B0F" w:rsidP="000A4B0F">
      <w:pPr>
        <w:ind w:left="360"/>
        <w:jc w:val="both"/>
      </w:pPr>
    </w:p>
    <w:p w14:paraId="7F242436" w14:textId="2DC7F974" w:rsidR="000A4B0F" w:rsidRDefault="000A4B0F" w:rsidP="000A4B0F">
      <w:pPr>
        <w:ind w:left="360" w:hanging="502"/>
        <w:jc w:val="both"/>
        <w:rPr>
          <w:rFonts w:ascii="Avenir Book" w:hAnsi="Avenir Book"/>
        </w:rPr>
      </w:pPr>
      <w:r>
        <w:t xml:space="preserve">Quelles seront les cotisations du RRQ qui seront versées sur le salaire brut de 75 000 $ (en 2015) d'un employé </w:t>
      </w:r>
      <w:r w:rsidRPr="00E54CDB">
        <w:rPr>
          <w:rFonts w:ascii="Avenir Book" w:hAnsi="Avenir Book"/>
        </w:rPr>
        <w:t>?</w:t>
      </w:r>
    </w:p>
    <w:p w14:paraId="288E390C" w14:textId="77777777" w:rsidR="000A4B0F" w:rsidRDefault="000A4B0F" w:rsidP="000A4B0F">
      <w:pPr>
        <w:ind w:left="360" w:hanging="502"/>
        <w:jc w:val="both"/>
      </w:pPr>
      <w:r>
        <w:rPr>
          <w:noProof/>
          <w:lang w:eastAsia="fr-FR"/>
        </w:rPr>
        <mc:AlternateContent>
          <mc:Choice Requires="wps">
            <w:drawing>
              <wp:anchor distT="0" distB="0" distL="114300" distR="114300" simplePos="0" relativeHeight="251972608" behindDoc="0" locked="0" layoutInCell="1" allowOverlap="1" wp14:anchorId="4C299123" wp14:editId="71B1C5DA">
                <wp:simplePos x="0" y="0"/>
                <wp:positionH relativeFrom="column">
                  <wp:posOffset>1485900</wp:posOffset>
                </wp:positionH>
                <wp:positionV relativeFrom="paragraph">
                  <wp:posOffset>102870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119" name="Ellipse 119"/>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4"/>
                        </a:fillRef>
                        <a:effectRef idx="1">
                          <a:schemeClr val="accent4"/>
                        </a:effectRef>
                        <a:fontRef idx="minor">
                          <a:schemeClr val="lt1"/>
                        </a:fontRef>
                      </wps:style>
                      <wps:txbx>
                        <w:txbxContent>
                          <w:p w14:paraId="4A9F5891" w14:textId="77777777" w:rsidR="00573C95" w:rsidRDefault="00573C95" w:rsidP="000A4B0F">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19" o:spid="_x0000_s1059" style="position:absolute;left:0;text-align:left;margin-left:117pt;margin-top:8.1pt;width:36pt;height:36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" fillcolor="#909465 [3207]" strokecolor="white [3201]" strokeweight="1.75pt">
                <v:textbox>
                  <w:txbxContent>
                    <w:p w14:paraId="4A9F5891" w14:textId="77777777" w:rsidR="001501D6" w:rsidRDefault="001501D6" w:rsidP="000A4B0F">
                      <w:pPr>
                        <w:jc w:val="center"/>
                      </w:pPr>
                      <w:r>
                        <w:t>1</w:t>
                      </w:r>
                    </w:p>
                  </w:txbxContent>
                </v:textbox>
                <w10:wrap type="through"/>
              </v:oval>
            </w:pict>
          </mc:Fallback>
        </mc:AlternateContent>
      </w:r>
    </w:p>
    <w:tbl>
      <w:tblPr>
        <w:tblStyle w:val="Grille"/>
        <w:tblpPr w:leftFromText="141" w:rightFromText="141" w:vertAnchor="text" w:horzAnchor="page" w:tblpX="5306" w:tblpY="4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8"/>
        <w:gridCol w:w="2891"/>
      </w:tblGrid>
      <w:tr w:rsidR="000A4B0F" w14:paraId="6686A76F" w14:textId="77777777" w:rsidTr="00372278">
        <w:tc>
          <w:tcPr>
            <w:tcW w:w="2688" w:type="dxa"/>
            <w:shd w:val="clear" w:color="auto" w:fill="999772" w:themeFill="text2" w:themeFillTint="99"/>
          </w:tcPr>
          <w:p w14:paraId="732F422B" w14:textId="77777777" w:rsidR="000A4B0F" w:rsidRDefault="000A4B0F" w:rsidP="00503A75">
            <w:pPr>
              <w:jc w:val="both"/>
            </w:pPr>
            <w:r>
              <w:t>Salaire brut</w:t>
            </w:r>
          </w:p>
        </w:tc>
        <w:tc>
          <w:tcPr>
            <w:tcW w:w="2891" w:type="dxa"/>
            <w:shd w:val="clear" w:color="auto" w:fill="DDDCD0" w:themeFill="text2" w:themeFillTint="33"/>
          </w:tcPr>
          <w:p w14:paraId="770A7064" w14:textId="20583C37" w:rsidR="000A4B0F" w:rsidRDefault="000A4B0F" w:rsidP="000A4B0F">
            <w:pPr>
              <w:jc w:val="both"/>
            </w:pPr>
            <w:r>
              <w:t>75 000 $</w:t>
            </w:r>
          </w:p>
        </w:tc>
      </w:tr>
      <w:tr w:rsidR="000A4B0F" w14:paraId="2FB1F65C" w14:textId="77777777" w:rsidTr="00372278">
        <w:tc>
          <w:tcPr>
            <w:tcW w:w="2688" w:type="dxa"/>
            <w:shd w:val="clear" w:color="auto" w:fill="999772" w:themeFill="text2" w:themeFillTint="99"/>
          </w:tcPr>
          <w:p w14:paraId="56D237F2" w14:textId="77777777" w:rsidR="000A4B0F" w:rsidRDefault="000A4B0F" w:rsidP="00503A75">
            <w:pPr>
              <w:jc w:val="both"/>
            </w:pPr>
            <w:r>
              <w:t>MS: Exemption</w:t>
            </w:r>
          </w:p>
        </w:tc>
        <w:tc>
          <w:tcPr>
            <w:tcW w:w="2891" w:type="dxa"/>
            <w:shd w:val="clear" w:color="auto" w:fill="DDDCD0" w:themeFill="text2" w:themeFillTint="33"/>
          </w:tcPr>
          <w:p w14:paraId="59B92AF6" w14:textId="77777777" w:rsidR="000A4B0F" w:rsidRPr="00F02AA1" w:rsidRDefault="000A4B0F" w:rsidP="00503A75">
            <w:pPr>
              <w:jc w:val="both"/>
              <w:rPr>
                <w:u w:val="single"/>
              </w:rPr>
            </w:pPr>
            <w:r w:rsidRPr="00F02AA1">
              <w:rPr>
                <w:u w:val="single"/>
              </w:rPr>
              <w:t xml:space="preserve">  3 </w:t>
            </w:r>
            <w:r>
              <w:rPr>
                <w:u w:val="single"/>
              </w:rPr>
              <w:t>5</w:t>
            </w:r>
            <w:r w:rsidRPr="00F02AA1">
              <w:rPr>
                <w:u w:val="single"/>
              </w:rPr>
              <w:t>00 $</w:t>
            </w:r>
          </w:p>
        </w:tc>
      </w:tr>
      <w:tr w:rsidR="000A4B0F" w14:paraId="34B399EE" w14:textId="77777777" w:rsidTr="00372278">
        <w:tc>
          <w:tcPr>
            <w:tcW w:w="2688" w:type="dxa"/>
            <w:shd w:val="clear" w:color="auto" w:fill="999772" w:themeFill="text2" w:themeFillTint="99"/>
          </w:tcPr>
          <w:p w14:paraId="5944FCD7" w14:textId="77777777" w:rsidR="000A4B0F" w:rsidRDefault="000A4B0F" w:rsidP="00503A75">
            <w:pPr>
              <w:jc w:val="both"/>
            </w:pPr>
            <w:r>
              <w:t xml:space="preserve">Montant assujetti </w:t>
            </w:r>
          </w:p>
        </w:tc>
        <w:tc>
          <w:tcPr>
            <w:tcW w:w="2891" w:type="dxa"/>
            <w:shd w:val="clear" w:color="auto" w:fill="DDDCD0" w:themeFill="text2" w:themeFillTint="33"/>
          </w:tcPr>
          <w:p w14:paraId="46A4A0A4" w14:textId="22B9E2B3" w:rsidR="000A4B0F" w:rsidRDefault="000A4B0F" w:rsidP="000A4B0F">
            <w:pPr>
              <w:jc w:val="both"/>
            </w:pPr>
            <w:r>
              <w:t>71 500 $</w:t>
            </w:r>
          </w:p>
        </w:tc>
      </w:tr>
      <w:tr w:rsidR="000A4B0F" w14:paraId="5E23E88D" w14:textId="77777777" w:rsidTr="00372278">
        <w:tc>
          <w:tcPr>
            <w:tcW w:w="2688" w:type="dxa"/>
            <w:shd w:val="clear" w:color="auto" w:fill="999772" w:themeFill="text2" w:themeFillTint="99"/>
          </w:tcPr>
          <w:p w14:paraId="69251DF1" w14:textId="77777777" w:rsidR="000A4B0F" w:rsidRDefault="000A4B0F" w:rsidP="00503A75">
            <w:pPr>
              <w:jc w:val="both"/>
            </w:pPr>
            <w:r>
              <w:t>Taux employé</w:t>
            </w:r>
          </w:p>
        </w:tc>
        <w:tc>
          <w:tcPr>
            <w:tcW w:w="2891" w:type="dxa"/>
            <w:shd w:val="clear" w:color="auto" w:fill="DDDCD0" w:themeFill="text2" w:themeFillTint="33"/>
          </w:tcPr>
          <w:p w14:paraId="4FFAA8A0" w14:textId="77777777" w:rsidR="000A4B0F" w:rsidRDefault="000A4B0F" w:rsidP="00503A75">
            <w:pPr>
              <w:jc w:val="both"/>
            </w:pPr>
            <w:r>
              <w:t>5,25 %</w:t>
            </w:r>
          </w:p>
        </w:tc>
      </w:tr>
      <w:tr w:rsidR="000A4B0F" w14:paraId="3B63217D" w14:textId="77777777" w:rsidTr="00372278">
        <w:tc>
          <w:tcPr>
            <w:tcW w:w="2688" w:type="dxa"/>
            <w:shd w:val="clear" w:color="auto" w:fill="999772" w:themeFill="text2" w:themeFillTint="99"/>
          </w:tcPr>
          <w:p w14:paraId="229D4EAD" w14:textId="77777777" w:rsidR="000A4B0F" w:rsidRDefault="000A4B0F" w:rsidP="00503A75">
            <w:pPr>
              <w:jc w:val="both"/>
            </w:pPr>
          </w:p>
        </w:tc>
        <w:tc>
          <w:tcPr>
            <w:tcW w:w="2891" w:type="dxa"/>
            <w:shd w:val="clear" w:color="auto" w:fill="DDDCD0" w:themeFill="text2" w:themeFillTint="33"/>
          </w:tcPr>
          <w:p w14:paraId="07E01A71" w14:textId="77777777" w:rsidR="000A4B0F" w:rsidRDefault="000A4B0F" w:rsidP="00503A75">
            <w:pPr>
              <w:jc w:val="both"/>
            </w:pPr>
          </w:p>
        </w:tc>
      </w:tr>
      <w:tr w:rsidR="000A4B0F" w14:paraId="60FD4D50" w14:textId="77777777" w:rsidTr="00372278">
        <w:tc>
          <w:tcPr>
            <w:tcW w:w="2688" w:type="dxa"/>
            <w:shd w:val="clear" w:color="auto" w:fill="999772" w:themeFill="text2" w:themeFillTint="99"/>
          </w:tcPr>
          <w:p w14:paraId="65089A57" w14:textId="77777777" w:rsidR="000A4B0F" w:rsidRDefault="000A4B0F" w:rsidP="00503A75">
            <w:pPr>
              <w:jc w:val="both"/>
            </w:pPr>
            <w:r>
              <w:t>Cotisation RRQ</w:t>
            </w:r>
          </w:p>
        </w:tc>
        <w:tc>
          <w:tcPr>
            <w:tcW w:w="2891" w:type="dxa"/>
            <w:shd w:val="clear" w:color="auto" w:fill="FFFFFF" w:themeFill="background1"/>
          </w:tcPr>
          <w:p w14:paraId="1615E4F5" w14:textId="70483F55" w:rsidR="000A4B0F" w:rsidRPr="005E63CC" w:rsidRDefault="000A4B0F" w:rsidP="000A4B0F">
            <w:pPr>
              <w:jc w:val="both"/>
            </w:pPr>
            <w:r>
              <w:t xml:space="preserve">3 753,75 </w:t>
            </w:r>
            <w:r w:rsidRPr="005E63CC">
              <w:t>$</w:t>
            </w:r>
          </w:p>
        </w:tc>
      </w:tr>
    </w:tbl>
    <w:p w14:paraId="708BECBF" w14:textId="77777777" w:rsidR="000A4B0F" w:rsidRDefault="000A4B0F" w:rsidP="000A4B0F">
      <w:pPr>
        <w:jc w:val="both"/>
      </w:pPr>
      <w:r>
        <w:tab/>
        <w:t xml:space="preserve">Moindre de </w:t>
      </w:r>
      <w:r>
        <w:tab/>
      </w:r>
    </w:p>
    <w:p w14:paraId="430650CD" w14:textId="77777777" w:rsidR="000A4B0F" w:rsidRDefault="000A4B0F" w:rsidP="000A4B0F">
      <w:pPr>
        <w:jc w:val="both"/>
      </w:pPr>
      <w:r>
        <w:t xml:space="preserve"> </w:t>
      </w:r>
    </w:p>
    <w:p w14:paraId="64569439" w14:textId="77777777" w:rsidR="000A4B0F" w:rsidRDefault="000A4B0F" w:rsidP="000A4B0F">
      <w:pPr>
        <w:jc w:val="both"/>
      </w:pPr>
    </w:p>
    <w:p w14:paraId="6881410C" w14:textId="77777777" w:rsidR="000A4B0F" w:rsidRDefault="000A4B0F" w:rsidP="000A4B0F">
      <w:pPr>
        <w:jc w:val="both"/>
      </w:pPr>
    </w:p>
    <w:p w14:paraId="41A94A3E" w14:textId="77777777" w:rsidR="000A4B0F" w:rsidRDefault="000A4B0F" w:rsidP="000A4B0F">
      <w:pPr>
        <w:jc w:val="both"/>
      </w:pPr>
    </w:p>
    <w:p w14:paraId="1692010C" w14:textId="77777777" w:rsidR="000A4B0F" w:rsidRDefault="000A4B0F" w:rsidP="000A4B0F">
      <w:pPr>
        <w:jc w:val="both"/>
      </w:pPr>
    </w:p>
    <w:p w14:paraId="7A3ED8A3" w14:textId="77777777" w:rsidR="000A4B0F" w:rsidRDefault="000A4B0F" w:rsidP="000A4B0F">
      <w:pPr>
        <w:jc w:val="both"/>
      </w:pPr>
    </w:p>
    <w:p w14:paraId="5809D6A8" w14:textId="77777777" w:rsidR="000A4B0F" w:rsidRDefault="000A4B0F" w:rsidP="000A4B0F">
      <w:pPr>
        <w:jc w:val="both"/>
      </w:pPr>
      <w:r>
        <w:rPr>
          <w:noProof/>
          <w:lang w:eastAsia="fr-FR"/>
        </w:rPr>
        <mc:AlternateContent>
          <mc:Choice Requires="wps">
            <w:drawing>
              <wp:anchor distT="0" distB="0" distL="114300" distR="114300" simplePos="0" relativeHeight="251973632" behindDoc="0" locked="0" layoutInCell="1" allowOverlap="1" wp14:anchorId="4C0029BD" wp14:editId="3D4E2714">
                <wp:simplePos x="0" y="0"/>
                <wp:positionH relativeFrom="column">
                  <wp:posOffset>1485900</wp:posOffset>
                </wp:positionH>
                <wp:positionV relativeFrom="paragraph">
                  <wp:posOffset>93980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120" name="Ellipse 120"/>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4"/>
                        </a:fillRef>
                        <a:effectRef idx="1">
                          <a:schemeClr val="accent4"/>
                        </a:effectRef>
                        <a:fontRef idx="minor">
                          <a:schemeClr val="lt1"/>
                        </a:fontRef>
                      </wps:style>
                      <wps:txbx>
                        <w:txbxContent>
                          <w:p w14:paraId="7EE71127" w14:textId="77777777" w:rsidR="00573C95" w:rsidRDefault="00573C95" w:rsidP="000A4B0F">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20" o:spid="_x0000_s1060" style="position:absolute;left:0;text-align:left;margin-left:117pt;margin-top:7.4pt;width:36pt;height:36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" fillcolor="#909465 [3207]" strokecolor="white [3201]" strokeweight="1.75pt">
                <v:textbox>
                  <w:txbxContent>
                    <w:p w14:paraId="7EE71127" w14:textId="77777777" w:rsidR="001501D6" w:rsidRDefault="001501D6" w:rsidP="000A4B0F">
                      <w:pPr>
                        <w:jc w:val="center"/>
                      </w:pPr>
                      <w:r>
                        <w:t>2</w:t>
                      </w:r>
                    </w:p>
                  </w:txbxContent>
                </v:textbox>
                <w10:wrap type="through"/>
              </v:oval>
            </w:pict>
          </mc:Fallback>
        </mc:AlternateContent>
      </w:r>
      <w:r>
        <w:tab/>
      </w:r>
      <w:r>
        <w:tab/>
        <w:t xml:space="preserve"> </w:t>
      </w:r>
    </w:p>
    <w:tbl>
      <w:tblPr>
        <w:tblStyle w:val="Grille"/>
        <w:tblpPr w:leftFromText="141" w:rightFromText="141" w:vertAnchor="text" w:horzAnchor="page" w:tblpX="5306" w:tblpY="4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8"/>
        <w:gridCol w:w="2891"/>
      </w:tblGrid>
      <w:tr w:rsidR="000A4B0F" w14:paraId="379E6A87" w14:textId="77777777" w:rsidTr="00372278">
        <w:tc>
          <w:tcPr>
            <w:tcW w:w="2688" w:type="dxa"/>
            <w:shd w:val="clear" w:color="auto" w:fill="A6A6A6" w:themeFill="background1" w:themeFillShade="A6"/>
          </w:tcPr>
          <w:p w14:paraId="0C7CC52C" w14:textId="051279CE" w:rsidR="000A4B0F" w:rsidRDefault="00AC3FE6" w:rsidP="00AC3FE6">
            <w:pPr>
              <w:jc w:val="both"/>
            </w:pPr>
            <w:r>
              <w:t>MGA</w:t>
            </w:r>
          </w:p>
        </w:tc>
        <w:tc>
          <w:tcPr>
            <w:tcW w:w="2891" w:type="dxa"/>
            <w:shd w:val="clear" w:color="auto" w:fill="D9D9D9" w:themeFill="background1" w:themeFillShade="D9"/>
          </w:tcPr>
          <w:p w14:paraId="29A4F02B" w14:textId="77777777" w:rsidR="000A4B0F" w:rsidRDefault="000A4B0F" w:rsidP="00503A75">
            <w:pPr>
              <w:jc w:val="both"/>
            </w:pPr>
            <w:r>
              <w:t>53 600 $</w:t>
            </w:r>
          </w:p>
        </w:tc>
      </w:tr>
      <w:tr w:rsidR="000A4B0F" w:rsidRPr="00F02AA1" w14:paraId="1D9D0715" w14:textId="77777777" w:rsidTr="00372278">
        <w:tc>
          <w:tcPr>
            <w:tcW w:w="2688" w:type="dxa"/>
            <w:shd w:val="clear" w:color="auto" w:fill="A6A6A6" w:themeFill="background1" w:themeFillShade="A6"/>
          </w:tcPr>
          <w:p w14:paraId="53698CC4" w14:textId="77777777" w:rsidR="000A4B0F" w:rsidRDefault="000A4B0F" w:rsidP="00503A75">
            <w:pPr>
              <w:jc w:val="both"/>
            </w:pPr>
            <w:r>
              <w:t>MS: Exemption</w:t>
            </w:r>
          </w:p>
        </w:tc>
        <w:tc>
          <w:tcPr>
            <w:tcW w:w="2891" w:type="dxa"/>
            <w:shd w:val="clear" w:color="auto" w:fill="D9D9D9" w:themeFill="background1" w:themeFillShade="D9"/>
          </w:tcPr>
          <w:p w14:paraId="134A1F3C" w14:textId="77777777" w:rsidR="000A4B0F" w:rsidRPr="00F02AA1" w:rsidRDefault="000A4B0F" w:rsidP="00503A75">
            <w:pPr>
              <w:jc w:val="both"/>
              <w:rPr>
                <w:u w:val="single"/>
              </w:rPr>
            </w:pPr>
            <w:r w:rsidRPr="00F02AA1">
              <w:rPr>
                <w:u w:val="single"/>
              </w:rPr>
              <w:t xml:space="preserve">  3 </w:t>
            </w:r>
            <w:r>
              <w:rPr>
                <w:u w:val="single"/>
              </w:rPr>
              <w:t>5</w:t>
            </w:r>
            <w:r w:rsidRPr="00F02AA1">
              <w:rPr>
                <w:u w:val="single"/>
              </w:rPr>
              <w:t>00 $</w:t>
            </w:r>
          </w:p>
        </w:tc>
      </w:tr>
      <w:tr w:rsidR="000A4B0F" w14:paraId="629953DC" w14:textId="77777777" w:rsidTr="00372278">
        <w:tc>
          <w:tcPr>
            <w:tcW w:w="2688" w:type="dxa"/>
            <w:shd w:val="clear" w:color="auto" w:fill="A6A6A6" w:themeFill="background1" w:themeFillShade="A6"/>
          </w:tcPr>
          <w:p w14:paraId="2C2572A4" w14:textId="77777777" w:rsidR="000A4B0F" w:rsidRDefault="000A4B0F" w:rsidP="00503A75">
            <w:pPr>
              <w:jc w:val="both"/>
            </w:pPr>
            <w:r>
              <w:t xml:space="preserve">Montant assujetti </w:t>
            </w:r>
          </w:p>
        </w:tc>
        <w:tc>
          <w:tcPr>
            <w:tcW w:w="2891" w:type="dxa"/>
            <w:shd w:val="clear" w:color="auto" w:fill="D9D9D9" w:themeFill="background1" w:themeFillShade="D9"/>
          </w:tcPr>
          <w:p w14:paraId="33ABD864" w14:textId="77777777" w:rsidR="000A4B0F" w:rsidRDefault="000A4B0F" w:rsidP="00503A75">
            <w:pPr>
              <w:jc w:val="both"/>
            </w:pPr>
            <w:r>
              <w:t>50 100 $</w:t>
            </w:r>
          </w:p>
        </w:tc>
      </w:tr>
      <w:tr w:rsidR="000A4B0F" w14:paraId="745629D9" w14:textId="77777777" w:rsidTr="00372278">
        <w:tc>
          <w:tcPr>
            <w:tcW w:w="2688" w:type="dxa"/>
            <w:shd w:val="clear" w:color="auto" w:fill="A6A6A6" w:themeFill="background1" w:themeFillShade="A6"/>
          </w:tcPr>
          <w:p w14:paraId="2F330F77" w14:textId="77777777" w:rsidR="000A4B0F" w:rsidRDefault="000A4B0F" w:rsidP="00503A75">
            <w:pPr>
              <w:jc w:val="both"/>
            </w:pPr>
            <w:r>
              <w:t>Taux employé</w:t>
            </w:r>
          </w:p>
        </w:tc>
        <w:tc>
          <w:tcPr>
            <w:tcW w:w="2891" w:type="dxa"/>
            <w:shd w:val="clear" w:color="auto" w:fill="D9D9D9" w:themeFill="background1" w:themeFillShade="D9"/>
          </w:tcPr>
          <w:p w14:paraId="54E51B53" w14:textId="77777777" w:rsidR="000A4B0F" w:rsidRDefault="000A4B0F" w:rsidP="00503A75">
            <w:pPr>
              <w:jc w:val="both"/>
            </w:pPr>
            <w:r>
              <w:t>5,25 %</w:t>
            </w:r>
          </w:p>
        </w:tc>
      </w:tr>
      <w:tr w:rsidR="000A4B0F" w14:paraId="46D1860E" w14:textId="77777777" w:rsidTr="00372278">
        <w:tc>
          <w:tcPr>
            <w:tcW w:w="2688" w:type="dxa"/>
            <w:shd w:val="clear" w:color="auto" w:fill="A6A6A6" w:themeFill="background1" w:themeFillShade="A6"/>
          </w:tcPr>
          <w:p w14:paraId="28905CD9" w14:textId="77777777" w:rsidR="000A4B0F" w:rsidRDefault="000A4B0F" w:rsidP="00503A75">
            <w:pPr>
              <w:jc w:val="both"/>
            </w:pPr>
          </w:p>
        </w:tc>
        <w:tc>
          <w:tcPr>
            <w:tcW w:w="2891" w:type="dxa"/>
            <w:shd w:val="clear" w:color="auto" w:fill="D9D9D9" w:themeFill="background1" w:themeFillShade="D9"/>
          </w:tcPr>
          <w:p w14:paraId="4546C3C7" w14:textId="77777777" w:rsidR="000A4B0F" w:rsidRDefault="000A4B0F" w:rsidP="00503A75">
            <w:pPr>
              <w:jc w:val="both"/>
            </w:pPr>
          </w:p>
        </w:tc>
      </w:tr>
      <w:tr w:rsidR="000A4B0F" w14:paraId="145D932D" w14:textId="77777777" w:rsidTr="00372278">
        <w:tc>
          <w:tcPr>
            <w:tcW w:w="2688" w:type="dxa"/>
            <w:shd w:val="clear" w:color="auto" w:fill="A6A6A6" w:themeFill="background1" w:themeFillShade="A6"/>
          </w:tcPr>
          <w:p w14:paraId="6F109BFA" w14:textId="77777777" w:rsidR="000A4B0F" w:rsidRDefault="000A4B0F" w:rsidP="00503A75">
            <w:pPr>
              <w:jc w:val="both"/>
            </w:pPr>
            <w:r>
              <w:t>Cotisation RRQ</w:t>
            </w:r>
          </w:p>
        </w:tc>
        <w:tc>
          <w:tcPr>
            <w:tcW w:w="2891" w:type="dxa"/>
            <w:shd w:val="clear" w:color="auto" w:fill="FF6700" w:themeFill="accent3"/>
          </w:tcPr>
          <w:p w14:paraId="6B3CBE4D" w14:textId="77777777" w:rsidR="000A4B0F" w:rsidRDefault="000A4B0F" w:rsidP="00503A75">
            <w:pPr>
              <w:jc w:val="both"/>
            </w:pPr>
            <w:r>
              <w:t>2 630,25 $</w:t>
            </w:r>
          </w:p>
        </w:tc>
      </w:tr>
    </w:tbl>
    <w:p w14:paraId="64E3DAEB" w14:textId="77777777" w:rsidR="000A4B0F" w:rsidRDefault="000A4B0F" w:rsidP="000A4B0F">
      <w:pPr>
        <w:jc w:val="both"/>
      </w:pPr>
      <w:r>
        <w:tab/>
      </w:r>
      <w:r>
        <w:tab/>
        <w:t xml:space="preserve">  Et de</w:t>
      </w:r>
    </w:p>
    <w:p w14:paraId="145264B5" w14:textId="77777777" w:rsidR="000A4B0F" w:rsidRDefault="000A4B0F" w:rsidP="000A4B0F">
      <w:pPr>
        <w:jc w:val="both"/>
      </w:pPr>
    </w:p>
    <w:p w14:paraId="37EE267B" w14:textId="77777777" w:rsidR="000A4B0F" w:rsidRDefault="000A4B0F" w:rsidP="000A4B0F">
      <w:pPr>
        <w:jc w:val="both"/>
      </w:pPr>
    </w:p>
    <w:p w14:paraId="46471566" w14:textId="77777777" w:rsidR="000A4B0F" w:rsidRDefault="000A4B0F" w:rsidP="000A4B0F">
      <w:pPr>
        <w:jc w:val="both"/>
      </w:pPr>
    </w:p>
    <w:p w14:paraId="300CC64B" w14:textId="77777777" w:rsidR="000A4B0F" w:rsidRDefault="000A4B0F" w:rsidP="000A4B0F">
      <w:pPr>
        <w:jc w:val="both"/>
      </w:pPr>
    </w:p>
    <w:p w14:paraId="751FF5B9" w14:textId="77777777" w:rsidR="000A4B0F" w:rsidRDefault="000A4B0F" w:rsidP="000A4B0F">
      <w:pPr>
        <w:jc w:val="both"/>
      </w:pPr>
    </w:p>
    <w:p w14:paraId="6622A92D" w14:textId="77777777" w:rsidR="000A4B0F" w:rsidRDefault="000A4B0F" w:rsidP="000A4B0F">
      <w:pPr>
        <w:jc w:val="both"/>
      </w:pPr>
    </w:p>
    <w:p w14:paraId="5AC0FDA3" w14:textId="77777777" w:rsidR="000A4B0F" w:rsidRDefault="000A4B0F" w:rsidP="000A4B0F">
      <w:pPr>
        <w:jc w:val="both"/>
      </w:pPr>
    </w:p>
    <w:p w14:paraId="38CF2B56" w14:textId="77777777" w:rsidR="000A4B0F" w:rsidRDefault="000A4B0F" w:rsidP="000A4B0F">
      <w:pPr>
        <w:jc w:val="both"/>
      </w:pPr>
    </w:p>
    <w:p w14:paraId="7EBE42E7" w14:textId="77777777" w:rsidR="000A4B0F" w:rsidRDefault="000A4B0F" w:rsidP="000A4B0F">
      <w:pPr>
        <w:jc w:val="both"/>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2"/>
        <w:gridCol w:w="4382"/>
        <w:gridCol w:w="4382"/>
      </w:tblGrid>
      <w:tr w:rsidR="000A4B0F" w:rsidRPr="005E63CC" w14:paraId="5F5C16A4" w14:textId="77777777" w:rsidTr="00372278">
        <w:tc>
          <w:tcPr>
            <w:tcW w:w="4382" w:type="dxa"/>
            <w:shd w:val="clear" w:color="auto" w:fill="FF6700" w:themeFill="accent3"/>
          </w:tcPr>
          <w:p w14:paraId="64198EC1" w14:textId="795F3B14" w:rsidR="000A4B0F" w:rsidRDefault="000A4B0F" w:rsidP="000A4B0F">
            <w:pPr>
              <w:jc w:val="both"/>
            </w:pPr>
            <w:r>
              <w:t xml:space="preserve">Cotisation </w:t>
            </w:r>
            <w:proofErr w:type="gramStart"/>
            <w:r>
              <w:t>employé</w:t>
            </w:r>
            <w:proofErr w:type="gramEnd"/>
            <w:r>
              <w:t xml:space="preserve"> 2 630,25 $</w:t>
            </w:r>
          </w:p>
        </w:tc>
        <w:tc>
          <w:tcPr>
            <w:tcW w:w="4382" w:type="dxa"/>
            <w:shd w:val="clear" w:color="auto" w:fill="94C600" w:themeFill="accent1"/>
          </w:tcPr>
          <w:p w14:paraId="43865F40" w14:textId="3B20747B" w:rsidR="000A4B0F" w:rsidRDefault="000A4B0F" w:rsidP="000A4B0F">
            <w:pPr>
              <w:jc w:val="both"/>
            </w:pPr>
            <w:r>
              <w:t>+ cotisation employeur 2 630,25 $</w:t>
            </w:r>
          </w:p>
        </w:tc>
        <w:tc>
          <w:tcPr>
            <w:tcW w:w="4382" w:type="dxa"/>
            <w:shd w:val="clear" w:color="auto" w:fill="357F73"/>
          </w:tcPr>
          <w:p w14:paraId="1500EBA0" w14:textId="110B55E1" w:rsidR="000A4B0F" w:rsidRPr="005E63CC" w:rsidRDefault="000A4B0F" w:rsidP="000A4B0F">
            <w:pPr>
              <w:jc w:val="both"/>
              <w:rPr>
                <w:color w:val="FFFFFF" w:themeColor="background1"/>
              </w:rPr>
            </w:pPr>
            <w:r w:rsidRPr="005E63CC">
              <w:rPr>
                <w:color w:val="FFFFFF" w:themeColor="background1"/>
              </w:rPr>
              <w:t xml:space="preserve">= </w:t>
            </w:r>
            <w:r>
              <w:rPr>
                <w:color w:val="FFFFFF" w:themeColor="background1"/>
              </w:rPr>
              <w:t>5 260</w:t>
            </w:r>
            <w:r w:rsidRPr="005E63CC">
              <w:rPr>
                <w:color w:val="FFFFFF" w:themeColor="background1"/>
              </w:rPr>
              <w:t>,50 $</w:t>
            </w:r>
          </w:p>
        </w:tc>
      </w:tr>
    </w:tbl>
    <w:p w14:paraId="6ADD7049" w14:textId="77777777" w:rsidR="000A4B0F" w:rsidRDefault="000A4B0F" w:rsidP="000A4B0F">
      <w:pPr>
        <w:jc w:val="both"/>
      </w:pPr>
    </w:p>
    <w:p w14:paraId="7A3E07EC" w14:textId="77777777" w:rsidR="000A4B0F" w:rsidRDefault="000A4B0F" w:rsidP="000A4B0F">
      <w:pPr>
        <w:jc w:val="both"/>
      </w:pPr>
    </w:p>
    <w:p w14:paraId="5ADBA7F6" w14:textId="2F1BBA68" w:rsidR="00DA476F" w:rsidRDefault="00FF1D61" w:rsidP="000A4B0F">
      <w:pPr>
        <w:jc w:val="both"/>
      </w:pPr>
      <w:r>
        <w:t xml:space="preserve">Le prélèvement des cotisations du RRQ, pour les employés, s'effectue à même la paie. L'employeur y joint par la suite sa contribution pour remettre l'ensemble des déductions à la source au ministère du </w:t>
      </w:r>
      <w:r w:rsidR="00792D77">
        <w:t>Revenu</w:t>
      </w:r>
      <w:r>
        <w:t xml:space="preserve">. Dans le cas du travailleur autonome, le calcul du montant global des cotisations au RRQ s'effectue annuellement à même la préparation de sa déclaration fiscale. Le paiement est alors </w:t>
      </w:r>
      <w:r w:rsidR="00B54BCF">
        <w:t>exigible</w:t>
      </w:r>
      <w:r>
        <w:t xml:space="preserve"> au 30 avril</w:t>
      </w:r>
      <w:r w:rsidR="00B54BCF">
        <w:t xml:space="preserve"> (la déclaration est requise pour le 15 juin)</w:t>
      </w:r>
      <w:r>
        <w:t xml:space="preserve"> de l'année subséquente.</w:t>
      </w:r>
      <w:r w:rsidR="00311AD5">
        <w:t xml:space="preserve"> Il faut noter que la part de cotisations du RRQ est incluse dans la formule de calcul des acomptes provisionnels à verser trimestriellement. </w:t>
      </w:r>
    </w:p>
    <w:p w14:paraId="6EDEACF0" w14:textId="77777777" w:rsidR="00DA476F" w:rsidRDefault="00DA476F"/>
    <w:p w14:paraId="28A73AFF" w14:textId="1E76961E" w:rsidR="005E5B95" w:rsidRPr="000F289D" w:rsidRDefault="007B6ADA" w:rsidP="006C34CF">
      <w:pPr>
        <w:pStyle w:val="Paragraphedeliste"/>
        <w:numPr>
          <w:ilvl w:val="0"/>
          <w:numId w:val="10"/>
        </w:numPr>
        <w:ind w:left="1134" w:hanging="425"/>
        <w:rPr>
          <w:color w:val="FF6700" w:themeColor="accent3"/>
        </w:rPr>
      </w:pPr>
      <w:r w:rsidRPr="000F289D">
        <w:rPr>
          <w:color w:val="FF6700" w:themeColor="accent3"/>
        </w:rPr>
        <w:t>P</w:t>
      </w:r>
      <w:r w:rsidR="005E5B95" w:rsidRPr="000F289D">
        <w:rPr>
          <w:color w:val="FF6700" w:themeColor="accent3"/>
        </w:rPr>
        <w:t>restation</w:t>
      </w:r>
      <w:r w:rsidRPr="000F289D">
        <w:rPr>
          <w:color w:val="FF6700" w:themeColor="accent3"/>
        </w:rPr>
        <w:t>s</w:t>
      </w:r>
    </w:p>
    <w:p w14:paraId="6ACFD44A" w14:textId="77777777" w:rsidR="001E6880" w:rsidRDefault="001E6880" w:rsidP="001E6880">
      <w:pPr>
        <w:ind w:left="709"/>
      </w:pPr>
    </w:p>
    <w:p w14:paraId="489A16B7" w14:textId="2297BC72" w:rsidR="005E5B95" w:rsidRDefault="00DA476F" w:rsidP="00DA476F">
      <w:pPr>
        <w:jc w:val="both"/>
      </w:pPr>
      <w:r>
        <w:t>Le régime de rentes du Québec constitue un programme d'épargne public, obligatoire, dont les prestations sont déterminées</w:t>
      </w:r>
      <w:r w:rsidR="00042D55">
        <w:t>, viagères</w:t>
      </w:r>
      <w:r w:rsidR="000238D3">
        <w:t xml:space="preserve"> et indexées </w:t>
      </w:r>
      <w:r w:rsidR="00B54BCF">
        <w:t xml:space="preserve">à </w:t>
      </w:r>
      <w:r w:rsidR="00792D77">
        <w:t>chaque</w:t>
      </w:r>
      <w:r w:rsidR="000238D3">
        <w:t xml:space="preserve"> année</w:t>
      </w:r>
      <w:r>
        <w:t>. C'est donc dire qu'il s'agit d'un véritable actif de retraite acquis au travailleur qui en a fait l'épargne</w:t>
      </w:r>
      <w:r w:rsidR="00A54C50">
        <w:t xml:space="preserve"> </w:t>
      </w:r>
      <w:r w:rsidR="00A54C50" w:rsidRPr="00A54C50">
        <w:rPr>
          <w:color w:val="FF6700" w:themeColor="accent3"/>
        </w:rPr>
        <w:t>"FORCÉE"</w:t>
      </w:r>
      <w:r w:rsidR="00A54C50">
        <w:t xml:space="preserve"> tout au long de sa vie active. Bien que le régime, tel que son parcours historique l'a démontré, puisse faire l'objet de modelage et de modifications pour en assurer sa pérennité, les sommes investies et les efforts consentis par le travailleur épargnant déterminent la valeur des prestations de retraite qui lui seront versées. Contrairement à la PSV qui ne fait pas l'objet d'un financement dédié, le RRQ </w:t>
      </w:r>
      <w:r w:rsidR="00730355">
        <w:t xml:space="preserve">fait l'objet d'un suivi personnalisé pour chaque Québécois. C'est donc dire </w:t>
      </w:r>
      <w:r w:rsidR="00792D77">
        <w:t>que chaque</w:t>
      </w:r>
      <w:r w:rsidR="00730355">
        <w:t xml:space="preserve"> année, les travailleurs québécois peuvent consulter leur relevé de participation</w:t>
      </w:r>
      <w:r w:rsidR="00E0406B">
        <w:rPr>
          <w:rStyle w:val="Marquenotebasdepage"/>
        </w:rPr>
        <w:footnoteReference w:customMarkFollows="1" w:id="23"/>
        <w:t>20</w:t>
      </w:r>
      <w:r w:rsidR="00730355">
        <w:t xml:space="preserve"> pour connaître l'estimation actuarielle de la valeur de leur rente acquise et projetée.</w:t>
      </w:r>
    </w:p>
    <w:p w14:paraId="42100714" w14:textId="77777777" w:rsidR="001E6880" w:rsidRDefault="001E6880" w:rsidP="001E6880">
      <w:pPr>
        <w:ind w:left="360" w:hanging="360"/>
      </w:pPr>
    </w:p>
    <w:p w14:paraId="7BEC6F31" w14:textId="347ADCFB" w:rsidR="001E6880" w:rsidRDefault="00F4569D" w:rsidP="00F4569D">
      <w:pPr>
        <w:jc w:val="both"/>
      </w:pPr>
      <w:r>
        <w:t>Puisqu'il s'agit d'un régime à prestation déterminée, les règles de calcul de la prestation de retraite sont connues d'avance. Le calcul vise l'adéquation des cotisations prélevées aux prestations qui seront versées.</w:t>
      </w:r>
    </w:p>
    <w:p w14:paraId="6C026F75" w14:textId="61A78E3B" w:rsidR="00F4569D" w:rsidRDefault="00F4569D" w:rsidP="00F4569D">
      <w:pPr>
        <w:jc w:val="both"/>
      </w:pPr>
    </w:p>
    <w:p w14:paraId="0C44E644" w14:textId="78BFD6C9" w:rsidR="009F6902" w:rsidRPr="009F6902" w:rsidRDefault="009F6902" w:rsidP="00F4569D">
      <w:pPr>
        <w:jc w:val="both"/>
        <w:rPr>
          <w:u w:val="single"/>
        </w:rPr>
      </w:pPr>
      <w:r w:rsidRPr="009F6902">
        <w:rPr>
          <w:u w:val="single"/>
        </w:rPr>
        <w:t>LE CALCUL DE LA</w:t>
      </w:r>
      <w:r w:rsidR="00591E88">
        <w:rPr>
          <w:u w:val="single"/>
        </w:rPr>
        <w:t xml:space="preserve"> RENTE DE RETRAITE DU</w:t>
      </w:r>
      <w:r w:rsidRPr="009F6902">
        <w:rPr>
          <w:u w:val="single"/>
        </w:rPr>
        <w:t xml:space="preserve"> RRQ</w:t>
      </w:r>
      <w:r w:rsidR="002D52C6">
        <w:rPr>
          <w:u w:val="single"/>
        </w:rPr>
        <w:t xml:space="preserve"> À 65 ANS</w:t>
      </w:r>
    </w:p>
    <w:p w14:paraId="4A4286A2" w14:textId="164A4239" w:rsidR="009F6902" w:rsidRDefault="009F6902" w:rsidP="00F4569D">
      <w:pPr>
        <w:jc w:val="both"/>
      </w:pPr>
    </w:p>
    <w:p w14:paraId="6860580A" w14:textId="3F02B912" w:rsidR="00372278" w:rsidRDefault="00406AF1" w:rsidP="00372278">
      <w:pPr>
        <w:jc w:val="both"/>
      </w:pPr>
      <w:r w:rsidRPr="00372278">
        <w:rPr>
          <w:noProof/>
          <w:lang w:eastAsia="fr-FR"/>
        </w:rPr>
        <mc:AlternateContent>
          <mc:Choice Requires="wps">
            <w:drawing>
              <wp:anchor distT="0" distB="0" distL="114300" distR="114300" simplePos="0" relativeHeight="251976704" behindDoc="0" locked="0" layoutInCell="1" allowOverlap="1" wp14:anchorId="245B6EBC" wp14:editId="3F924B4F">
                <wp:simplePos x="0" y="0"/>
                <wp:positionH relativeFrom="column">
                  <wp:posOffset>2971800</wp:posOffset>
                </wp:positionH>
                <wp:positionV relativeFrom="paragraph">
                  <wp:posOffset>24130</wp:posOffset>
                </wp:positionV>
                <wp:extent cx="1943100" cy="1943100"/>
                <wp:effectExtent l="0" t="0" r="38100" b="38100"/>
                <wp:wrapThrough wrapText="bothSides">
                  <wp:wrapPolygon edited="0">
                    <wp:start x="1694" y="0"/>
                    <wp:lineTo x="0" y="1694"/>
                    <wp:lineTo x="0" y="20047"/>
                    <wp:lineTo x="1694" y="21741"/>
                    <wp:lineTo x="20047" y="21741"/>
                    <wp:lineTo x="21741" y="20047"/>
                    <wp:lineTo x="21741" y="1694"/>
                    <wp:lineTo x="20047" y="0"/>
                    <wp:lineTo x="1694" y="0"/>
                  </wp:wrapPolygon>
                </wp:wrapThrough>
                <wp:docPr id="122" name="Rectangle à coins arrondis 122"/>
                <wp:cNvGraphicFramePr/>
                <a:graphic xmlns:a="http://schemas.openxmlformats.org/drawingml/2006/main">
                  <a:graphicData uri="http://schemas.microsoft.com/office/word/2010/wordprocessingShape">
                    <wps:wsp>
                      <wps:cNvSpPr/>
                      <wps:spPr>
                        <a:xfrm>
                          <a:off x="0" y="0"/>
                          <a:ext cx="1943100" cy="1943100"/>
                        </a:xfrm>
                        <a:prstGeom prst="roundRect">
                          <a:avLst/>
                        </a:prstGeom>
                        <a:ln/>
                      </wps:spPr>
                      <wps:style>
                        <a:lnRef idx="2">
                          <a:schemeClr val="accent3">
                            <a:shade val="50000"/>
                          </a:schemeClr>
                        </a:lnRef>
                        <a:fillRef idx="1">
                          <a:schemeClr val="accent3"/>
                        </a:fillRef>
                        <a:effectRef idx="0">
                          <a:schemeClr val="accent3"/>
                        </a:effectRef>
                        <a:fontRef idx="minor">
                          <a:schemeClr val="lt1"/>
                        </a:fontRef>
                      </wps:style>
                      <wps:txbx>
                        <w:txbxContent>
                          <w:p w14:paraId="093567F4" w14:textId="07EB96FC" w:rsidR="00573C95" w:rsidRPr="00591E88" w:rsidRDefault="00573C95" w:rsidP="00372278">
                            <w:pPr>
                              <w:rPr>
                                <w:color w:val="000000" w:themeColor="text1"/>
                                <w:sz w:val="22"/>
                                <w:szCs w:val="22"/>
                              </w:rPr>
                            </w:pPr>
                            <w:r w:rsidRPr="00591E88">
                              <w:rPr>
                                <w:color w:val="000000" w:themeColor="text1"/>
                                <w:sz w:val="22"/>
                                <w:szCs w:val="22"/>
                              </w:rPr>
                              <w:t xml:space="preserve">Dans le calcul du revenu admissible moyen, il est prévu d'exclure les années (15 %) ayant </w:t>
                            </w:r>
                            <w:r>
                              <w:rPr>
                                <w:color w:val="000000" w:themeColor="text1"/>
                                <w:sz w:val="22"/>
                                <w:szCs w:val="22"/>
                              </w:rPr>
                              <w:t>généré</w:t>
                            </w:r>
                            <w:r w:rsidRPr="00591E88">
                              <w:rPr>
                                <w:color w:val="000000" w:themeColor="text1"/>
                                <w:sz w:val="22"/>
                                <w:szCs w:val="22"/>
                              </w:rPr>
                              <w:t xml:space="preserve"> les plus faibles revenus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22" o:spid="_x0000_s1061" style="position:absolute;left:0;text-align:left;margin-left:234pt;margin-top:1.9pt;width:153pt;height:153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" fillcolor="#ff6700 [3206]" strokecolor="#7f3300 [1606]" strokeweight="1.25pt">
                <v:textbox>
                  <w:txbxContent>
                    <w:p w14:paraId="093567F4" w14:textId="07EB96FC" w:rsidR="001501D6" w:rsidRPr="00591E88" w:rsidRDefault="001501D6" w:rsidP="00372278">
                      <w:pPr>
                        <w:rPr>
                          <w:color w:val="000000" w:themeColor="text1"/>
                          <w:sz w:val="22"/>
                          <w:szCs w:val="22"/>
                        </w:rPr>
                      </w:pPr>
                      <w:r w:rsidRPr="00591E88">
                        <w:rPr>
                          <w:color w:val="000000" w:themeColor="text1"/>
                          <w:sz w:val="22"/>
                          <w:szCs w:val="22"/>
                        </w:rPr>
                        <w:t xml:space="preserve">Dans le calcul du revenu admissible moyen, il est prévu d'exclure les années (15 %) ayant </w:t>
                      </w:r>
                      <w:r>
                        <w:rPr>
                          <w:color w:val="000000" w:themeColor="text1"/>
                          <w:sz w:val="22"/>
                          <w:szCs w:val="22"/>
                        </w:rPr>
                        <w:t>généré</w:t>
                      </w:r>
                      <w:r w:rsidRPr="00591E88">
                        <w:rPr>
                          <w:color w:val="000000" w:themeColor="text1"/>
                          <w:sz w:val="22"/>
                          <w:szCs w:val="22"/>
                        </w:rPr>
                        <w:t xml:space="preserve"> les plus faibles revenus </w:t>
                      </w:r>
                    </w:p>
                  </w:txbxContent>
                </v:textbox>
                <w10:wrap type="through"/>
              </v:roundrect>
            </w:pict>
          </mc:Fallback>
        </mc:AlternateContent>
      </w:r>
      <w:r w:rsidRPr="00372278">
        <w:rPr>
          <w:noProof/>
          <w:lang w:eastAsia="fr-FR"/>
        </w:rPr>
        <mc:AlternateContent>
          <mc:Choice Requires="wps">
            <w:drawing>
              <wp:anchor distT="0" distB="0" distL="114300" distR="114300" simplePos="0" relativeHeight="251977728" behindDoc="0" locked="0" layoutInCell="1" allowOverlap="1" wp14:anchorId="2D050616" wp14:editId="1A4B0706">
                <wp:simplePos x="0" y="0"/>
                <wp:positionH relativeFrom="column">
                  <wp:posOffset>4914900</wp:posOffset>
                </wp:positionH>
                <wp:positionV relativeFrom="paragraph">
                  <wp:posOffset>24130</wp:posOffset>
                </wp:positionV>
                <wp:extent cx="1943100" cy="1943100"/>
                <wp:effectExtent l="0" t="0" r="38100" b="38100"/>
                <wp:wrapThrough wrapText="bothSides">
                  <wp:wrapPolygon edited="0">
                    <wp:start x="1694" y="0"/>
                    <wp:lineTo x="0" y="1694"/>
                    <wp:lineTo x="0" y="20047"/>
                    <wp:lineTo x="1694" y="21741"/>
                    <wp:lineTo x="20047" y="21741"/>
                    <wp:lineTo x="21741" y="20047"/>
                    <wp:lineTo x="21741" y="1694"/>
                    <wp:lineTo x="20047" y="0"/>
                    <wp:lineTo x="1694" y="0"/>
                  </wp:wrapPolygon>
                </wp:wrapThrough>
                <wp:docPr id="123" name="Rectangle à coins arrondis 123"/>
                <wp:cNvGraphicFramePr/>
                <a:graphic xmlns:a="http://schemas.openxmlformats.org/drawingml/2006/main">
                  <a:graphicData uri="http://schemas.microsoft.com/office/word/2010/wordprocessingShape">
                    <wps:wsp>
                      <wps:cNvSpPr/>
                      <wps:spPr>
                        <a:xfrm>
                          <a:off x="0" y="0"/>
                          <a:ext cx="1943100" cy="194310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13932D99" w14:textId="40B11C7A" w:rsidR="00573C95" w:rsidRPr="00D13C7A" w:rsidRDefault="00573C95" w:rsidP="00D13C7A">
                            <w:pPr>
                              <w:rPr>
                                <w:color w:val="000000" w:themeColor="text1"/>
                                <w:sz w:val="22"/>
                                <w:szCs w:val="22"/>
                              </w:rPr>
                            </w:pPr>
                            <w:r w:rsidRPr="00D13C7A">
                              <w:rPr>
                                <w:color w:val="000000" w:themeColor="text1"/>
                                <w:sz w:val="22"/>
                                <w:szCs w:val="22"/>
                              </w:rPr>
                              <w:t xml:space="preserve">Dans le calcul du revenu admissible moyen, la période cotisable correspond au nombre d'années compris entre l'âge de 18 ans et le moment du versement de la première rente </w:t>
                            </w:r>
                          </w:p>
                          <w:p w14:paraId="1D582126" w14:textId="77777777" w:rsidR="00573C95" w:rsidRDefault="00573C95" w:rsidP="00372278"/>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23" o:spid="_x0000_s1062" style="position:absolute;left:0;text-align:left;margin-left:387pt;margin-top:1.9pt;width:153pt;height:153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" fillcolor="#94c600 [3204]" strokecolor="#496200 [1604]" strokeweight="1.25pt">
                <v:textbox>
                  <w:txbxContent>
                    <w:p w14:paraId="13932D99" w14:textId="40B11C7A" w:rsidR="001501D6" w:rsidRPr="00D13C7A" w:rsidRDefault="001501D6" w:rsidP="00D13C7A">
                      <w:pPr>
                        <w:rPr>
                          <w:color w:val="000000" w:themeColor="text1"/>
                          <w:sz w:val="22"/>
                          <w:szCs w:val="22"/>
                        </w:rPr>
                      </w:pPr>
                      <w:r w:rsidRPr="00D13C7A">
                        <w:rPr>
                          <w:color w:val="000000" w:themeColor="text1"/>
                          <w:sz w:val="22"/>
                          <w:szCs w:val="22"/>
                        </w:rPr>
                        <w:t xml:space="preserve">Dans le calcul du revenu admissible moyen, la période cotisable correspond au nombre d'années compris entre l'âge de 18 ans et le moment du versement de la première rente </w:t>
                      </w:r>
                    </w:p>
                    <w:p w14:paraId="1D582126" w14:textId="77777777" w:rsidR="001501D6" w:rsidRDefault="001501D6" w:rsidP="00372278"/>
                  </w:txbxContent>
                </v:textbox>
                <w10:wrap type="through"/>
              </v:roundrect>
            </w:pict>
          </mc:Fallback>
        </mc:AlternateContent>
      </w:r>
      <w:r w:rsidRPr="00372278">
        <w:rPr>
          <w:noProof/>
          <w:lang w:eastAsia="fr-FR"/>
        </w:rPr>
        <mc:AlternateContent>
          <mc:Choice Requires="wps">
            <w:drawing>
              <wp:anchor distT="0" distB="0" distL="114300" distR="114300" simplePos="0" relativeHeight="251978752" behindDoc="0" locked="0" layoutInCell="1" allowOverlap="1" wp14:anchorId="5E2A0113" wp14:editId="7CAC6BC2">
                <wp:simplePos x="0" y="0"/>
                <wp:positionH relativeFrom="column">
                  <wp:posOffset>6858000</wp:posOffset>
                </wp:positionH>
                <wp:positionV relativeFrom="paragraph">
                  <wp:posOffset>24130</wp:posOffset>
                </wp:positionV>
                <wp:extent cx="1912620" cy="1912620"/>
                <wp:effectExtent l="0" t="0" r="17780" b="17780"/>
                <wp:wrapThrough wrapText="bothSides">
                  <wp:wrapPolygon edited="0">
                    <wp:start x="1721" y="0"/>
                    <wp:lineTo x="0" y="1147"/>
                    <wp:lineTo x="0" y="20367"/>
                    <wp:lineTo x="1721" y="21514"/>
                    <wp:lineTo x="19793" y="21514"/>
                    <wp:lineTo x="21514" y="20367"/>
                    <wp:lineTo x="21514" y="1147"/>
                    <wp:lineTo x="19793" y="0"/>
                    <wp:lineTo x="1721" y="0"/>
                  </wp:wrapPolygon>
                </wp:wrapThrough>
                <wp:docPr id="124" name="Rectangle à coins arrondis 124"/>
                <wp:cNvGraphicFramePr/>
                <a:graphic xmlns:a="http://schemas.openxmlformats.org/drawingml/2006/main">
                  <a:graphicData uri="http://schemas.microsoft.com/office/word/2010/wordprocessingShape">
                    <wps:wsp>
                      <wps:cNvSpPr/>
                      <wps:spPr>
                        <a:xfrm>
                          <a:off x="0" y="0"/>
                          <a:ext cx="1912620" cy="1912620"/>
                        </a:xfrm>
                        <a:prstGeom prst="roundRect">
                          <a:avLst/>
                        </a:prstGeom>
                        <a:ln/>
                      </wps:spPr>
                      <wps:style>
                        <a:lnRef idx="2">
                          <a:schemeClr val="dk1">
                            <a:shade val="50000"/>
                          </a:schemeClr>
                        </a:lnRef>
                        <a:fillRef idx="1">
                          <a:schemeClr val="dk1"/>
                        </a:fillRef>
                        <a:effectRef idx="0">
                          <a:schemeClr val="dk1"/>
                        </a:effectRef>
                        <a:fontRef idx="minor">
                          <a:schemeClr val="lt1"/>
                        </a:fontRef>
                      </wps:style>
                      <wps:txbx>
                        <w:txbxContent>
                          <w:p w14:paraId="72A50E0F" w14:textId="134A1750" w:rsidR="00573C95" w:rsidRPr="008F2801" w:rsidRDefault="00573C95">
                            <w:pPr>
                              <w:rPr>
                                <w:sz w:val="22"/>
                                <w:szCs w:val="22"/>
                              </w:rPr>
                            </w:pPr>
                            <w:r w:rsidRPr="008F2801">
                              <w:rPr>
                                <w:sz w:val="22"/>
                                <w:szCs w:val="22"/>
                              </w:rPr>
                              <w:t xml:space="preserve">Dans le calcul du revenu admissible moyen, il faut indexer les montants en fonction </w:t>
                            </w:r>
                            <w:r>
                              <w:rPr>
                                <w:sz w:val="22"/>
                                <w:szCs w:val="22"/>
                              </w:rPr>
                              <w:t>des MGA</w:t>
                            </w:r>
                            <w:r w:rsidRPr="008F2801">
                              <w:rPr>
                                <w:sz w:val="22"/>
                                <w:szCs w:val="22"/>
                              </w:rPr>
                              <w:t xml:space="preserve">  </w:t>
                            </w:r>
                          </w:p>
                          <w:p w14:paraId="49E779BF" w14:textId="411945B1" w:rsidR="00573C95" w:rsidRPr="008F2801" w:rsidRDefault="00573C95">
                            <w:pPr>
                              <w:rPr>
                                <w:sz w:val="22"/>
                                <w:szCs w:val="22"/>
                              </w:rPr>
                            </w:pPr>
                            <w:r w:rsidRPr="008F2801">
                              <w:rPr>
                                <w:sz w:val="22"/>
                                <w:szCs w:val="22"/>
                              </w:rPr>
                              <w:t>(53 600 $ en 2015)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24" o:spid="_x0000_s1063" style="position:absolute;left:0;text-align:left;margin-left:540pt;margin-top:1.9pt;width:150.6pt;height:150.6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" fillcolor="black [3200]" strokecolor="black [1600]" strokeweight="1.25pt">
                <v:textbox>
                  <w:txbxContent>
                    <w:p w14:paraId="72A50E0F" w14:textId="134A1750" w:rsidR="001501D6" w:rsidRPr="008F2801" w:rsidRDefault="001501D6">
                      <w:pPr>
                        <w:rPr>
                          <w:sz w:val="22"/>
                          <w:szCs w:val="22"/>
                        </w:rPr>
                      </w:pPr>
                      <w:r w:rsidRPr="008F2801">
                        <w:rPr>
                          <w:sz w:val="22"/>
                          <w:szCs w:val="22"/>
                        </w:rPr>
                        <w:t xml:space="preserve">Dans le calcul du revenu admissible moyen, il faut indexer les montants en fonction </w:t>
                      </w:r>
                      <w:r>
                        <w:rPr>
                          <w:sz w:val="22"/>
                          <w:szCs w:val="22"/>
                        </w:rPr>
                        <w:t>des MGA</w:t>
                      </w:r>
                      <w:r w:rsidRPr="008F2801">
                        <w:rPr>
                          <w:sz w:val="22"/>
                          <w:szCs w:val="22"/>
                        </w:rPr>
                        <w:t xml:space="preserve">  </w:t>
                      </w:r>
                    </w:p>
                    <w:p w14:paraId="49E779BF" w14:textId="411945B1" w:rsidR="001501D6" w:rsidRPr="008F2801" w:rsidRDefault="001501D6">
                      <w:pPr>
                        <w:rPr>
                          <w:sz w:val="22"/>
                          <w:szCs w:val="22"/>
                        </w:rPr>
                      </w:pPr>
                      <w:r w:rsidRPr="008F2801">
                        <w:rPr>
                          <w:sz w:val="22"/>
                          <w:szCs w:val="22"/>
                        </w:rPr>
                        <w:t>(53 600 $ en 2015)</w:t>
                      </w:r>
                    </w:p>
                  </w:txbxContent>
                </v:textbox>
                <w10:wrap type="through"/>
              </v:roundrect>
            </w:pict>
          </mc:Fallback>
        </mc:AlternateContent>
      </w:r>
      <w:r w:rsidR="00591E88" w:rsidRPr="00372278">
        <w:rPr>
          <w:noProof/>
          <w:lang w:eastAsia="fr-FR"/>
        </w:rPr>
        <mc:AlternateContent>
          <mc:Choice Requires="wps">
            <w:drawing>
              <wp:anchor distT="0" distB="0" distL="114300" distR="114300" simplePos="0" relativeHeight="251975680" behindDoc="0" locked="0" layoutInCell="1" allowOverlap="1" wp14:anchorId="096BC5F0" wp14:editId="71D93D29">
                <wp:simplePos x="0" y="0"/>
                <wp:positionH relativeFrom="column">
                  <wp:posOffset>0</wp:posOffset>
                </wp:positionH>
                <wp:positionV relativeFrom="paragraph">
                  <wp:posOffset>24130</wp:posOffset>
                </wp:positionV>
                <wp:extent cx="1943100" cy="1913890"/>
                <wp:effectExtent l="0" t="0" r="38100" b="16510"/>
                <wp:wrapThrough wrapText="bothSides">
                  <wp:wrapPolygon edited="0">
                    <wp:start x="1694" y="0"/>
                    <wp:lineTo x="0" y="1147"/>
                    <wp:lineTo x="0" y="20353"/>
                    <wp:lineTo x="1694" y="21500"/>
                    <wp:lineTo x="20047" y="21500"/>
                    <wp:lineTo x="21741" y="20353"/>
                    <wp:lineTo x="21741" y="1147"/>
                    <wp:lineTo x="20047" y="0"/>
                    <wp:lineTo x="1694" y="0"/>
                  </wp:wrapPolygon>
                </wp:wrapThrough>
                <wp:docPr id="121" name="Rectangle à coins arrondis 121"/>
                <wp:cNvGraphicFramePr/>
                <a:graphic xmlns:a="http://schemas.openxmlformats.org/drawingml/2006/main">
                  <a:graphicData uri="http://schemas.microsoft.com/office/word/2010/wordprocessingShape">
                    <wps:wsp>
                      <wps:cNvSpPr/>
                      <wps:spPr>
                        <a:xfrm>
                          <a:off x="0" y="0"/>
                          <a:ext cx="1943100" cy="1913890"/>
                        </a:xfrm>
                        <a:prstGeom prst="round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78E8205D" w14:textId="09D9B6B2" w:rsidR="00573C95" w:rsidRPr="00591E88" w:rsidRDefault="00573C95" w:rsidP="00372278">
                            <w:pPr>
                              <w:rPr>
                                <w:color w:val="000000" w:themeColor="text1"/>
                                <w:sz w:val="22"/>
                                <w:szCs w:val="22"/>
                              </w:rPr>
                            </w:pPr>
                            <w:r w:rsidRPr="00591E88">
                              <w:rPr>
                                <w:color w:val="000000" w:themeColor="text1"/>
                                <w:sz w:val="22"/>
                                <w:szCs w:val="22"/>
                              </w:rPr>
                              <w:t>Détermine</w:t>
                            </w:r>
                            <w:r>
                              <w:rPr>
                                <w:color w:val="000000" w:themeColor="text1"/>
                                <w:sz w:val="22"/>
                                <w:szCs w:val="22"/>
                              </w:rPr>
                              <w:t>z</w:t>
                            </w:r>
                            <w:r w:rsidRPr="00591E88">
                              <w:rPr>
                                <w:color w:val="000000" w:themeColor="text1"/>
                                <w:sz w:val="22"/>
                                <w:szCs w:val="22"/>
                              </w:rPr>
                              <w:t xml:space="preserve"> le revenu admissible moyen </w:t>
                            </w:r>
                            <w:r>
                              <w:rPr>
                                <w:color w:val="000000" w:themeColor="text1"/>
                                <w:sz w:val="22"/>
                                <w:szCs w:val="22"/>
                              </w:rPr>
                              <w:t xml:space="preserve">pour lequel il y a eu cotisation </w:t>
                            </w:r>
                            <w:r w:rsidRPr="00591E88">
                              <w:rPr>
                                <w:color w:val="000000" w:themeColor="text1"/>
                                <w:sz w:val="22"/>
                                <w:szCs w:val="22"/>
                              </w:rPr>
                              <w:t>durant la période cotisable</w:t>
                            </w:r>
                            <w:r>
                              <w:rPr>
                                <w:color w:val="000000" w:themeColor="text1"/>
                                <w:sz w:val="22"/>
                                <w:szCs w:val="22"/>
                              </w:rPr>
                              <w:t xml:space="preserve"> et le multiplier par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21" o:spid="_x0000_s1064" style="position:absolute;left:0;text-align:left;margin-left:0;margin-top:1.9pt;width:153pt;height:150.7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" fillcolor="#909465 [3207]" strokecolor="#474932 [1607]" strokeweight="1.25pt">
                <v:textbox>
                  <w:txbxContent>
                    <w:p w14:paraId="78E8205D" w14:textId="09D9B6B2" w:rsidR="001501D6" w:rsidRPr="00591E88" w:rsidRDefault="001501D6" w:rsidP="00372278">
                      <w:pPr>
                        <w:rPr>
                          <w:color w:val="000000" w:themeColor="text1"/>
                          <w:sz w:val="22"/>
                          <w:szCs w:val="22"/>
                        </w:rPr>
                      </w:pPr>
                      <w:r w:rsidRPr="00591E88">
                        <w:rPr>
                          <w:color w:val="000000" w:themeColor="text1"/>
                          <w:sz w:val="22"/>
                          <w:szCs w:val="22"/>
                        </w:rPr>
                        <w:t>Détermine</w:t>
                      </w:r>
                      <w:r>
                        <w:rPr>
                          <w:color w:val="000000" w:themeColor="text1"/>
                          <w:sz w:val="22"/>
                          <w:szCs w:val="22"/>
                        </w:rPr>
                        <w:t>z</w:t>
                      </w:r>
                      <w:r w:rsidRPr="00591E88">
                        <w:rPr>
                          <w:color w:val="000000" w:themeColor="text1"/>
                          <w:sz w:val="22"/>
                          <w:szCs w:val="22"/>
                        </w:rPr>
                        <w:t xml:space="preserve"> le revenu admissible moyen </w:t>
                      </w:r>
                      <w:r>
                        <w:rPr>
                          <w:color w:val="000000" w:themeColor="text1"/>
                          <w:sz w:val="22"/>
                          <w:szCs w:val="22"/>
                        </w:rPr>
                        <w:t xml:space="preserve">pour lequel il y a eu cotisation </w:t>
                      </w:r>
                      <w:r w:rsidRPr="00591E88">
                        <w:rPr>
                          <w:color w:val="000000" w:themeColor="text1"/>
                          <w:sz w:val="22"/>
                          <w:szCs w:val="22"/>
                        </w:rPr>
                        <w:t>durant la période cotisable</w:t>
                      </w:r>
                      <w:r>
                        <w:rPr>
                          <w:color w:val="000000" w:themeColor="text1"/>
                          <w:sz w:val="22"/>
                          <w:szCs w:val="22"/>
                        </w:rPr>
                        <w:t xml:space="preserve"> et le multiplier par</w:t>
                      </w:r>
                    </w:p>
                  </w:txbxContent>
                </v:textbox>
                <w10:wrap type="through"/>
              </v:roundrect>
            </w:pict>
          </mc:Fallback>
        </mc:AlternateContent>
      </w:r>
    </w:p>
    <w:p w14:paraId="33023C22" w14:textId="39D0F92F" w:rsidR="001E6880" w:rsidRDefault="001E6880" w:rsidP="00372278">
      <w:pPr>
        <w:jc w:val="both"/>
      </w:pPr>
    </w:p>
    <w:p w14:paraId="6EE328E1" w14:textId="4BF11C7C" w:rsidR="009F6902" w:rsidRDefault="00406AF1">
      <w:pPr>
        <w:rPr>
          <w:rFonts w:asciiTheme="majorHAnsi" w:eastAsiaTheme="majorEastAsia" w:hAnsiTheme="majorHAnsi" w:cstheme="majorBidi"/>
          <w:color w:val="496200" w:themeColor="accent1" w:themeShade="7F"/>
          <w:sz w:val="26"/>
        </w:rPr>
      </w:pPr>
      <w:r>
        <w:rPr>
          <w:noProof/>
          <w:lang w:eastAsia="fr-FR"/>
        </w:rPr>
        <mc:AlternateContent>
          <mc:Choice Requires="wps">
            <w:drawing>
              <wp:anchor distT="0" distB="0" distL="114300" distR="114300" simplePos="0" relativeHeight="251980800" behindDoc="0" locked="0" layoutInCell="1" allowOverlap="1" wp14:anchorId="13ABBF51" wp14:editId="74EECE2E">
                <wp:simplePos x="0" y="0"/>
                <wp:positionH relativeFrom="column">
                  <wp:posOffset>-812165</wp:posOffset>
                </wp:positionH>
                <wp:positionV relativeFrom="paragraph">
                  <wp:posOffset>793115</wp:posOffset>
                </wp:positionV>
                <wp:extent cx="914400" cy="914400"/>
                <wp:effectExtent l="0" t="0" r="25400" b="25400"/>
                <wp:wrapThrough wrapText="bothSides">
                  <wp:wrapPolygon edited="0">
                    <wp:start x="6000" y="0"/>
                    <wp:lineTo x="0" y="4200"/>
                    <wp:lineTo x="0" y="15600"/>
                    <wp:lineTo x="2400" y="19200"/>
                    <wp:lineTo x="5400" y="21600"/>
                    <wp:lineTo x="6000" y="21600"/>
                    <wp:lineTo x="15600" y="21600"/>
                    <wp:lineTo x="16200" y="21600"/>
                    <wp:lineTo x="19200" y="19200"/>
                    <wp:lineTo x="21600" y="15600"/>
                    <wp:lineTo x="21600" y="4200"/>
                    <wp:lineTo x="15600" y="0"/>
                    <wp:lineTo x="6000" y="0"/>
                  </wp:wrapPolygon>
                </wp:wrapThrough>
                <wp:docPr id="125" name="Ellipse 125"/>
                <wp:cNvGraphicFramePr/>
                <a:graphic xmlns:a="http://schemas.openxmlformats.org/drawingml/2006/main">
                  <a:graphicData uri="http://schemas.microsoft.com/office/word/2010/wordprocessingShape">
                    <wps:wsp>
                      <wps:cNvSpPr/>
                      <wps:spPr>
                        <a:xfrm>
                          <a:off x="0" y="0"/>
                          <a:ext cx="914400" cy="914400"/>
                        </a:xfrm>
                        <a:prstGeom prst="ellipse">
                          <a:avLst/>
                        </a:prstGeom>
                      </wps:spPr>
                      <wps:style>
                        <a:lnRef idx="3">
                          <a:schemeClr val="lt1"/>
                        </a:lnRef>
                        <a:fillRef idx="1">
                          <a:schemeClr val="dk1"/>
                        </a:fillRef>
                        <a:effectRef idx="1">
                          <a:schemeClr val="dk1"/>
                        </a:effectRef>
                        <a:fontRef idx="minor">
                          <a:schemeClr val="lt1"/>
                        </a:fontRef>
                      </wps:style>
                      <wps:txbx>
                        <w:txbxContent>
                          <w:p w14:paraId="16AA2E4F" w14:textId="79F5241D" w:rsidR="00573C95" w:rsidRDefault="00573C95" w:rsidP="00406AF1">
                            <w:pPr>
                              <w:jc w:val="center"/>
                            </w:pPr>
                            <w:r>
                              <w:t xml:space="preserve">25 %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25" o:spid="_x0000_s1065" style="position:absolute;margin-left:-63.9pt;margin-top:62.45pt;width:1in;height:1in;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" fillcolor="black [3200]" strokecolor="white [3201]" strokeweight="1.75pt">
                <v:textbox>
                  <w:txbxContent>
                    <w:p w14:paraId="16AA2E4F" w14:textId="79F5241D" w:rsidR="001501D6" w:rsidRDefault="001501D6" w:rsidP="00406AF1">
                      <w:pPr>
                        <w:jc w:val="center"/>
                      </w:pPr>
                      <w:r>
                        <w:t xml:space="preserve">25 % </w:t>
                      </w:r>
                    </w:p>
                  </w:txbxContent>
                </v:textbox>
                <w10:wrap type="through"/>
              </v:oval>
            </w:pict>
          </mc:Fallback>
        </mc:AlternateContent>
      </w:r>
      <w:r w:rsidR="009F6902">
        <w:br w:type="page"/>
      </w:r>
    </w:p>
    <w:p w14:paraId="0ECEBB50" w14:textId="729FD1AE" w:rsidR="00BA1AEA" w:rsidRPr="00BA1AEA" w:rsidRDefault="000238D3" w:rsidP="00BA1AEA">
      <w:pPr>
        <w:rPr>
          <w:u w:val="single"/>
        </w:rPr>
      </w:pPr>
      <w:r>
        <w:rPr>
          <w:noProof/>
          <w:lang w:eastAsia="fr-FR"/>
        </w:rPr>
        <w:lastRenderedPageBreak/>
        <mc:AlternateContent>
          <mc:Choice Requires="wps">
            <w:drawing>
              <wp:anchor distT="0" distB="0" distL="114300" distR="114300" simplePos="0" relativeHeight="251985920" behindDoc="0" locked="0" layoutInCell="1" allowOverlap="1" wp14:anchorId="58B13A44" wp14:editId="04A7FC42">
                <wp:simplePos x="0" y="0"/>
                <wp:positionH relativeFrom="column">
                  <wp:posOffset>5372100</wp:posOffset>
                </wp:positionH>
                <wp:positionV relativeFrom="paragraph">
                  <wp:posOffset>114300</wp:posOffset>
                </wp:positionV>
                <wp:extent cx="3543300" cy="1828800"/>
                <wp:effectExtent l="0" t="0" r="12700" b="0"/>
                <wp:wrapSquare wrapText="bothSides"/>
                <wp:docPr id="128" name="Zone de texte 128"/>
                <wp:cNvGraphicFramePr/>
                <a:graphic xmlns:a="http://schemas.openxmlformats.org/drawingml/2006/main">
                  <a:graphicData uri="http://schemas.microsoft.com/office/word/2010/wordprocessingShape">
                    <wps:wsp>
                      <wps:cNvSpPr txBox="1"/>
                      <wps:spPr>
                        <a:xfrm>
                          <a:off x="0" y="0"/>
                          <a:ext cx="3543300" cy="1828800"/>
                        </a:xfrm>
                        <a:prstGeom prst="rect">
                          <a:avLst/>
                        </a:prstGeom>
                        <a:solidFill>
                          <a:schemeClr val="accent4"/>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6FFDBC" w14:textId="4D30062C" w:rsidR="00573C95" w:rsidRDefault="00573C95">
                            <w:r>
                              <w:t xml:space="preserve"> Moyenne des MGA </w:t>
                            </w:r>
                            <w:r>
                              <w:tab/>
                            </w:r>
                            <w:r>
                              <w:tab/>
                              <w:t>51 120 $</w:t>
                            </w:r>
                            <w:r>
                              <w:tab/>
                            </w:r>
                          </w:p>
                          <w:p w14:paraId="0E81ED8C" w14:textId="164667BF" w:rsidR="00573C95" w:rsidRDefault="00573C95">
                            <w:r>
                              <w:t>(5 dernières années)</w:t>
                            </w:r>
                          </w:p>
                          <w:p w14:paraId="2B9AB4CD" w14:textId="77777777" w:rsidR="00573C95" w:rsidRDefault="00573C95"/>
                          <w:p w14:paraId="6916D544" w14:textId="77777777" w:rsidR="00573C95" w:rsidRDefault="00573C95"/>
                          <w:p w14:paraId="2C0085C5" w14:textId="77777777" w:rsidR="00573C95" w:rsidRDefault="00573C95"/>
                          <w:p w14:paraId="2B1897E8" w14:textId="301A9449" w:rsidR="00573C95" w:rsidRDefault="00573C95">
                            <w:r>
                              <w:t>Rente du RRQ maximum</w:t>
                            </w:r>
                          </w:p>
                          <w:p w14:paraId="698861BE" w14:textId="3F174FE5" w:rsidR="00573C95" w:rsidRDefault="00573C95">
                            <w:r>
                              <w:t>en 2015</w:t>
                            </w:r>
                            <w:r>
                              <w:tab/>
                            </w:r>
                            <w:r>
                              <w:tab/>
                            </w:r>
                            <w:r>
                              <w:tab/>
                            </w:r>
                            <w:r>
                              <w:tab/>
                              <w:t>12 780 $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8" o:spid="_x0000_s1066" type="#_x0000_t202" style="position:absolute;margin-left:423pt;margin-top:9pt;width:279pt;height:2in;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" fillcolor="#909465 [3207]" stroked="f">
                <v:textbox>
                  <w:txbxContent>
                    <w:p w14:paraId="1D6FFDBC" w14:textId="4D30062C" w:rsidR="001501D6" w:rsidRDefault="001501D6">
                      <w:r>
                        <w:t xml:space="preserve"> Moyenne des MGA </w:t>
                      </w:r>
                      <w:r>
                        <w:tab/>
                      </w:r>
                      <w:r>
                        <w:tab/>
                        <w:t>51 120 $</w:t>
                      </w:r>
                      <w:r>
                        <w:tab/>
                      </w:r>
                    </w:p>
                    <w:p w14:paraId="0E81ED8C" w14:textId="164667BF" w:rsidR="001501D6" w:rsidRDefault="001501D6">
                      <w:r>
                        <w:t>(5 dernières années)</w:t>
                      </w:r>
                    </w:p>
                    <w:p w14:paraId="2B9AB4CD" w14:textId="77777777" w:rsidR="001501D6" w:rsidRDefault="001501D6"/>
                    <w:p w14:paraId="6916D544" w14:textId="77777777" w:rsidR="001501D6" w:rsidRDefault="001501D6"/>
                    <w:p w14:paraId="2C0085C5" w14:textId="77777777" w:rsidR="001501D6" w:rsidRDefault="001501D6"/>
                    <w:p w14:paraId="2B1897E8" w14:textId="301A9449" w:rsidR="001501D6" w:rsidRDefault="001501D6">
                      <w:r>
                        <w:t>Rente du RRQ maximum</w:t>
                      </w:r>
                    </w:p>
                    <w:p w14:paraId="698861BE" w14:textId="3F174FE5" w:rsidR="001501D6" w:rsidRDefault="001501D6">
                      <w:r>
                        <w:t>en 2015</w:t>
                      </w:r>
                      <w:r>
                        <w:tab/>
                      </w:r>
                      <w:r>
                        <w:tab/>
                      </w:r>
                      <w:r>
                        <w:tab/>
                      </w:r>
                      <w:r>
                        <w:tab/>
                        <w:t>12 780 $</w:t>
                      </w:r>
                    </w:p>
                  </w:txbxContent>
                </v:textbox>
                <w10:wrap type="square"/>
              </v:shape>
            </w:pict>
          </mc:Fallback>
        </mc:AlternateContent>
      </w:r>
      <w:r w:rsidR="00BA1AEA">
        <w:rPr>
          <w:noProof/>
          <w:lang w:eastAsia="fr-FR"/>
        </w:rPr>
        <mc:AlternateContent>
          <mc:Choice Requires="wps">
            <w:drawing>
              <wp:anchor distT="0" distB="0" distL="114300" distR="114300" simplePos="0" relativeHeight="251984896" behindDoc="0" locked="0" layoutInCell="1" allowOverlap="1" wp14:anchorId="709E335A" wp14:editId="3C82B3E9">
                <wp:simplePos x="0" y="0"/>
                <wp:positionH relativeFrom="column">
                  <wp:posOffset>800100</wp:posOffset>
                </wp:positionH>
                <wp:positionV relativeFrom="paragraph">
                  <wp:posOffset>1485900</wp:posOffset>
                </wp:positionV>
                <wp:extent cx="914400" cy="914400"/>
                <wp:effectExtent l="0" t="0" r="25400" b="25400"/>
                <wp:wrapThrough wrapText="bothSides">
                  <wp:wrapPolygon edited="0">
                    <wp:start x="6000" y="0"/>
                    <wp:lineTo x="0" y="4200"/>
                    <wp:lineTo x="0" y="15600"/>
                    <wp:lineTo x="2400" y="19200"/>
                    <wp:lineTo x="5400" y="21600"/>
                    <wp:lineTo x="6000" y="21600"/>
                    <wp:lineTo x="15600" y="21600"/>
                    <wp:lineTo x="16200" y="21600"/>
                    <wp:lineTo x="19200" y="19200"/>
                    <wp:lineTo x="21600" y="15600"/>
                    <wp:lineTo x="21600" y="4200"/>
                    <wp:lineTo x="15600" y="0"/>
                    <wp:lineTo x="6000" y="0"/>
                  </wp:wrapPolygon>
                </wp:wrapThrough>
                <wp:docPr id="127" name="Ellipse 127"/>
                <wp:cNvGraphicFramePr/>
                <a:graphic xmlns:a="http://schemas.openxmlformats.org/drawingml/2006/main">
                  <a:graphicData uri="http://schemas.microsoft.com/office/word/2010/wordprocessingShape">
                    <wps:wsp>
                      <wps:cNvSpPr/>
                      <wps:spPr>
                        <a:xfrm>
                          <a:off x="0" y="0"/>
                          <a:ext cx="914400" cy="914400"/>
                        </a:xfrm>
                        <a:prstGeom prst="ellipse">
                          <a:avLst/>
                        </a:prstGeom>
                      </wps:spPr>
                      <wps:style>
                        <a:lnRef idx="3">
                          <a:schemeClr val="lt1"/>
                        </a:lnRef>
                        <a:fillRef idx="1">
                          <a:schemeClr val="dk1"/>
                        </a:fillRef>
                        <a:effectRef idx="1">
                          <a:schemeClr val="dk1"/>
                        </a:effectRef>
                        <a:fontRef idx="minor">
                          <a:schemeClr val="lt1"/>
                        </a:fontRef>
                      </wps:style>
                      <wps:txbx>
                        <w:txbxContent>
                          <w:p w14:paraId="477BACB1" w14:textId="77777777" w:rsidR="00573C95" w:rsidRDefault="00573C95" w:rsidP="00BA1AEA">
                            <w:pPr>
                              <w:jc w:val="center"/>
                            </w:pPr>
                            <w:r>
                              <w:t xml:space="preserve">25 %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27" o:spid="_x0000_s1067" style="position:absolute;margin-left:63pt;margin-top:117pt;width:1in;height:1in;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" fillcolor="black [3200]" strokecolor="white [3201]" strokeweight="1.75pt">
                <v:textbox>
                  <w:txbxContent>
                    <w:p w14:paraId="477BACB1" w14:textId="77777777" w:rsidR="001501D6" w:rsidRDefault="001501D6" w:rsidP="00BA1AEA">
                      <w:pPr>
                        <w:jc w:val="center"/>
                      </w:pPr>
                      <w:r>
                        <w:t xml:space="preserve">25 % </w:t>
                      </w:r>
                    </w:p>
                  </w:txbxContent>
                </v:textbox>
                <w10:wrap type="through"/>
              </v:oval>
            </w:pict>
          </mc:Fallback>
        </mc:AlternateContent>
      </w:r>
      <w:r w:rsidR="00BA1AEA" w:rsidRPr="00372278">
        <w:rPr>
          <w:noProof/>
          <w:lang w:eastAsia="fr-FR"/>
        </w:rPr>
        <mc:AlternateContent>
          <mc:Choice Requires="wps">
            <w:drawing>
              <wp:anchor distT="0" distB="0" distL="114300" distR="114300" simplePos="0" relativeHeight="251982848" behindDoc="0" locked="0" layoutInCell="1" allowOverlap="1" wp14:anchorId="1986869E" wp14:editId="63512EF1">
                <wp:simplePos x="0" y="0"/>
                <wp:positionH relativeFrom="column">
                  <wp:posOffset>114300</wp:posOffset>
                </wp:positionH>
                <wp:positionV relativeFrom="paragraph">
                  <wp:posOffset>457200</wp:posOffset>
                </wp:positionV>
                <wp:extent cx="1485900" cy="1463040"/>
                <wp:effectExtent l="0" t="0" r="38100" b="35560"/>
                <wp:wrapThrough wrapText="bothSides">
                  <wp:wrapPolygon edited="0">
                    <wp:start x="1477" y="0"/>
                    <wp:lineTo x="0" y="1500"/>
                    <wp:lineTo x="0" y="20250"/>
                    <wp:lineTo x="1477" y="21750"/>
                    <wp:lineTo x="20308" y="21750"/>
                    <wp:lineTo x="21785" y="20250"/>
                    <wp:lineTo x="21785" y="1500"/>
                    <wp:lineTo x="20308" y="0"/>
                    <wp:lineTo x="1477" y="0"/>
                  </wp:wrapPolygon>
                </wp:wrapThrough>
                <wp:docPr id="126" name="Rectangle à coins arrondis 126"/>
                <wp:cNvGraphicFramePr/>
                <a:graphic xmlns:a="http://schemas.openxmlformats.org/drawingml/2006/main">
                  <a:graphicData uri="http://schemas.microsoft.com/office/word/2010/wordprocessingShape">
                    <wps:wsp>
                      <wps:cNvSpPr/>
                      <wps:spPr>
                        <a:xfrm>
                          <a:off x="0" y="0"/>
                          <a:ext cx="1485900" cy="1463040"/>
                        </a:xfrm>
                        <a:prstGeom prst="round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27D24BDC" w14:textId="75EE27FF" w:rsidR="00573C95" w:rsidRPr="00591E88" w:rsidRDefault="00573C95" w:rsidP="00BA1AEA">
                            <w:pPr>
                              <w:rPr>
                                <w:color w:val="000000" w:themeColor="text1"/>
                                <w:sz w:val="22"/>
                                <w:szCs w:val="22"/>
                              </w:rPr>
                            </w:pPr>
                            <w:r w:rsidRPr="00591E88">
                              <w:rPr>
                                <w:color w:val="000000" w:themeColor="text1"/>
                                <w:sz w:val="22"/>
                                <w:szCs w:val="22"/>
                              </w:rPr>
                              <w:t>Détermine</w:t>
                            </w:r>
                            <w:r>
                              <w:rPr>
                                <w:color w:val="000000" w:themeColor="text1"/>
                                <w:sz w:val="22"/>
                                <w:szCs w:val="22"/>
                              </w:rPr>
                              <w:t>z</w:t>
                            </w:r>
                            <w:r w:rsidRPr="00591E88">
                              <w:rPr>
                                <w:color w:val="000000" w:themeColor="text1"/>
                                <w:sz w:val="22"/>
                                <w:szCs w:val="22"/>
                              </w:rPr>
                              <w:t xml:space="preserve"> l</w:t>
                            </w:r>
                            <w:r>
                              <w:rPr>
                                <w:color w:val="000000" w:themeColor="text1"/>
                                <w:sz w:val="22"/>
                                <w:szCs w:val="22"/>
                              </w:rPr>
                              <w:t>a moyenne des 5 dernières années du MGA et le multiplier par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26" o:spid="_x0000_s1068" style="position:absolute;margin-left:9pt;margin-top:36pt;width:117pt;height:115.2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" fillcolor="#909465 [3207]" strokecolor="#474932 [1607]" strokeweight="1.25pt">
                <v:textbox>
                  <w:txbxContent>
                    <w:p w14:paraId="27D24BDC" w14:textId="75EE27FF" w:rsidR="001501D6" w:rsidRPr="00591E88" w:rsidRDefault="001501D6" w:rsidP="00BA1AEA">
                      <w:pPr>
                        <w:rPr>
                          <w:color w:val="000000" w:themeColor="text1"/>
                          <w:sz w:val="22"/>
                          <w:szCs w:val="22"/>
                        </w:rPr>
                      </w:pPr>
                      <w:r w:rsidRPr="00591E88">
                        <w:rPr>
                          <w:color w:val="000000" w:themeColor="text1"/>
                          <w:sz w:val="22"/>
                          <w:szCs w:val="22"/>
                        </w:rPr>
                        <w:t>Détermine</w:t>
                      </w:r>
                      <w:r>
                        <w:rPr>
                          <w:color w:val="000000" w:themeColor="text1"/>
                          <w:sz w:val="22"/>
                          <w:szCs w:val="22"/>
                        </w:rPr>
                        <w:t>z</w:t>
                      </w:r>
                      <w:r w:rsidRPr="00591E88">
                        <w:rPr>
                          <w:color w:val="000000" w:themeColor="text1"/>
                          <w:sz w:val="22"/>
                          <w:szCs w:val="22"/>
                        </w:rPr>
                        <w:t xml:space="preserve"> l</w:t>
                      </w:r>
                      <w:r>
                        <w:rPr>
                          <w:color w:val="000000" w:themeColor="text1"/>
                          <w:sz w:val="22"/>
                          <w:szCs w:val="22"/>
                        </w:rPr>
                        <w:t>a moyenne des 5 dernières années du MGA et le multiplier par</w:t>
                      </w:r>
                    </w:p>
                  </w:txbxContent>
                </v:textbox>
                <w10:wrap type="through"/>
              </v:roundrect>
            </w:pict>
          </mc:Fallback>
        </mc:AlternateContent>
      </w:r>
      <w:r w:rsidR="00BA1AEA" w:rsidRPr="009F6902">
        <w:rPr>
          <w:u w:val="single"/>
        </w:rPr>
        <w:t>LE CALCUL DE LA</w:t>
      </w:r>
      <w:r w:rsidR="00BA1AEA">
        <w:rPr>
          <w:u w:val="single"/>
        </w:rPr>
        <w:t xml:space="preserve"> RENTE DE RETRAITE MAXIMUM DU</w:t>
      </w:r>
      <w:r w:rsidR="00BA1AEA" w:rsidRPr="009F6902">
        <w:rPr>
          <w:u w:val="single"/>
        </w:rPr>
        <w:t xml:space="preserve"> RR</w:t>
      </w:r>
      <w:r w:rsidR="00F42166">
        <w:rPr>
          <w:u w:val="single"/>
        </w:rPr>
        <w:t>Q</w:t>
      </w:r>
      <w:r w:rsidR="002D52C6">
        <w:rPr>
          <w:u w:val="single"/>
        </w:rPr>
        <w:t xml:space="preserve"> À 65 ANS</w:t>
      </w:r>
    </w:p>
    <w:tbl>
      <w:tblPr>
        <w:tblpPr w:leftFromText="141" w:rightFromText="141" w:vertAnchor="text" w:horzAnchor="page" w:tblpX="5306" w:tblpY="247"/>
        <w:tblOverlap w:val="never"/>
        <w:tblW w:w="0" w:type="auto"/>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408"/>
        <w:gridCol w:w="1220"/>
      </w:tblGrid>
      <w:tr w:rsidR="00F42166" w:rsidRPr="00BA1AEA" w14:paraId="4876BD92" w14:textId="77777777" w:rsidTr="00F42166">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F692AC7" w14:textId="77777777" w:rsidR="00F42166" w:rsidRPr="00BA1AEA" w:rsidRDefault="00F42166" w:rsidP="00F42166">
            <w:pPr>
              <w:rPr>
                <w:b/>
                <w:bCs/>
                <w:u w:val="single"/>
              </w:rPr>
            </w:pPr>
            <w:r w:rsidRPr="00BA1AEA">
              <w:rPr>
                <w:b/>
                <w:bCs/>
                <w:u w:val="single"/>
              </w:rPr>
              <w:t>Année</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09B14B9" w14:textId="0E46B9CD" w:rsidR="00F42166" w:rsidRPr="00BA1AEA" w:rsidRDefault="00F42166" w:rsidP="00F769DE">
            <w:pPr>
              <w:rPr>
                <w:b/>
                <w:bCs/>
                <w:u w:val="single"/>
              </w:rPr>
            </w:pPr>
            <w:r w:rsidRPr="00BA1AEA">
              <w:rPr>
                <w:b/>
                <w:bCs/>
                <w:u w:val="single"/>
              </w:rPr>
              <w:t>Montant</w:t>
            </w:r>
            <w:r w:rsidR="00A60BCD">
              <w:rPr>
                <w:b/>
                <w:bCs/>
                <w:u w:val="single"/>
              </w:rPr>
              <w:t xml:space="preserve"> du </w:t>
            </w:r>
            <w:r w:rsidR="00F769DE">
              <w:rPr>
                <w:b/>
                <w:bCs/>
                <w:u w:val="single"/>
              </w:rPr>
              <w:t>MGA</w:t>
            </w:r>
          </w:p>
        </w:tc>
      </w:tr>
      <w:tr w:rsidR="00F42166" w:rsidRPr="00BA1AEA" w14:paraId="060A49E6"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E536501" w14:textId="77777777" w:rsidR="00F42166" w:rsidRPr="00BA1AEA" w:rsidRDefault="00F42166" w:rsidP="00F42166">
            <w:pPr>
              <w:rPr>
                <w:b/>
                <w:bCs/>
                <w:u w:val="single"/>
              </w:rPr>
            </w:pPr>
            <w:r w:rsidRPr="00BA1AEA">
              <w:rPr>
                <w:b/>
                <w:bCs/>
                <w:u w:val="single"/>
              </w:rPr>
              <w:t>1966</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0569E79" w14:textId="77777777" w:rsidR="00F42166" w:rsidRPr="00BA1AEA" w:rsidRDefault="00F42166" w:rsidP="00F42166">
            <w:pPr>
              <w:rPr>
                <w:u w:val="single"/>
              </w:rPr>
            </w:pPr>
            <w:r w:rsidRPr="00BA1AEA">
              <w:rPr>
                <w:u w:val="single"/>
              </w:rPr>
              <w:t>5000 $</w:t>
            </w:r>
          </w:p>
        </w:tc>
      </w:tr>
      <w:tr w:rsidR="00F42166" w:rsidRPr="00BA1AEA" w14:paraId="1FD493E8"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3C1AA09" w14:textId="77777777" w:rsidR="00F42166" w:rsidRPr="00BA1AEA" w:rsidRDefault="00F42166" w:rsidP="00F42166">
            <w:pPr>
              <w:rPr>
                <w:b/>
                <w:bCs/>
                <w:u w:val="single"/>
              </w:rPr>
            </w:pPr>
            <w:r w:rsidRPr="00BA1AEA">
              <w:rPr>
                <w:b/>
                <w:bCs/>
                <w:u w:val="single"/>
              </w:rPr>
              <w:t>1970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7A4FEED" w14:textId="77777777" w:rsidR="00F42166" w:rsidRPr="00BA1AEA" w:rsidRDefault="00F42166" w:rsidP="00F42166">
            <w:pPr>
              <w:rPr>
                <w:u w:val="single"/>
              </w:rPr>
            </w:pPr>
            <w:r w:rsidRPr="00BA1AEA">
              <w:rPr>
                <w:u w:val="single"/>
              </w:rPr>
              <w:t>5 300 $</w:t>
            </w:r>
          </w:p>
        </w:tc>
      </w:tr>
      <w:tr w:rsidR="00F42166" w:rsidRPr="00BA1AEA" w14:paraId="326CE3E6"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93ADB89" w14:textId="77777777" w:rsidR="00F42166" w:rsidRPr="00BA1AEA" w:rsidRDefault="00F42166" w:rsidP="00F42166">
            <w:pPr>
              <w:rPr>
                <w:b/>
                <w:bCs/>
                <w:u w:val="single"/>
              </w:rPr>
            </w:pPr>
            <w:r w:rsidRPr="00BA1AEA">
              <w:rPr>
                <w:b/>
                <w:bCs/>
                <w:u w:val="single"/>
              </w:rPr>
              <w:t>1975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204EFB6" w14:textId="77777777" w:rsidR="00F42166" w:rsidRPr="00BA1AEA" w:rsidRDefault="00F42166" w:rsidP="00F42166">
            <w:pPr>
              <w:rPr>
                <w:u w:val="single"/>
              </w:rPr>
            </w:pPr>
            <w:r w:rsidRPr="00BA1AEA">
              <w:rPr>
                <w:u w:val="single"/>
              </w:rPr>
              <w:t>7 400 $</w:t>
            </w:r>
          </w:p>
        </w:tc>
      </w:tr>
      <w:tr w:rsidR="00F42166" w:rsidRPr="00BA1AEA" w14:paraId="152169A2"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66FACAC" w14:textId="77777777" w:rsidR="00F42166" w:rsidRPr="00BA1AEA" w:rsidRDefault="00F42166" w:rsidP="00F42166">
            <w:pPr>
              <w:rPr>
                <w:b/>
                <w:bCs/>
                <w:u w:val="single"/>
              </w:rPr>
            </w:pPr>
            <w:r w:rsidRPr="00BA1AEA">
              <w:rPr>
                <w:b/>
                <w:bCs/>
                <w:u w:val="single"/>
              </w:rPr>
              <w:t>1980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5400C36" w14:textId="77777777" w:rsidR="00F42166" w:rsidRPr="00BA1AEA" w:rsidRDefault="00F42166" w:rsidP="00F42166">
            <w:pPr>
              <w:rPr>
                <w:u w:val="single"/>
              </w:rPr>
            </w:pPr>
            <w:r w:rsidRPr="00BA1AEA">
              <w:rPr>
                <w:u w:val="single"/>
              </w:rPr>
              <w:t>13 100 $</w:t>
            </w:r>
          </w:p>
        </w:tc>
      </w:tr>
      <w:tr w:rsidR="00F42166" w:rsidRPr="00BA1AEA" w14:paraId="6FDBF31F"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DDE228D" w14:textId="77777777" w:rsidR="00F42166" w:rsidRPr="00BA1AEA" w:rsidRDefault="00F42166" w:rsidP="00F42166">
            <w:pPr>
              <w:rPr>
                <w:b/>
                <w:bCs/>
                <w:u w:val="single"/>
              </w:rPr>
            </w:pPr>
            <w:r w:rsidRPr="00BA1AEA">
              <w:rPr>
                <w:b/>
                <w:bCs/>
                <w:u w:val="single"/>
              </w:rPr>
              <w:t>1985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DE045A1" w14:textId="77777777" w:rsidR="00F42166" w:rsidRPr="00BA1AEA" w:rsidRDefault="00F42166" w:rsidP="00F42166">
            <w:pPr>
              <w:rPr>
                <w:u w:val="single"/>
              </w:rPr>
            </w:pPr>
            <w:r w:rsidRPr="00BA1AEA">
              <w:rPr>
                <w:u w:val="single"/>
              </w:rPr>
              <w:t>23 400 $</w:t>
            </w:r>
          </w:p>
        </w:tc>
      </w:tr>
      <w:tr w:rsidR="00F42166" w:rsidRPr="00BA1AEA" w14:paraId="0B48C29F"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40AF0F5" w14:textId="77777777" w:rsidR="00F42166" w:rsidRPr="00BA1AEA" w:rsidRDefault="00F42166" w:rsidP="00F42166">
            <w:pPr>
              <w:rPr>
                <w:b/>
                <w:bCs/>
                <w:u w:val="single"/>
              </w:rPr>
            </w:pPr>
            <w:r w:rsidRPr="00BA1AEA">
              <w:rPr>
                <w:b/>
                <w:bCs/>
                <w:u w:val="single"/>
              </w:rPr>
              <w:t>1990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12CADB39" w14:textId="77777777" w:rsidR="00F42166" w:rsidRPr="00BA1AEA" w:rsidRDefault="00F42166" w:rsidP="00F42166">
            <w:pPr>
              <w:rPr>
                <w:u w:val="single"/>
              </w:rPr>
            </w:pPr>
            <w:r w:rsidRPr="00BA1AEA">
              <w:rPr>
                <w:u w:val="single"/>
              </w:rPr>
              <w:t>28 900 $</w:t>
            </w:r>
          </w:p>
        </w:tc>
      </w:tr>
      <w:tr w:rsidR="00F42166" w:rsidRPr="00BA1AEA" w14:paraId="6F9AC8ED"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15F07FC" w14:textId="77777777" w:rsidR="00F42166" w:rsidRPr="00BA1AEA" w:rsidRDefault="00F42166" w:rsidP="00F42166">
            <w:pPr>
              <w:rPr>
                <w:b/>
                <w:bCs/>
                <w:u w:val="single"/>
              </w:rPr>
            </w:pPr>
            <w:r w:rsidRPr="00BA1AEA">
              <w:rPr>
                <w:b/>
                <w:bCs/>
                <w:u w:val="single"/>
              </w:rPr>
              <w:t>1995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5C20732" w14:textId="77777777" w:rsidR="00F42166" w:rsidRPr="00BA1AEA" w:rsidRDefault="00F42166" w:rsidP="00F42166">
            <w:pPr>
              <w:rPr>
                <w:u w:val="single"/>
              </w:rPr>
            </w:pPr>
            <w:r w:rsidRPr="00BA1AEA">
              <w:rPr>
                <w:u w:val="single"/>
              </w:rPr>
              <w:t>34 900 $</w:t>
            </w:r>
          </w:p>
        </w:tc>
      </w:tr>
      <w:tr w:rsidR="00F42166" w:rsidRPr="00BA1AEA" w14:paraId="17BA9534"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01B2782" w14:textId="77777777" w:rsidR="00F42166" w:rsidRPr="00BA1AEA" w:rsidRDefault="00F42166" w:rsidP="00F42166">
            <w:pPr>
              <w:rPr>
                <w:b/>
                <w:bCs/>
                <w:u w:val="single"/>
              </w:rPr>
            </w:pPr>
            <w:r w:rsidRPr="00BA1AEA">
              <w:rPr>
                <w:b/>
                <w:bCs/>
                <w:u w:val="single"/>
              </w:rPr>
              <w:t>2000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CC75FFF" w14:textId="77777777" w:rsidR="00F42166" w:rsidRPr="00BA1AEA" w:rsidRDefault="00F42166" w:rsidP="00F42166">
            <w:pPr>
              <w:rPr>
                <w:u w:val="single"/>
              </w:rPr>
            </w:pPr>
            <w:r w:rsidRPr="00BA1AEA">
              <w:rPr>
                <w:u w:val="single"/>
              </w:rPr>
              <w:t>37 600 $</w:t>
            </w:r>
          </w:p>
        </w:tc>
      </w:tr>
      <w:tr w:rsidR="00F42166" w:rsidRPr="00BA1AEA" w14:paraId="2172A1A6"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BFA9E04" w14:textId="77777777" w:rsidR="00F42166" w:rsidRPr="00BA1AEA" w:rsidRDefault="00F42166" w:rsidP="00F42166">
            <w:pPr>
              <w:rPr>
                <w:b/>
                <w:bCs/>
                <w:u w:val="single"/>
              </w:rPr>
            </w:pPr>
            <w:r w:rsidRPr="00BA1AEA">
              <w:rPr>
                <w:b/>
                <w:bCs/>
                <w:u w:val="single"/>
              </w:rPr>
              <w:t>2005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88CED27" w14:textId="77777777" w:rsidR="00F42166" w:rsidRPr="00BA1AEA" w:rsidRDefault="00F42166" w:rsidP="00F42166">
            <w:pPr>
              <w:rPr>
                <w:u w:val="single"/>
              </w:rPr>
            </w:pPr>
            <w:r w:rsidRPr="00BA1AEA">
              <w:rPr>
                <w:u w:val="single"/>
              </w:rPr>
              <w:t>41 100 $</w:t>
            </w:r>
          </w:p>
        </w:tc>
      </w:tr>
      <w:tr w:rsidR="00F42166" w:rsidRPr="00BA1AEA" w14:paraId="7A1DD2B5"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5B024C9" w14:textId="77777777" w:rsidR="00F42166" w:rsidRPr="00BA1AEA" w:rsidRDefault="00F42166" w:rsidP="00F42166">
            <w:pPr>
              <w:rPr>
                <w:b/>
                <w:bCs/>
                <w:u w:val="single"/>
              </w:rPr>
            </w:pPr>
            <w:r w:rsidRPr="00BA1AEA">
              <w:rPr>
                <w:b/>
                <w:bCs/>
                <w:u w:val="single"/>
              </w:rPr>
              <w:t>2010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118017CD" w14:textId="77777777" w:rsidR="00F42166" w:rsidRPr="00BA1AEA" w:rsidRDefault="00F42166" w:rsidP="00F42166">
            <w:pPr>
              <w:rPr>
                <w:u w:val="single"/>
              </w:rPr>
            </w:pPr>
            <w:r w:rsidRPr="00BA1AEA">
              <w:rPr>
                <w:u w:val="single"/>
              </w:rPr>
              <w:t>47 200 $</w:t>
            </w:r>
          </w:p>
        </w:tc>
      </w:tr>
      <w:tr w:rsidR="00F42166" w:rsidRPr="00BA1AEA" w14:paraId="6049060D"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52975A5" w14:textId="77777777" w:rsidR="00F42166" w:rsidRPr="00BA1AEA" w:rsidRDefault="00F42166" w:rsidP="00F42166">
            <w:pPr>
              <w:rPr>
                <w:b/>
                <w:bCs/>
                <w:u w:val="single"/>
              </w:rPr>
            </w:pPr>
            <w:r w:rsidRPr="00BA1AEA">
              <w:rPr>
                <w:b/>
                <w:bCs/>
                <w:u w:val="single"/>
              </w:rPr>
              <w:t>2011</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2931994" w14:textId="77777777" w:rsidR="00F42166" w:rsidRPr="00BA1AEA" w:rsidRDefault="00F42166" w:rsidP="00F42166">
            <w:pPr>
              <w:rPr>
                <w:u w:val="single"/>
              </w:rPr>
            </w:pPr>
            <w:r w:rsidRPr="00BA1AEA">
              <w:rPr>
                <w:u w:val="single"/>
              </w:rPr>
              <w:t>48 300 $</w:t>
            </w:r>
          </w:p>
        </w:tc>
      </w:tr>
      <w:tr w:rsidR="00F42166" w:rsidRPr="00BA1AEA" w14:paraId="506D0DF7"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C79FEE8" w14:textId="77777777" w:rsidR="00F42166" w:rsidRPr="00BA1AEA" w:rsidRDefault="00F42166" w:rsidP="00F42166">
            <w:pPr>
              <w:rPr>
                <w:b/>
                <w:bCs/>
                <w:u w:val="single"/>
              </w:rPr>
            </w:pPr>
            <w:r w:rsidRPr="00BA1AEA">
              <w:rPr>
                <w:b/>
                <w:bCs/>
                <w:u w:val="single"/>
              </w:rPr>
              <w:t>2012</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1F35077D" w14:textId="77777777" w:rsidR="00F42166" w:rsidRPr="00BA1AEA" w:rsidRDefault="00F42166" w:rsidP="00F42166">
            <w:pPr>
              <w:rPr>
                <w:u w:val="single"/>
              </w:rPr>
            </w:pPr>
            <w:r w:rsidRPr="00BA1AEA">
              <w:rPr>
                <w:u w:val="single"/>
              </w:rPr>
              <w:t>50 100 $</w:t>
            </w:r>
          </w:p>
        </w:tc>
      </w:tr>
      <w:tr w:rsidR="00F42166" w:rsidRPr="00BA1AEA" w14:paraId="19846B61"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2BDA87B" w14:textId="77777777" w:rsidR="00F42166" w:rsidRPr="00BA1AEA" w:rsidRDefault="00F42166" w:rsidP="00F42166">
            <w:pPr>
              <w:rPr>
                <w:b/>
                <w:bCs/>
                <w:u w:val="single"/>
              </w:rPr>
            </w:pPr>
            <w:r w:rsidRPr="00BA1AEA">
              <w:rPr>
                <w:b/>
                <w:bCs/>
                <w:u w:val="single"/>
              </w:rPr>
              <w:t>2013</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0F531CD" w14:textId="77777777" w:rsidR="00F42166" w:rsidRPr="00BA1AEA" w:rsidRDefault="00F42166" w:rsidP="00F42166">
            <w:pPr>
              <w:rPr>
                <w:u w:val="single"/>
              </w:rPr>
            </w:pPr>
            <w:r w:rsidRPr="00BA1AEA">
              <w:rPr>
                <w:u w:val="single"/>
              </w:rPr>
              <w:t>51 100 $</w:t>
            </w:r>
          </w:p>
        </w:tc>
      </w:tr>
      <w:tr w:rsidR="00F42166" w:rsidRPr="00BA1AEA" w14:paraId="6099053D"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81833EB" w14:textId="77777777" w:rsidR="00F42166" w:rsidRPr="00BA1AEA" w:rsidRDefault="00F42166" w:rsidP="00F42166">
            <w:pPr>
              <w:rPr>
                <w:b/>
                <w:bCs/>
                <w:u w:val="single"/>
              </w:rPr>
            </w:pPr>
            <w:r w:rsidRPr="00BA1AEA">
              <w:rPr>
                <w:b/>
                <w:bCs/>
                <w:u w:val="single"/>
              </w:rPr>
              <w:t>2014</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38C8362" w14:textId="77777777" w:rsidR="00F42166" w:rsidRPr="00BA1AEA" w:rsidRDefault="00F42166" w:rsidP="00F42166">
            <w:pPr>
              <w:rPr>
                <w:u w:val="single"/>
              </w:rPr>
            </w:pPr>
            <w:r w:rsidRPr="00BA1AEA">
              <w:rPr>
                <w:u w:val="single"/>
              </w:rPr>
              <w:t>52 500 $</w:t>
            </w:r>
          </w:p>
        </w:tc>
      </w:tr>
      <w:tr w:rsidR="00F42166" w:rsidRPr="00BA1AEA" w14:paraId="36706C34" w14:textId="77777777" w:rsidTr="00F42166">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96AEFAA" w14:textId="77777777" w:rsidR="00F42166" w:rsidRPr="00BA1AEA" w:rsidRDefault="00F42166" w:rsidP="00F42166">
            <w:pPr>
              <w:rPr>
                <w:b/>
                <w:bCs/>
                <w:u w:val="single"/>
              </w:rPr>
            </w:pPr>
            <w:r w:rsidRPr="00BA1AEA">
              <w:rPr>
                <w:b/>
                <w:bCs/>
                <w:u w:val="single"/>
              </w:rPr>
              <w:t>2015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6794C49" w14:textId="77777777" w:rsidR="00F42166" w:rsidRPr="00BA1AEA" w:rsidRDefault="00F42166" w:rsidP="00F42166">
            <w:pPr>
              <w:rPr>
                <w:u w:val="single"/>
              </w:rPr>
            </w:pPr>
            <w:r w:rsidRPr="00BA1AEA">
              <w:rPr>
                <w:u w:val="single"/>
              </w:rPr>
              <w:t>53 600 $</w:t>
            </w:r>
          </w:p>
        </w:tc>
      </w:tr>
    </w:tbl>
    <w:p w14:paraId="78C926CD" w14:textId="77777777" w:rsidR="000238D3" w:rsidRDefault="000238D3"/>
    <w:p w14:paraId="57E26D6C" w14:textId="164203EA" w:rsidR="000238D3" w:rsidRDefault="000238D3">
      <w:r>
        <w:rPr>
          <w:noProof/>
          <w:lang w:eastAsia="fr-FR"/>
        </w:rPr>
        <mc:AlternateContent>
          <mc:Choice Requires="wps">
            <w:drawing>
              <wp:anchor distT="0" distB="0" distL="114300" distR="114300" simplePos="0" relativeHeight="251993088" behindDoc="0" locked="0" layoutInCell="1" allowOverlap="1" wp14:anchorId="30E39206" wp14:editId="7D9CEC30">
                <wp:simplePos x="0" y="0"/>
                <wp:positionH relativeFrom="column">
                  <wp:posOffset>5930900</wp:posOffset>
                </wp:positionH>
                <wp:positionV relativeFrom="paragraph">
                  <wp:posOffset>83185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6" name="Ellipse 136"/>
                <wp:cNvGraphicFramePr/>
                <a:graphic xmlns:a="http://schemas.openxmlformats.org/drawingml/2006/main">
                  <a:graphicData uri="http://schemas.microsoft.com/office/word/2010/wordprocessingShape">
                    <wps:wsp>
                      <wps:cNvSpPr/>
                      <wps:spPr>
                        <a:xfrm>
                          <a:off x="0" y="0"/>
                          <a:ext cx="685800" cy="685800"/>
                        </a:xfrm>
                        <a:prstGeom prst="ellipse">
                          <a:avLst/>
                        </a:prstGeom>
                      </wps:spPr>
                      <wps:style>
                        <a:lnRef idx="3">
                          <a:schemeClr val="lt1"/>
                        </a:lnRef>
                        <a:fillRef idx="1">
                          <a:schemeClr val="dk1"/>
                        </a:fillRef>
                        <a:effectRef idx="1">
                          <a:schemeClr val="dk1"/>
                        </a:effectRef>
                        <a:fontRef idx="minor">
                          <a:schemeClr val="lt1"/>
                        </a:fontRef>
                      </wps:style>
                      <wps:txbx>
                        <w:txbxContent>
                          <w:p w14:paraId="04B9BE3A" w14:textId="77777777" w:rsidR="00573C95" w:rsidRPr="00F42166" w:rsidRDefault="00573C95" w:rsidP="00F42166">
                            <w:pPr>
                              <w:jc w:val="center"/>
                              <w:rPr>
                                <w:sz w:val="20"/>
                                <w:szCs w:val="20"/>
                              </w:rPr>
                            </w:pPr>
                            <w:r w:rsidRPr="00F42166">
                              <w:rPr>
                                <w:sz w:val="20"/>
                                <w:szCs w:val="20"/>
                              </w:rPr>
                              <w:t xml:space="preserve">25 %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6" o:spid="_x0000_s1069" style="position:absolute;margin-left:467pt;margin-top:6.55pt;width:54pt;height:54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" fillcolor="black [3200]" strokecolor="white [3201]" strokeweight="1.75pt">
                <v:textbox>
                  <w:txbxContent>
                    <w:p w14:paraId="04B9BE3A" w14:textId="77777777" w:rsidR="001501D6" w:rsidRPr="00F42166" w:rsidRDefault="001501D6" w:rsidP="00F42166">
                      <w:pPr>
                        <w:jc w:val="center"/>
                        <w:rPr>
                          <w:sz w:val="20"/>
                          <w:szCs w:val="20"/>
                        </w:rPr>
                      </w:pPr>
                      <w:r w:rsidRPr="00F42166">
                        <w:rPr>
                          <w:sz w:val="20"/>
                          <w:szCs w:val="20"/>
                        </w:rPr>
                        <w:t xml:space="preserve">25 % </w:t>
                      </w:r>
                    </w:p>
                  </w:txbxContent>
                </v:textbox>
                <w10:wrap type="through"/>
              </v:oval>
            </w:pict>
          </mc:Fallback>
        </mc:AlternateContent>
      </w:r>
    </w:p>
    <w:p w14:paraId="248CB841" w14:textId="77777777" w:rsidR="000238D3" w:rsidRDefault="000238D3"/>
    <w:p w14:paraId="45855E4B" w14:textId="77777777" w:rsidR="000238D3" w:rsidRDefault="000238D3"/>
    <w:p w14:paraId="287F446E" w14:textId="77777777" w:rsidR="000238D3" w:rsidRDefault="000238D3"/>
    <w:p w14:paraId="3570F9FE" w14:textId="77777777" w:rsidR="000238D3" w:rsidRDefault="000238D3"/>
    <w:p w14:paraId="4A334A6F" w14:textId="77777777" w:rsidR="000238D3" w:rsidRDefault="000238D3"/>
    <w:p w14:paraId="2CBB50E7" w14:textId="77777777" w:rsidR="000238D3" w:rsidRDefault="000238D3"/>
    <w:p w14:paraId="291B79D2" w14:textId="77777777" w:rsidR="000238D3" w:rsidRDefault="000238D3"/>
    <w:p w14:paraId="1E1D4735" w14:textId="77777777" w:rsidR="000238D3" w:rsidRDefault="000238D3"/>
    <w:p w14:paraId="64416E87" w14:textId="77777777" w:rsidR="000238D3" w:rsidRDefault="000238D3"/>
    <w:p w14:paraId="3D3A2CAD" w14:textId="77777777" w:rsidR="000238D3" w:rsidRDefault="000238D3"/>
    <w:p w14:paraId="7BD0B772" w14:textId="214D48D2" w:rsidR="000238D3" w:rsidRDefault="000238D3"/>
    <w:p w14:paraId="111A7F03" w14:textId="2CEF5F75" w:rsidR="000238D3" w:rsidRDefault="00A60BCD">
      <w:r>
        <w:rPr>
          <w:noProof/>
          <w:lang w:eastAsia="fr-FR"/>
        </w:rPr>
        <mc:AlternateContent>
          <mc:Choice Requires="wps">
            <w:drawing>
              <wp:anchor distT="0" distB="0" distL="114300" distR="114300" simplePos="0" relativeHeight="251990016" behindDoc="0" locked="0" layoutInCell="1" allowOverlap="1" wp14:anchorId="54489D5E" wp14:editId="762DC3B2">
                <wp:simplePos x="0" y="0"/>
                <wp:positionH relativeFrom="column">
                  <wp:posOffset>4114800</wp:posOffset>
                </wp:positionH>
                <wp:positionV relativeFrom="paragraph">
                  <wp:posOffset>127000</wp:posOffset>
                </wp:positionV>
                <wp:extent cx="304800" cy="1051560"/>
                <wp:effectExtent l="0" t="0" r="25400" b="15240"/>
                <wp:wrapThrough wrapText="bothSides">
                  <wp:wrapPolygon edited="0">
                    <wp:start x="0" y="0"/>
                    <wp:lineTo x="0" y="522"/>
                    <wp:lineTo x="7200" y="8348"/>
                    <wp:lineTo x="7200" y="16696"/>
                    <wp:lineTo x="0" y="20870"/>
                    <wp:lineTo x="0" y="21391"/>
                    <wp:lineTo x="14400" y="21391"/>
                    <wp:lineTo x="14400" y="16696"/>
                    <wp:lineTo x="21600" y="11478"/>
                    <wp:lineTo x="21600" y="10435"/>
                    <wp:lineTo x="14400" y="8348"/>
                    <wp:lineTo x="14400" y="0"/>
                    <wp:lineTo x="0" y="0"/>
                  </wp:wrapPolygon>
                </wp:wrapThrough>
                <wp:docPr id="132" name="Accolade fermante 132"/>
                <wp:cNvGraphicFramePr/>
                <a:graphic xmlns:a="http://schemas.openxmlformats.org/drawingml/2006/main">
                  <a:graphicData uri="http://schemas.microsoft.com/office/word/2010/wordprocessingShape">
                    <wps:wsp>
                      <wps:cNvSpPr/>
                      <wps:spPr>
                        <a:xfrm>
                          <a:off x="0" y="0"/>
                          <a:ext cx="304800" cy="1051560"/>
                        </a:xfrm>
                        <a:prstGeom prst="rightBrace">
                          <a:avLst/>
                        </a:prstGeom>
                        <a:ln>
                          <a:solidFill>
                            <a:srgbClr val="0000FF"/>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shape id="Accolade fermante 132" o:spid="_x0000_s1026" type="#_x0000_t88" style="position:absolute;margin-left:324pt;margin-top:10pt;width:24pt;height:82.8pt;z-index:25199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" adj="522" strokecolor="blue" strokeweight="1.25pt">
                <w10:wrap type="through"/>
              </v:shape>
            </w:pict>
          </mc:Fallback>
        </mc:AlternateContent>
      </w:r>
    </w:p>
    <w:p w14:paraId="40874D76" w14:textId="5EF1AB25" w:rsidR="000238D3" w:rsidRDefault="000238D3"/>
    <w:p w14:paraId="21B38AA0" w14:textId="783FA0C0" w:rsidR="000238D3" w:rsidRDefault="00A60BCD">
      <w:r>
        <w:rPr>
          <w:noProof/>
          <w:lang w:eastAsia="fr-FR"/>
        </w:rPr>
        <mc:AlternateContent>
          <mc:Choice Requires="wps">
            <w:drawing>
              <wp:anchor distT="0" distB="0" distL="114300" distR="114300" simplePos="0" relativeHeight="251991040" behindDoc="0" locked="0" layoutInCell="1" allowOverlap="1" wp14:anchorId="2B0F576D" wp14:editId="3C06DEAF">
                <wp:simplePos x="0" y="0"/>
                <wp:positionH relativeFrom="column">
                  <wp:posOffset>4343400</wp:posOffset>
                </wp:positionH>
                <wp:positionV relativeFrom="paragraph">
                  <wp:posOffset>96520</wp:posOffset>
                </wp:positionV>
                <wp:extent cx="914400" cy="342900"/>
                <wp:effectExtent l="0" t="0" r="0" b="12700"/>
                <wp:wrapSquare wrapText="bothSides"/>
                <wp:docPr id="133" name="Zone de texte 133"/>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BFEFF7" w14:textId="67DBF5A0" w:rsidR="00573C95" w:rsidRPr="00F42166" w:rsidRDefault="00573C95">
                            <w:pPr>
                              <w:rPr>
                                <w:color w:val="0000FF"/>
                              </w:rPr>
                            </w:pPr>
                            <w:r>
                              <w:t xml:space="preserve"> </w:t>
                            </w:r>
                            <w:r w:rsidRPr="00F42166">
                              <w:rPr>
                                <w:color w:val="0000FF"/>
                              </w:rPr>
                              <w:t>51 120 $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3" o:spid="_x0000_s1070" type="#_x0000_t202" style="position:absolute;margin-left:342pt;margin-top:7.6pt;width:1in;height:27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" filled="f" stroked="f">
                <v:textbox>
                  <w:txbxContent>
                    <w:p w14:paraId="7BBFEFF7" w14:textId="67DBF5A0" w:rsidR="001501D6" w:rsidRPr="00F42166" w:rsidRDefault="001501D6">
                      <w:pPr>
                        <w:rPr>
                          <w:color w:val="0000FF"/>
                        </w:rPr>
                      </w:pPr>
                      <w:r>
                        <w:t xml:space="preserve"> </w:t>
                      </w:r>
                      <w:r w:rsidRPr="00F42166">
                        <w:rPr>
                          <w:color w:val="0000FF"/>
                        </w:rPr>
                        <w:t>51 120 $</w:t>
                      </w:r>
                    </w:p>
                  </w:txbxContent>
                </v:textbox>
                <w10:wrap type="square"/>
              </v:shape>
            </w:pict>
          </mc:Fallback>
        </mc:AlternateContent>
      </w:r>
    </w:p>
    <w:p w14:paraId="7FD9DF08" w14:textId="77777777" w:rsidR="000238D3" w:rsidRDefault="000238D3"/>
    <w:p w14:paraId="644E3DF9" w14:textId="77777777" w:rsidR="000238D3" w:rsidRDefault="000238D3"/>
    <w:p w14:paraId="28AC7444" w14:textId="77777777" w:rsidR="000238D3" w:rsidRDefault="000238D3"/>
    <w:p w14:paraId="39955673" w14:textId="77777777" w:rsidR="000238D3" w:rsidRDefault="000238D3"/>
    <w:p w14:paraId="3B8530A4" w14:textId="77777777" w:rsidR="00A60BCD" w:rsidRDefault="00A60BCD"/>
    <w:p w14:paraId="5145D445" w14:textId="2508258B" w:rsidR="00FD0F0D" w:rsidRDefault="00A60BCD" w:rsidP="002D52C6">
      <w:pPr>
        <w:jc w:val="both"/>
      </w:pPr>
      <w:r>
        <w:t xml:space="preserve">Quelques observations avant de conclure avec un exemple. Le </w:t>
      </w:r>
      <w:r w:rsidR="00F769DE">
        <w:t>MGA</w:t>
      </w:r>
      <w:r>
        <w:t xml:space="preserve"> qui sert à la fois, à déterminer le montant maximum sur lequel une cotisation au RRQ pourra être prélevée et </w:t>
      </w:r>
      <w:r w:rsidR="00455EE4">
        <w:t xml:space="preserve">à </w:t>
      </w:r>
      <w:r>
        <w:t xml:space="preserve">calculer la rente maximum qui pourra être versée à un retraité </w:t>
      </w:r>
      <w:r w:rsidR="0021131D">
        <w:t xml:space="preserve">est un concept qui correspond à une idée bien précise. Le </w:t>
      </w:r>
      <w:r w:rsidR="00F769DE">
        <w:t>MGA</w:t>
      </w:r>
      <w:r w:rsidR="0021131D">
        <w:t xml:space="preserve"> </w:t>
      </w:r>
      <w:r w:rsidR="002D52C6">
        <w:t>désigne</w:t>
      </w:r>
      <w:r w:rsidR="002D52C6" w:rsidRPr="002D52C6">
        <w:t xml:space="preserve"> la moyenne des salaires hebdomadaires pour l’ensemble des activités économiques au Canada</w:t>
      </w:r>
      <w:r w:rsidR="002D52C6">
        <w:t xml:space="preserve">. </w:t>
      </w:r>
    </w:p>
    <w:p w14:paraId="511DA79A" w14:textId="77777777" w:rsidR="002D52C6" w:rsidRDefault="002D52C6" w:rsidP="002D52C6">
      <w:pPr>
        <w:jc w:val="both"/>
      </w:pPr>
    </w:p>
    <w:p w14:paraId="79B3909D" w14:textId="1D545B7B" w:rsidR="002D52C6" w:rsidRDefault="002D52C6" w:rsidP="002D52C6">
      <w:pPr>
        <w:jc w:val="both"/>
      </w:pPr>
      <w:r>
        <w:t xml:space="preserve">Malgré que les calculs de base présentés précédemment </w:t>
      </w:r>
      <w:r w:rsidR="00B1437E">
        <w:t>aient</w:t>
      </w:r>
      <w:r>
        <w:t xml:space="preserve"> été effectué</w:t>
      </w:r>
      <w:r w:rsidR="00B1437E">
        <w:t>s</w:t>
      </w:r>
      <w:r>
        <w:t xml:space="preserve"> selon l'hypothèse que la rente du RRQ est </w:t>
      </w:r>
      <w:r w:rsidR="00B1437E">
        <w:t>versée</w:t>
      </w:r>
      <w:r>
        <w:t xml:space="preserve"> à l'âge de 65 ans, il est possible d'en faire la demande</w:t>
      </w:r>
      <w:r w:rsidR="00B1437E">
        <w:t xml:space="preserve"> anticipée</w:t>
      </w:r>
      <w:r>
        <w:t xml:space="preserve"> dès l'âge de 60 ans. Dans ce cas, la  rente </w:t>
      </w:r>
      <w:r w:rsidR="00B1437E">
        <w:t>sera réduite de</w:t>
      </w:r>
      <w:r>
        <w:t xml:space="preserve"> ,6 %/mois d'anticipation (7,2 % pour une année). À l'opposé, le report (jusqu'à </w:t>
      </w:r>
      <w:r>
        <w:lastRenderedPageBreak/>
        <w:t>l'âge maximum de 70 ans)</w:t>
      </w:r>
      <w:r w:rsidR="00B1437E">
        <w:t xml:space="preserve"> </w:t>
      </w:r>
      <w:r>
        <w:t xml:space="preserve">de la demande de la rente </w:t>
      </w:r>
      <w:r w:rsidR="00B1437E">
        <w:t>est aussi possible. Celle-ci sera alors</w:t>
      </w:r>
      <w:r>
        <w:t xml:space="preserve"> bonifié</w:t>
      </w:r>
      <w:r w:rsidR="00B1437E">
        <w:t>e</w:t>
      </w:r>
      <w:r>
        <w:t xml:space="preserve"> de ,7 %/mois</w:t>
      </w:r>
      <w:r w:rsidR="00B1437E">
        <w:t xml:space="preserve"> reporté</w:t>
      </w:r>
      <w:r>
        <w:t xml:space="preserve"> (8,4 % pour une année)</w:t>
      </w:r>
      <w:r w:rsidR="00B1437E">
        <w:t>.</w:t>
      </w:r>
    </w:p>
    <w:p w14:paraId="4846338F" w14:textId="77777777" w:rsidR="00B1437E" w:rsidRDefault="00B1437E" w:rsidP="002D52C6">
      <w:pPr>
        <w:jc w:val="both"/>
      </w:pPr>
    </w:p>
    <w:p w14:paraId="3217F10B" w14:textId="013E4DD4" w:rsidR="00B1437E" w:rsidRDefault="00B1437E" w:rsidP="002D52C6">
      <w:pPr>
        <w:jc w:val="both"/>
      </w:pPr>
      <w:r>
        <w:t xml:space="preserve">Dans un contexte où plusieurs acquis et variables propres aux différents régimes de retraite sont remis en cause, il est important de noter que les rentes du RRQ demeurent </w:t>
      </w:r>
      <w:r w:rsidR="00924DFB" w:rsidRPr="00924DFB">
        <w:rPr>
          <w:color w:val="FF6700" w:themeColor="accent3"/>
        </w:rPr>
        <w:t>INDEXÉES</w:t>
      </w:r>
      <w:r>
        <w:t xml:space="preserve"> </w:t>
      </w:r>
      <w:r w:rsidR="00792D77">
        <w:t>chaque</w:t>
      </w:r>
      <w:r>
        <w:t xml:space="preserve"> année selon l'IPC permettant ainsi au retraité de maintenir </w:t>
      </w:r>
      <w:r w:rsidR="00405F7B">
        <w:t>sa capacité de consommation.</w:t>
      </w:r>
    </w:p>
    <w:p w14:paraId="58F88528" w14:textId="77777777" w:rsidR="002D52C6" w:rsidRDefault="002D52C6" w:rsidP="002D52C6">
      <w:pPr>
        <w:jc w:val="both"/>
      </w:pPr>
    </w:p>
    <w:p w14:paraId="0C1BE1CE" w14:textId="4D775682" w:rsidR="00924DFB" w:rsidRPr="000F289D" w:rsidRDefault="00924DFB" w:rsidP="006C34CF">
      <w:pPr>
        <w:pStyle w:val="Paragraphedeliste"/>
        <w:numPr>
          <w:ilvl w:val="0"/>
          <w:numId w:val="10"/>
        </w:numPr>
        <w:ind w:left="1134" w:hanging="425"/>
        <w:jc w:val="both"/>
        <w:rPr>
          <w:color w:val="FF6700" w:themeColor="accent3"/>
        </w:rPr>
      </w:pPr>
      <w:r w:rsidRPr="000F289D">
        <w:rPr>
          <w:color w:val="FF6700" w:themeColor="accent3"/>
        </w:rPr>
        <w:t>EXEMPLE</w:t>
      </w:r>
      <w:r w:rsidR="00DD51DD" w:rsidRPr="000F289D">
        <w:rPr>
          <w:color w:val="FF6700" w:themeColor="accent3"/>
        </w:rPr>
        <w:t xml:space="preserve"> 7-6</w:t>
      </w:r>
    </w:p>
    <w:p w14:paraId="24B2462C" w14:textId="77777777" w:rsidR="00924DFB" w:rsidRDefault="00924DFB" w:rsidP="00924DFB">
      <w:pPr>
        <w:ind w:left="360"/>
        <w:jc w:val="both"/>
      </w:pPr>
    </w:p>
    <w:p w14:paraId="663AD183" w14:textId="64246414" w:rsidR="00924DFB" w:rsidRDefault="00924DFB" w:rsidP="00F20590">
      <w:pPr>
        <w:ind w:hanging="1"/>
        <w:jc w:val="both"/>
        <w:rPr>
          <w:rFonts w:ascii="Avenir Book" w:hAnsi="Avenir Book"/>
        </w:rPr>
      </w:pPr>
      <w:r>
        <w:t xml:space="preserve">Prospère Jean a immigré au Québec à l'âge de 55 ans, il se demande, alors que l'âge de la retraite arrive, </w:t>
      </w:r>
      <w:r w:rsidR="00F20590">
        <w:t xml:space="preserve">quel sera le montant de sa rente du RRQ </w:t>
      </w:r>
      <w:r w:rsidRPr="00E54CDB">
        <w:rPr>
          <w:rFonts w:ascii="Avenir Book" w:hAnsi="Avenir Book"/>
        </w:rPr>
        <w:t>?</w:t>
      </w:r>
      <w:r w:rsidR="008D7F82">
        <w:rPr>
          <w:rFonts w:ascii="Avenir Book" w:hAnsi="Avenir Book"/>
        </w:rPr>
        <w:t xml:space="preserve"> </w:t>
      </w:r>
    </w:p>
    <w:p w14:paraId="6B923C68" w14:textId="77777777" w:rsidR="008D7F82" w:rsidRDefault="008D7F82" w:rsidP="00F20590">
      <w:pPr>
        <w:ind w:hanging="1"/>
        <w:jc w:val="both"/>
        <w:rPr>
          <w:rFonts w:ascii="Avenir Book" w:hAnsi="Avenir Book"/>
        </w:rPr>
      </w:pPr>
    </w:p>
    <w:p w14:paraId="63204EAC" w14:textId="5FEF4315" w:rsidR="008D7F82" w:rsidRDefault="008D7F82" w:rsidP="00F20590">
      <w:pPr>
        <w:ind w:hanging="1"/>
        <w:jc w:val="both"/>
        <w:rPr>
          <w:rFonts w:asciiTheme="majorHAnsi" w:hAnsiTheme="majorHAnsi"/>
        </w:rPr>
      </w:pPr>
      <w:r w:rsidRPr="008D7F82">
        <w:rPr>
          <w:rFonts w:asciiTheme="majorHAnsi" w:hAnsiTheme="majorHAnsi"/>
        </w:rPr>
        <w:t>Prospère qui aura 65 ans le 1er janvier, vous fournit les informations suivantes</w:t>
      </w:r>
      <w:r>
        <w:rPr>
          <w:rFonts w:asciiTheme="majorHAnsi" w:hAnsiTheme="majorHAnsi"/>
        </w:rPr>
        <w:t>:</w:t>
      </w:r>
    </w:p>
    <w:p w14:paraId="5A4D3B78" w14:textId="77777777" w:rsidR="008D7F82" w:rsidRDefault="008D7F82" w:rsidP="00F20590">
      <w:pPr>
        <w:ind w:hanging="1"/>
        <w:jc w:val="both"/>
        <w:rPr>
          <w:rFonts w:asciiTheme="majorHAnsi" w:hAnsiTheme="majorHAnsi"/>
        </w:rPr>
      </w:pPr>
    </w:p>
    <w:tbl>
      <w:tblPr>
        <w:tblpPr w:leftFromText="141" w:rightFromText="141" w:vertAnchor="text" w:horzAnchor="page" w:tblpX="2786" w:tblpY="487"/>
        <w:tblOverlap w:val="never"/>
        <w:tblW w:w="0" w:type="auto"/>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408"/>
        <w:gridCol w:w="1220"/>
        <w:gridCol w:w="1591"/>
      </w:tblGrid>
      <w:tr w:rsidR="009863D8" w:rsidRPr="00BA1AEA" w14:paraId="614E1BA7" w14:textId="77777777" w:rsidTr="009863D8">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CF8A58F" w14:textId="77777777" w:rsidR="009863D8" w:rsidRPr="009D347B" w:rsidRDefault="009863D8" w:rsidP="009863D8">
            <w:pPr>
              <w:rPr>
                <w:b/>
                <w:bCs/>
              </w:rPr>
            </w:pPr>
            <w:r w:rsidRPr="009D347B">
              <w:rPr>
                <w:b/>
                <w:bCs/>
              </w:rPr>
              <w:t>Année</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9F4241D" w14:textId="77777777" w:rsidR="009863D8" w:rsidRPr="00BA1AEA" w:rsidRDefault="009863D8" w:rsidP="009863D8">
            <w:pPr>
              <w:rPr>
                <w:b/>
                <w:bCs/>
                <w:u w:val="single"/>
              </w:rPr>
            </w:pPr>
            <w:r w:rsidRPr="009D347B">
              <w:rPr>
                <w:b/>
                <w:bCs/>
              </w:rPr>
              <w:t xml:space="preserve">Montant </w:t>
            </w:r>
            <w:r>
              <w:rPr>
                <w:b/>
                <w:bCs/>
                <w:u w:val="single"/>
              </w:rPr>
              <w:t>du MGA</w:t>
            </w:r>
          </w:p>
        </w:tc>
        <w:tc>
          <w:tcPr>
            <w:tcW w:w="1591" w:type="dxa"/>
            <w:tcBorders>
              <w:top w:val="single" w:sz="8" w:space="0" w:color="6D6D6D"/>
              <w:left w:val="single" w:sz="8" w:space="0" w:color="6D6D6D"/>
              <w:bottom w:val="single" w:sz="8" w:space="0" w:color="6D6D6D"/>
            </w:tcBorders>
          </w:tcPr>
          <w:p w14:paraId="761A12BF" w14:textId="70DDD9BD" w:rsidR="009863D8" w:rsidRPr="009D347B" w:rsidRDefault="009863D8" w:rsidP="009863D8">
            <w:pPr>
              <w:rPr>
                <w:b/>
                <w:bCs/>
              </w:rPr>
            </w:pPr>
            <w:r>
              <w:rPr>
                <w:b/>
                <w:bCs/>
              </w:rPr>
              <w:t>Revenu</w:t>
            </w:r>
            <w:r w:rsidRPr="009D347B">
              <w:rPr>
                <w:b/>
                <w:bCs/>
              </w:rPr>
              <w:t xml:space="preserve"> admissible</w:t>
            </w:r>
          </w:p>
        </w:tc>
      </w:tr>
      <w:tr w:rsidR="009863D8" w:rsidRPr="00BA1AEA" w14:paraId="5CAFD98B"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C87AFA9" w14:textId="77777777" w:rsidR="009863D8" w:rsidRPr="00BA1AEA" w:rsidRDefault="009863D8" w:rsidP="009863D8">
            <w:pPr>
              <w:rPr>
                <w:b/>
                <w:bCs/>
                <w:u w:val="single"/>
              </w:rPr>
            </w:pPr>
            <w:r>
              <w:rPr>
                <w:b/>
                <w:bCs/>
                <w:u w:val="single"/>
              </w:rPr>
              <w:t>2005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C6A9FA4" w14:textId="77777777" w:rsidR="009863D8" w:rsidRPr="009D347B" w:rsidRDefault="009863D8" w:rsidP="009863D8">
            <w:pPr>
              <w:rPr>
                <w:b/>
              </w:rPr>
            </w:pPr>
            <w:r>
              <w:rPr>
                <w:b/>
              </w:rPr>
              <w:t>S/O</w:t>
            </w:r>
          </w:p>
        </w:tc>
        <w:tc>
          <w:tcPr>
            <w:tcW w:w="1591" w:type="dxa"/>
            <w:tcBorders>
              <w:top w:val="single" w:sz="8" w:space="0" w:color="6D6D6D"/>
              <w:left w:val="single" w:sz="8" w:space="0" w:color="6D6D6D"/>
              <w:bottom w:val="single" w:sz="8" w:space="0" w:color="6D6D6D"/>
            </w:tcBorders>
          </w:tcPr>
          <w:p w14:paraId="317B27BA" w14:textId="77777777" w:rsidR="009863D8" w:rsidRPr="009D347B" w:rsidRDefault="009863D8" w:rsidP="009863D8">
            <w:pPr>
              <w:rPr>
                <w:b/>
              </w:rPr>
            </w:pPr>
            <w:r w:rsidRPr="009D347B">
              <w:rPr>
                <w:b/>
              </w:rPr>
              <w:t>S/O</w:t>
            </w:r>
          </w:p>
        </w:tc>
      </w:tr>
      <w:tr w:rsidR="009863D8" w:rsidRPr="00BA1AEA" w14:paraId="695A0AFD"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1399491" w14:textId="77777777" w:rsidR="009863D8" w:rsidRPr="00BA1AEA" w:rsidRDefault="009863D8" w:rsidP="009863D8">
            <w:pPr>
              <w:rPr>
                <w:b/>
                <w:bCs/>
                <w:u w:val="single"/>
              </w:rPr>
            </w:pPr>
            <w:r>
              <w:rPr>
                <w:b/>
                <w:bCs/>
                <w:u w:val="single"/>
              </w:rPr>
              <w:t>2006</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79056E2A" w14:textId="77777777" w:rsidR="009863D8" w:rsidRPr="00BA1AEA" w:rsidRDefault="009863D8" w:rsidP="009863D8">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tcPr>
          <w:p w14:paraId="60604C40" w14:textId="77777777" w:rsidR="009863D8" w:rsidRPr="009D347B" w:rsidRDefault="009863D8" w:rsidP="009863D8">
            <w:r>
              <w:t>23 500 $</w:t>
            </w:r>
          </w:p>
        </w:tc>
      </w:tr>
      <w:tr w:rsidR="009863D8" w:rsidRPr="00BA1AEA" w14:paraId="7AE5B124"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E6480A6" w14:textId="77777777" w:rsidR="009863D8" w:rsidRPr="00BA1AEA" w:rsidRDefault="009863D8" w:rsidP="009863D8">
            <w:pPr>
              <w:rPr>
                <w:b/>
                <w:bCs/>
                <w:u w:val="single"/>
              </w:rPr>
            </w:pPr>
            <w:r>
              <w:rPr>
                <w:b/>
                <w:bCs/>
                <w:u w:val="single"/>
              </w:rPr>
              <w:t>2007</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0A839FF" w14:textId="77777777" w:rsidR="009863D8" w:rsidRPr="00BA1AEA" w:rsidRDefault="009863D8" w:rsidP="009863D8">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tcPr>
          <w:p w14:paraId="40C5AF5F" w14:textId="77777777" w:rsidR="009863D8" w:rsidRPr="009D347B" w:rsidRDefault="009863D8" w:rsidP="009863D8">
            <w:r w:rsidRPr="009D347B">
              <w:t>25 500</w:t>
            </w:r>
            <w:r>
              <w:t xml:space="preserve"> $</w:t>
            </w:r>
          </w:p>
        </w:tc>
      </w:tr>
      <w:tr w:rsidR="009863D8" w:rsidRPr="00BA1AEA" w14:paraId="331B1955"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8C9A5EB" w14:textId="77777777" w:rsidR="009863D8" w:rsidRPr="00BA1AEA" w:rsidRDefault="009863D8" w:rsidP="009863D8">
            <w:pPr>
              <w:rPr>
                <w:b/>
                <w:bCs/>
                <w:u w:val="single"/>
              </w:rPr>
            </w:pPr>
            <w:r w:rsidRPr="00BA1AEA">
              <w:rPr>
                <w:b/>
                <w:bCs/>
                <w:u w:val="single"/>
              </w:rPr>
              <w:t>200</w:t>
            </w:r>
            <w:r>
              <w:rPr>
                <w:b/>
                <w:bCs/>
                <w:u w:val="single"/>
              </w:rPr>
              <w:t>8</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AEEFB51" w14:textId="77777777" w:rsidR="009863D8" w:rsidRPr="00BA1AEA" w:rsidRDefault="009863D8" w:rsidP="009863D8">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tcPr>
          <w:p w14:paraId="4D2C2F30" w14:textId="77777777" w:rsidR="009863D8" w:rsidRPr="009D347B" w:rsidRDefault="009863D8" w:rsidP="009863D8">
            <w:r w:rsidRPr="009D347B">
              <w:t>30 000</w:t>
            </w:r>
            <w:r>
              <w:t xml:space="preserve"> $</w:t>
            </w:r>
          </w:p>
        </w:tc>
      </w:tr>
      <w:tr w:rsidR="009863D8" w:rsidRPr="00BA1AEA" w14:paraId="218F1150"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1A7A400" w14:textId="77777777" w:rsidR="009863D8" w:rsidRPr="00BA1AEA" w:rsidRDefault="009863D8" w:rsidP="009863D8">
            <w:pPr>
              <w:rPr>
                <w:b/>
                <w:bCs/>
                <w:u w:val="single"/>
              </w:rPr>
            </w:pPr>
            <w:r w:rsidRPr="00BA1AEA">
              <w:rPr>
                <w:b/>
                <w:bCs/>
                <w:u w:val="single"/>
              </w:rPr>
              <w:t>200</w:t>
            </w:r>
            <w:r>
              <w:rPr>
                <w:b/>
                <w:bCs/>
                <w:u w:val="single"/>
              </w:rPr>
              <w:t>9</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74B70D7" w14:textId="77777777" w:rsidR="009863D8" w:rsidRPr="00BA1AEA" w:rsidRDefault="009863D8" w:rsidP="009863D8">
            <w:pPr>
              <w:rPr>
                <w:u w:val="single"/>
              </w:rPr>
            </w:pPr>
            <w:r w:rsidRPr="00BA1AEA">
              <w:rPr>
                <w:u w:val="single"/>
              </w:rPr>
              <w:t>41 100 $</w:t>
            </w:r>
          </w:p>
        </w:tc>
        <w:tc>
          <w:tcPr>
            <w:tcW w:w="1591" w:type="dxa"/>
            <w:tcBorders>
              <w:top w:val="single" w:sz="8" w:space="0" w:color="6D6D6D"/>
              <w:left w:val="single" w:sz="8" w:space="0" w:color="6D6D6D"/>
              <w:bottom w:val="single" w:sz="8" w:space="0" w:color="6D6D6D"/>
            </w:tcBorders>
          </w:tcPr>
          <w:p w14:paraId="74349D9A" w14:textId="77777777" w:rsidR="009863D8" w:rsidRPr="009D347B" w:rsidRDefault="009863D8" w:rsidP="009863D8">
            <w:r w:rsidRPr="009D347B">
              <w:t>27 000</w:t>
            </w:r>
            <w:r>
              <w:t xml:space="preserve"> $</w:t>
            </w:r>
          </w:p>
        </w:tc>
      </w:tr>
      <w:tr w:rsidR="009863D8" w:rsidRPr="00BA1AEA" w14:paraId="4EACC89F"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897E0FD" w14:textId="77777777" w:rsidR="009863D8" w:rsidRPr="00BA1AEA" w:rsidRDefault="009863D8" w:rsidP="009863D8">
            <w:pPr>
              <w:rPr>
                <w:b/>
                <w:bCs/>
                <w:u w:val="single"/>
              </w:rPr>
            </w:pPr>
            <w:r w:rsidRPr="00BA1AEA">
              <w:rPr>
                <w:b/>
                <w:bCs/>
                <w:u w:val="single"/>
              </w:rPr>
              <w:t>2010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59F02DB" w14:textId="77777777" w:rsidR="009863D8" w:rsidRPr="00BA1AEA" w:rsidRDefault="009863D8" w:rsidP="009863D8">
            <w:pPr>
              <w:rPr>
                <w:u w:val="single"/>
              </w:rPr>
            </w:pPr>
            <w:r w:rsidRPr="00BA1AEA">
              <w:rPr>
                <w:u w:val="single"/>
              </w:rPr>
              <w:t>47 200 $</w:t>
            </w:r>
          </w:p>
        </w:tc>
        <w:tc>
          <w:tcPr>
            <w:tcW w:w="1591" w:type="dxa"/>
            <w:tcBorders>
              <w:top w:val="single" w:sz="8" w:space="0" w:color="6D6D6D"/>
              <w:left w:val="single" w:sz="8" w:space="0" w:color="6D6D6D"/>
              <w:bottom w:val="single" w:sz="8" w:space="0" w:color="6D6D6D"/>
            </w:tcBorders>
          </w:tcPr>
          <w:p w14:paraId="003D6733" w14:textId="77777777" w:rsidR="009863D8" w:rsidRPr="009D347B" w:rsidRDefault="009863D8" w:rsidP="009863D8">
            <w:r w:rsidRPr="009D347B">
              <w:t>17 000</w:t>
            </w:r>
            <w:r>
              <w:t xml:space="preserve"> $</w:t>
            </w:r>
          </w:p>
        </w:tc>
      </w:tr>
      <w:tr w:rsidR="009863D8" w:rsidRPr="00BA1AEA" w14:paraId="7C636D45"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5996556" w14:textId="77777777" w:rsidR="009863D8" w:rsidRPr="00BA1AEA" w:rsidRDefault="009863D8" w:rsidP="009863D8">
            <w:pPr>
              <w:rPr>
                <w:b/>
                <w:bCs/>
                <w:u w:val="single"/>
              </w:rPr>
            </w:pPr>
            <w:r w:rsidRPr="00BA1AEA">
              <w:rPr>
                <w:b/>
                <w:bCs/>
                <w:u w:val="single"/>
              </w:rPr>
              <w:t>2011</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78D179D8" w14:textId="77777777" w:rsidR="009863D8" w:rsidRPr="00BA1AEA" w:rsidRDefault="009863D8" w:rsidP="009863D8">
            <w:pPr>
              <w:rPr>
                <w:u w:val="single"/>
              </w:rPr>
            </w:pPr>
            <w:r w:rsidRPr="00BA1AEA">
              <w:rPr>
                <w:u w:val="single"/>
              </w:rPr>
              <w:t>48 300 $</w:t>
            </w:r>
          </w:p>
        </w:tc>
        <w:tc>
          <w:tcPr>
            <w:tcW w:w="1591" w:type="dxa"/>
            <w:tcBorders>
              <w:top w:val="single" w:sz="8" w:space="0" w:color="6D6D6D"/>
              <w:left w:val="single" w:sz="8" w:space="0" w:color="6D6D6D"/>
              <w:bottom w:val="single" w:sz="8" w:space="0" w:color="6D6D6D"/>
            </w:tcBorders>
          </w:tcPr>
          <w:p w14:paraId="173C3900" w14:textId="77777777" w:rsidR="009863D8" w:rsidRPr="009D347B" w:rsidRDefault="009863D8" w:rsidP="009863D8">
            <w:r w:rsidRPr="009D347B">
              <w:t>33 000</w:t>
            </w:r>
            <w:r>
              <w:t xml:space="preserve"> $</w:t>
            </w:r>
          </w:p>
        </w:tc>
      </w:tr>
      <w:tr w:rsidR="009863D8" w:rsidRPr="00BA1AEA" w14:paraId="6D885BB2"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D63D9B8" w14:textId="77777777" w:rsidR="009863D8" w:rsidRPr="00BA1AEA" w:rsidRDefault="009863D8" w:rsidP="009863D8">
            <w:pPr>
              <w:rPr>
                <w:b/>
                <w:bCs/>
                <w:u w:val="single"/>
              </w:rPr>
            </w:pPr>
            <w:r w:rsidRPr="00BA1AEA">
              <w:rPr>
                <w:b/>
                <w:bCs/>
                <w:u w:val="single"/>
              </w:rPr>
              <w:t>2012</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AA41FD1" w14:textId="77777777" w:rsidR="009863D8" w:rsidRPr="00BA1AEA" w:rsidRDefault="009863D8" w:rsidP="009863D8">
            <w:pPr>
              <w:rPr>
                <w:u w:val="single"/>
              </w:rPr>
            </w:pPr>
            <w:r w:rsidRPr="00BA1AEA">
              <w:rPr>
                <w:u w:val="single"/>
              </w:rPr>
              <w:t>50 100 $</w:t>
            </w:r>
          </w:p>
        </w:tc>
        <w:tc>
          <w:tcPr>
            <w:tcW w:w="1591" w:type="dxa"/>
            <w:tcBorders>
              <w:top w:val="single" w:sz="8" w:space="0" w:color="6D6D6D"/>
              <w:left w:val="single" w:sz="8" w:space="0" w:color="6D6D6D"/>
              <w:bottom w:val="single" w:sz="8" w:space="0" w:color="6D6D6D"/>
            </w:tcBorders>
          </w:tcPr>
          <w:p w14:paraId="156562B4" w14:textId="77777777" w:rsidR="009863D8" w:rsidRPr="009D347B" w:rsidRDefault="009863D8" w:rsidP="009863D8">
            <w:r w:rsidRPr="009D347B">
              <w:t>35 000</w:t>
            </w:r>
            <w:r>
              <w:t xml:space="preserve"> $</w:t>
            </w:r>
          </w:p>
        </w:tc>
      </w:tr>
      <w:tr w:rsidR="009863D8" w:rsidRPr="00BA1AEA" w14:paraId="2E835C86"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332A05F" w14:textId="77777777" w:rsidR="009863D8" w:rsidRPr="00BA1AEA" w:rsidRDefault="009863D8" w:rsidP="009863D8">
            <w:pPr>
              <w:rPr>
                <w:b/>
                <w:bCs/>
                <w:u w:val="single"/>
              </w:rPr>
            </w:pPr>
            <w:r w:rsidRPr="00BA1AEA">
              <w:rPr>
                <w:b/>
                <w:bCs/>
                <w:u w:val="single"/>
              </w:rPr>
              <w:t>2013</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683F14C8" w14:textId="77777777" w:rsidR="009863D8" w:rsidRPr="00BA1AEA" w:rsidRDefault="009863D8" w:rsidP="009863D8">
            <w:pPr>
              <w:rPr>
                <w:u w:val="single"/>
              </w:rPr>
            </w:pPr>
            <w:r w:rsidRPr="00BA1AEA">
              <w:rPr>
                <w:u w:val="single"/>
              </w:rPr>
              <w:t>51 100 $</w:t>
            </w:r>
          </w:p>
        </w:tc>
        <w:tc>
          <w:tcPr>
            <w:tcW w:w="1591" w:type="dxa"/>
            <w:tcBorders>
              <w:top w:val="single" w:sz="8" w:space="0" w:color="6D6D6D"/>
              <w:left w:val="single" w:sz="8" w:space="0" w:color="6D6D6D"/>
              <w:bottom w:val="single" w:sz="8" w:space="0" w:color="6D6D6D"/>
            </w:tcBorders>
          </w:tcPr>
          <w:p w14:paraId="570D264E" w14:textId="77777777" w:rsidR="009863D8" w:rsidRPr="009D347B" w:rsidRDefault="009863D8" w:rsidP="009863D8">
            <w:r w:rsidRPr="009D347B">
              <w:t>45 000</w:t>
            </w:r>
            <w:r>
              <w:t xml:space="preserve"> $</w:t>
            </w:r>
          </w:p>
        </w:tc>
      </w:tr>
      <w:tr w:rsidR="009863D8" w:rsidRPr="00BA1AEA" w14:paraId="469A3D60"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0814086" w14:textId="77777777" w:rsidR="009863D8" w:rsidRPr="00BA1AEA" w:rsidRDefault="009863D8" w:rsidP="009863D8">
            <w:pPr>
              <w:rPr>
                <w:b/>
                <w:bCs/>
                <w:u w:val="single"/>
              </w:rPr>
            </w:pPr>
            <w:r w:rsidRPr="00BA1AEA">
              <w:rPr>
                <w:b/>
                <w:bCs/>
                <w:u w:val="single"/>
              </w:rPr>
              <w:t>2014</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7994FEDC" w14:textId="77777777" w:rsidR="009863D8" w:rsidRPr="00BA1AEA" w:rsidRDefault="009863D8" w:rsidP="009863D8">
            <w:pPr>
              <w:rPr>
                <w:u w:val="single"/>
              </w:rPr>
            </w:pPr>
            <w:r w:rsidRPr="00BA1AEA">
              <w:rPr>
                <w:u w:val="single"/>
              </w:rPr>
              <w:t>52 500 $</w:t>
            </w:r>
          </w:p>
        </w:tc>
        <w:tc>
          <w:tcPr>
            <w:tcW w:w="1591" w:type="dxa"/>
            <w:tcBorders>
              <w:top w:val="single" w:sz="8" w:space="0" w:color="6D6D6D"/>
              <w:left w:val="single" w:sz="8" w:space="0" w:color="6D6D6D"/>
              <w:bottom w:val="single" w:sz="8" w:space="0" w:color="6D6D6D"/>
            </w:tcBorders>
          </w:tcPr>
          <w:p w14:paraId="6402483D" w14:textId="77777777" w:rsidR="009863D8" w:rsidRPr="009D347B" w:rsidRDefault="009863D8" w:rsidP="009863D8">
            <w:pPr>
              <w:rPr>
                <w:b/>
              </w:rPr>
            </w:pPr>
            <w:r w:rsidRPr="009D347B">
              <w:t>55 000</w:t>
            </w:r>
            <w:r>
              <w:t xml:space="preserve"> $</w:t>
            </w:r>
          </w:p>
        </w:tc>
      </w:tr>
      <w:tr w:rsidR="009863D8" w:rsidRPr="00BA1AEA" w14:paraId="1D7DCFD4" w14:textId="77777777" w:rsidTr="009863D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6317753" w14:textId="77777777" w:rsidR="009863D8" w:rsidRPr="00BA1AEA" w:rsidRDefault="009863D8" w:rsidP="009863D8">
            <w:pPr>
              <w:rPr>
                <w:b/>
                <w:bCs/>
                <w:u w:val="single"/>
              </w:rPr>
            </w:pPr>
            <w:r w:rsidRPr="00BA1AEA">
              <w:rPr>
                <w:b/>
                <w:bCs/>
                <w:u w:val="single"/>
              </w:rPr>
              <w:t>2015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2BB70C3" w14:textId="77777777" w:rsidR="009863D8" w:rsidRPr="00BA1AEA" w:rsidRDefault="009863D8" w:rsidP="009863D8">
            <w:pPr>
              <w:rPr>
                <w:u w:val="single"/>
              </w:rPr>
            </w:pPr>
            <w:r w:rsidRPr="00BA1AEA">
              <w:rPr>
                <w:u w:val="single"/>
              </w:rPr>
              <w:t>53 600 $</w:t>
            </w:r>
          </w:p>
        </w:tc>
        <w:tc>
          <w:tcPr>
            <w:tcW w:w="1591" w:type="dxa"/>
            <w:tcBorders>
              <w:top w:val="single" w:sz="8" w:space="0" w:color="6D6D6D"/>
              <w:left w:val="single" w:sz="8" w:space="0" w:color="6D6D6D"/>
              <w:bottom w:val="single" w:sz="8" w:space="0" w:color="6D6D6D"/>
            </w:tcBorders>
          </w:tcPr>
          <w:p w14:paraId="7BE1B8DC" w14:textId="77777777" w:rsidR="009863D8" w:rsidRPr="009D347B" w:rsidRDefault="009863D8" w:rsidP="009863D8">
            <w:r w:rsidRPr="009D347B">
              <w:t>55 000</w:t>
            </w:r>
            <w:r>
              <w:t xml:space="preserve"> $</w:t>
            </w:r>
          </w:p>
        </w:tc>
      </w:tr>
    </w:tbl>
    <w:p w14:paraId="78ED6A52" w14:textId="77777777" w:rsidR="008D7F82" w:rsidRPr="008D7F82" w:rsidRDefault="008D7F82" w:rsidP="00F20590">
      <w:pPr>
        <w:ind w:hanging="1"/>
        <w:jc w:val="both"/>
        <w:rPr>
          <w:rFonts w:asciiTheme="majorHAnsi" w:hAnsiTheme="majorHAnsi"/>
        </w:rPr>
      </w:pPr>
    </w:p>
    <w:p w14:paraId="1FD88FF8" w14:textId="77777777" w:rsidR="008D7F82" w:rsidRDefault="008D7F82" w:rsidP="00F20590">
      <w:pPr>
        <w:ind w:hanging="1"/>
        <w:jc w:val="both"/>
        <w:rPr>
          <w:rFonts w:ascii="Avenir Book" w:hAnsi="Avenir Book"/>
        </w:rPr>
      </w:pPr>
    </w:p>
    <w:p w14:paraId="7994A115" w14:textId="77777777" w:rsidR="008D7F82" w:rsidRDefault="008D7F82" w:rsidP="00F20590">
      <w:pPr>
        <w:ind w:hanging="1"/>
        <w:jc w:val="both"/>
        <w:rPr>
          <w:rFonts w:ascii="Avenir Book" w:hAnsi="Avenir Book"/>
        </w:rPr>
      </w:pPr>
    </w:p>
    <w:p w14:paraId="60B646CE" w14:textId="77777777" w:rsidR="00405F7B" w:rsidRDefault="00405F7B" w:rsidP="002D52C6">
      <w:pPr>
        <w:jc w:val="both"/>
      </w:pPr>
    </w:p>
    <w:p w14:paraId="4BC7307D" w14:textId="77777777" w:rsidR="00405F7B" w:rsidRDefault="00405F7B" w:rsidP="002D52C6">
      <w:pPr>
        <w:jc w:val="both"/>
      </w:pPr>
    </w:p>
    <w:p w14:paraId="339C1B94" w14:textId="77777777" w:rsidR="00405F7B" w:rsidRDefault="00405F7B" w:rsidP="002D52C6">
      <w:pPr>
        <w:jc w:val="both"/>
      </w:pPr>
    </w:p>
    <w:p w14:paraId="06DAD363" w14:textId="77777777" w:rsidR="00405F7B" w:rsidRDefault="00405F7B" w:rsidP="002D52C6">
      <w:pPr>
        <w:jc w:val="both"/>
      </w:pPr>
    </w:p>
    <w:p w14:paraId="13EC2F8B" w14:textId="77777777" w:rsidR="00405F7B" w:rsidRDefault="00405F7B" w:rsidP="002D52C6">
      <w:pPr>
        <w:jc w:val="both"/>
      </w:pPr>
    </w:p>
    <w:p w14:paraId="66E8B246" w14:textId="77777777" w:rsidR="00405F7B" w:rsidRDefault="00405F7B" w:rsidP="002D52C6">
      <w:pPr>
        <w:jc w:val="both"/>
      </w:pPr>
    </w:p>
    <w:p w14:paraId="080C0BEA" w14:textId="77777777" w:rsidR="00405F7B" w:rsidRDefault="00405F7B" w:rsidP="002D52C6">
      <w:pPr>
        <w:jc w:val="both"/>
      </w:pPr>
    </w:p>
    <w:p w14:paraId="5131B360" w14:textId="77777777" w:rsidR="00405F7B" w:rsidRDefault="00405F7B" w:rsidP="002D52C6">
      <w:pPr>
        <w:jc w:val="both"/>
      </w:pPr>
    </w:p>
    <w:p w14:paraId="7ABB3985" w14:textId="77777777" w:rsidR="00405F7B" w:rsidRDefault="00405F7B" w:rsidP="002D52C6">
      <w:pPr>
        <w:jc w:val="both"/>
      </w:pPr>
    </w:p>
    <w:p w14:paraId="7B9AA6BD" w14:textId="77777777" w:rsidR="00405F7B" w:rsidRDefault="00405F7B" w:rsidP="002D52C6">
      <w:pPr>
        <w:jc w:val="both"/>
      </w:pPr>
    </w:p>
    <w:p w14:paraId="76FB9193" w14:textId="77777777" w:rsidR="00405F7B" w:rsidRDefault="00405F7B" w:rsidP="002D52C6">
      <w:pPr>
        <w:jc w:val="both"/>
      </w:pPr>
    </w:p>
    <w:p w14:paraId="2C0CAA6A" w14:textId="77777777" w:rsidR="00405F7B" w:rsidRDefault="00405F7B" w:rsidP="002D52C6">
      <w:pPr>
        <w:jc w:val="both"/>
      </w:pPr>
    </w:p>
    <w:p w14:paraId="0C041B7C" w14:textId="72B0FFA4" w:rsidR="009863D8" w:rsidRDefault="009863D8">
      <w:r>
        <w:br w:type="page"/>
      </w:r>
    </w:p>
    <w:p w14:paraId="4C91CFEB" w14:textId="48095A7F" w:rsidR="00446390" w:rsidRDefault="00446390">
      <w:r>
        <w:lastRenderedPageBreak/>
        <w:t>Voici la démarche pour répondre à l'interrogation de Prospère.</w:t>
      </w:r>
    </w:p>
    <w:p w14:paraId="52E40E50" w14:textId="77777777" w:rsidR="00446390" w:rsidRDefault="00446390"/>
    <w:p w14:paraId="10E240FE" w14:textId="77777777" w:rsidR="00446390" w:rsidRDefault="00446390"/>
    <w:p w14:paraId="2E75E2D9" w14:textId="1F446FB3" w:rsidR="00DC02B8" w:rsidRDefault="005C1662">
      <w:r>
        <w:rPr>
          <w:noProof/>
          <w:lang w:eastAsia="fr-FR"/>
        </w:rPr>
        <mc:AlternateContent>
          <mc:Choice Requires="wps">
            <w:drawing>
              <wp:anchor distT="0" distB="0" distL="114300" distR="114300" simplePos="0" relativeHeight="251995136" behindDoc="0" locked="0" layoutInCell="1" allowOverlap="1" wp14:anchorId="50A5CD9C" wp14:editId="037A2407">
                <wp:simplePos x="0" y="0"/>
                <wp:positionH relativeFrom="column">
                  <wp:posOffset>-228600</wp:posOffset>
                </wp:positionH>
                <wp:positionV relativeFrom="paragraph">
                  <wp:posOffset>-114300</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130" name="Ellipse 130"/>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7E5EEB9D" w14:textId="77777777" w:rsidR="00573C95" w:rsidRDefault="00573C95" w:rsidP="00DC02B8">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0" o:spid="_x0000_s1071" style="position:absolute;margin-left:-17.95pt;margin-top:-8.95pt;width:36pt;height:36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" fillcolor="#ff6700 [3206]" strokecolor="#ff6700 [3206]">
                <v:fill color2="#e55c00 [2886]" rotate="t" focus="100%" type="gradient">
                  <o:fill v:ext="view" type="gradientUnscaled"/>
                </v:fill>
                <v:shadow on="t" opacity="18350f" mv:blur="50800f" origin=",.5" offset="0,2pt"/>
                <v:textbox>
                  <w:txbxContent>
                    <w:p w14:paraId="7E5EEB9D" w14:textId="77777777" w:rsidR="001501D6" w:rsidRDefault="001501D6" w:rsidP="00DC02B8">
                      <w:pPr>
                        <w:jc w:val="center"/>
                      </w:pPr>
                      <w:r>
                        <w:t>1</w:t>
                      </w:r>
                    </w:p>
                  </w:txbxContent>
                </v:textbox>
                <w10:wrap type="through"/>
              </v:oval>
            </w:pict>
          </mc:Fallback>
        </mc:AlternateContent>
      </w:r>
      <w:r w:rsidR="00DC02B8">
        <w:t>Convertir les revenus admissibles en fonction de l'année 2015 en utilisant un facteur d'indexation fondé sur les MGA</w:t>
      </w:r>
    </w:p>
    <w:p w14:paraId="56013B89" w14:textId="77777777" w:rsidR="00DC02B8" w:rsidRDefault="00DC02B8"/>
    <w:tbl>
      <w:tblPr>
        <w:tblpPr w:leftFromText="141" w:rightFromText="141" w:vertAnchor="text" w:horzAnchor="page" w:tblpX="2786" w:tblpY="19"/>
        <w:tblOverlap w:val="never"/>
        <w:tblW w:w="0" w:type="auto"/>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408"/>
        <w:gridCol w:w="1220"/>
        <w:gridCol w:w="1591"/>
      </w:tblGrid>
      <w:tr w:rsidR="005C1662" w:rsidRPr="00BA1AEA" w14:paraId="575EC61D" w14:textId="77777777" w:rsidTr="00B76F68">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4F0A6CD" w14:textId="77777777" w:rsidR="005C1662" w:rsidRPr="009D347B" w:rsidRDefault="005C1662" w:rsidP="005C1662">
            <w:pPr>
              <w:rPr>
                <w:b/>
                <w:bCs/>
              </w:rPr>
            </w:pPr>
            <w:r w:rsidRPr="009D347B">
              <w:rPr>
                <w:b/>
                <w:bCs/>
              </w:rPr>
              <w:t>Année</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F3BEDB9" w14:textId="77777777" w:rsidR="005C1662" w:rsidRPr="00BA1AEA" w:rsidRDefault="005C1662" w:rsidP="005C1662">
            <w:pPr>
              <w:rPr>
                <w:b/>
                <w:bCs/>
                <w:u w:val="single"/>
              </w:rPr>
            </w:pPr>
            <w:r w:rsidRPr="009D347B">
              <w:rPr>
                <w:b/>
                <w:bCs/>
              </w:rPr>
              <w:t xml:space="preserve">Montant </w:t>
            </w:r>
            <w:r w:rsidRPr="00DC02B8">
              <w:rPr>
                <w:b/>
                <w:bCs/>
              </w:rPr>
              <w:t>du MGA</w:t>
            </w:r>
          </w:p>
        </w:tc>
        <w:tc>
          <w:tcPr>
            <w:tcW w:w="1591" w:type="dxa"/>
            <w:tcBorders>
              <w:top w:val="single" w:sz="8" w:space="0" w:color="6D6D6D"/>
              <w:left w:val="single" w:sz="8" w:space="0" w:color="6D6D6D"/>
              <w:bottom w:val="single" w:sz="8" w:space="0" w:color="6D6D6D"/>
            </w:tcBorders>
            <w:shd w:val="clear" w:color="auto" w:fill="909465" w:themeFill="accent4"/>
          </w:tcPr>
          <w:p w14:paraId="191BB796" w14:textId="77777777" w:rsidR="005C1662" w:rsidRPr="009D347B" w:rsidRDefault="005C1662" w:rsidP="005C1662">
            <w:pPr>
              <w:rPr>
                <w:b/>
                <w:bCs/>
              </w:rPr>
            </w:pPr>
            <w:r>
              <w:rPr>
                <w:b/>
                <w:bCs/>
              </w:rPr>
              <w:t>Revenu</w:t>
            </w:r>
            <w:r w:rsidRPr="009D347B">
              <w:rPr>
                <w:b/>
                <w:bCs/>
              </w:rPr>
              <w:t xml:space="preserve"> admissible</w:t>
            </w:r>
            <w:r>
              <w:rPr>
                <w:b/>
                <w:bCs/>
              </w:rPr>
              <w:t xml:space="preserve"> indexé</w:t>
            </w:r>
          </w:p>
        </w:tc>
      </w:tr>
      <w:tr w:rsidR="005C1662" w:rsidRPr="00BA1AEA" w14:paraId="77FF4BB4"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9E33175" w14:textId="77777777" w:rsidR="005C1662" w:rsidRPr="00BA1AEA" w:rsidRDefault="005C1662" w:rsidP="005C1662">
            <w:pPr>
              <w:rPr>
                <w:b/>
                <w:bCs/>
                <w:u w:val="single"/>
              </w:rPr>
            </w:pPr>
            <w:r>
              <w:rPr>
                <w:b/>
                <w:bCs/>
                <w:u w:val="single"/>
              </w:rPr>
              <w:t>2005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BED370F" w14:textId="77777777" w:rsidR="005C1662" w:rsidRPr="009D347B" w:rsidRDefault="005C1662" w:rsidP="005C1662">
            <w:pPr>
              <w:rPr>
                <w:b/>
              </w:rPr>
            </w:pPr>
            <w:r>
              <w:rPr>
                <w:b/>
              </w:rPr>
              <w:t>S/O</w:t>
            </w:r>
          </w:p>
        </w:tc>
        <w:tc>
          <w:tcPr>
            <w:tcW w:w="1591" w:type="dxa"/>
            <w:tcBorders>
              <w:top w:val="single" w:sz="8" w:space="0" w:color="6D6D6D"/>
              <w:left w:val="single" w:sz="8" w:space="0" w:color="6D6D6D"/>
              <w:bottom w:val="single" w:sz="8" w:space="0" w:color="6D6D6D"/>
            </w:tcBorders>
            <w:shd w:val="clear" w:color="auto" w:fill="909465" w:themeFill="accent4"/>
          </w:tcPr>
          <w:p w14:paraId="66662751" w14:textId="77777777" w:rsidR="005C1662" w:rsidRPr="009D347B" w:rsidRDefault="005C1662" w:rsidP="005C1662">
            <w:pPr>
              <w:rPr>
                <w:b/>
              </w:rPr>
            </w:pPr>
            <w:r w:rsidRPr="009D347B">
              <w:rPr>
                <w:b/>
              </w:rPr>
              <w:t>S/O</w:t>
            </w:r>
          </w:p>
        </w:tc>
      </w:tr>
      <w:tr w:rsidR="005C1662" w:rsidRPr="00BA1AEA" w14:paraId="78CBE1A3"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8082D35" w14:textId="77777777" w:rsidR="005C1662" w:rsidRPr="00BA1AEA" w:rsidRDefault="005C1662" w:rsidP="005C1662">
            <w:pPr>
              <w:rPr>
                <w:b/>
                <w:bCs/>
                <w:u w:val="single"/>
              </w:rPr>
            </w:pPr>
            <w:r>
              <w:rPr>
                <w:b/>
                <w:bCs/>
                <w:u w:val="single"/>
              </w:rPr>
              <w:t>2006</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CBB04A0" w14:textId="77777777" w:rsidR="005C1662" w:rsidRPr="00BA1AEA" w:rsidRDefault="005C1662" w:rsidP="005C1662">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shd w:val="clear" w:color="auto" w:fill="909465" w:themeFill="accent4"/>
          </w:tcPr>
          <w:p w14:paraId="7DAD34B4" w14:textId="77777777" w:rsidR="005C1662" w:rsidRPr="009D347B" w:rsidRDefault="005C1662" w:rsidP="005C1662">
            <w:r>
              <w:t>30 647 $</w:t>
            </w:r>
            <w:r>
              <w:rPr>
                <w:rStyle w:val="Marquenotebasdepage"/>
              </w:rPr>
              <w:footnoteReference w:customMarkFollows="1" w:id="24"/>
              <w:t>21</w:t>
            </w:r>
          </w:p>
        </w:tc>
      </w:tr>
      <w:tr w:rsidR="005C1662" w:rsidRPr="00BA1AEA" w14:paraId="5B6C87CF"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09C1AFB" w14:textId="77777777" w:rsidR="005C1662" w:rsidRPr="00BA1AEA" w:rsidRDefault="005C1662" w:rsidP="005C1662">
            <w:pPr>
              <w:rPr>
                <w:b/>
                <w:bCs/>
                <w:u w:val="single"/>
              </w:rPr>
            </w:pPr>
            <w:r>
              <w:rPr>
                <w:b/>
                <w:bCs/>
                <w:u w:val="single"/>
              </w:rPr>
              <w:t>2007</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FC3F742" w14:textId="77777777" w:rsidR="005C1662" w:rsidRPr="00BA1AEA" w:rsidRDefault="005C1662" w:rsidP="005C1662">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shd w:val="clear" w:color="auto" w:fill="909465" w:themeFill="accent4"/>
          </w:tcPr>
          <w:p w14:paraId="5BF18447" w14:textId="77777777" w:rsidR="005C1662" w:rsidRPr="009D347B" w:rsidRDefault="005C1662" w:rsidP="005C1662">
            <w:r>
              <w:t>33 255 $</w:t>
            </w:r>
          </w:p>
        </w:tc>
      </w:tr>
      <w:tr w:rsidR="005C1662" w:rsidRPr="00BA1AEA" w14:paraId="44D1270D"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DA2FF3E" w14:textId="77777777" w:rsidR="005C1662" w:rsidRPr="00BA1AEA" w:rsidRDefault="005C1662" w:rsidP="005C1662">
            <w:pPr>
              <w:rPr>
                <w:b/>
                <w:bCs/>
                <w:u w:val="single"/>
              </w:rPr>
            </w:pPr>
            <w:r w:rsidRPr="00BA1AEA">
              <w:rPr>
                <w:b/>
                <w:bCs/>
                <w:u w:val="single"/>
              </w:rPr>
              <w:t>200</w:t>
            </w:r>
            <w:r>
              <w:rPr>
                <w:b/>
                <w:bCs/>
                <w:u w:val="single"/>
              </w:rPr>
              <w:t>8</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126CEB5" w14:textId="77777777" w:rsidR="005C1662" w:rsidRPr="00BA1AEA" w:rsidRDefault="005C1662" w:rsidP="005C1662">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shd w:val="clear" w:color="auto" w:fill="909465" w:themeFill="accent4"/>
          </w:tcPr>
          <w:p w14:paraId="68D4BFDB" w14:textId="77777777" w:rsidR="005C1662" w:rsidRPr="009D347B" w:rsidRDefault="005C1662" w:rsidP="005C1662">
            <w:r w:rsidRPr="009D347B">
              <w:t>3</w:t>
            </w:r>
            <w:r>
              <w:t>9 124 $</w:t>
            </w:r>
          </w:p>
        </w:tc>
      </w:tr>
      <w:tr w:rsidR="005C1662" w:rsidRPr="00BA1AEA" w14:paraId="0040E260"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6D3E62E" w14:textId="77777777" w:rsidR="005C1662" w:rsidRPr="00BA1AEA" w:rsidRDefault="005C1662" w:rsidP="005C1662">
            <w:pPr>
              <w:rPr>
                <w:b/>
                <w:bCs/>
                <w:u w:val="single"/>
              </w:rPr>
            </w:pPr>
            <w:r w:rsidRPr="00BA1AEA">
              <w:rPr>
                <w:b/>
                <w:bCs/>
                <w:u w:val="single"/>
              </w:rPr>
              <w:t>200</w:t>
            </w:r>
            <w:r>
              <w:rPr>
                <w:b/>
                <w:bCs/>
                <w:u w:val="single"/>
              </w:rPr>
              <w:t>9</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A323EFD" w14:textId="77777777" w:rsidR="005C1662" w:rsidRPr="00BA1AEA" w:rsidRDefault="005C1662" w:rsidP="005C1662">
            <w:pPr>
              <w:rPr>
                <w:u w:val="single"/>
              </w:rPr>
            </w:pPr>
            <w:r w:rsidRPr="00BA1AEA">
              <w:rPr>
                <w:u w:val="single"/>
              </w:rPr>
              <w:t>41 100 $</w:t>
            </w:r>
          </w:p>
        </w:tc>
        <w:tc>
          <w:tcPr>
            <w:tcW w:w="1591" w:type="dxa"/>
            <w:tcBorders>
              <w:top w:val="single" w:sz="8" w:space="0" w:color="6D6D6D"/>
              <w:left w:val="single" w:sz="8" w:space="0" w:color="6D6D6D"/>
              <w:bottom w:val="single" w:sz="8" w:space="0" w:color="6D6D6D"/>
            </w:tcBorders>
            <w:shd w:val="clear" w:color="auto" w:fill="909465" w:themeFill="accent4"/>
          </w:tcPr>
          <w:p w14:paraId="64A7464D" w14:textId="77777777" w:rsidR="005C1662" w:rsidRPr="009D347B" w:rsidRDefault="005C1662" w:rsidP="005C1662">
            <w:r>
              <w:t>35 211 $</w:t>
            </w:r>
          </w:p>
        </w:tc>
      </w:tr>
      <w:tr w:rsidR="005C1662" w:rsidRPr="00BA1AEA" w14:paraId="46AC1D3A"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4392DA7" w14:textId="77777777" w:rsidR="005C1662" w:rsidRPr="00BA1AEA" w:rsidRDefault="005C1662" w:rsidP="005C1662">
            <w:pPr>
              <w:rPr>
                <w:b/>
                <w:bCs/>
                <w:u w:val="single"/>
              </w:rPr>
            </w:pPr>
            <w:r w:rsidRPr="00BA1AEA">
              <w:rPr>
                <w:b/>
                <w:bCs/>
                <w:u w:val="single"/>
              </w:rPr>
              <w:t>2010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0994307" w14:textId="77777777" w:rsidR="005C1662" w:rsidRPr="00BA1AEA" w:rsidRDefault="005C1662" w:rsidP="005C1662">
            <w:pPr>
              <w:rPr>
                <w:u w:val="single"/>
              </w:rPr>
            </w:pPr>
            <w:r w:rsidRPr="00BA1AEA">
              <w:rPr>
                <w:u w:val="single"/>
              </w:rPr>
              <w:t>47 200 $</w:t>
            </w:r>
          </w:p>
        </w:tc>
        <w:tc>
          <w:tcPr>
            <w:tcW w:w="1591" w:type="dxa"/>
            <w:tcBorders>
              <w:top w:val="single" w:sz="8" w:space="0" w:color="6D6D6D"/>
              <w:left w:val="single" w:sz="8" w:space="0" w:color="6D6D6D"/>
              <w:bottom w:val="single" w:sz="8" w:space="0" w:color="6D6D6D"/>
            </w:tcBorders>
            <w:shd w:val="clear" w:color="auto" w:fill="909465" w:themeFill="accent4"/>
          </w:tcPr>
          <w:p w14:paraId="02AD1FDD" w14:textId="77777777" w:rsidR="005C1662" w:rsidRPr="009D347B" w:rsidRDefault="005C1662" w:rsidP="005C1662">
            <w:r w:rsidRPr="009D347B">
              <w:t>1</w:t>
            </w:r>
            <w:r>
              <w:t>9 305 $</w:t>
            </w:r>
          </w:p>
        </w:tc>
      </w:tr>
      <w:tr w:rsidR="005C1662" w:rsidRPr="00BA1AEA" w14:paraId="7C7BC406"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3EA1FE6" w14:textId="77777777" w:rsidR="005C1662" w:rsidRPr="00BA1AEA" w:rsidRDefault="005C1662" w:rsidP="005C1662">
            <w:pPr>
              <w:rPr>
                <w:b/>
                <w:bCs/>
                <w:u w:val="single"/>
              </w:rPr>
            </w:pPr>
            <w:r w:rsidRPr="00BA1AEA">
              <w:rPr>
                <w:b/>
                <w:bCs/>
                <w:u w:val="single"/>
              </w:rPr>
              <w:t>2011</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7D6A5A0" w14:textId="77777777" w:rsidR="005C1662" w:rsidRPr="00BA1AEA" w:rsidRDefault="005C1662" w:rsidP="005C1662">
            <w:pPr>
              <w:rPr>
                <w:u w:val="single"/>
              </w:rPr>
            </w:pPr>
            <w:r w:rsidRPr="00BA1AEA">
              <w:rPr>
                <w:u w:val="single"/>
              </w:rPr>
              <w:t>48 300 $</w:t>
            </w:r>
          </w:p>
        </w:tc>
        <w:tc>
          <w:tcPr>
            <w:tcW w:w="1591" w:type="dxa"/>
            <w:tcBorders>
              <w:top w:val="single" w:sz="8" w:space="0" w:color="6D6D6D"/>
              <w:left w:val="single" w:sz="8" w:space="0" w:color="6D6D6D"/>
              <w:bottom w:val="single" w:sz="8" w:space="0" w:color="6D6D6D"/>
            </w:tcBorders>
            <w:shd w:val="clear" w:color="auto" w:fill="909465" w:themeFill="accent4"/>
          </w:tcPr>
          <w:p w14:paraId="609CDA9E" w14:textId="77777777" w:rsidR="005C1662" w:rsidRPr="009D347B" w:rsidRDefault="005C1662" w:rsidP="005C1662">
            <w:r>
              <w:t>36 621 $</w:t>
            </w:r>
          </w:p>
        </w:tc>
      </w:tr>
      <w:tr w:rsidR="005C1662" w:rsidRPr="00BA1AEA" w14:paraId="1E040D6B"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31C1836" w14:textId="77777777" w:rsidR="005C1662" w:rsidRPr="00BA1AEA" w:rsidRDefault="005C1662" w:rsidP="005C1662">
            <w:pPr>
              <w:rPr>
                <w:b/>
                <w:bCs/>
                <w:u w:val="single"/>
              </w:rPr>
            </w:pPr>
            <w:r w:rsidRPr="00BA1AEA">
              <w:rPr>
                <w:b/>
                <w:bCs/>
                <w:u w:val="single"/>
              </w:rPr>
              <w:t>2012</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7D9972C" w14:textId="77777777" w:rsidR="005C1662" w:rsidRPr="00BA1AEA" w:rsidRDefault="005C1662" w:rsidP="005C1662">
            <w:pPr>
              <w:rPr>
                <w:u w:val="single"/>
              </w:rPr>
            </w:pPr>
            <w:r w:rsidRPr="00BA1AEA">
              <w:rPr>
                <w:u w:val="single"/>
              </w:rPr>
              <w:t>50 100 $</w:t>
            </w:r>
          </w:p>
        </w:tc>
        <w:tc>
          <w:tcPr>
            <w:tcW w:w="1591" w:type="dxa"/>
            <w:tcBorders>
              <w:top w:val="single" w:sz="8" w:space="0" w:color="6D6D6D"/>
              <w:left w:val="single" w:sz="8" w:space="0" w:color="6D6D6D"/>
              <w:bottom w:val="single" w:sz="8" w:space="0" w:color="6D6D6D"/>
            </w:tcBorders>
            <w:shd w:val="clear" w:color="auto" w:fill="909465" w:themeFill="accent4"/>
          </w:tcPr>
          <w:p w14:paraId="51895EBB" w14:textId="77777777" w:rsidR="005C1662" w:rsidRPr="009D347B" w:rsidRDefault="005C1662" w:rsidP="005C1662">
            <w:r w:rsidRPr="009D347B">
              <w:t>3</w:t>
            </w:r>
            <w:r>
              <w:t>7 445 $</w:t>
            </w:r>
          </w:p>
        </w:tc>
      </w:tr>
      <w:tr w:rsidR="005C1662" w:rsidRPr="00BA1AEA" w14:paraId="0FC57F23"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C83816A" w14:textId="77777777" w:rsidR="005C1662" w:rsidRPr="00BA1AEA" w:rsidRDefault="005C1662" w:rsidP="005C1662">
            <w:pPr>
              <w:rPr>
                <w:b/>
                <w:bCs/>
                <w:u w:val="single"/>
              </w:rPr>
            </w:pPr>
            <w:r w:rsidRPr="00BA1AEA">
              <w:rPr>
                <w:b/>
                <w:bCs/>
                <w:u w:val="single"/>
              </w:rPr>
              <w:t>2013</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7C08742E" w14:textId="77777777" w:rsidR="005C1662" w:rsidRPr="00BA1AEA" w:rsidRDefault="005C1662" w:rsidP="005C1662">
            <w:pPr>
              <w:rPr>
                <w:u w:val="single"/>
              </w:rPr>
            </w:pPr>
            <w:r w:rsidRPr="00BA1AEA">
              <w:rPr>
                <w:u w:val="single"/>
              </w:rPr>
              <w:t>51 100 $</w:t>
            </w:r>
          </w:p>
        </w:tc>
        <w:tc>
          <w:tcPr>
            <w:tcW w:w="1591" w:type="dxa"/>
            <w:tcBorders>
              <w:top w:val="single" w:sz="8" w:space="0" w:color="6D6D6D"/>
              <w:left w:val="single" w:sz="8" w:space="0" w:color="6D6D6D"/>
              <w:bottom w:val="single" w:sz="8" w:space="0" w:color="6D6D6D"/>
            </w:tcBorders>
            <w:shd w:val="clear" w:color="auto" w:fill="909465" w:themeFill="accent4"/>
          </w:tcPr>
          <w:p w14:paraId="6B5DFD26" w14:textId="77777777" w:rsidR="005C1662" w:rsidRPr="009D347B" w:rsidRDefault="005C1662" w:rsidP="005C1662">
            <w:r w:rsidRPr="009D347B">
              <w:t>4</w:t>
            </w:r>
            <w:r>
              <w:t>7 202 $</w:t>
            </w:r>
          </w:p>
        </w:tc>
      </w:tr>
      <w:tr w:rsidR="005C1662" w:rsidRPr="00BA1AEA" w14:paraId="74D90444"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6AB1D96" w14:textId="77777777" w:rsidR="005C1662" w:rsidRPr="00BA1AEA" w:rsidRDefault="005C1662" w:rsidP="005C1662">
            <w:pPr>
              <w:rPr>
                <w:b/>
                <w:bCs/>
                <w:u w:val="single"/>
              </w:rPr>
            </w:pPr>
            <w:r w:rsidRPr="00BA1AEA">
              <w:rPr>
                <w:b/>
                <w:bCs/>
                <w:u w:val="single"/>
              </w:rPr>
              <w:t>2014</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D9ABBFE" w14:textId="77777777" w:rsidR="005C1662" w:rsidRPr="00BA1AEA" w:rsidRDefault="005C1662" w:rsidP="005C1662">
            <w:pPr>
              <w:rPr>
                <w:u w:val="single"/>
              </w:rPr>
            </w:pPr>
            <w:r w:rsidRPr="00BA1AEA">
              <w:rPr>
                <w:u w:val="single"/>
              </w:rPr>
              <w:t>52 500 $</w:t>
            </w:r>
          </w:p>
        </w:tc>
        <w:tc>
          <w:tcPr>
            <w:tcW w:w="1591" w:type="dxa"/>
            <w:tcBorders>
              <w:top w:val="single" w:sz="8" w:space="0" w:color="6D6D6D"/>
              <w:left w:val="single" w:sz="8" w:space="0" w:color="6D6D6D"/>
              <w:bottom w:val="single" w:sz="8" w:space="0" w:color="6D6D6D"/>
            </w:tcBorders>
            <w:shd w:val="clear" w:color="auto" w:fill="909465" w:themeFill="accent4"/>
          </w:tcPr>
          <w:p w14:paraId="042AB11B" w14:textId="77777777" w:rsidR="005C1662" w:rsidRPr="009D347B" w:rsidRDefault="005C1662" w:rsidP="005C1662">
            <w:pPr>
              <w:rPr>
                <w:b/>
              </w:rPr>
            </w:pPr>
            <w:r w:rsidRPr="009D347B">
              <w:t>5</w:t>
            </w:r>
            <w:r>
              <w:t>3</w:t>
            </w:r>
            <w:r w:rsidRPr="009D347B">
              <w:t xml:space="preserve"> </w:t>
            </w:r>
            <w:r>
              <w:t>6</w:t>
            </w:r>
            <w:r w:rsidRPr="009D347B">
              <w:t>00</w:t>
            </w:r>
            <w:r>
              <w:t xml:space="preserve"> $</w:t>
            </w:r>
            <w:r>
              <w:rPr>
                <w:rStyle w:val="Marquenotebasdepage"/>
              </w:rPr>
              <w:footnoteReference w:customMarkFollows="1" w:id="25"/>
              <w:t>22</w:t>
            </w:r>
          </w:p>
        </w:tc>
      </w:tr>
      <w:tr w:rsidR="005C1662" w:rsidRPr="00BA1AEA" w14:paraId="08251AB5" w14:textId="77777777" w:rsidTr="00B76F6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4858C07" w14:textId="77777777" w:rsidR="005C1662" w:rsidRPr="00BA1AEA" w:rsidRDefault="005C1662" w:rsidP="005C1662">
            <w:pPr>
              <w:rPr>
                <w:b/>
                <w:bCs/>
                <w:u w:val="single"/>
              </w:rPr>
            </w:pPr>
            <w:r w:rsidRPr="00BA1AEA">
              <w:rPr>
                <w:b/>
                <w:bCs/>
                <w:u w:val="single"/>
              </w:rPr>
              <w:t>2015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259D4F7" w14:textId="77777777" w:rsidR="005C1662" w:rsidRPr="00BA1AEA" w:rsidRDefault="005C1662" w:rsidP="005C1662">
            <w:pPr>
              <w:rPr>
                <w:u w:val="single"/>
              </w:rPr>
            </w:pPr>
            <w:r w:rsidRPr="00BA1AEA">
              <w:rPr>
                <w:u w:val="single"/>
              </w:rPr>
              <w:t>53 600 $</w:t>
            </w:r>
          </w:p>
        </w:tc>
        <w:tc>
          <w:tcPr>
            <w:tcW w:w="1591" w:type="dxa"/>
            <w:tcBorders>
              <w:top w:val="single" w:sz="8" w:space="0" w:color="6D6D6D"/>
              <w:left w:val="single" w:sz="8" w:space="0" w:color="6D6D6D"/>
              <w:bottom w:val="single" w:sz="8" w:space="0" w:color="6D6D6D"/>
            </w:tcBorders>
            <w:shd w:val="clear" w:color="auto" w:fill="909465" w:themeFill="accent4"/>
          </w:tcPr>
          <w:p w14:paraId="5B4BDB33" w14:textId="77777777" w:rsidR="005C1662" w:rsidRPr="009D347B" w:rsidRDefault="005C1662" w:rsidP="005C1662">
            <w:r w:rsidRPr="009D347B">
              <w:t>5</w:t>
            </w:r>
            <w:r>
              <w:t>3</w:t>
            </w:r>
            <w:r w:rsidRPr="009D347B">
              <w:t xml:space="preserve"> </w:t>
            </w:r>
            <w:r>
              <w:t>6</w:t>
            </w:r>
            <w:r w:rsidRPr="009D347B">
              <w:t>00</w:t>
            </w:r>
            <w:r>
              <w:t xml:space="preserve"> $</w:t>
            </w:r>
          </w:p>
        </w:tc>
      </w:tr>
    </w:tbl>
    <w:p w14:paraId="5E1392A8" w14:textId="722EF67B" w:rsidR="005C1662" w:rsidRDefault="005C1662"/>
    <w:p w14:paraId="2FEE0DF3" w14:textId="77777777" w:rsidR="005C1662" w:rsidRDefault="005C1662"/>
    <w:p w14:paraId="5A99F1BA" w14:textId="77777777" w:rsidR="005C1662" w:rsidRDefault="005C1662"/>
    <w:p w14:paraId="5EDB4D3A" w14:textId="34E5BEAD" w:rsidR="005C1662" w:rsidRDefault="00D20A69">
      <w:r>
        <w:rPr>
          <w:noProof/>
          <w:lang w:eastAsia="fr-FR"/>
        </w:rPr>
        <mc:AlternateContent>
          <mc:Choice Requires="wps">
            <w:drawing>
              <wp:anchor distT="0" distB="0" distL="114300" distR="114300" simplePos="0" relativeHeight="252001280" behindDoc="0" locked="0" layoutInCell="1" allowOverlap="1" wp14:anchorId="75F61A16" wp14:editId="3120C57D">
                <wp:simplePos x="0" y="0"/>
                <wp:positionH relativeFrom="column">
                  <wp:posOffset>3543300</wp:posOffset>
                </wp:positionH>
                <wp:positionV relativeFrom="paragraph">
                  <wp:posOffset>135890</wp:posOffset>
                </wp:positionV>
                <wp:extent cx="304800" cy="2171700"/>
                <wp:effectExtent l="0" t="0" r="25400" b="38100"/>
                <wp:wrapThrough wrapText="bothSides">
                  <wp:wrapPolygon edited="0">
                    <wp:start x="0" y="0"/>
                    <wp:lineTo x="0" y="253"/>
                    <wp:lineTo x="7200" y="4042"/>
                    <wp:lineTo x="7200" y="20211"/>
                    <wp:lineTo x="0" y="21726"/>
                    <wp:lineTo x="14400" y="21726"/>
                    <wp:lineTo x="14400" y="12126"/>
                    <wp:lineTo x="21600" y="11116"/>
                    <wp:lineTo x="21600" y="10863"/>
                    <wp:lineTo x="14400" y="8084"/>
                    <wp:lineTo x="14400" y="0"/>
                    <wp:lineTo x="0" y="0"/>
                  </wp:wrapPolygon>
                </wp:wrapThrough>
                <wp:docPr id="138" name="Accolade fermante 138"/>
                <wp:cNvGraphicFramePr/>
                <a:graphic xmlns:a="http://schemas.openxmlformats.org/drawingml/2006/main">
                  <a:graphicData uri="http://schemas.microsoft.com/office/word/2010/wordprocessingShape">
                    <wps:wsp>
                      <wps:cNvSpPr/>
                      <wps:spPr>
                        <a:xfrm>
                          <a:off x="0" y="0"/>
                          <a:ext cx="304800" cy="2171700"/>
                        </a:xfrm>
                        <a:prstGeom prst="rightBrace">
                          <a:avLst>
                            <a:gd name="adj1" fmla="val 0"/>
                            <a:gd name="adj2" fmla="val 50000"/>
                          </a:avLst>
                        </a:prstGeom>
                        <a:ln>
                          <a:solidFill>
                            <a:srgbClr val="0000FF"/>
                          </a:solidFill>
                        </a:ln>
                      </wps:spPr>
                      <wps:style>
                        <a:lnRef idx="2">
                          <a:schemeClr val="accent1"/>
                        </a:lnRef>
                        <a:fillRef idx="0">
                          <a:schemeClr val="accent1"/>
                        </a:fillRef>
                        <a:effectRef idx="1">
                          <a:schemeClr val="accent1"/>
                        </a:effectRef>
                        <a:fontRef idx="minor">
                          <a:schemeClr val="tx1"/>
                        </a:fontRef>
                      </wps:style>
                      <wps:bodyPr wrap="square">
                        <a:noAutofit/>
                      </wps:bodyPr>
                    </wps:wsp>
                  </a:graphicData>
                </a:graphic>
                <wp14:sizeRelV relativeFrom="margin">
                  <wp14:pctHeight>0</wp14:pctHeight>
                </wp14:sizeRelV>
              </wp:anchor>
            </w:drawing>
          </mc:Choice>
          <mc:Fallback xmlns:w15="http://schemas.microsoft.com/office/word/2012/wordml">
            <w:pict>
              <v:shape id="Accolade fermante 138" o:spid="_x0000_s1026" type="#_x0000_t88" style="position:absolute;margin-left:279pt;margin-top:10.7pt;width:24pt;height:171pt;z-index:25200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" adj="0" strokecolor="blue" strokeweight="1.25pt">
                <w10:wrap type="through"/>
              </v:shape>
            </w:pict>
          </mc:Fallback>
        </mc:AlternateContent>
      </w:r>
    </w:p>
    <w:p w14:paraId="6D960D13" w14:textId="77777777" w:rsidR="005C1662" w:rsidRDefault="005C1662"/>
    <w:p w14:paraId="308075A2" w14:textId="0E4980FA" w:rsidR="005C1662" w:rsidRDefault="005C1662"/>
    <w:p w14:paraId="4B2D98B3" w14:textId="77777777" w:rsidR="005C1662" w:rsidRDefault="005C1662"/>
    <w:p w14:paraId="2F47E47E" w14:textId="2CF1B1F7" w:rsidR="005C1662" w:rsidRDefault="005C1662"/>
    <w:p w14:paraId="74158AF7" w14:textId="4F450E65" w:rsidR="005C1662" w:rsidRDefault="00D20A69">
      <w:r>
        <w:rPr>
          <w:noProof/>
          <w:lang w:eastAsia="fr-FR"/>
        </w:rPr>
        <mc:AlternateContent>
          <mc:Choice Requires="wps">
            <w:drawing>
              <wp:anchor distT="0" distB="0" distL="114300" distR="114300" simplePos="0" relativeHeight="252002304" behindDoc="0" locked="0" layoutInCell="1" allowOverlap="1" wp14:anchorId="0DB16A24" wp14:editId="153732B3">
                <wp:simplePos x="0" y="0"/>
                <wp:positionH relativeFrom="column">
                  <wp:posOffset>4000500</wp:posOffset>
                </wp:positionH>
                <wp:positionV relativeFrom="paragraph">
                  <wp:posOffset>116205</wp:posOffset>
                </wp:positionV>
                <wp:extent cx="1714500" cy="342900"/>
                <wp:effectExtent l="0" t="0" r="0" b="12700"/>
                <wp:wrapSquare wrapText="bothSides"/>
                <wp:docPr id="139" name="Zone de texte 139"/>
                <wp:cNvGraphicFramePr/>
                <a:graphic xmlns:a="http://schemas.openxmlformats.org/drawingml/2006/main">
                  <a:graphicData uri="http://schemas.microsoft.com/office/word/2010/wordprocessingShape">
                    <wps:wsp>
                      <wps:cNvSpPr txBox="1"/>
                      <wps:spPr>
                        <a:xfrm>
                          <a:off x="0" y="0"/>
                          <a:ext cx="1714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4AA06E" w14:textId="01A0A977" w:rsidR="00573C95" w:rsidRDefault="00573C95">
                            <w:r>
                              <w:t>386 010 $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9" o:spid="_x0000_s1072" type="#_x0000_t202" style="position:absolute;margin-left:315pt;margin-top:9.15pt;width:135pt;height:27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" filled="f" stroked="f">
                <v:textbox>
                  <w:txbxContent>
                    <w:p w14:paraId="4A4AA06E" w14:textId="01A0A977" w:rsidR="001501D6" w:rsidRDefault="001501D6">
                      <w:r>
                        <w:t>386 010 $</w:t>
                      </w:r>
                    </w:p>
                  </w:txbxContent>
                </v:textbox>
                <w10:wrap type="square"/>
              </v:shape>
            </w:pict>
          </mc:Fallback>
        </mc:AlternateContent>
      </w:r>
    </w:p>
    <w:p w14:paraId="798113B9" w14:textId="77777777" w:rsidR="005C1662" w:rsidRDefault="005C1662"/>
    <w:p w14:paraId="67DE92EC" w14:textId="2C23C86D" w:rsidR="005C1662" w:rsidRDefault="005C1662"/>
    <w:p w14:paraId="60B7452B" w14:textId="77777777" w:rsidR="005C1662" w:rsidRDefault="005C1662"/>
    <w:p w14:paraId="71E56FDD" w14:textId="77777777" w:rsidR="005C1662" w:rsidRDefault="005C1662"/>
    <w:p w14:paraId="0A016B0C" w14:textId="77777777" w:rsidR="005C1662" w:rsidRDefault="005C1662"/>
    <w:p w14:paraId="73746547" w14:textId="77777777" w:rsidR="005C1662" w:rsidRDefault="005C1662"/>
    <w:p w14:paraId="224F8C9E" w14:textId="77777777" w:rsidR="005C1662" w:rsidRDefault="005C1662"/>
    <w:p w14:paraId="60D24590" w14:textId="4047BD59" w:rsidR="005C1662" w:rsidRDefault="005C1662"/>
    <w:p w14:paraId="1205FC31" w14:textId="77777777" w:rsidR="00446390" w:rsidRDefault="00446390"/>
    <w:p w14:paraId="0AA89136" w14:textId="77777777" w:rsidR="00446390" w:rsidRDefault="00446390"/>
    <w:p w14:paraId="7FD77AF0" w14:textId="77777777" w:rsidR="00446390" w:rsidRDefault="00446390"/>
    <w:p w14:paraId="08943D7B" w14:textId="77777777" w:rsidR="00446390" w:rsidRDefault="00446390"/>
    <w:p w14:paraId="0C278BAE" w14:textId="77777777" w:rsidR="0077730A" w:rsidRDefault="0077730A"/>
    <w:p w14:paraId="64265379" w14:textId="1B37CF48" w:rsidR="0077730A" w:rsidRDefault="0077730A">
      <w:r>
        <w:rPr>
          <w:noProof/>
          <w:lang w:eastAsia="fr-FR"/>
        </w:rPr>
        <w:lastRenderedPageBreak/>
        <mc:AlternateContent>
          <mc:Choice Requires="wps">
            <w:drawing>
              <wp:anchor distT="0" distB="0" distL="114300" distR="114300" simplePos="0" relativeHeight="251997184" behindDoc="0" locked="0" layoutInCell="1" allowOverlap="1" wp14:anchorId="4B273E9D" wp14:editId="5BD97EB1">
                <wp:simplePos x="0" y="0"/>
                <wp:positionH relativeFrom="column">
                  <wp:posOffset>-114300</wp:posOffset>
                </wp:positionH>
                <wp:positionV relativeFrom="paragraph">
                  <wp:posOffset>76835</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134" name="Ellipse 134"/>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5AFCCB06" w14:textId="1C4191FC" w:rsidR="00573C95" w:rsidRDefault="00573C95" w:rsidP="005C1662">
                            <w:pPr>
                              <w:jc w:val="center"/>
                            </w:pPr>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4" o:spid="_x0000_s1073" style="position:absolute;margin-left:-8.95pt;margin-top:6.05pt;width:36pt;height:36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" fillcolor="#ff6700 [3206]" strokecolor="#ff6700 [3206]">
                <v:fill color2="#e55c00 [2886]" rotate="t" focus="100%" type="gradient">
                  <o:fill v:ext="view" type="gradientUnscaled"/>
                </v:fill>
                <v:shadow on="t" opacity="18350f" mv:blur="50800f" origin=",.5" offset="0,2pt"/>
                <v:textbox>
                  <w:txbxContent>
                    <w:p w14:paraId="5AFCCB06" w14:textId="1C4191FC" w:rsidR="001501D6" w:rsidRDefault="001501D6" w:rsidP="005C1662">
                      <w:pPr>
                        <w:jc w:val="center"/>
                      </w:pPr>
                      <w:r>
                        <w:t>21</w:t>
                      </w:r>
                    </w:p>
                  </w:txbxContent>
                </v:textbox>
                <w10:wrap type="through"/>
              </v:oval>
            </w:pict>
          </mc:Fallback>
        </mc:AlternateContent>
      </w:r>
    </w:p>
    <w:p w14:paraId="6FCCFBC8" w14:textId="77777777" w:rsidR="0077730A" w:rsidRDefault="0077730A">
      <w:r>
        <w:t xml:space="preserve">Déterminer la période cotisable </w:t>
      </w:r>
      <w:r>
        <w:tab/>
      </w:r>
    </w:p>
    <w:tbl>
      <w:tblPr>
        <w:tblStyle w:val="Grille"/>
        <w:tblpPr w:leftFromText="141" w:rightFromText="141" w:vertAnchor="text" w:horzAnchor="page" w:tblpX="6926" w:tblpY="-277"/>
        <w:tblOverlap w:val="never"/>
        <w:tblW w:w="0" w:type="auto"/>
        <w:tblLook w:val="04A0" w:firstRow="1" w:lastRow="0" w:firstColumn="1" w:lastColumn="0" w:noHBand="0" w:noVBand="1"/>
      </w:tblPr>
      <w:tblGrid>
        <w:gridCol w:w="4219"/>
        <w:gridCol w:w="1659"/>
      </w:tblGrid>
      <w:tr w:rsidR="0077730A" w14:paraId="5113AB37" w14:textId="77777777" w:rsidTr="00B76F68">
        <w:trPr>
          <w:trHeight w:val="250"/>
        </w:trPr>
        <w:tc>
          <w:tcPr>
            <w:tcW w:w="4219" w:type="dxa"/>
          </w:tcPr>
          <w:p w14:paraId="3C778C93" w14:textId="2E0E2237" w:rsidR="0077730A" w:rsidRDefault="0077730A" w:rsidP="0077730A">
            <w:r>
              <w:t>Âge à la retraite</w:t>
            </w:r>
          </w:p>
        </w:tc>
        <w:tc>
          <w:tcPr>
            <w:tcW w:w="1659" w:type="dxa"/>
            <w:shd w:val="clear" w:color="auto" w:fill="2E2D21" w:themeFill="text2" w:themeFillShade="BF"/>
          </w:tcPr>
          <w:p w14:paraId="5158A736" w14:textId="4E2EB068" w:rsidR="0077730A" w:rsidRDefault="0077730A" w:rsidP="0077730A">
            <w:r>
              <w:t>65 ans</w:t>
            </w:r>
          </w:p>
        </w:tc>
      </w:tr>
      <w:tr w:rsidR="0077730A" w14:paraId="37F369FB" w14:textId="77777777" w:rsidTr="00B76F68">
        <w:trPr>
          <w:trHeight w:val="261"/>
        </w:trPr>
        <w:tc>
          <w:tcPr>
            <w:tcW w:w="4219" w:type="dxa"/>
          </w:tcPr>
          <w:p w14:paraId="7A9C4CB2" w14:textId="07012318" w:rsidR="0077730A" w:rsidRDefault="0077730A" w:rsidP="0077730A">
            <w:r>
              <w:t>Début de la période</w:t>
            </w:r>
          </w:p>
        </w:tc>
        <w:tc>
          <w:tcPr>
            <w:tcW w:w="1659" w:type="dxa"/>
            <w:shd w:val="clear" w:color="auto" w:fill="2E2D21" w:themeFill="text2" w:themeFillShade="BF"/>
          </w:tcPr>
          <w:p w14:paraId="59374232" w14:textId="51ABFDA6" w:rsidR="0077730A" w:rsidRDefault="0077730A" w:rsidP="0077730A">
            <w:r>
              <w:t>18 ans</w:t>
            </w:r>
          </w:p>
        </w:tc>
      </w:tr>
      <w:tr w:rsidR="0077730A" w14:paraId="4835DE81" w14:textId="77777777" w:rsidTr="00B76F68">
        <w:trPr>
          <w:trHeight w:val="250"/>
        </w:trPr>
        <w:tc>
          <w:tcPr>
            <w:tcW w:w="4219" w:type="dxa"/>
          </w:tcPr>
          <w:p w14:paraId="103598A7" w14:textId="572F2C92" w:rsidR="0077730A" w:rsidRDefault="0077730A" w:rsidP="0077730A">
            <w:r>
              <w:t>Moins: 15 % revenus les plus faibles</w:t>
            </w:r>
          </w:p>
        </w:tc>
        <w:tc>
          <w:tcPr>
            <w:tcW w:w="1659" w:type="dxa"/>
            <w:shd w:val="clear" w:color="auto" w:fill="2E2D21" w:themeFill="text2" w:themeFillShade="BF"/>
          </w:tcPr>
          <w:p w14:paraId="732E09AB" w14:textId="343837F2" w:rsidR="0077730A" w:rsidRDefault="0077730A" w:rsidP="0077730A">
            <w:r>
              <w:t xml:space="preserve">  7 ans</w:t>
            </w:r>
            <w:r>
              <w:rPr>
                <w:rStyle w:val="Marquenotebasdepage"/>
              </w:rPr>
              <w:footnoteReference w:customMarkFollows="1" w:id="26"/>
              <w:t>23</w:t>
            </w:r>
          </w:p>
        </w:tc>
      </w:tr>
      <w:tr w:rsidR="0077730A" w14:paraId="15AC0BC6" w14:textId="77777777" w:rsidTr="00B76F68">
        <w:trPr>
          <w:trHeight w:val="261"/>
        </w:trPr>
        <w:tc>
          <w:tcPr>
            <w:tcW w:w="4219" w:type="dxa"/>
          </w:tcPr>
          <w:p w14:paraId="55A5DE98" w14:textId="31BF407B" w:rsidR="0077730A" w:rsidRDefault="0077730A" w:rsidP="0077730A">
            <w:r>
              <w:t>Période cotisable</w:t>
            </w:r>
          </w:p>
        </w:tc>
        <w:tc>
          <w:tcPr>
            <w:tcW w:w="1659" w:type="dxa"/>
            <w:shd w:val="clear" w:color="auto" w:fill="2E2D21" w:themeFill="text2" w:themeFillShade="BF"/>
          </w:tcPr>
          <w:p w14:paraId="57593DFE" w14:textId="1119829B" w:rsidR="0077730A" w:rsidRDefault="0077730A" w:rsidP="0077730A">
            <w:r>
              <w:t>40 ans</w:t>
            </w:r>
          </w:p>
        </w:tc>
      </w:tr>
    </w:tbl>
    <w:p w14:paraId="7DC3A00B" w14:textId="3F74682A" w:rsidR="005C1662" w:rsidRDefault="005C1662"/>
    <w:p w14:paraId="0F0DCE4F" w14:textId="7B6EFA4F" w:rsidR="009863D8" w:rsidRDefault="005C1662">
      <w:r>
        <w:tab/>
      </w:r>
    </w:p>
    <w:p w14:paraId="6B85B1AA" w14:textId="77777777" w:rsidR="00446390" w:rsidRDefault="00446390"/>
    <w:p w14:paraId="02FDC876" w14:textId="77777777" w:rsidR="00446390" w:rsidRDefault="00446390"/>
    <w:p w14:paraId="5D001A87" w14:textId="77777777" w:rsidR="00446390" w:rsidRDefault="00446390"/>
    <w:p w14:paraId="680687B5" w14:textId="713DF363" w:rsidR="00446390" w:rsidRDefault="00446390">
      <w:r>
        <w:rPr>
          <w:noProof/>
          <w:lang w:eastAsia="fr-FR"/>
        </w:rPr>
        <mc:AlternateContent>
          <mc:Choice Requires="wps">
            <w:drawing>
              <wp:anchor distT="0" distB="0" distL="114300" distR="114300" simplePos="0" relativeHeight="251999232" behindDoc="0" locked="0" layoutInCell="1" allowOverlap="1" wp14:anchorId="23D5BCCF" wp14:editId="70AF18D2">
                <wp:simplePos x="0" y="0"/>
                <wp:positionH relativeFrom="column">
                  <wp:posOffset>-114300</wp:posOffset>
                </wp:positionH>
                <wp:positionV relativeFrom="paragraph">
                  <wp:posOffset>63500</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137" name="Ellipse 137"/>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1694A369" w14:textId="6D937687" w:rsidR="00573C95" w:rsidRDefault="00573C95" w:rsidP="00D20A69">
                            <w:pPr>
                              <w:jc w:val="center"/>
                            </w:pPr>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7" o:spid="_x0000_s1074" style="position:absolute;margin-left:-8.95pt;margin-top:5pt;width:36pt;height:36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" fillcolor="#ff6700 [3206]" strokecolor="#ff6700 [3206]">
                <v:fill color2="#e55c00 [2886]" rotate="t" focus="100%" type="gradient">
                  <o:fill v:ext="view" type="gradientUnscaled"/>
                </v:fill>
                <v:shadow on="t" opacity="18350f" mv:blur="50800f" origin=",.5" offset="0,2pt"/>
                <v:textbox>
                  <w:txbxContent>
                    <w:p w14:paraId="1694A369" w14:textId="6D937687" w:rsidR="001501D6" w:rsidRDefault="001501D6" w:rsidP="00D20A69">
                      <w:pPr>
                        <w:jc w:val="center"/>
                      </w:pPr>
                      <w:r>
                        <w:t>31</w:t>
                      </w:r>
                    </w:p>
                  </w:txbxContent>
                </v:textbox>
                <w10:wrap type="through"/>
              </v:oval>
            </w:pict>
          </mc:Fallback>
        </mc:AlternateContent>
      </w:r>
    </w:p>
    <w:p w14:paraId="3828B153" w14:textId="0D542C8E" w:rsidR="0077730A" w:rsidRDefault="00D20A69">
      <w:r>
        <w:t>Calculer la moyenne du revenu admissible indexé sur la période cotisable</w:t>
      </w:r>
    </w:p>
    <w:p w14:paraId="37C5BE77" w14:textId="77777777" w:rsidR="0077730A" w:rsidRDefault="0077730A"/>
    <w:tbl>
      <w:tblPr>
        <w:tblStyle w:val="Grille"/>
        <w:tblpPr w:leftFromText="141" w:rightFromText="141" w:vertAnchor="text" w:horzAnchor="page" w:tblpX="3392" w:tblpY="133"/>
        <w:tblW w:w="0" w:type="auto"/>
        <w:tblLook w:val="04A0" w:firstRow="1" w:lastRow="0" w:firstColumn="1" w:lastColumn="0" w:noHBand="0" w:noVBand="1"/>
      </w:tblPr>
      <w:tblGrid>
        <w:gridCol w:w="3794"/>
      </w:tblGrid>
      <w:tr w:rsidR="00771B76" w14:paraId="6BBBDDE2" w14:textId="77777777" w:rsidTr="00B76F68">
        <w:tc>
          <w:tcPr>
            <w:tcW w:w="3794" w:type="dxa"/>
            <w:shd w:val="clear" w:color="auto" w:fill="909465" w:themeFill="accent4"/>
          </w:tcPr>
          <w:p w14:paraId="1B8B2A3E" w14:textId="6D5845BD" w:rsidR="00771B76" w:rsidRDefault="00771B76" w:rsidP="00D20A69">
            <w:pPr>
              <w:jc w:val="both"/>
            </w:pPr>
            <w:r>
              <w:t>386 010 $/40 ans = 9 650 $</w:t>
            </w:r>
          </w:p>
        </w:tc>
      </w:tr>
    </w:tbl>
    <w:p w14:paraId="4F96CB4A" w14:textId="77777777" w:rsidR="004906D2" w:rsidRDefault="004906D2" w:rsidP="002D52C6">
      <w:pPr>
        <w:jc w:val="both"/>
      </w:pPr>
    </w:p>
    <w:p w14:paraId="149F1414" w14:textId="77777777" w:rsidR="004906D2" w:rsidRDefault="004906D2" w:rsidP="002D52C6">
      <w:pPr>
        <w:jc w:val="both"/>
      </w:pPr>
    </w:p>
    <w:p w14:paraId="213C1626" w14:textId="3B97B689" w:rsidR="00D20A69" w:rsidRDefault="00D20A69" w:rsidP="002D52C6">
      <w:pPr>
        <w:jc w:val="both"/>
      </w:pPr>
    </w:p>
    <w:p w14:paraId="5D91135A" w14:textId="77777777" w:rsidR="00446390" w:rsidRDefault="00446390" w:rsidP="002D52C6">
      <w:pPr>
        <w:jc w:val="both"/>
      </w:pPr>
    </w:p>
    <w:p w14:paraId="192A6AC7" w14:textId="46426E26" w:rsidR="00D20A69" w:rsidRDefault="00771B76" w:rsidP="002D52C6">
      <w:pPr>
        <w:jc w:val="both"/>
      </w:pPr>
      <w:r>
        <w:rPr>
          <w:noProof/>
          <w:lang w:eastAsia="fr-FR"/>
        </w:rPr>
        <mc:AlternateContent>
          <mc:Choice Requires="wps">
            <w:drawing>
              <wp:anchor distT="0" distB="0" distL="114300" distR="114300" simplePos="0" relativeHeight="252004352" behindDoc="0" locked="0" layoutInCell="1" allowOverlap="1" wp14:anchorId="3436A597" wp14:editId="35FF14EC">
                <wp:simplePos x="0" y="0"/>
                <wp:positionH relativeFrom="column">
                  <wp:posOffset>-114300</wp:posOffset>
                </wp:positionH>
                <wp:positionV relativeFrom="paragraph">
                  <wp:posOffset>127000</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140" name="Ellipse 140"/>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47099181" w14:textId="319AA319" w:rsidR="00573C95" w:rsidRDefault="00573C95" w:rsidP="00771B76">
                            <w:pPr>
                              <w:jc w:val="center"/>
                            </w:pPr>
                            <w: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40" o:spid="_x0000_s1075" style="position:absolute;left:0;text-align:left;margin-left:-8.95pt;margin-top:10pt;width:36pt;height:36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" fillcolor="#ff6700 [3206]" strokecolor="#ff6700 [3206]">
                <v:fill color2="#e55c00 [2886]" rotate="t" focus="100%" type="gradient">
                  <o:fill v:ext="view" type="gradientUnscaled"/>
                </v:fill>
                <v:shadow on="t" opacity="18350f" mv:blur="50800f" origin=",.5" offset="0,2pt"/>
                <v:textbox>
                  <w:txbxContent>
                    <w:p w14:paraId="47099181" w14:textId="319AA319" w:rsidR="001501D6" w:rsidRDefault="001501D6" w:rsidP="00771B76">
                      <w:pPr>
                        <w:jc w:val="center"/>
                      </w:pPr>
                      <w:r>
                        <w:t>41</w:t>
                      </w:r>
                    </w:p>
                  </w:txbxContent>
                </v:textbox>
                <w10:wrap type="through"/>
              </v:oval>
            </w:pict>
          </mc:Fallback>
        </mc:AlternateContent>
      </w:r>
    </w:p>
    <w:p w14:paraId="0B4F05E6" w14:textId="557A759B" w:rsidR="00D20A69" w:rsidRDefault="00771B76" w:rsidP="002D52C6">
      <w:pPr>
        <w:jc w:val="both"/>
      </w:pPr>
      <w:r>
        <w:t>Appliquer le taux de 25 % pour obtenir le montant de la rente annuelle que Prospère obtiendra à</w:t>
      </w:r>
      <w:r w:rsidR="009425F4">
        <w:t xml:space="preserve"> </w:t>
      </w:r>
      <w:r w:rsidR="00446390">
        <w:t>c</w:t>
      </w:r>
      <w:r>
        <w:t>ompter du 1er janvier 2016</w:t>
      </w:r>
    </w:p>
    <w:p w14:paraId="71A20578" w14:textId="77777777" w:rsidR="00D20A69" w:rsidRDefault="00D20A69" w:rsidP="002D52C6">
      <w:pPr>
        <w:jc w:val="both"/>
      </w:pPr>
    </w:p>
    <w:tbl>
      <w:tblPr>
        <w:tblStyle w:val="Grille"/>
        <w:tblpPr w:leftFromText="141" w:rightFromText="141" w:vertAnchor="text" w:horzAnchor="page" w:tblpX="3392" w:tblpY="133"/>
        <w:tblW w:w="0" w:type="auto"/>
        <w:tblLook w:val="04A0" w:firstRow="1" w:lastRow="0" w:firstColumn="1" w:lastColumn="0" w:noHBand="0" w:noVBand="1"/>
      </w:tblPr>
      <w:tblGrid>
        <w:gridCol w:w="3794"/>
      </w:tblGrid>
      <w:tr w:rsidR="00771B76" w14:paraId="6F050584" w14:textId="77777777" w:rsidTr="00446390">
        <w:tc>
          <w:tcPr>
            <w:tcW w:w="3794" w:type="dxa"/>
            <w:shd w:val="clear" w:color="auto" w:fill="000000" w:themeFill="text1"/>
          </w:tcPr>
          <w:p w14:paraId="32CFF55F" w14:textId="08FB636E" w:rsidR="00771B76" w:rsidRDefault="00771B76" w:rsidP="00B76F68">
            <w:pPr>
              <w:jc w:val="both"/>
            </w:pPr>
            <w:r>
              <w:t>9 650 $ * 25 % = 2 413 $</w:t>
            </w:r>
          </w:p>
        </w:tc>
      </w:tr>
    </w:tbl>
    <w:p w14:paraId="6FB8C048" w14:textId="77777777" w:rsidR="00D20A69" w:rsidRDefault="00D20A69" w:rsidP="002D52C6">
      <w:pPr>
        <w:jc w:val="both"/>
      </w:pPr>
    </w:p>
    <w:p w14:paraId="1DB57562" w14:textId="77777777" w:rsidR="00D20A69" w:rsidRDefault="00D20A69" w:rsidP="002D52C6">
      <w:pPr>
        <w:jc w:val="both"/>
      </w:pPr>
    </w:p>
    <w:p w14:paraId="5564E161" w14:textId="77777777" w:rsidR="00D20A69" w:rsidRDefault="00D20A69" w:rsidP="002D52C6">
      <w:pPr>
        <w:jc w:val="both"/>
      </w:pPr>
    </w:p>
    <w:p w14:paraId="1A272999" w14:textId="77777777" w:rsidR="00D20A69" w:rsidRDefault="00D20A69" w:rsidP="002D52C6">
      <w:pPr>
        <w:jc w:val="both"/>
      </w:pPr>
    </w:p>
    <w:p w14:paraId="21A0536A" w14:textId="77777777" w:rsidR="00446390" w:rsidRDefault="00446390" w:rsidP="002D52C6">
      <w:pPr>
        <w:jc w:val="both"/>
      </w:pPr>
    </w:p>
    <w:p w14:paraId="1EACDCAE" w14:textId="77777777" w:rsidR="00446390" w:rsidRDefault="00446390" w:rsidP="002D52C6">
      <w:pPr>
        <w:jc w:val="both"/>
      </w:pPr>
    </w:p>
    <w:p w14:paraId="6B738083" w14:textId="77777777" w:rsidR="00D20A69" w:rsidRDefault="00D20A69" w:rsidP="002D52C6">
      <w:pPr>
        <w:jc w:val="both"/>
      </w:pPr>
    </w:p>
    <w:p w14:paraId="4A467E16" w14:textId="77777777" w:rsidR="00771B76" w:rsidRDefault="00771B76" w:rsidP="002D52C6">
      <w:pPr>
        <w:jc w:val="both"/>
      </w:pPr>
    </w:p>
    <w:p w14:paraId="0D5FED2F" w14:textId="77777777" w:rsidR="00771B76" w:rsidRDefault="00771B76" w:rsidP="002D52C6">
      <w:pPr>
        <w:jc w:val="both"/>
      </w:pPr>
    </w:p>
    <w:p w14:paraId="491608B1" w14:textId="77777777" w:rsidR="00D20A69" w:rsidRDefault="00D20A69" w:rsidP="002D52C6">
      <w:pPr>
        <w:jc w:val="both"/>
      </w:pPr>
    </w:p>
    <w:p w14:paraId="02C757FF" w14:textId="3DBEE7E3" w:rsidR="006E1B64" w:rsidRDefault="00E96AF0" w:rsidP="00E96AF0">
      <w:pPr>
        <w:pStyle w:val="Titre4"/>
      </w:pPr>
      <w:bookmarkStart w:id="30" w:name="_Toc314397822"/>
      <w:bookmarkStart w:id="31" w:name="_Toc443569366"/>
      <w:r>
        <w:lastRenderedPageBreak/>
        <w:t>2.2.</w:t>
      </w:r>
      <w:r w:rsidR="00C47AB3">
        <w:t>1</w:t>
      </w:r>
      <w:r>
        <w:t>.2</w:t>
      </w:r>
      <w:r w:rsidR="00DF5F79">
        <w:t>.</w:t>
      </w:r>
      <w:r>
        <w:t xml:space="preserve"> </w:t>
      </w:r>
      <w:r w:rsidR="006E1B64">
        <w:t>Les rentes en cas de décès</w:t>
      </w:r>
      <w:bookmarkEnd w:id="30"/>
      <w:bookmarkEnd w:id="31"/>
    </w:p>
    <w:p w14:paraId="6682ED58" w14:textId="77777777" w:rsidR="00042D55" w:rsidRDefault="00042D55" w:rsidP="00042D55"/>
    <w:p w14:paraId="47D826B4" w14:textId="4ECF0935" w:rsidR="00042D55" w:rsidRDefault="00042D55" w:rsidP="00042D55">
      <w:r>
        <w:t>Le</w:t>
      </w:r>
      <w:r w:rsidR="00D5067B">
        <w:t>s rentes</w:t>
      </w:r>
      <w:r>
        <w:t xml:space="preserve"> du RRQ </w:t>
      </w:r>
      <w:r w:rsidR="00D5067B">
        <w:t>offrent</w:t>
      </w:r>
      <w:r>
        <w:t xml:space="preserve"> également </w:t>
      </w:r>
      <w:r w:rsidR="00D5067B">
        <w:t xml:space="preserve">une </w:t>
      </w:r>
      <w:r>
        <w:t>protection</w:t>
      </w:r>
      <w:r w:rsidR="00D5067B">
        <w:t xml:space="preserve"> de revenus, en cas de décès, pour le conjoint (rente de conjoint survivant) et la jeune famille du décédé (rente d'orphelin). Une prestation de décès de 2 500 $ sera également versé</w:t>
      </w:r>
      <w:r w:rsidR="00206A63">
        <w:t>e</w:t>
      </w:r>
      <w:r w:rsidR="00D5067B">
        <w:t xml:space="preserve"> à la succession du décédé afin de permettre d'assumer </w:t>
      </w:r>
      <w:r w:rsidR="00206A63">
        <w:t>les frais funéraires.</w:t>
      </w:r>
    </w:p>
    <w:p w14:paraId="1CB30AC0" w14:textId="77777777" w:rsidR="00206A63" w:rsidRDefault="00206A63" w:rsidP="00042D55"/>
    <w:p w14:paraId="44701193" w14:textId="7D1BFDB6" w:rsidR="00206A63" w:rsidRPr="000F289D" w:rsidRDefault="00206A63" w:rsidP="006C34CF">
      <w:pPr>
        <w:pStyle w:val="Paragraphedeliste"/>
        <w:numPr>
          <w:ilvl w:val="0"/>
          <w:numId w:val="10"/>
        </w:numPr>
        <w:ind w:left="1134" w:hanging="425"/>
        <w:jc w:val="both"/>
        <w:rPr>
          <w:color w:val="FF6700" w:themeColor="accent3"/>
        </w:rPr>
      </w:pPr>
      <w:r w:rsidRPr="000F289D">
        <w:rPr>
          <w:color w:val="FF6700" w:themeColor="accent3"/>
        </w:rPr>
        <w:t>Rente de conjoint survivant</w:t>
      </w:r>
    </w:p>
    <w:p w14:paraId="49B9A83C" w14:textId="77777777" w:rsidR="00206A63" w:rsidRDefault="00206A63" w:rsidP="00206A63">
      <w:pPr>
        <w:ind w:left="709"/>
        <w:jc w:val="both"/>
      </w:pPr>
    </w:p>
    <w:p w14:paraId="7277D511" w14:textId="0A3F534B" w:rsidR="00206A63" w:rsidRDefault="009337D5" w:rsidP="009337D5">
      <w:pPr>
        <w:jc w:val="both"/>
      </w:pPr>
      <w:r>
        <w:t xml:space="preserve">Au moment du décès d'un individu, le conjoint survivant aura droit à une rente mensuelle qui lui sera versée jusqu'à son propre décès. Pour avoir droit à cette rente, le décédé doit avoir </w:t>
      </w:r>
      <w:r w:rsidR="00DD51DD">
        <w:t xml:space="preserve">suffisamment </w:t>
      </w:r>
      <w:r>
        <w:t>cotisé au RRQ durant sa vie active</w:t>
      </w:r>
      <w:r w:rsidR="005B1AB1">
        <w:rPr>
          <w:rStyle w:val="Marquenotebasdepage"/>
        </w:rPr>
        <w:footnoteReference w:customMarkFollows="1" w:id="27"/>
        <w:t>24</w:t>
      </w:r>
      <w:r>
        <w:t xml:space="preserve"> et laisser dans le deuil un conjoint marié ou de fait</w:t>
      </w:r>
      <w:r w:rsidR="005B1AB1">
        <w:t xml:space="preserve">. Pour être reconnu à titre de conjoints de </w:t>
      </w:r>
      <w:r w:rsidR="00792D77">
        <w:t>fait</w:t>
      </w:r>
      <w:r w:rsidR="005B1AB1">
        <w:t>, il faut avoir vécu au moins trois années maritalement ou une année, dans le cas où un enfant est adopté ou né de cette union. Les conjoints de même sexe sont reconnus par le RRQ.</w:t>
      </w:r>
    </w:p>
    <w:p w14:paraId="75094964" w14:textId="77777777" w:rsidR="00DD51DD" w:rsidRDefault="00DD51DD" w:rsidP="009337D5">
      <w:pPr>
        <w:jc w:val="both"/>
      </w:pPr>
    </w:p>
    <w:p w14:paraId="00517FBD" w14:textId="38559B27" w:rsidR="00DD51DD" w:rsidRDefault="00DD51DD" w:rsidP="009337D5">
      <w:pPr>
        <w:jc w:val="both"/>
      </w:pPr>
      <w:r>
        <w:t>Le calcul de la rente à verser au conjoint survivant s'effectue en fonction de trois variables:</w:t>
      </w:r>
    </w:p>
    <w:p w14:paraId="519E1342" w14:textId="77777777" w:rsidR="00DD51DD" w:rsidRDefault="00DD51DD" w:rsidP="009337D5">
      <w:pPr>
        <w:jc w:val="both"/>
      </w:pPr>
    </w:p>
    <w:p w14:paraId="472DF6AB" w14:textId="7DB5BF88" w:rsidR="00DD51DD" w:rsidRDefault="00DD51DD" w:rsidP="007A697E">
      <w:pPr>
        <w:pStyle w:val="Paragraphedeliste"/>
        <w:numPr>
          <w:ilvl w:val="0"/>
          <w:numId w:val="131"/>
        </w:numPr>
        <w:jc w:val="both"/>
      </w:pPr>
      <w:r>
        <w:t>L'ampleur des cotisations du décédé</w:t>
      </w:r>
    </w:p>
    <w:p w14:paraId="4317A8DB" w14:textId="77777777" w:rsidR="00DD51DD" w:rsidRDefault="00DD51DD" w:rsidP="00DD51DD">
      <w:pPr>
        <w:ind w:left="360"/>
        <w:jc w:val="both"/>
      </w:pPr>
    </w:p>
    <w:p w14:paraId="4081CCC7" w14:textId="592EB19D" w:rsidR="00DD51DD" w:rsidRDefault="00DD51DD" w:rsidP="007A697E">
      <w:pPr>
        <w:pStyle w:val="Paragraphedeliste"/>
        <w:numPr>
          <w:ilvl w:val="0"/>
          <w:numId w:val="131"/>
        </w:numPr>
        <w:jc w:val="both"/>
      </w:pPr>
      <w:r>
        <w:t>L'âge du conjoint survivant</w:t>
      </w:r>
    </w:p>
    <w:p w14:paraId="21F899BD" w14:textId="77777777" w:rsidR="00DD51DD" w:rsidRDefault="00DD51DD" w:rsidP="00DD51DD">
      <w:pPr>
        <w:ind w:left="360"/>
        <w:jc w:val="both"/>
      </w:pPr>
    </w:p>
    <w:p w14:paraId="6F60B896" w14:textId="5910D22A" w:rsidR="00DD51DD" w:rsidRDefault="00525A26" w:rsidP="007A697E">
      <w:pPr>
        <w:pStyle w:val="Paragraphedeliste"/>
        <w:numPr>
          <w:ilvl w:val="0"/>
          <w:numId w:val="131"/>
        </w:numPr>
        <w:jc w:val="both"/>
      </w:pPr>
      <w:r>
        <w:t>La présence d'enfants à charge</w:t>
      </w:r>
    </w:p>
    <w:p w14:paraId="2A855B6B" w14:textId="77777777" w:rsidR="00525A26" w:rsidRDefault="00525A26" w:rsidP="00525A26">
      <w:pPr>
        <w:ind w:left="360"/>
        <w:jc w:val="both"/>
      </w:pPr>
    </w:p>
    <w:p w14:paraId="755B7B3B" w14:textId="77777777" w:rsidR="00525A26" w:rsidRDefault="00525A26" w:rsidP="00525A26">
      <w:pPr>
        <w:ind w:left="360"/>
        <w:jc w:val="both"/>
      </w:pPr>
    </w:p>
    <w:p w14:paraId="1B3A4A9B" w14:textId="77777777" w:rsidR="00206A63" w:rsidRDefault="00206A63" w:rsidP="00206A63">
      <w:pPr>
        <w:ind w:left="709"/>
        <w:jc w:val="both"/>
      </w:pPr>
    </w:p>
    <w:p w14:paraId="2DB2EE63" w14:textId="33A8D896" w:rsidR="00206A63" w:rsidRPr="00042D55" w:rsidRDefault="00206A63" w:rsidP="00042D55"/>
    <w:p w14:paraId="35D2074D" w14:textId="77777777" w:rsidR="004906D2" w:rsidRDefault="004906D2" w:rsidP="002D52C6">
      <w:pPr>
        <w:jc w:val="both"/>
      </w:pPr>
    </w:p>
    <w:p w14:paraId="77A10C32" w14:textId="08071924" w:rsidR="00206A63" w:rsidRDefault="00206A63" w:rsidP="002D52C6">
      <w:pPr>
        <w:jc w:val="both"/>
      </w:pPr>
    </w:p>
    <w:p w14:paraId="475DC033" w14:textId="50EBC0BD" w:rsidR="003507DC" w:rsidRPr="00F82374" w:rsidRDefault="007C7B38" w:rsidP="002D52C6">
      <w:pPr>
        <w:jc w:val="both"/>
        <w:rPr>
          <w:color w:val="FF6700" w:themeColor="accent3"/>
        </w:rPr>
      </w:pPr>
      <w:r>
        <w:rPr>
          <w:noProof/>
          <w:lang w:eastAsia="fr-FR"/>
        </w:rPr>
        <w:lastRenderedPageBreak/>
        <w:drawing>
          <wp:anchor distT="0" distB="0" distL="114300" distR="114300" simplePos="0" relativeHeight="252005376" behindDoc="0" locked="0" layoutInCell="1" allowOverlap="1" wp14:anchorId="0EF38D5D" wp14:editId="129AB1A2">
            <wp:simplePos x="0" y="0"/>
            <wp:positionH relativeFrom="column">
              <wp:posOffset>0</wp:posOffset>
            </wp:positionH>
            <wp:positionV relativeFrom="paragraph">
              <wp:posOffset>457200</wp:posOffset>
            </wp:positionV>
            <wp:extent cx="5029200" cy="2197735"/>
            <wp:effectExtent l="0" t="0" r="0" b="12065"/>
            <wp:wrapSquare wrapText="bothSides"/>
            <wp:docPr id="141" name="Image 141" descr="Macintosh HD:Users:marcbachand:Desktop:Capture d’écran 2015-07-16 à 10.3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07-16 à 10.34.37.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29200" cy="21977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t xml:space="preserve">Les montants qui peuvent être versés à titre de rente au conjoint survivant se calculent en jumelant un montant fixe de base et l'équivalent de 37,5 % de la rente de retraite qui est acquise au décédé (Ce dernier calcul s'effectue comme si le défunt était âgé de 65 ans au décès). Nous constatons que le montant de la rente augmente lorsque le conjoint survivant atteint l'âge de 45 ans pour diminuer de nouveau à compter de 65 ans. </w:t>
      </w:r>
      <w:r w:rsidR="00C7269C">
        <w:t xml:space="preserve">À cet âge, lorsque le conjoint survivant n'a pas accès à sa propre rente, la rente de conjoint survivant correspond à 60 % de la rente du décédé. Dans le cas d'une rente combinée de retraite et de conjoint </w:t>
      </w:r>
      <w:r w:rsidR="00792D77">
        <w:t>survivant,</w:t>
      </w:r>
      <w:r w:rsidR="00C7269C">
        <w:t xml:space="preserve"> le montant cumulatif ne correspondra pas nécessairement à la somme des deux</w:t>
      </w:r>
      <w:r w:rsidR="00F82374">
        <w:t>. Elle sera par ailleurs plafonnée au montant maximum de la rente de retraite (12 780 $/année en 2015).</w:t>
      </w:r>
      <w:r w:rsidR="00F82374">
        <w:rPr>
          <w:color w:val="FF6700" w:themeColor="accent3"/>
        </w:rPr>
        <w:t xml:space="preserve"> FINALEMENT, IL FAUT NOTER QUE LE FAIT D'OBTENIR LA RENTE DE CONJOINT SURVIVANT N'EST AUCUNEMENT LIÉ À L'ÂGE </w:t>
      </w:r>
      <w:r w:rsidR="00792D77">
        <w:rPr>
          <w:color w:val="FF6700" w:themeColor="accent3"/>
        </w:rPr>
        <w:t>USUEL</w:t>
      </w:r>
      <w:r w:rsidR="00F82374">
        <w:rPr>
          <w:color w:val="FF6700" w:themeColor="accent3"/>
        </w:rPr>
        <w:t xml:space="preserve"> DE L'ADHÉSION À LA RRQ (ENTRE 60 ET 70 ANS)</w:t>
      </w:r>
      <w:r w:rsidR="00F82374">
        <w:rPr>
          <w:color w:val="000000" w:themeColor="text1"/>
        </w:rPr>
        <w:t xml:space="preserve">. Dans les faits, elle s'apparente </w:t>
      </w:r>
      <w:r w:rsidR="001066DE">
        <w:rPr>
          <w:color w:val="000000" w:themeColor="text1"/>
        </w:rPr>
        <w:t>autant</w:t>
      </w:r>
      <w:r w:rsidR="00F82374">
        <w:rPr>
          <w:color w:val="000000" w:themeColor="text1"/>
        </w:rPr>
        <w:t xml:space="preserve"> à un  produit d'assurance-vie qu</w:t>
      </w:r>
      <w:r w:rsidR="001066DE">
        <w:rPr>
          <w:color w:val="000000" w:themeColor="text1"/>
        </w:rPr>
        <w:t xml:space="preserve">'à un régime </w:t>
      </w:r>
      <w:r w:rsidR="00F82374">
        <w:rPr>
          <w:color w:val="000000" w:themeColor="text1"/>
        </w:rPr>
        <w:t>de retraite</w:t>
      </w:r>
      <w:r w:rsidR="001066DE">
        <w:rPr>
          <w:color w:val="000000" w:themeColor="text1"/>
        </w:rPr>
        <w:t xml:space="preserve"> puisqu'elle vise également à pourvoir un revenu de remplacement durant la vie active du conjoint survivant</w:t>
      </w:r>
      <w:r w:rsidR="00F82374">
        <w:rPr>
          <w:color w:val="000000" w:themeColor="text1"/>
        </w:rPr>
        <w:t>.</w:t>
      </w:r>
      <w:r w:rsidR="00F82374">
        <w:rPr>
          <w:color w:val="FF6700" w:themeColor="accent3"/>
        </w:rPr>
        <w:t xml:space="preserve"> </w:t>
      </w:r>
    </w:p>
    <w:p w14:paraId="150F86CA" w14:textId="77777777" w:rsidR="00E7009C" w:rsidRDefault="00E7009C" w:rsidP="002D52C6">
      <w:pPr>
        <w:jc w:val="both"/>
      </w:pPr>
    </w:p>
    <w:p w14:paraId="4715DB3B" w14:textId="7E55B217" w:rsidR="00E7009C" w:rsidRPr="000F289D" w:rsidRDefault="00E7009C" w:rsidP="007A697E">
      <w:pPr>
        <w:pStyle w:val="Paragraphedeliste"/>
        <w:numPr>
          <w:ilvl w:val="0"/>
          <w:numId w:val="131"/>
        </w:numPr>
        <w:jc w:val="both"/>
        <w:rPr>
          <w:color w:val="FF6700" w:themeColor="accent3"/>
        </w:rPr>
      </w:pPr>
      <w:r w:rsidRPr="000F289D">
        <w:rPr>
          <w:color w:val="FF6700" w:themeColor="accent3"/>
        </w:rPr>
        <w:t>Rente d'orphelin</w:t>
      </w:r>
    </w:p>
    <w:p w14:paraId="2C883E40" w14:textId="77777777" w:rsidR="00E7009C" w:rsidRDefault="00E7009C" w:rsidP="00E7009C">
      <w:pPr>
        <w:ind w:left="709"/>
        <w:jc w:val="both"/>
      </w:pPr>
    </w:p>
    <w:p w14:paraId="72A33F7D" w14:textId="61BF257C" w:rsidR="003507DC" w:rsidRDefault="00E7009C" w:rsidP="002D52C6">
      <w:pPr>
        <w:jc w:val="both"/>
      </w:pPr>
      <w:r w:rsidRPr="00E7009C">
        <w:t xml:space="preserve">La rente d'orphelin est </w:t>
      </w:r>
      <w:r>
        <w:t>versée suite au décès d'un parent</w:t>
      </w:r>
      <w:r w:rsidR="006B0DED">
        <w:t>, qui a suffisamment cotisé au RRQ</w:t>
      </w:r>
      <w:r w:rsidR="006B0DED">
        <w:rPr>
          <w:rStyle w:val="Marquenotebasdepage"/>
        </w:rPr>
        <w:footnoteReference w:customMarkFollows="1" w:id="28"/>
        <w:t>25</w:t>
      </w:r>
      <w:r w:rsidR="006B0DED">
        <w:t xml:space="preserve">, </w:t>
      </w:r>
      <w:r>
        <w:t>et cesse</w:t>
      </w:r>
      <w:r w:rsidRPr="00E7009C">
        <w:t xml:space="preserve"> lorsque l'enfant atteint l'âge de 18 ans.</w:t>
      </w:r>
      <w:r>
        <w:t xml:space="preserve"> Chaque enfant orphelin d'un parent a droit à cette rente. Cependant, </w:t>
      </w:r>
      <w:r w:rsidRPr="00E7009C">
        <w:t>une seule rente est versée</w:t>
      </w:r>
      <w:r>
        <w:t xml:space="preserve"> par enfant</w:t>
      </w:r>
      <w:r w:rsidRPr="00E7009C">
        <w:t xml:space="preserve">, même si les deux parents décèdent. </w:t>
      </w:r>
      <w:r w:rsidR="007D2EA3">
        <w:t>Ce montant est fixe et correspond, en 2015, à 2 8</w:t>
      </w:r>
      <w:r w:rsidR="00DE3683">
        <w:t>18</w:t>
      </w:r>
      <w:r w:rsidR="007D2EA3">
        <w:t xml:space="preserve"> $/année</w:t>
      </w:r>
      <w:r w:rsidR="00DE3683">
        <w:t>/enfant</w:t>
      </w:r>
      <w:r w:rsidR="007D2EA3">
        <w:t>.</w:t>
      </w:r>
      <w:r w:rsidR="00DE3683">
        <w:t xml:space="preserve"> </w:t>
      </w:r>
      <w:r w:rsidR="00DE3683" w:rsidRPr="003B4186">
        <w:rPr>
          <w:color w:val="008000"/>
        </w:rPr>
        <w:t>L'imposition de cette rente s'effectue à même la déclaration fiscale de l'enfant</w:t>
      </w:r>
      <w:r w:rsidR="00DE3683">
        <w:t>.</w:t>
      </w:r>
    </w:p>
    <w:p w14:paraId="7BC78BE1" w14:textId="77777777" w:rsidR="003507DC" w:rsidRDefault="003507DC" w:rsidP="002D52C6">
      <w:pPr>
        <w:jc w:val="both"/>
      </w:pPr>
    </w:p>
    <w:p w14:paraId="151C5604" w14:textId="77777777" w:rsidR="003B4186" w:rsidRDefault="003B4186" w:rsidP="002D52C6">
      <w:pPr>
        <w:jc w:val="both"/>
      </w:pPr>
    </w:p>
    <w:p w14:paraId="494637D8" w14:textId="782095B6" w:rsidR="003B4186" w:rsidRPr="000F289D" w:rsidRDefault="003B4186" w:rsidP="007A697E">
      <w:pPr>
        <w:pStyle w:val="Paragraphedeliste"/>
        <w:numPr>
          <w:ilvl w:val="0"/>
          <w:numId w:val="131"/>
        </w:numPr>
        <w:jc w:val="both"/>
        <w:rPr>
          <w:color w:val="FF6700" w:themeColor="accent3"/>
        </w:rPr>
      </w:pPr>
      <w:r w:rsidRPr="000F289D">
        <w:rPr>
          <w:color w:val="FF6700" w:themeColor="accent3"/>
        </w:rPr>
        <w:lastRenderedPageBreak/>
        <w:t>Prestation de décès</w:t>
      </w:r>
    </w:p>
    <w:p w14:paraId="772CF182" w14:textId="77777777" w:rsidR="003B4186" w:rsidRDefault="003B4186" w:rsidP="003B4186">
      <w:pPr>
        <w:ind w:left="709"/>
        <w:jc w:val="both"/>
      </w:pPr>
    </w:p>
    <w:p w14:paraId="1D0C766D" w14:textId="3E89C485" w:rsidR="003507DC" w:rsidRDefault="003B4186" w:rsidP="006B0DED">
      <w:pPr>
        <w:jc w:val="both"/>
      </w:pPr>
      <w:r>
        <w:t xml:space="preserve">La prestation de décès correspond à un montant de 2 500 $ qui est </w:t>
      </w:r>
      <w:r w:rsidR="00792D77">
        <w:t>versé</w:t>
      </w:r>
      <w:r>
        <w:t xml:space="preserve"> à la succession. </w:t>
      </w:r>
      <w:r w:rsidR="00125D24" w:rsidRPr="003B4186">
        <w:rPr>
          <w:color w:val="008000"/>
        </w:rPr>
        <w:t xml:space="preserve">L'imposition de cette </w:t>
      </w:r>
      <w:r w:rsidR="00125D24">
        <w:rPr>
          <w:color w:val="008000"/>
        </w:rPr>
        <w:t xml:space="preserve">prestation </w:t>
      </w:r>
      <w:r w:rsidR="00125D24" w:rsidRPr="003B4186">
        <w:rPr>
          <w:color w:val="008000"/>
        </w:rPr>
        <w:t xml:space="preserve">s'effectue </w:t>
      </w:r>
      <w:r w:rsidR="00125D24">
        <w:rPr>
          <w:color w:val="008000"/>
        </w:rPr>
        <w:t xml:space="preserve"> </w:t>
      </w:r>
      <w:r w:rsidR="00125D24" w:rsidRPr="003B4186">
        <w:rPr>
          <w:color w:val="008000"/>
        </w:rPr>
        <w:t xml:space="preserve">à même la déclaration fiscale de </w:t>
      </w:r>
      <w:r w:rsidR="00125D24">
        <w:rPr>
          <w:color w:val="008000"/>
        </w:rPr>
        <w:t>la fiducie puisque c'est la succession qui doit s'imposer</w:t>
      </w:r>
      <w:r w:rsidR="00125D24" w:rsidRPr="00125D24">
        <w:t>. Toutefois, si la prestation de décès constitue le seul revenu à in</w:t>
      </w:r>
      <w:r w:rsidR="009425F4">
        <w:t>clure</w:t>
      </w:r>
      <w:r w:rsidR="00125D24" w:rsidRPr="00125D24">
        <w:t xml:space="preserve"> dans la déclaration de</w:t>
      </w:r>
      <w:r w:rsidR="009425F4">
        <w:t xml:space="preserve"> la</w:t>
      </w:r>
      <w:r w:rsidR="00125D24" w:rsidRPr="00125D24">
        <w:t xml:space="preserve"> fiducie, </w:t>
      </w:r>
      <w:r w:rsidR="006B0DED">
        <w:t>il n'est pas obligatoire</w:t>
      </w:r>
      <w:r w:rsidR="00125D24" w:rsidRPr="00125D24">
        <w:t xml:space="preserve"> de produire cette déclaration. Dans ce cas, la prestation de décès </w:t>
      </w:r>
      <w:r w:rsidR="006B0DED">
        <w:t>peut</w:t>
      </w:r>
      <w:r w:rsidR="00125D24" w:rsidRPr="00125D24">
        <w:t xml:space="preserve"> être incluse dans le revenu d</w:t>
      </w:r>
      <w:r w:rsidR="00125D24">
        <w:t>e l'héritier de la prestation.</w:t>
      </w:r>
      <w:r w:rsidR="006B0DED">
        <w:t xml:space="preserve"> Pour avoir droit à cette </w:t>
      </w:r>
      <w:r w:rsidR="009E6ACB">
        <w:t>prestation,</w:t>
      </w:r>
      <w:r w:rsidR="006B0DED">
        <w:t xml:space="preserve"> le décédé doit avoir suffisamment cotisé au RRQ</w:t>
      </w:r>
      <w:r w:rsidR="006B0DED">
        <w:rPr>
          <w:rStyle w:val="Marquenotebasdepage"/>
        </w:rPr>
        <w:footnoteReference w:customMarkFollows="1" w:id="29"/>
        <w:t>26</w:t>
      </w:r>
      <w:r w:rsidR="006B0DED">
        <w:t>.</w:t>
      </w:r>
    </w:p>
    <w:p w14:paraId="529AD096" w14:textId="77777777" w:rsidR="00FC40CC" w:rsidRDefault="00FC40CC" w:rsidP="006B0DED">
      <w:pPr>
        <w:jc w:val="both"/>
      </w:pPr>
    </w:p>
    <w:p w14:paraId="7EED3E0B" w14:textId="3100AF5C" w:rsidR="00FD0F0D" w:rsidRDefault="00E96AF0" w:rsidP="00E96AF0">
      <w:pPr>
        <w:pStyle w:val="Titre4"/>
      </w:pPr>
      <w:bookmarkStart w:id="32" w:name="_Toc314397823"/>
      <w:bookmarkStart w:id="33" w:name="_Toc443569367"/>
      <w:r>
        <w:t>2.2.</w:t>
      </w:r>
      <w:r w:rsidR="00C47AB3">
        <w:t>1</w:t>
      </w:r>
      <w:r>
        <w:t xml:space="preserve">.3. </w:t>
      </w:r>
      <w:r w:rsidR="00FD0F0D">
        <w:t>Les rentes en cas de rupture de l’union</w:t>
      </w:r>
      <w:bookmarkEnd w:id="32"/>
      <w:bookmarkEnd w:id="33"/>
    </w:p>
    <w:p w14:paraId="290EB856" w14:textId="77777777" w:rsidR="006E1B64" w:rsidRDefault="006E1B64" w:rsidP="006E1B64"/>
    <w:p w14:paraId="37165C02" w14:textId="21F82B1C" w:rsidR="00857A4E" w:rsidRDefault="004C5F49" w:rsidP="00EE182E">
      <w:pPr>
        <w:jc w:val="both"/>
      </w:pPr>
      <w:r>
        <w:t>La répartition des rentes acquises du RRQ entre les conjoints qui cessent de faire vie commune s'effectuera selon la logique qui découle de l'application</w:t>
      </w:r>
      <w:r w:rsidR="00EE182E">
        <w:t xml:space="preserve"> des règles s'appliquant au </w:t>
      </w:r>
      <w:r w:rsidR="00EE182E" w:rsidRPr="00EE182E">
        <w:rPr>
          <w:color w:val="FF6700" w:themeColor="accent3"/>
        </w:rPr>
        <w:t>"PATRIMOINE FAMILIAL"</w:t>
      </w:r>
      <w:r w:rsidR="00EE182E">
        <w:t xml:space="preserve">. C'est donc dire que dans le cas des conjoints mariés, la rupture de l'union entrainera automatiquement la répartition en part égale (50/50) des rentes acquises durant la période du mariage. Dans le cas des conjoints de </w:t>
      </w:r>
      <w:r w:rsidR="009E6ACB">
        <w:t>fait</w:t>
      </w:r>
      <w:r w:rsidR="00EE182E">
        <w:t>, la rupture d</w:t>
      </w:r>
      <w:r w:rsidR="00D30C78">
        <w:t>u couple</w:t>
      </w:r>
      <w:r w:rsidR="00EE182E">
        <w:t xml:space="preserve"> n'entrainera pas automatiquement la répartition des rentes acquises durant la période de l'union. Dans ce cas, pour qu'il y </w:t>
      </w:r>
      <w:r w:rsidR="00D30C78">
        <w:t>ait</w:t>
      </w:r>
      <w:r w:rsidR="00EE182E">
        <w:t xml:space="preserve"> une telle répartition, il faut que les </w:t>
      </w:r>
      <w:r w:rsidR="00EE182E" w:rsidRPr="00D30C78">
        <w:rPr>
          <w:u w:val="single"/>
        </w:rPr>
        <w:t>deux</w:t>
      </w:r>
      <w:r w:rsidR="00EE182E">
        <w:t xml:space="preserve"> conjoints le demandent ou</w:t>
      </w:r>
      <w:r w:rsidR="00D30C78">
        <w:t xml:space="preserve"> que l'exécution d'un contrat d'union de </w:t>
      </w:r>
      <w:r w:rsidR="009E6ACB">
        <w:t>fait</w:t>
      </w:r>
      <w:r w:rsidR="00D30C78">
        <w:t xml:space="preserve"> l'exige.</w:t>
      </w:r>
    </w:p>
    <w:p w14:paraId="77339AD0" w14:textId="77777777" w:rsidR="00D30C78" w:rsidRDefault="00D30C78" w:rsidP="00EE182E">
      <w:pPr>
        <w:jc w:val="both"/>
      </w:pPr>
    </w:p>
    <w:p w14:paraId="249E6279" w14:textId="1934CF30" w:rsidR="00C910FA" w:rsidRDefault="00E96AF0" w:rsidP="00E96AF0">
      <w:pPr>
        <w:pStyle w:val="Titre4"/>
      </w:pPr>
      <w:bookmarkStart w:id="34" w:name="_Toc314397824"/>
      <w:bookmarkStart w:id="35" w:name="_Toc443569368"/>
      <w:r w:rsidRPr="00E96AF0">
        <w:rPr>
          <w:bCs w:val="0"/>
          <w:iCs w:val="0"/>
        </w:rPr>
        <w:t>2</w:t>
      </w:r>
      <w:r w:rsidRPr="00E96AF0">
        <w:rPr>
          <w:b w:val="0"/>
          <w:bCs w:val="0"/>
          <w:i w:val="0"/>
          <w:iCs w:val="0"/>
        </w:rPr>
        <w:t>.</w:t>
      </w:r>
      <w:r>
        <w:t>2.</w:t>
      </w:r>
      <w:r w:rsidR="00C47AB3">
        <w:t>1</w:t>
      </w:r>
      <w:r>
        <w:t xml:space="preserve">.4. </w:t>
      </w:r>
      <w:r w:rsidR="00C910FA">
        <w:t>Optimisation et planification</w:t>
      </w:r>
      <w:bookmarkEnd w:id="34"/>
      <w:bookmarkEnd w:id="35"/>
    </w:p>
    <w:p w14:paraId="34C2716B" w14:textId="0396E16F" w:rsidR="006E1B64" w:rsidRDefault="006E1B64" w:rsidP="006E1B64"/>
    <w:p w14:paraId="68C4A7AB" w14:textId="7E041F7F" w:rsidR="002F541C" w:rsidRDefault="00FC4693" w:rsidP="002F541C">
      <w:r>
        <w:t>Malgré le fait que le RRQ soit un régime public comportant plusieurs règles qui sont fixes et consignées dans une loi, certains choix sont possible</w:t>
      </w:r>
      <w:r w:rsidR="00B763EC">
        <w:t>s et peuvent contribuer à optimiser la situation financière d'un individu. Dans la présente section, nous examinerons les options les plus intéressantes en terme de planification.</w:t>
      </w:r>
    </w:p>
    <w:p w14:paraId="7F393BE6" w14:textId="4E532335" w:rsidR="00B763EC" w:rsidRDefault="00AE2255" w:rsidP="002F541C">
      <w:r>
        <w:rPr>
          <w:noProof/>
          <w:sz w:val="18"/>
          <w:szCs w:val="18"/>
          <w:lang w:eastAsia="fr-FR"/>
        </w:rPr>
        <w:drawing>
          <wp:anchor distT="0" distB="0" distL="114300" distR="114300" simplePos="0" relativeHeight="252006400" behindDoc="0" locked="0" layoutInCell="1" allowOverlap="1" wp14:anchorId="4D1D533A" wp14:editId="7C5DE86A">
            <wp:simplePos x="0" y="0"/>
            <wp:positionH relativeFrom="column">
              <wp:posOffset>2857500</wp:posOffset>
            </wp:positionH>
            <wp:positionV relativeFrom="paragraph">
              <wp:posOffset>0</wp:posOffset>
            </wp:positionV>
            <wp:extent cx="685800" cy="685800"/>
            <wp:effectExtent l="0" t="0" r="0" b="0"/>
            <wp:wrapNone/>
            <wp:docPr id="131" name="Image 131">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D5D1E41" w14:textId="77777777" w:rsidR="00304DAF" w:rsidRDefault="00573C95" w:rsidP="00304DAF">
      <w:pPr>
        <w:ind w:left="709"/>
        <w:jc w:val="both"/>
        <w:rPr>
          <w:rStyle w:val="Lienhypertexte"/>
          <w:color w:val="FF6700" w:themeColor="accent3"/>
        </w:rPr>
      </w:pPr>
      <w:hyperlink r:id="rId60" w:history="1">
        <w:r w:rsidR="00304DAF" w:rsidRPr="00BC1DFE">
          <w:rPr>
            <w:rStyle w:val="Lienhypertexte"/>
            <w:color w:val="FF6700" w:themeColor="accent3"/>
          </w:rPr>
          <w:t>Pour consulter la loi sur le RRQ</w:t>
        </w:r>
      </w:hyperlink>
    </w:p>
    <w:p w14:paraId="6F87DAC0" w14:textId="77777777" w:rsidR="0002232F" w:rsidRDefault="0002232F" w:rsidP="00304DAF">
      <w:pPr>
        <w:ind w:left="709"/>
        <w:jc w:val="both"/>
        <w:rPr>
          <w:rStyle w:val="Lienhypertexte"/>
          <w:color w:val="FF6700" w:themeColor="accent3"/>
        </w:rPr>
      </w:pPr>
    </w:p>
    <w:p w14:paraId="3C064A87" w14:textId="77777777" w:rsidR="0002232F" w:rsidRPr="00BC1DFE" w:rsidRDefault="0002232F" w:rsidP="00304DAF">
      <w:pPr>
        <w:ind w:left="709"/>
        <w:jc w:val="both"/>
        <w:rPr>
          <w:color w:val="FF6700" w:themeColor="accent3"/>
        </w:rPr>
      </w:pPr>
    </w:p>
    <w:p w14:paraId="664071F6" w14:textId="285E8A44" w:rsidR="00D30C78" w:rsidRPr="000F289D" w:rsidRDefault="00751489" w:rsidP="007A697E">
      <w:pPr>
        <w:pStyle w:val="Paragraphedeliste"/>
        <w:numPr>
          <w:ilvl w:val="0"/>
          <w:numId w:val="131"/>
        </w:numPr>
        <w:jc w:val="both"/>
        <w:rPr>
          <w:color w:val="FF6700" w:themeColor="accent3"/>
        </w:rPr>
      </w:pPr>
      <w:r w:rsidRPr="000F289D">
        <w:rPr>
          <w:color w:val="FF6700" w:themeColor="accent3"/>
        </w:rPr>
        <w:lastRenderedPageBreak/>
        <w:t xml:space="preserve">L'âge optimal pour </w:t>
      </w:r>
      <w:r w:rsidR="00D30C78" w:rsidRPr="000F289D">
        <w:rPr>
          <w:color w:val="FF6700" w:themeColor="accent3"/>
        </w:rPr>
        <w:t>demander la rente de retraite</w:t>
      </w:r>
    </w:p>
    <w:p w14:paraId="011C9BF5" w14:textId="77777777" w:rsidR="00C96534" w:rsidRDefault="00C96534" w:rsidP="00C96534">
      <w:pPr>
        <w:jc w:val="both"/>
      </w:pPr>
    </w:p>
    <w:p w14:paraId="74C636EF" w14:textId="320D2EB4" w:rsidR="00C96534" w:rsidRDefault="00C96534" w:rsidP="00C96534">
      <w:pPr>
        <w:jc w:val="both"/>
      </w:pPr>
      <w:r>
        <w:t>Tel que nous en avons discuté précédemment, le RRQ permet au contribuable de demander sa rente de retraite à l’intérieur d’une fourchette de 10 ans. C’est-à-dire entre 60 et 70 ans. Une fois la décision prise, celle-ci devient irréversible. Il faut donc comprendre l</w:t>
      </w:r>
      <w:r w:rsidR="009425F4">
        <w:t>a teneur d</w:t>
      </w:r>
      <w:r>
        <w:t>es variables</w:t>
      </w:r>
      <w:r w:rsidR="009425F4">
        <w:t xml:space="preserve"> en cause</w:t>
      </w:r>
      <w:r>
        <w:t xml:space="preserve"> et les conséquences d’un tel choix. La prise de rente dite « normale » s’effectue à </w:t>
      </w:r>
      <w:r w:rsidR="009425F4">
        <w:t xml:space="preserve">l'âge de </w:t>
      </w:r>
      <w:r>
        <w:t>65 ans et constitue la référ</w:t>
      </w:r>
      <w:r w:rsidR="000D0BA4">
        <w:t>e</w:t>
      </w:r>
      <w:r>
        <w:t>nce d’une rente à 100 %. Rappelons que l’anticipation de la rente (avant 65 ans) s’accompagne d’une réduction de ,6 %/mois (7,2 %/année) et que son report (après 65 ans) fait l’objet d’une bonification de ,7 %/mois (8,4 %/année).</w:t>
      </w:r>
    </w:p>
    <w:p w14:paraId="55BE2192" w14:textId="77777777" w:rsidR="00C96534" w:rsidRDefault="00C96534" w:rsidP="00C96534">
      <w:pPr>
        <w:jc w:val="both"/>
      </w:pPr>
    </w:p>
    <w:p w14:paraId="7A1ACF41" w14:textId="587E5B47" w:rsidR="00C96534" w:rsidRDefault="00C96534" w:rsidP="00C96534">
      <w:pPr>
        <w:jc w:val="both"/>
      </w:pPr>
      <w:r>
        <w:t xml:space="preserve">L’analyse du moment optimal pour demander la rente de retraite emprunte les mêmes analyses que celles que nous avons présentées lors de la </w:t>
      </w:r>
      <w:r w:rsidR="00F760E6">
        <w:t>détermination</w:t>
      </w:r>
      <w:r>
        <w:t xml:space="preserve"> du choix en matière de PSV (voir </w:t>
      </w:r>
      <w:r w:rsidR="00EF7A35">
        <w:rPr>
          <w:color w:val="008000"/>
        </w:rPr>
        <w:t xml:space="preserve">SECTION </w:t>
      </w:r>
      <w:r w:rsidRPr="00C96534">
        <w:rPr>
          <w:color w:val="008000"/>
        </w:rPr>
        <w:t>2.1.1.3.3.</w:t>
      </w:r>
      <w:r>
        <w:t xml:space="preserve">). Cependant, </w:t>
      </w:r>
      <w:r w:rsidR="00F760E6">
        <w:t>compte tenu de la plus forte bonification associée au report de la rente du RRQ (comparativement à celle de la PSV - ,7 %/mois vs ,6 %/mois), le</w:t>
      </w:r>
      <w:r>
        <w:t xml:space="preserve"> point d’indifférence</w:t>
      </w:r>
      <w:r w:rsidR="00F760E6">
        <w:t xml:space="preserve"> du</w:t>
      </w:r>
      <w:r>
        <w:t xml:space="preserve"> report de la rente du RRQ à l’âge de 70 ans</w:t>
      </w:r>
      <w:r w:rsidR="00F760E6">
        <w:t xml:space="preserve"> est atteint plus rapidement</w:t>
      </w:r>
      <w:r w:rsidR="00C43779">
        <w:t xml:space="preserve"> que pour la PSV</w:t>
      </w:r>
      <w:r w:rsidR="00F760E6">
        <w:t xml:space="preserve">. L’aspect purement financier de cette décision et la détermination d’un point d’indifférence </w:t>
      </w:r>
      <w:r w:rsidR="00E627C7">
        <w:t xml:space="preserve">se </w:t>
      </w:r>
      <w:proofErr w:type="gramStart"/>
      <w:r w:rsidR="009E6ACB">
        <w:t>résument</w:t>
      </w:r>
      <w:proofErr w:type="gramEnd"/>
      <w:r w:rsidR="00E627C7">
        <w:t xml:space="preserve"> à identifier l’âge théorique du décès à partir duquel, la prise de rente à 65 ans ou à 70 ans donne le même résultat.</w:t>
      </w:r>
    </w:p>
    <w:p w14:paraId="73DE8CE6" w14:textId="77777777" w:rsidR="00676982" w:rsidRDefault="00676982"/>
    <w:p w14:paraId="66E5DD2F" w14:textId="02809ED8" w:rsidR="005F1365" w:rsidRDefault="00877575" w:rsidP="00877575">
      <w:pPr>
        <w:jc w:val="both"/>
      </w:pPr>
      <w:r>
        <w:t xml:space="preserve">Avant de faire la démonstration du calcul du point d’indifférence, j’aimerais porter votre attention sur une hypothèse que j’ai utilisée afin de simplifier la présentation. Les calculs sont effectués sans tenir compte d’un taux de capitalisation, ce qui laisse présager que l’individu ne réalise pas de rendement sur le montant des rentes qui lui sont versées. Cette </w:t>
      </w:r>
      <w:r w:rsidR="009E6ACB">
        <w:t>prémisse</w:t>
      </w:r>
      <w:r>
        <w:t xml:space="preserve"> est fausse pour </w:t>
      </w:r>
      <w:r w:rsidR="009E6ACB">
        <w:t>tous</w:t>
      </w:r>
      <w:r>
        <w:t xml:space="preserve"> ceux pour qui le versement de la rente permet de préserver des placements qui se bonifient avec le temps (REÉR, CÉLI, FERR). C’est donc dire que l’hypothèse que j’ai </w:t>
      </w:r>
      <w:r w:rsidR="009E6ACB">
        <w:t>utilisée</w:t>
      </w:r>
      <w:r>
        <w:t xml:space="preserve">, </w:t>
      </w:r>
      <w:r w:rsidR="00C43779">
        <w:t xml:space="preserve">celle </w:t>
      </w:r>
      <w:r>
        <w:t xml:space="preserve">de ne pas tenir compte d’un taux de capitalisation, vise les situations </w:t>
      </w:r>
      <w:r w:rsidR="009E6ACB">
        <w:t>où</w:t>
      </w:r>
      <w:r>
        <w:t xml:space="preserve"> la rente est pleinement nécessaire au train de vie de l’individu et que celui-ci possède seulement des actifs de retraite qui ne se bonifie</w:t>
      </w:r>
      <w:r w:rsidR="00172463">
        <w:t>nt</w:t>
      </w:r>
      <w:r>
        <w:t xml:space="preserve"> </w:t>
      </w:r>
      <w:r w:rsidR="0091486B">
        <w:t>plus</w:t>
      </w:r>
      <w:r>
        <w:t xml:space="preserve"> dans le temps (</w:t>
      </w:r>
      <w:r w:rsidR="0091486B">
        <w:t xml:space="preserve">PSV, RPA). </w:t>
      </w:r>
      <w:r w:rsidR="00172463">
        <w:t xml:space="preserve">Par exemple, le point d’indifférence, sans tenir </w:t>
      </w:r>
      <w:r w:rsidR="009E6ACB">
        <w:t>compte</w:t>
      </w:r>
      <w:r w:rsidR="00172463">
        <w:t xml:space="preserve"> d’un rendement sur les rentes, sera de 81,9 ans (voir </w:t>
      </w:r>
      <w:r w:rsidR="009E6ACB">
        <w:t>calculs</w:t>
      </w:r>
      <w:r w:rsidR="00172463">
        <w:t xml:space="preserve"> à la page suivante). Le même exercice en tenant compte d’un rendement de 2 % sur les rentes repoussera le point d’indifférence à près de 84 ans. </w:t>
      </w:r>
      <w:r w:rsidR="0091486B">
        <w:t>Cette nuance s’applique également au calcul que nous avons effectué dans la détermination du point d’indifférence relativement à la PSV. Finalement, les calculs ont été effectués avec les rentes maximums et n’ont</w:t>
      </w:r>
      <w:r w:rsidR="00172463">
        <w:t xml:space="preserve"> </w:t>
      </w:r>
      <w:r w:rsidR="0091486B">
        <w:t>pas tenu compte des indexations annuelles puisque celles-ci s’appliquent autant dans les scénarios de la prise de rente à 65 ans et à 70 ans.</w:t>
      </w:r>
      <w:r w:rsidR="005F1365">
        <w:br w:type="page"/>
      </w:r>
    </w:p>
    <w:p w14:paraId="49749E31" w14:textId="0216F367" w:rsidR="00E627C7" w:rsidRDefault="00EE44AA" w:rsidP="00C96534">
      <w:pPr>
        <w:jc w:val="both"/>
      </w:pPr>
      <w:r>
        <w:lastRenderedPageBreak/>
        <w:t>V</w:t>
      </w:r>
      <w:r w:rsidR="00E627C7">
        <w:t>oici la démonstration :</w:t>
      </w:r>
    </w:p>
    <w:p w14:paraId="5EDDC776" w14:textId="77777777" w:rsidR="00E627C7" w:rsidRDefault="00E627C7" w:rsidP="00C96534">
      <w:pPr>
        <w:jc w:val="both"/>
      </w:pPr>
    </w:p>
    <w:p w14:paraId="7D39E9CF" w14:textId="1099056A" w:rsidR="00E627C7" w:rsidRDefault="00A401D5" w:rsidP="00C96534">
      <w:pPr>
        <w:jc w:val="both"/>
      </w:pPr>
      <w:r>
        <w:rPr>
          <w:noProof/>
          <w:lang w:eastAsia="fr-FR"/>
        </w:rPr>
        <mc:AlternateContent>
          <mc:Choice Requires="wps">
            <w:drawing>
              <wp:anchor distT="0" distB="0" distL="114300" distR="114300" simplePos="0" relativeHeight="252008448" behindDoc="0" locked="0" layoutInCell="1" allowOverlap="1" wp14:anchorId="33188CD7" wp14:editId="225DFAAA">
                <wp:simplePos x="0" y="0"/>
                <wp:positionH relativeFrom="column">
                  <wp:posOffset>0</wp:posOffset>
                </wp:positionH>
                <wp:positionV relativeFrom="paragraph">
                  <wp:posOffset>-6985</wp:posOffset>
                </wp:positionV>
                <wp:extent cx="457200" cy="457200"/>
                <wp:effectExtent l="76200" t="76200" r="50800" b="76200"/>
                <wp:wrapThrough wrapText="bothSides">
                  <wp:wrapPolygon edited="0">
                    <wp:start x="3600" y="-3600"/>
                    <wp:lineTo x="-3600" y="-1200"/>
                    <wp:lineTo x="-3600" y="15600"/>
                    <wp:lineTo x="2400" y="24000"/>
                    <wp:lineTo x="18000" y="24000"/>
                    <wp:lineTo x="22800" y="18000"/>
                    <wp:lineTo x="18000" y="0"/>
                    <wp:lineTo x="18000" y="-3600"/>
                    <wp:lineTo x="3600" y="-3600"/>
                  </wp:wrapPolygon>
                </wp:wrapThrough>
                <wp:docPr id="142" name="Ellipse 14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65D3B5"/>
                        </a:solidFill>
                        <a:ln>
                          <a:solidFill>
                            <a:schemeClr val="tx1"/>
                          </a:solidFill>
                        </a:ln>
                        <a:effectLst/>
                        <a:scene3d>
                          <a:camera prst="orthographicFront">
                            <a:rot lat="0" lon="0" rev="0"/>
                          </a:camera>
                          <a:lightRig rig="threePt" dir="tl">
                            <a:rot lat="0" lon="0" rev="20400000"/>
                          </a:lightRig>
                        </a:scene3d>
                        <a:sp3d/>
                      </wps:spPr>
                      <wps:style>
                        <a:lnRef idx="1">
                          <a:schemeClr val="accent3"/>
                        </a:lnRef>
                        <a:fillRef idx="3">
                          <a:schemeClr val="accent3"/>
                        </a:fillRef>
                        <a:effectRef idx="2">
                          <a:schemeClr val="accent3"/>
                        </a:effectRef>
                        <a:fontRef idx="minor">
                          <a:schemeClr val="lt1"/>
                        </a:fontRef>
                      </wps:style>
                      <wps:txbx>
                        <w:txbxContent>
                          <w:p w14:paraId="4E66C456" w14:textId="77777777" w:rsidR="00573C95" w:rsidRPr="005F1365" w:rsidRDefault="00573C95" w:rsidP="00A401D5">
                            <w:pPr>
                              <w:jc w:val="center"/>
                              <w:rPr>
                                <w:color w:val="000000"/>
                              </w:rPr>
                            </w:pPr>
                            <w:r w:rsidRPr="005F1365">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42" o:spid="_x0000_s1076" style="position:absolute;left:0;text-align:left;margin-left:0;margin-top:-.5pt;width:36pt;height:3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" fillcolor="#65d3b5" strokecolor="black [3213]">
                <v:textbox>
                  <w:txbxContent>
                    <w:p w14:paraId="4E66C456" w14:textId="77777777" w:rsidR="001501D6" w:rsidRPr="005F1365" w:rsidRDefault="001501D6" w:rsidP="00A401D5">
                      <w:pPr>
                        <w:jc w:val="center"/>
                        <w:rPr>
                          <w:color w:val="000000"/>
                        </w:rPr>
                      </w:pPr>
                      <w:r w:rsidRPr="005F1365">
                        <w:rPr>
                          <w:color w:val="000000"/>
                        </w:rPr>
                        <w:t>1</w:t>
                      </w:r>
                    </w:p>
                  </w:txbxContent>
                </v:textbox>
                <w10:wrap type="through"/>
              </v:oval>
            </w:pict>
          </mc:Fallback>
        </mc:AlternateContent>
      </w:r>
    </w:p>
    <w:p w14:paraId="0E409DF8" w14:textId="0D8C399A" w:rsidR="00C96534" w:rsidRDefault="00584072" w:rsidP="00C96534">
      <w:pPr>
        <w:jc w:val="both"/>
      </w:pPr>
      <w:r>
        <w:t>Quelle sera le montant total des rentes acquises jusqu’à 70 ans, si elles sont prises à compter de 65 ans</w:t>
      </w:r>
    </w:p>
    <w:p w14:paraId="0A660DA0" w14:textId="47AAB08F" w:rsidR="00584072" w:rsidRDefault="00584072" w:rsidP="00C96534">
      <w:pPr>
        <w:jc w:val="both"/>
      </w:pPr>
      <w:r>
        <w:rPr>
          <w:noProof/>
          <w:lang w:eastAsia="fr-FR"/>
        </w:rPr>
        <mc:AlternateContent>
          <mc:Choice Requires="wps">
            <w:drawing>
              <wp:anchor distT="0" distB="0" distL="114300" distR="114300" simplePos="0" relativeHeight="252010496" behindDoc="0" locked="0" layoutInCell="1" allowOverlap="1" wp14:anchorId="381B6804" wp14:editId="6DD18A2F">
                <wp:simplePos x="0" y="0"/>
                <wp:positionH relativeFrom="column">
                  <wp:posOffset>317500</wp:posOffset>
                </wp:positionH>
                <wp:positionV relativeFrom="paragraph">
                  <wp:posOffset>94615</wp:posOffset>
                </wp:positionV>
                <wp:extent cx="5715000" cy="342900"/>
                <wp:effectExtent l="101600" t="76200" r="101600" b="165100"/>
                <wp:wrapThrough wrapText="bothSides">
                  <wp:wrapPolygon edited="0">
                    <wp:start x="-96" y="-4800"/>
                    <wp:lineTo x="-384" y="-1600"/>
                    <wp:lineTo x="-384" y="22400"/>
                    <wp:lineTo x="0" y="30400"/>
                    <wp:lineTo x="21696" y="30400"/>
                    <wp:lineTo x="21888" y="24000"/>
                    <wp:lineTo x="21600" y="0"/>
                    <wp:lineTo x="21600" y="-4800"/>
                    <wp:lineTo x="-96" y="-4800"/>
                  </wp:wrapPolygon>
                </wp:wrapThrough>
                <wp:docPr id="143" name="Rectangle à coins arrondis 143"/>
                <wp:cNvGraphicFramePr/>
                <a:graphic xmlns:a="http://schemas.openxmlformats.org/drawingml/2006/main">
                  <a:graphicData uri="http://schemas.microsoft.com/office/word/2010/wordprocessingShape">
                    <wps:wsp>
                      <wps:cNvSpPr/>
                      <wps:spPr>
                        <a:xfrm>
                          <a:off x="0" y="0"/>
                          <a:ext cx="5715000" cy="342900"/>
                        </a:xfrm>
                        <a:prstGeom prst="roundRect">
                          <a:avLst/>
                        </a:prstGeom>
                        <a:ln>
                          <a:solidFill>
                            <a:schemeClr val="tx1"/>
                          </a:solidFill>
                        </a:ln>
                      </wps:spPr>
                      <wps:style>
                        <a:lnRef idx="1">
                          <a:schemeClr val="accent4"/>
                        </a:lnRef>
                        <a:fillRef idx="3">
                          <a:schemeClr val="accent4"/>
                        </a:fillRef>
                        <a:effectRef idx="2">
                          <a:schemeClr val="accent4"/>
                        </a:effectRef>
                        <a:fontRef idx="minor">
                          <a:schemeClr val="lt1"/>
                        </a:fontRef>
                      </wps:style>
                      <wps:txbx>
                        <w:txbxContent>
                          <w:p w14:paraId="69F4FC22" w14:textId="7E0AA696" w:rsidR="00573C95" w:rsidRPr="00584072" w:rsidRDefault="00573C95" w:rsidP="00584072">
                            <w:pPr>
                              <w:jc w:val="center"/>
                              <w:rPr>
                                <w:color w:val="000000" w:themeColor="text1"/>
                              </w:rPr>
                            </w:pPr>
                            <w:r w:rsidRPr="00584072">
                              <w:rPr>
                                <w:color w:val="000000" w:themeColor="text1"/>
                              </w:rPr>
                              <w:t>5 * 12 780 $ = 63 900 $</w:t>
                            </w:r>
                          </w:p>
                        </w:txbxContent>
                      </wps:txbx>
                      <wps:bodyPr/>
                    </wps:wsp>
                  </a:graphicData>
                </a:graphic>
                <wp14:sizeRelH relativeFrom="margin">
                  <wp14:pctWidth>0</wp14:pctWidth>
                </wp14:sizeRelH>
                <wp14:sizeRelV relativeFrom="margin">
                  <wp14:pctHeight>0</wp14:pctHeight>
                </wp14:sizeRelV>
              </wp:anchor>
            </w:drawing>
          </mc:Choice>
          <mc:Fallback>
            <w:pict>
              <v:roundrect id="Rectangle à coins arrondis 143" o:spid="_x0000_s1077" style="position:absolute;left:0;text-align:left;margin-left:25pt;margin-top:7.45pt;width:450pt;height:27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" fillcolor="#909465 [3207]" strokecolor="black [3213]">
                <v:fill color2="#81845a [2887]" rotate="t" focus="100%" type="gradient">
                  <o:fill v:ext="view" type="gradientUnscaled"/>
                </v:fill>
                <v:shadow on="t" opacity="18350f" mv:blur="50800f" origin=",.5" offset="0,2pt"/>
                <v:textbox>
                  <w:txbxContent>
                    <w:p w14:paraId="69F4FC22" w14:textId="7E0AA696" w:rsidR="001501D6" w:rsidRPr="00584072" w:rsidRDefault="001501D6" w:rsidP="00584072">
                      <w:pPr>
                        <w:jc w:val="center"/>
                        <w:rPr>
                          <w:color w:val="000000" w:themeColor="text1"/>
                        </w:rPr>
                      </w:pPr>
                      <w:r w:rsidRPr="00584072">
                        <w:rPr>
                          <w:color w:val="000000" w:themeColor="text1"/>
                        </w:rPr>
                        <w:t>5 * 12 780 $ = 63 900 $</w:t>
                      </w:r>
                    </w:p>
                  </w:txbxContent>
                </v:textbox>
                <w10:wrap type="through"/>
              </v:roundrect>
            </w:pict>
          </mc:Fallback>
        </mc:AlternateContent>
      </w:r>
    </w:p>
    <w:p w14:paraId="61423EB4" w14:textId="70FA26AD" w:rsidR="00584072" w:rsidRDefault="00584072" w:rsidP="00C96534">
      <w:pPr>
        <w:jc w:val="both"/>
      </w:pPr>
      <w:r>
        <w:tab/>
      </w:r>
      <w:r>
        <w:tab/>
      </w:r>
    </w:p>
    <w:p w14:paraId="456C5988" w14:textId="2576A8B3" w:rsidR="00584072" w:rsidRDefault="00584072" w:rsidP="00C96534">
      <w:pPr>
        <w:jc w:val="both"/>
      </w:pPr>
    </w:p>
    <w:p w14:paraId="082559A4" w14:textId="06A060A8" w:rsidR="00584072" w:rsidRDefault="00584072" w:rsidP="00C96534">
      <w:pPr>
        <w:jc w:val="both"/>
      </w:pPr>
      <w:r>
        <w:rPr>
          <w:noProof/>
          <w:lang w:eastAsia="fr-FR"/>
        </w:rPr>
        <mc:AlternateContent>
          <mc:Choice Requires="wps">
            <w:drawing>
              <wp:anchor distT="0" distB="0" distL="114300" distR="114300" simplePos="0" relativeHeight="252012544" behindDoc="0" locked="0" layoutInCell="1" allowOverlap="1" wp14:anchorId="3BEF250B" wp14:editId="350A2016">
                <wp:simplePos x="0" y="0"/>
                <wp:positionH relativeFrom="column">
                  <wp:posOffset>0</wp:posOffset>
                </wp:positionH>
                <wp:positionV relativeFrom="paragraph">
                  <wp:posOffset>48895</wp:posOffset>
                </wp:positionV>
                <wp:extent cx="457200" cy="457200"/>
                <wp:effectExtent l="76200" t="76200" r="50800" b="76200"/>
                <wp:wrapThrough wrapText="bothSides">
                  <wp:wrapPolygon edited="0">
                    <wp:start x="3600" y="-3600"/>
                    <wp:lineTo x="-3600" y="-1200"/>
                    <wp:lineTo x="-3600" y="15600"/>
                    <wp:lineTo x="2400" y="24000"/>
                    <wp:lineTo x="18000" y="24000"/>
                    <wp:lineTo x="22800" y="18000"/>
                    <wp:lineTo x="18000" y="0"/>
                    <wp:lineTo x="18000" y="-3600"/>
                    <wp:lineTo x="3600" y="-3600"/>
                  </wp:wrapPolygon>
                </wp:wrapThrough>
                <wp:docPr id="144" name="Ellipse 14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65D3B5"/>
                        </a:solidFill>
                        <a:ln>
                          <a:solidFill>
                            <a:schemeClr val="tx1"/>
                          </a:solidFill>
                        </a:ln>
                        <a:effectLst/>
                        <a:scene3d>
                          <a:camera prst="orthographicFront">
                            <a:rot lat="0" lon="0" rev="0"/>
                          </a:camera>
                          <a:lightRig rig="threePt" dir="tl">
                            <a:rot lat="0" lon="0" rev="20400000"/>
                          </a:lightRig>
                        </a:scene3d>
                        <a:sp3d/>
                      </wps:spPr>
                      <wps:style>
                        <a:lnRef idx="1">
                          <a:schemeClr val="accent3"/>
                        </a:lnRef>
                        <a:fillRef idx="3">
                          <a:schemeClr val="accent3"/>
                        </a:fillRef>
                        <a:effectRef idx="2">
                          <a:schemeClr val="accent3"/>
                        </a:effectRef>
                        <a:fontRef idx="minor">
                          <a:schemeClr val="lt1"/>
                        </a:fontRef>
                      </wps:style>
                      <wps:txbx>
                        <w:txbxContent>
                          <w:p w14:paraId="78C9BDAE" w14:textId="5066B8BA" w:rsidR="00573C95" w:rsidRPr="005F1365" w:rsidRDefault="00573C95" w:rsidP="00584072">
                            <w:pPr>
                              <w:jc w:val="center"/>
                              <w:rPr>
                                <w:color w:val="000000"/>
                              </w:rPr>
                            </w:pPr>
                            <w:r w:rsidRPr="005F1365">
                              <w:rPr>
                                <w:color w:val="0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44" o:spid="_x0000_s1078" style="position:absolute;left:0;text-align:left;margin-left:0;margin-top:3.85pt;width:36pt;height:36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" fillcolor="#65d3b5" strokecolor="black [3213]">
                <v:textbox>
                  <w:txbxContent>
                    <w:p w14:paraId="78C9BDAE" w14:textId="5066B8BA" w:rsidR="001501D6" w:rsidRPr="005F1365" w:rsidRDefault="001501D6" w:rsidP="00584072">
                      <w:pPr>
                        <w:jc w:val="center"/>
                        <w:rPr>
                          <w:color w:val="000000"/>
                        </w:rPr>
                      </w:pPr>
                      <w:r w:rsidRPr="005F1365">
                        <w:rPr>
                          <w:color w:val="000000"/>
                        </w:rPr>
                        <w:t>2</w:t>
                      </w:r>
                    </w:p>
                  </w:txbxContent>
                </v:textbox>
                <w10:wrap type="through"/>
              </v:oval>
            </w:pict>
          </mc:Fallback>
        </mc:AlternateContent>
      </w:r>
      <w:r w:rsidR="005F1365">
        <w:t>Quel sera la bonification annuelle d’une rente prise à 70 ans vs celle prise à 65 ans</w:t>
      </w:r>
      <w:r>
        <w:tab/>
      </w:r>
    </w:p>
    <w:p w14:paraId="68E095A9" w14:textId="50C74E69" w:rsidR="00C96534" w:rsidRDefault="0033431B" w:rsidP="00C96534">
      <w:pPr>
        <w:jc w:val="both"/>
      </w:pPr>
      <w:r>
        <w:rPr>
          <w:noProof/>
          <w:lang w:eastAsia="fr-FR"/>
        </w:rPr>
        <mc:AlternateContent>
          <mc:Choice Requires="wps">
            <w:drawing>
              <wp:anchor distT="0" distB="0" distL="114300" distR="114300" simplePos="0" relativeHeight="252014592" behindDoc="0" locked="0" layoutInCell="1" allowOverlap="1" wp14:anchorId="57323998" wp14:editId="6C08A4F5">
                <wp:simplePos x="0" y="0"/>
                <wp:positionH relativeFrom="column">
                  <wp:posOffset>431800</wp:posOffset>
                </wp:positionH>
                <wp:positionV relativeFrom="paragraph">
                  <wp:posOffset>146685</wp:posOffset>
                </wp:positionV>
                <wp:extent cx="5715000" cy="342900"/>
                <wp:effectExtent l="101600" t="76200" r="101600" b="165100"/>
                <wp:wrapThrough wrapText="bothSides">
                  <wp:wrapPolygon edited="0">
                    <wp:start x="-96" y="-4800"/>
                    <wp:lineTo x="-384" y="-1600"/>
                    <wp:lineTo x="-384" y="22400"/>
                    <wp:lineTo x="0" y="30400"/>
                    <wp:lineTo x="21696" y="30400"/>
                    <wp:lineTo x="21888" y="24000"/>
                    <wp:lineTo x="21600" y="0"/>
                    <wp:lineTo x="21600" y="-4800"/>
                    <wp:lineTo x="-96" y="-4800"/>
                  </wp:wrapPolygon>
                </wp:wrapThrough>
                <wp:docPr id="145" name="Rectangle à coins arrondis 145"/>
                <wp:cNvGraphicFramePr/>
                <a:graphic xmlns:a="http://schemas.openxmlformats.org/drawingml/2006/main">
                  <a:graphicData uri="http://schemas.microsoft.com/office/word/2010/wordprocessingShape">
                    <wps:wsp>
                      <wps:cNvSpPr/>
                      <wps:spPr>
                        <a:xfrm>
                          <a:off x="0" y="0"/>
                          <a:ext cx="5715000" cy="342900"/>
                        </a:xfrm>
                        <a:prstGeom prst="roundRect">
                          <a:avLst/>
                        </a:prstGeom>
                        <a:ln>
                          <a:solidFill>
                            <a:schemeClr val="tx1"/>
                          </a:solidFill>
                        </a:ln>
                      </wps:spPr>
                      <wps:style>
                        <a:lnRef idx="1">
                          <a:schemeClr val="accent4"/>
                        </a:lnRef>
                        <a:fillRef idx="3">
                          <a:schemeClr val="accent4"/>
                        </a:fillRef>
                        <a:effectRef idx="2">
                          <a:schemeClr val="accent4"/>
                        </a:effectRef>
                        <a:fontRef idx="minor">
                          <a:schemeClr val="lt1"/>
                        </a:fontRef>
                      </wps:style>
                      <wps:txbx>
                        <w:txbxContent>
                          <w:p w14:paraId="0449E22D" w14:textId="0B14396C" w:rsidR="00573C95" w:rsidRPr="00584072" w:rsidRDefault="00573C95" w:rsidP="005F1365">
                            <w:pPr>
                              <w:jc w:val="center"/>
                              <w:rPr>
                                <w:color w:val="000000" w:themeColor="text1"/>
                              </w:rPr>
                            </w:pPr>
                            <w:r>
                              <w:rPr>
                                <w:color w:val="000000" w:themeColor="text1"/>
                              </w:rPr>
                              <w:t>(12 780 $ * 1,42) -</w:t>
                            </w:r>
                            <w:r w:rsidRPr="00584072">
                              <w:rPr>
                                <w:color w:val="000000" w:themeColor="text1"/>
                              </w:rPr>
                              <w:t xml:space="preserve"> 12 780 $ = </w:t>
                            </w:r>
                            <w:r>
                              <w:rPr>
                                <w:color w:val="000000" w:themeColor="text1"/>
                              </w:rPr>
                              <w:t>5 368 $/année</w:t>
                            </w:r>
                          </w:p>
                        </w:txbxContent>
                      </wps:txbx>
                      <wps:bodyPr/>
                    </wps:wsp>
                  </a:graphicData>
                </a:graphic>
                <wp14:sizeRelH relativeFrom="margin">
                  <wp14:pctWidth>0</wp14:pctWidth>
                </wp14:sizeRelH>
                <wp14:sizeRelV relativeFrom="margin">
                  <wp14:pctHeight>0</wp14:pctHeight>
                </wp14:sizeRelV>
              </wp:anchor>
            </w:drawing>
          </mc:Choice>
          <mc:Fallback>
            <w:pict>
              <v:roundrect id="Rectangle à coins arrondis 145" o:spid="_x0000_s1079" style="position:absolute;left:0;text-align:left;margin-left:34pt;margin-top:11.55pt;width:450pt;height:27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" fillcolor="#909465 [3207]" strokecolor="black [3213]">
                <v:fill color2="#81845a [2887]" rotate="t" focus="100%" type="gradient">
                  <o:fill v:ext="view" type="gradientUnscaled"/>
                </v:fill>
                <v:shadow on="t" opacity="18350f" mv:blur="50800f" origin=",.5" offset="0,2pt"/>
                <v:textbox>
                  <w:txbxContent>
                    <w:p w14:paraId="0449E22D" w14:textId="0B14396C" w:rsidR="001501D6" w:rsidRPr="00584072" w:rsidRDefault="001501D6" w:rsidP="005F1365">
                      <w:pPr>
                        <w:jc w:val="center"/>
                        <w:rPr>
                          <w:color w:val="000000" w:themeColor="text1"/>
                        </w:rPr>
                      </w:pPr>
                      <w:r>
                        <w:rPr>
                          <w:color w:val="000000" w:themeColor="text1"/>
                        </w:rPr>
                        <w:t>(12 780 $ * 1,42) -</w:t>
                      </w:r>
                      <w:r w:rsidRPr="00584072">
                        <w:rPr>
                          <w:color w:val="000000" w:themeColor="text1"/>
                        </w:rPr>
                        <w:t xml:space="preserve"> 12 780 $ = </w:t>
                      </w:r>
                      <w:r>
                        <w:rPr>
                          <w:color w:val="000000" w:themeColor="text1"/>
                        </w:rPr>
                        <w:t>5 368 $/année</w:t>
                      </w:r>
                    </w:p>
                  </w:txbxContent>
                </v:textbox>
                <w10:wrap type="through"/>
              </v:roundrect>
            </w:pict>
          </mc:Fallback>
        </mc:AlternateContent>
      </w:r>
    </w:p>
    <w:p w14:paraId="0ADA5D39" w14:textId="43E55A55" w:rsidR="00C96534" w:rsidRDefault="00C96534" w:rsidP="00C96534">
      <w:pPr>
        <w:jc w:val="both"/>
      </w:pPr>
    </w:p>
    <w:p w14:paraId="76370B9A" w14:textId="77777777" w:rsidR="00C96534" w:rsidRDefault="00C96534" w:rsidP="00C96534">
      <w:pPr>
        <w:jc w:val="both"/>
      </w:pPr>
    </w:p>
    <w:p w14:paraId="38C5001E" w14:textId="11748940" w:rsidR="00C96534" w:rsidRDefault="0033431B" w:rsidP="00C96534">
      <w:pPr>
        <w:jc w:val="both"/>
      </w:pPr>
      <w:r>
        <w:rPr>
          <w:noProof/>
          <w:lang w:eastAsia="fr-FR"/>
        </w:rPr>
        <mc:AlternateContent>
          <mc:Choice Requires="wps">
            <w:drawing>
              <wp:anchor distT="0" distB="0" distL="114300" distR="114300" simplePos="0" relativeHeight="252016640" behindDoc="0" locked="0" layoutInCell="1" allowOverlap="1" wp14:anchorId="2C545046" wp14:editId="3EC226CE">
                <wp:simplePos x="0" y="0"/>
                <wp:positionH relativeFrom="column">
                  <wp:posOffset>0</wp:posOffset>
                </wp:positionH>
                <wp:positionV relativeFrom="paragraph">
                  <wp:posOffset>43815</wp:posOffset>
                </wp:positionV>
                <wp:extent cx="457200" cy="457200"/>
                <wp:effectExtent l="76200" t="76200" r="50800" b="76200"/>
                <wp:wrapThrough wrapText="bothSides">
                  <wp:wrapPolygon edited="0">
                    <wp:start x="3600" y="-3600"/>
                    <wp:lineTo x="-3600" y="-1200"/>
                    <wp:lineTo x="-3600" y="15600"/>
                    <wp:lineTo x="2400" y="24000"/>
                    <wp:lineTo x="18000" y="24000"/>
                    <wp:lineTo x="22800" y="18000"/>
                    <wp:lineTo x="18000" y="0"/>
                    <wp:lineTo x="18000" y="-3600"/>
                    <wp:lineTo x="3600" y="-3600"/>
                  </wp:wrapPolygon>
                </wp:wrapThrough>
                <wp:docPr id="146" name="Ellipse 14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65D3B5"/>
                        </a:solidFill>
                        <a:ln>
                          <a:solidFill>
                            <a:schemeClr val="tx1"/>
                          </a:solidFill>
                        </a:ln>
                        <a:effectLst/>
                        <a:scene3d>
                          <a:camera prst="orthographicFront">
                            <a:rot lat="0" lon="0" rev="0"/>
                          </a:camera>
                          <a:lightRig rig="threePt" dir="tl">
                            <a:rot lat="0" lon="0" rev="20400000"/>
                          </a:lightRig>
                        </a:scene3d>
                        <a:sp3d/>
                      </wps:spPr>
                      <wps:style>
                        <a:lnRef idx="1">
                          <a:schemeClr val="accent3"/>
                        </a:lnRef>
                        <a:fillRef idx="3">
                          <a:schemeClr val="accent3"/>
                        </a:fillRef>
                        <a:effectRef idx="2">
                          <a:schemeClr val="accent3"/>
                        </a:effectRef>
                        <a:fontRef idx="minor">
                          <a:schemeClr val="lt1"/>
                        </a:fontRef>
                      </wps:style>
                      <wps:txbx>
                        <w:txbxContent>
                          <w:p w14:paraId="444AB967" w14:textId="23EA0C28" w:rsidR="00573C95" w:rsidRPr="005F1365" w:rsidRDefault="00573C95" w:rsidP="005F1365">
                            <w:pPr>
                              <w:jc w:val="center"/>
                              <w:rPr>
                                <w:color w:val="000000"/>
                              </w:rPr>
                            </w:pPr>
                            <w:r w:rsidRPr="005F1365">
                              <w:rPr>
                                <w:color w:val="0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46" o:spid="_x0000_s1080" style="position:absolute;left:0;text-align:left;margin-left:0;margin-top:3.45pt;width:36pt;height:36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" fillcolor="#65d3b5" strokecolor="black [3213]">
                <v:textbox>
                  <w:txbxContent>
                    <w:p w14:paraId="444AB967" w14:textId="23EA0C28" w:rsidR="001501D6" w:rsidRPr="005F1365" w:rsidRDefault="001501D6" w:rsidP="005F1365">
                      <w:pPr>
                        <w:jc w:val="center"/>
                        <w:rPr>
                          <w:color w:val="000000"/>
                        </w:rPr>
                      </w:pPr>
                      <w:r w:rsidRPr="005F1365">
                        <w:rPr>
                          <w:color w:val="000000"/>
                        </w:rPr>
                        <w:t>3</w:t>
                      </w:r>
                    </w:p>
                  </w:txbxContent>
                </v:textbox>
                <w10:wrap type="through"/>
              </v:oval>
            </w:pict>
          </mc:Fallback>
        </mc:AlternateContent>
      </w:r>
    </w:p>
    <w:p w14:paraId="30FF534B" w14:textId="103F9209" w:rsidR="00584072" w:rsidRDefault="005F1365" w:rsidP="00C96534">
      <w:pPr>
        <w:jc w:val="both"/>
      </w:pPr>
      <w:r>
        <w:t xml:space="preserve">Combien d’années, après 70 ans, sont requises afin que la bonification de 5 368 $/année </w:t>
      </w:r>
      <w:r w:rsidR="009E6ACB">
        <w:t>réussie</w:t>
      </w:r>
      <w:r>
        <w:t xml:space="preserve"> à combler l’écart initial de 63 900 $</w:t>
      </w:r>
    </w:p>
    <w:p w14:paraId="4E2B2762" w14:textId="1AB20CD3" w:rsidR="00584072" w:rsidRDefault="0033431B" w:rsidP="00C96534">
      <w:pPr>
        <w:jc w:val="both"/>
      </w:pPr>
      <w:r>
        <w:rPr>
          <w:noProof/>
          <w:lang w:eastAsia="fr-FR"/>
        </w:rPr>
        <mc:AlternateContent>
          <mc:Choice Requires="wps">
            <w:drawing>
              <wp:anchor distT="0" distB="0" distL="114300" distR="114300" simplePos="0" relativeHeight="252018688" behindDoc="0" locked="0" layoutInCell="1" allowOverlap="1" wp14:anchorId="462AD7D6" wp14:editId="3BA2B792">
                <wp:simplePos x="0" y="0"/>
                <wp:positionH relativeFrom="column">
                  <wp:posOffset>1028700</wp:posOffset>
                </wp:positionH>
                <wp:positionV relativeFrom="paragraph">
                  <wp:posOffset>168910</wp:posOffset>
                </wp:positionV>
                <wp:extent cx="5715000" cy="342900"/>
                <wp:effectExtent l="101600" t="76200" r="101600" b="165100"/>
                <wp:wrapThrough wrapText="bothSides">
                  <wp:wrapPolygon edited="0">
                    <wp:start x="-96" y="-4800"/>
                    <wp:lineTo x="-384" y="-1600"/>
                    <wp:lineTo x="-384" y="22400"/>
                    <wp:lineTo x="0" y="30400"/>
                    <wp:lineTo x="21696" y="30400"/>
                    <wp:lineTo x="21888" y="24000"/>
                    <wp:lineTo x="21600" y="0"/>
                    <wp:lineTo x="21600" y="-4800"/>
                    <wp:lineTo x="-96" y="-4800"/>
                  </wp:wrapPolygon>
                </wp:wrapThrough>
                <wp:docPr id="147" name="Rectangle à coins arrondis 147"/>
                <wp:cNvGraphicFramePr/>
                <a:graphic xmlns:a="http://schemas.openxmlformats.org/drawingml/2006/main">
                  <a:graphicData uri="http://schemas.microsoft.com/office/word/2010/wordprocessingShape">
                    <wps:wsp>
                      <wps:cNvSpPr/>
                      <wps:spPr>
                        <a:xfrm>
                          <a:off x="0" y="0"/>
                          <a:ext cx="5715000" cy="342900"/>
                        </a:xfrm>
                        <a:prstGeom prst="roundRect">
                          <a:avLst/>
                        </a:prstGeom>
                        <a:ln>
                          <a:solidFill>
                            <a:schemeClr val="tx1"/>
                          </a:solidFill>
                        </a:ln>
                      </wps:spPr>
                      <wps:style>
                        <a:lnRef idx="1">
                          <a:schemeClr val="accent4"/>
                        </a:lnRef>
                        <a:fillRef idx="3">
                          <a:schemeClr val="accent4"/>
                        </a:fillRef>
                        <a:effectRef idx="2">
                          <a:schemeClr val="accent4"/>
                        </a:effectRef>
                        <a:fontRef idx="minor">
                          <a:schemeClr val="lt1"/>
                        </a:fontRef>
                      </wps:style>
                      <wps:txbx>
                        <w:txbxContent>
                          <w:p w14:paraId="394564B1" w14:textId="5F4706E7" w:rsidR="00573C95" w:rsidRPr="00584072" w:rsidRDefault="00573C95" w:rsidP="005F1365">
                            <w:pPr>
                              <w:jc w:val="center"/>
                              <w:rPr>
                                <w:color w:val="000000" w:themeColor="text1"/>
                              </w:rPr>
                            </w:pPr>
                            <w:r>
                              <w:rPr>
                                <w:color w:val="000000" w:themeColor="text1"/>
                              </w:rPr>
                              <w:t xml:space="preserve">63 900 $/ 5 368 </w:t>
                            </w:r>
                            <w:r w:rsidRPr="00584072">
                              <w:rPr>
                                <w:color w:val="000000" w:themeColor="text1"/>
                              </w:rPr>
                              <w:t xml:space="preserve">$ = </w:t>
                            </w:r>
                            <w:r>
                              <w:rPr>
                                <w:color w:val="000000" w:themeColor="text1"/>
                              </w:rPr>
                              <w:t>11,9 années</w:t>
                            </w:r>
                          </w:p>
                        </w:txbxContent>
                      </wps:txbx>
                      <wps:bodyPr/>
                    </wps:wsp>
                  </a:graphicData>
                </a:graphic>
                <wp14:sizeRelH relativeFrom="margin">
                  <wp14:pctWidth>0</wp14:pctWidth>
                </wp14:sizeRelH>
                <wp14:sizeRelV relativeFrom="margin">
                  <wp14:pctHeight>0</wp14:pctHeight>
                </wp14:sizeRelV>
              </wp:anchor>
            </w:drawing>
          </mc:Choice>
          <mc:Fallback>
            <w:pict>
              <v:roundrect id="Rectangle à coins arrondis 147" o:spid="_x0000_s1081" style="position:absolute;left:0;text-align:left;margin-left:81pt;margin-top:13.3pt;width:450pt;height:27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" fillcolor="#909465 [3207]" strokecolor="black [3213]">
                <v:fill color2="#81845a [2887]" rotate="t" focus="100%" type="gradient">
                  <o:fill v:ext="view" type="gradientUnscaled"/>
                </v:fill>
                <v:shadow on="t" opacity="18350f" mv:blur="50800f" origin=",.5" offset="0,2pt"/>
                <v:textbox>
                  <w:txbxContent>
                    <w:p w14:paraId="394564B1" w14:textId="5F4706E7" w:rsidR="001501D6" w:rsidRPr="00584072" w:rsidRDefault="001501D6" w:rsidP="005F1365">
                      <w:pPr>
                        <w:jc w:val="center"/>
                        <w:rPr>
                          <w:color w:val="000000" w:themeColor="text1"/>
                        </w:rPr>
                      </w:pPr>
                      <w:r>
                        <w:rPr>
                          <w:color w:val="000000" w:themeColor="text1"/>
                        </w:rPr>
                        <w:t xml:space="preserve">63 900 $/ 5 368 </w:t>
                      </w:r>
                      <w:r w:rsidRPr="00584072">
                        <w:rPr>
                          <w:color w:val="000000" w:themeColor="text1"/>
                        </w:rPr>
                        <w:t xml:space="preserve">$ = </w:t>
                      </w:r>
                      <w:r>
                        <w:rPr>
                          <w:color w:val="000000" w:themeColor="text1"/>
                        </w:rPr>
                        <w:t>11,9 années</w:t>
                      </w:r>
                    </w:p>
                  </w:txbxContent>
                </v:textbox>
                <w10:wrap type="through"/>
              </v:roundrect>
            </w:pict>
          </mc:Fallback>
        </mc:AlternateContent>
      </w:r>
    </w:p>
    <w:p w14:paraId="6892AAD9" w14:textId="3D37A497" w:rsidR="00584072" w:rsidRDefault="00584072" w:rsidP="00C96534">
      <w:pPr>
        <w:jc w:val="both"/>
      </w:pPr>
    </w:p>
    <w:p w14:paraId="5DB13546" w14:textId="797E4EB1" w:rsidR="00584072" w:rsidRDefault="00584072" w:rsidP="00C96534">
      <w:pPr>
        <w:jc w:val="both"/>
      </w:pPr>
    </w:p>
    <w:p w14:paraId="74B782FF" w14:textId="357B65E9" w:rsidR="005F1365" w:rsidRDefault="005F1365" w:rsidP="00C96534">
      <w:pPr>
        <w:jc w:val="both"/>
      </w:pPr>
      <w:r>
        <w:rPr>
          <w:noProof/>
          <w:lang w:eastAsia="fr-FR"/>
        </w:rPr>
        <mc:AlternateContent>
          <mc:Choice Requires="wps">
            <w:drawing>
              <wp:anchor distT="0" distB="0" distL="114300" distR="114300" simplePos="0" relativeHeight="252020736" behindDoc="0" locked="0" layoutInCell="1" allowOverlap="1" wp14:anchorId="1A1E3AAD" wp14:editId="32555B95">
                <wp:simplePos x="0" y="0"/>
                <wp:positionH relativeFrom="column">
                  <wp:posOffset>0</wp:posOffset>
                </wp:positionH>
                <wp:positionV relativeFrom="paragraph">
                  <wp:posOffset>163195</wp:posOffset>
                </wp:positionV>
                <wp:extent cx="457200" cy="457200"/>
                <wp:effectExtent l="76200" t="76200" r="50800" b="76200"/>
                <wp:wrapThrough wrapText="bothSides">
                  <wp:wrapPolygon edited="0">
                    <wp:start x="3600" y="-3600"/>
                    <wp:lineTo x="-3600" y="-1200"/>
                    <wp:lineTo x="-3600" y="15600"/>
                    <wp:lineTo x="2400" y="24000"/>
                    <wp:lineTo x="18000" y="24000"/>
                    <wp:lineTo x="22800" y="18000"/>
                    <wp:lineTo x="18000" y="0"/>
                    <wp:lineTo x="18000" y="-3600"/>
                    <wp:lineTo x="3600" y="-3600"/>
                  </wp:wrapPolygon>
                </wp:wrapThrough>
                <wp:docPr id="148" name="Ellipse 148"/>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65D3B5"/>
                        </a:solidFill>
                        <a:ln>
                          <a:solidFill>
                            <a:schemeClr val="tx1"/>
                          </a:solidFill>
                        </a:ln>
                        <a:effectLst/>
                        <a:scene3d>
                          <a:camera prst="orthographicFront">
                            <a:rot lat="0" lon="0" rev="0"/>
                          </a:camera>
                          <a:lightRig rig="threePt" dir="tl">
                            <a:rot lat="0" lon="0" rev="20400000"/>
                          </a:lightRig>
                        </a:scene3d>
                        <a:sp3d/>
                      </wps:spPr>
                      <wps:style>
                        <a:lnRef idx="1">
                          <a:schemeClr val="accent3"/>
                        </a:lnRef>
                        <a:fillRef idx="3">
                          <a:schemeClr val="accent3"/>
                        </a:fillRef>
                        <a:effectRef idx="2">
                          <a:schemeClr val="accent3"/>
                        </a:effectRef>
                        <a:fontRef idx="minor">
                          <a:schemeClr val="lt1"/>
                        </a:fontRef>
                      </wps:style>
                      <wps:txbx>
                        <w:txbxContent>
                          <w:p w14:paraId="5214F5C7" w14:textId="19C756B7" w:rsidR="00573C95" w:rsidRPr="005F1365" w:rsidRDefault="00573C95" w:rsidP="005F1365">
                            <w:pPr>
                              <w:jc w:val="center"/>
                              <w:rPr>
                                <w:color w:val="000000"/>
                              </w:rPr>
                            </w:pPr>
                            <w:r>
                              <w:rPr>
                                <w:color w:val="0000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48" o:spid="_x0000_s1082" style="position:absolute;left:0;text-align:left;margin-left:0;margin-top:12.85pt;width:36pt;height:36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" fillcolor="#65d3b5" strokecolor="black [3213]">
                <v:textbox>
                  <w:txbxContent>
                    <w:p w14:paraId="5214F5C7" w14:textId="19C756B7" w:rsidR="001501D6" w:rsidRPr="005F1365" w:rsidRDefault="001501D6" w:rsidP="005F1365">
                      <w:pPr>
                        <w:jc w:val="center"/>
                        <w:rPr>
                          <w:color w:val="000000"/>
                        </w:rPr>
                      </w:pPr>
                      <w:r>
                        <w:rPr>
                          <w:color w:val="000000"/>
                        </w:rPr>
                        <w:t>4</w:t>
                      </w:r>
                    </w:p>
                  </w:txbxContent>
                </v:textbox>
                <w10:wrap type="through"/>
              </v:oval>
            </w:pict>
          </mc:Fallback>
        </mc:AlternateContent>
      </w:r>
    </w:p>
    <w:p w14:paraId="3F296CA5" w14:textId="558B0AF9" w:rsidR="005F1365" w:rsidRDefault="005F1365" w:rsidP="00C96534">
      <w:pPr>
        <w:jc w:val="both"/>
      </w:pPr>
      <w:r>
        <w:t>Détermination de l’âge théorique d’ind</w:t>
      </w:r>
      <w:r w:rsidR="000805C1">
        <w:t>i</w:t>
      </w:r>
      <w:r>
        <w:t>fférence du décès</w:t>
      </w:r>
    </w:p>
    <w:p w14:paraId="3339C118" w14:textId="516C82AE" w:rsidR="005F1365" w:rsidRDefault="005F1365" w:rsidP="00C96534">
      <w:pPr>
        <w:jc w:val="both"/>
      </w:pPr>
      <w:r>
        <w:rPr>
          <w:noProof/>
          <w:lang w:eastAsia="fr-FR"/>
        </w:rPr>
        <mc:AlternateContent>
          <mc:Choice Requires="wps">
            <w:drawing>
              <wp:anchor distT="0" distB="0" distL="114300" distR="114300" simplePos="0" relativeHeight="252022784" behindDoc="0" locked="0" layoutInCell="1" allowOverlap="1" wp14:anchorId="7FEF485A" wp14:editId="4ADE264D">
                <wp:simplePos x="0" y="0"/>
                <wp:positionH relativeFrom="column">
                  <wp:posOffset>431800</wp:posOffset>
                </wp:positionH>
                <wp:positionV relativeFrom="paragraph">
                  <wp:posOffset>146685</wp:posOffset>
                </wp:positionV>
                <wp:extent cx="5715000" cy="342900"/>
                <wp:effectExtent l="101600" t="76200" r="101600" b="165100"/>
                <wp:wrapThrough wrapText="bothSides">
                  <wp:wrapPolygon edited="0">
                    <wp:start x="-96" y="-4800"/>
                    <wp:lineTo x="-384" y="-1600"/>
                    <wp:lineTo x="-384" y="22400"/>
                    <wp:lineTo x="0" y="30400"/>
                    <wp:lineTo x="21696" y="30400"/>
                    <wp:lineTo x="21888" y="24000"/>
                    <wp:lineTo x="21600" y="0"/>
                    <wp:lineTo x="21600" y="-4800"/>
                    <wp:lineTo x="-96" y="-4800"/>
                  </wp:wrapPolygon>
                </wp:wrapThrough>
                <wp:docPr id="149" name="Rectangle à coins arrondis 149"/>
                <wp:cNvGraphicFramePr/>
                <a:graphic xmlns:a="http://schemas.openxmlformats.org/drawingml/2006/main">
                  <a:graphicData uri="http://schemas.microsoft.com/office/word/2010/wordprocessingShape">
                    <wps:wsp>
                      <wps:cNvSpPr/>
                      <wps:spPr>
                        <a:xfrm>
                          <a:off x="0" y="0"/>
                          <a:ext cx="5715000" cy="342900"/>
                        </a:xfrm>
                        <a:prstGeom prst="roundRect">
                          <a:avLst/>
                        </a:prstGeom>
                        <a:ln>
                          <a:solidFill>
                            <a:schemeClr val="tx1"/>
                          </a:solidFill>
                        </a:ln>
                      </wps:spPr>
                      <wps:style>
                        <a:lnRef idx="1">
                          <a:schemeClr val="accent4"/>
                        </a:lnRef>
                        <a:fillRef idx="3">
                          <a:schemeClr val="accent4"/>
                        </a:fillRef>
                        <a:effectRef idx="2">
                          <a:schemeClr val="accent4"/>
                        </a:effectRef>
                        <a:fontRef idx="minor">
                          <a:schemeClr val="lt1"/>
                        </a:fontRef>
                      </wps:style>
                      <wps:txbx>
                        <w:txbxContent>
                          <w:p w14:paraId="21B2A111" w14:textId="3ECE8458" w:rsidR="00573C95" w:rsidRPr="00584072" w:rsidRDefault="00573C95" w:rsidP="005F1365">
                            <w:pPr>
                              <w:jc w:val="center"/>
                              <w:rPr>
                                <w:color w:val="000000" w:themeColor="text1"/>
                              </w:rPr>
                            </w:pPr>
                            <w:r>
                              <w:rPr>
                                <w:color w:val="000000" w:themeColor="text1"/>
                              </w:rPr>
                              <w:t xml:space="preserve">70 ans + 11,9 années </w:t>
                            </w:r>
                            <w:r w:rsidRPr="00584072">
                              <w:rPr>
                                <w:color w:val="000000" w:themeColor="text1"/>
                              </w:rPr>
                              <w:t xml:space="preserve">= </w:t>
                            </w:r>
                            <w:r>
                              <w:rPr>
                                <w:color w:val="000000" w:themeColor="text1"/>
                              </w:rPr>
                              <w:t>81,9 ans</w:t>
                            </w:r>
                          </w:p>
                        </w:txbxContent>
                      </wps:txbx>
                      <wps:bodyPr/>
                    </wps:wsp>
                  </a:graphicData>
                </a:graphic>
                <wp14:sizeRelH relativeFrom="margin">
                  <wp14:pctWidth>0</wp14:pctWidth>
                </wp14:sizeRelH>
                <wp14:sizeRelV relativeFrom="margin">
                  <wp14:pctHeight>0</wp14:pctHeight>
                </wp14:sizeRelV>
              </wp:anchor>
            </w:drawing>
          </mc:Choice>
          <mc:Fallback>
            <w:pict>
              <v:roundrect id="Rectangle à coins arrondis 149" o:spid="_x0000_s1083" style="position:absolute;left:0;text-align:left;margin-left:34pt;margin-top:11.55pt;width:450pt;height:27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" fillcolor="#909465 [3207]" strokecolor="black [3213]">
                <v:fill color2="#81845a [2887]" rotate="t" focus="100%" type="gradient">
                  <o:fill v:ext="view" type="gradientUnscaled"/>
                </v:fill>
                <v:shadow on="t" opacity="18350f" mv:blur="50800f" origin=",.5" offset="0,2pt"/>
                <v:textbox>
                  <w:txbxContent>
                    <w:p w14:paraId="21B2A111" w14:textId="3ECE8458" w:rsidR="001501D6" w:rsidRPr="00584072" w:rsidRDefault="001501D6" w:rsidP="005F1365">
                      <w:pPr>
                        <w:jc w:val="center"/>
                        <w:rPr>
                          <w:color w:val="000000" w:themeColor="text1"/>
                        </w:rPr>
                      </w:pPr>
                      <w:r>
                        <w:rPr>
                          <w:color w:val="000000" w:themeColor="text1"/>
                        </w:rPr>
                        <w:t xml:space="preserve">70 ans + 11,9 années </w:t>
                      </w:r>
                      <w:r w:rsidRPr="00584072">
                        <w:rPr>
                          <w:color w:val="000000" w:themeColor="text1"/>
                        </w:rPr>
                        <w:t xml:space="preserve">= </w:t>
                      </w:r>
                      <w:r>
                        <w:rPr>
                          <w:color w:val="000000" w:themeColor="text1"/>
                        </w:rPr>
                        <w:t>81,9 ans</w:t>
                      </w:r>
                    </w:p>
                  </w:txbxContent>
                </v:textbox>
                <w10:wrap type="through"/>
              </v:roundrect>
            </w:pict>
          </mc:Fallback>
        </mc:AlternateContent>
      </w:r>
    </w:p>
    <w:p w14:paraId="49B196AD" w14:textId="517D5D2E" w:rsidR="005F1365" w:rsidRDefault="005F1365" w:rsidP="00C96534">
      <w:pPr>
        <w:jc w:val="both"/>
      </w:pPr>
    </w:p>
    <w:p w14:paraId="3CEE4656" w14:textId="77777777" w:rsidR="005F1365" w:rsidRDefault="005F1365" w:rsidP="00C96534">
      <w:pPr>
        <w:jc w:val="both"/>
      </w:pPr>
    </w:p>
    <w:p w14:paraId="1C0D22C4" w14:textId="3B5D4E66" w:rsidR="005F1365" w:rsidRDefault="0033431B" w:rsidP="00C96534">
      <w:pPr>
        <w:jc w:val="both"/>
      </w:pPr>
      <w:r>
        <w:rPr>
          <w:noProof/>
          <w:lang w:eastAsia="fr-FR"/>
        </w:rPr>
        <mc:AlternateContent>
          <mc:Choice Requires="wps">
            <w:drawing>
              <wp:anchor distT="0" distB="0" distL="114300" distR="114300" simplePos="0" relativeHeight="252024832" behindDoc="0" locked="0" layoutInCell="1" allowOverlap="1" wp14:anchorId="37624EA0" wp14:editId="0595839D">
                <wp:simplePos x="0" y="0"/>
                <wp:positionH relativeFrom="column">
                  <wp:posOffset>0</wp:posOffset>
                </wp:positionH>
                <wp:positionV relativeFrom="paragraph">
                  <wp:posOffset>43815</wp:posOffset>
                </wp:positionV>
                <wp:extent cx="457200" cy="457200"/>
                <wp:effectExtent l="76200" t="76200" r="50800" b="76200"/>
                <wp:wrapThrough wrapText="bothSides">
                  <wp:wrapPolygon edited="0">
                    <wp:start x="3600" y="-3600"/>
                    <wp:lineTo x="-3600" y="-1200"/>
                    <wp:lineTo x="-3600" y="15600"/>
                    <wp:lineTo x="2400" y="24000"/>
                    <wp:lineTo x="18000" y="24000"/>
                    <wp:lineTo x="22800" y="18000"/>
                    <wp:lineTo x="18000" y="0"/>
                    <wp:lineTo x="18000" y="-3600"/>
                    <wp:lineTo x="3600" y="-3600"/>
                  </wp:wrapPolygon>
                </wp:wrapThrough>
                <wp:docPr id="150" name="Ellipse 15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65D3B5"/>
                        </a:solidFill>
                        <a:ln>
                          <a:solidFill>
                            <a:schemeClr val="tx1"/>
                          </a:solidFill>
                        </a:ln>
                        <a:effectLst/>
                        <a:scene3d>
                          <a:camera prst="orthographicFront">
                            <a:rot lat="0" lon="0" rev="0"/>
                          </a:camera>
                          <a:lightRig rig="threePt" dir="tl">
                            <a:rot lat="0" lon="0" rev="20400000"/>
                          </a:lightRig>
                        </a:scene3d>
                        <a:sp3d/>
                      </wps:spPr>
                      <wps:style>
                        <a:lnRef idx="1">
                          <a:schemeClr val="accent3"/>
                        </a:lnRef>
                        <a:fillRef idx="3">
                          <a:schemeClr val="accent3"/>
                        </a:fillRef>
                        <a:effectRef idx="2">
                          <a:schemeClr val="accent3"/>
                        </a:effectRef>
                        <a:fontRef idx="minor">
                          <a:schemeClr val="lt1"/>
                        </a:fontRef>
                      </wps:style>
                      <wps:txbx>
                        <w:txbxContent>
                          <w:p w14:paraId="54D0CF9E" w14:textId="57A1B00A" w:rsidR="00573C95" w:rsidRPr="005F1365" w:rsidRDefault="00573C95" w:rsidP="0033431B">
                            <w:pPr>
                              <w:jc w:val="center"/>
                              <w:rPr>
                                <w:color w:val="000000"/>
                              </w:rPr>
                            </w:pPr>
                            <w:r>
                              <w:rPr>
                                <w:color w:val="0000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50" o:spid="_x0000_s1084" style="position:absolute;left:0;text-align:left;margin-left:0;margin-top:3.45pt;width:36pt;height:36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" fillcolor="#65d3b5" strokecolor="black [3213]">
                <v:textbox>
                  <w:txbxContent>
                    <w:p w14:paraId="54D0CF9E" w14:textId="57A1B00A" w:rsidR="001501D6" w:rsidRPr="005F1365" w:rsidRDefault="001501D6" w:rsidP="0033431B">
                      <w:pPr>
                        <w:jc w:val="center"/>
                        <w:rPr>
                          <w:color w:val="000000"/>
                        </w:rPr>
                      </w:pPr>
                      <w:r>
                        <w:rPr>
                          <w:color w:val="000000"/>
                        </w:rPr>
                        <w:t>5</w:t>
                      </w:r>
                    </w:p>
                  </w:txbxContent>
                </v:textbox>
                <w10:wrap type="through"/>
              </v:oval>
            </w:pict>
          </mc:Fallback>
        </mc:AlternateContent>
      </w:r>
    </w:p>
    <w:p w14:paraId="3EFB84A8" w14:textId="70EB4D11" w:rsidR="005F1365" w:rsidRDefault="0033431B" w:rsidP="00C96534">
      <w:pPr>
        <w:jc w:val="both"/>
      </w:pPr>
      <w:r>
        <w:t>La preuve</w:t>
      </w:r>
    </w:p>
    <w:p w14:paraId="521CF77F" w14:textId="2DDE4AC4" w:rsidR="005F1365" w:rsidRDefault="0033431B" w:rsidP="00C96534">
      <w:pPr>
        <w:jc w:val="both"/>
      </w:pPr>
      <w:r>
        <w:rPr>
          <w:noProof/>
          <w:lang w:eastAsia="fr-FR"/>
        </w:rPr>
        <mc:AlternateContent>
          <mc:Choice Requires="wps">
            <w:drawing>
              <wp:anchor distT="0" distB="0" distL="114300" distR="114300" simplePos="0" relativeHeight="252026880" behindDoc="0" locked="0" layoutInCell="1" allowOverlap="1" wp14:anchorId="76302776" wp14:editId="693514CF">
                <wp:simplePos x="0" y="0"/>
                <wp:positionH relativeFrom="column">
                  <wp:posOffset>431800</wp:posOffset>
                </wp:positionH>
                <wp:positionV relativeFrom="paragraph">
                  <wp:posOffset>127000</wp:posOffset>
                </wp:positionV>
                <wp:extent cx="5715000" cy="1600200"/>
                <wp:effectExtent l="101600" t="76200" r="127000" b="152400"/>
                <wp:wrapThrough wrapText="bothSides">
                  <wp:wrapPolygon edited="0">
                    <wp:start x="576" y="-1029"/>
                    <wp:lineTo x="-384" y="-343"/>
                    <wp:lineTo x="-384" y="20229"/>
                    <wp:lineTo x="480" y="23314"/>
                    <wp:lineTo x="21120" y="23314"/>
                    <wp:lineTo x="21600" y="21600"/>
                    <wp:lineTo x="21984" y="16457"/>
                    <wp:lineTo x="21984" y="4800"/>
                    <wp:lineTo x="21216" y="343"/>
                    <wp:lineTo x="21024" y="-1029"/>
                    <wp:lineTo x="576" y="-1029"/>
                  </wp:wrapPolygon>
                </wp:wrapThrough>
                <wp:docPr id="151" name="Rectangle à coins arrondis 151"/>
                <wp:cNvGraphicFramePr/>
                <a:graphic xmlns:a="http://schemas.openxmlformats.org/drawingml/2006/main">
                  <a:graphicData uri="http://schemas.microsoft.com/office/word/2010/wordprocessingShape">
                    <wps:wsp>
                      <wps:cNvSpPr/>
                      <wps:spPr>
                        <a:xfrm>
                          <a:off x="0" y="0"/>
                          <a:ext cx="5715000" cy="1600200"/>
                        </a:xfrm>
                        <a:prstGeom prst="roundRect">
                          <a:avLst/>
                        </a:prstGeom>
                        <a:ln>
                          <a:solidFill>
                            <a:schemeClr val="tx1"/>
                          </a:solidFill>
                        </a:ln>
                      </wps:spPr>
                      <wps:style>
                        <a:lnRef idx="1">
                          <a:schemeClr val="accent4"/>
                        </a:lnRef>
                        <a:fillRef idx="3">
                          <a:schemeClr val="accent4"/>
                        </a:fillRef>
                        <a:effectRef idx="2">
                          <a:schemeClr val="accent4"/>
                        </a:effectRef>
                        <a:fontRef idx="minor">
                          <a:schemeClr val="lt1"/>
                        </a:fontRef>
                      </wps:style>
                      <wps:txbx>
                        <w:txbxContent>
                          <w:p w14:paraId="17823B37" w14:textId="498198CD" w:rsidR="00573C95" w:rsidRDefault="00573C95" w:rsidP="0033431B">
                            <w:pPr>
                              <w:rPr>
                                <w:color w:val="000000" w:themeColor="text1"/>
                              </w:rPr>
                            </w:pPr>
                            <w:r>
                              <w:rPr>
                                <w:color w:val="000000" w:themeColor="text1"/>
                              </w:rPr>
                              <w:t>Si décès à 81,9 ans</w:t>
                            </w:r>
                          </w:p>
                          <w:p w14:paraId="0BCFC645" w14:textId="77777777" w:rsidR="00573C95" w:rsidRDefault="00573C95" w:rsidP="0033431B">
                            <w:pPr>
                              <w:rPr>
                                <w:color w:val="000000" w:themeColor="text1"/>
                              </w:rPr>
                            </w:pPr>
                          </w:p>
                          <w:p w14:paraId="3CF5F7B8" w14:textId="38239348" w:rsidR="00573C95" w:rsidRDefault="00573C95" w:rsidP="0033431B">
                            <w:pPr>
                              <w:rPr>
                                <w:color w:val="000000" w:themeColor="text1"/>
                              </w:rPr>
                            </w:pPr>
                            <w:r>
                              <w:rPr>
                                <w:color w:val="000000" w:themeColor="text1"/>
                              </w:rPr>
                              <w:t xml:space="preserve">Total des rentes acquises, si prises de la rente à 65 ans  </w:t>
                            </w:r>
                          </w:p>
                          <w:p w14:paraId="1F663127" w14:textId="2CFACD7F" w:rsidR="00573C95" w:rsidRDefault="00573C95" w:rsidP="0033431B">
                            <w:pPr>
                              <w:rPr>
                                <w:color w:val="000000" w:themeColor="text1"/>
                              </w:rPr>
                            </w:pPr>
                            <w:r>
                              <w:rPr>
                                <w:color w:val="000000" w:themeColor="text1"/>
                              </w:rPr>
                              <w:t>16,9 * 12 780 $ = 215 982 $</w:t>
                            </w:r>
                          </w:p>
                          <w:p w14:paraId="5BC4EE67" w14:textId="77777777" w:rsidR="00573C95" w:rsidRDefault="00573C95" w:rsidP="0033431B">
                            <w:pPr>
                              <w:rPr>
                                <w:color w:val="000000" w:themeColor="text1"/>
                              </w:rPr>
                            </w:pPr>
                          </w:p>
                          <w:p w14:paraId="28537213" w14:textId="47D608E6" w:rsidR="00573C95" w:rsidRDefault="00573C95" w:rsidP="0033431B">
                            <w:pPr>
                              <w:rPr>
                                <w:color w:val="000000" w:themeColor="text1"/>
                              </w:rPr>
                            </w:pPr>
                            <w:r>
                              <w:rPr>
                                <w:color w:val="000000" w:themeColor="text1"/>
                              </w:rPr>
                              <w:t xml:space="preserve">Total des rentes acquises, si prises de la rente à 70 ans  </w:t>
                            </w:r>
                          </w:p>
                          <w:p w14:paraId="244C183F" w14:textId="1B2DEC58" w:rsidR="00573C95" w:rsidRDefault="00573C95" w:rsidP="0033431B">
                            <w:pPr>
                              <w:rPr>
                                <w:color w:val="000000" w:themeColor="text1"/>
                              </w:rPr>
                            </w:pPr>
                            <w:r>
                              <w:rPr>
                                <w:color w:val="000000" w:themeColor="text1"/>
                              </w:rPr>
                              <w:t>11,9 * 18 148 $ = 215 961 $</w:t>
                            </w:r>
                          </w:p>
                          <w:p w14:paraId="2CAA4014" w14:textId="77777777" w:rsidR="00573C95" w:rsidRPr="00584072" w:rsidRDefault="00573C95" w:rsidP="0033431B">
                            <w:pPr>
                              <w:rPr>
                                <w:color w:val="000000" w:themeColor="text1"/>
                              </w:rPr>
                            </w:pPr>
                          </w:p>
                        </w:txbxContent>
                      </wps:txbx>
                      <wps:bodyPr>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51" o:spid="_x0000_s1085" style="position:absolute;left:0;text-align:left;margin-left:34pt;margin-top:10pt;width:450pt;height:126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" fillcolor="#909465 [3207]" strokecolor="black [3213]">
                <v:fill color2="#81845a [2887]" rotate="t" focus="100%" type="gradient">
                  <o:fill v:ext="view" type="gradientUnscaled"/>
                </v:fill>
                <v:shadow on="t" opacity="18350f" mv:blur="50800f" origin=",.5" offset="0,2pt"/>
                <v:textbox>
                  <w:txbxContent>
                    <w:p w14:paraId="17823B37" w14:textId="498198CD" w:rsidR="001501D6" w:rsidRDefault="001501D6" w:rsidP="0033431B">
                      <w:pPr>
                        <w:rPr>
                          <w:color w:val="000000" w:themeColor="text1"/>
                        </w:rPr>
                      </w:pPr>
                      <w:r>
                        <w:rPr>
                          <w:color w:val="000000" w:themeColor="text1"/>
                        </w:rPr>
                        <w:t>Si décès à 81,9 ans</w:t>
                      </w:r>
                    </w:p>
                    <w:p w14:paraId="0BCFC645" w14:textId="77777777" w:rsidR="001501D6" w:rsidRDefault="001501D6" w:rsidP="0033431B">
                      <w:pPr>
                        <w:rPr>
                          <w:color w:val="000000" w:themeColor="text1"/>
                        </w:rPr>
                      </w:pPr>
                    </w:p>
                    <w:p w14:paraId="3CF5F7B8" w14:textId="38239348" w:rsidR="001501D6" w:rsidRDefault="001501D6" w:rsidP="0033431B">
                      <w:pPr>
                        <w:rPr>
                          <w:color w:val="000000" w:themeColor="text1"/>
                        </w:rPr>
                      </w:pPr>
                      <w:r>
                        <w:rPr>
                          <w:color w:val="000000" w:themeColor="text1"/>
                        </w:rPr>
                        <w:t xml:space="preserve">Total des rentes acquises, si prises de la rente à 65 ans  </w:t>
                      </w:r>
                    </w:p>
                    <w:p w14:paraId="1F663127" w14:textId="2CFACD7F" w:rsidR="001501D6" w:rsidRDefault="001501D6" w:rsidP="0033431B">
                      <w:pPr>
                        <w:rPr>
                          <w:color w:val="000000" w:themeColor="text1"/>
                        </w:rPr>
                      </w:pPr>
                      <w:r>
                        <w:rPr>
                          <w:color w:val="000000" w:themeColor="text1"/>
                        </w:rPr>
                        <w:t>16,9 * 12 780 $ = 215 982 $</w:t>
                      </w:r>
                    </w:p>
                    <w:p w14:paraId="5BC4EE67" w14:textId="77777777" w:rsidR="001501D6" w:rsidRDefault="001501D6" w:rsidP="0033431B">
                      <w:pPr>
                        <w:rPr>
                          <w:color w:val="000000" w:themeColor="text1"/>
                        </w:rPr>
                      </w:pPr>
                    </w:p>
                    <w:p w14:paraId="28537213" w14:textId="47D608E6" w:rsidR="001501D6" w:rsidRDefault="001501D6" w:rsidP="0033431B">
                      <w:pPr>
                        <w:rPr>
                          <w:color w:val="000000" w:themeColor="text1"/>
                        </w:rPr>
                      </w:pPr>
                      <w:r>
                        <w:rPr>
                          <w:color w:val="000000" w:themeColor="text1"/>
                        </w:rPr>
                        <w:t xml:space="preserve">Total des rentes acquises, si prises de la rente à 70 ans  </w:t>
                      </w:r>
                    </w:p>
                    <w:p w14:paraId="244C183F" w14:textId="1B2DEC58" w:rsidR="001501D6" w:rsidRDefault="001501D6" w:rsidP="0033431B">
                      <w:pPr>
                        <w:rPr>
                          <w:color w:val="000000" w:themeColor="text1"/>
                        </w:rPr>
                      </w:pPr>
                      <w:r>
                        <w:rPr>
                          <w:color w:val="000000" w:themeColor="text1"/>
                        </w:rPr>
                        <w:t>11,9 * 18 148 $ = 215 961 $</w:t>
                      </w:r>
                    </w:p>
                    <w:p w14:paraId="2CAA4014" w14:textId="77777777" w:rsidR="001501D6" w:rsidRPr="00584072" w:rsidRDefault="001501D6" w:rsidP="0033431B">
                      <w:pPr>
                        <w:rPr>
                          <w:color w:val="000000" w:themeColor="text1"/>
                        </w:rPr>
                      </w:pPr>
                    </w:p>
                  </w:txbxContent>
                </v:textbox>
                <w10:wrap type="through"/>
              </v:roundrect>
            </w:pict>
          </mc:Fallback>
        </mc:AlternateContent>
      </w:r>
    </w:p>
    <w:p w14:paraId="3C4FB481" w14:textId="77F5DAF8" w:rsidR="005F1365" w:rsidRDefault="005F1365" w:rsidP="00C96534">
      <w:pPr>
        <w:jc w:val="both"/>
      </w:pPr>
    </w:p>
    <w:p w14:paraId="58CC8BE2" w14:textId="77777777" w:rsidR="005F1365" w:rsidRDefault="005F1365" w:rsidP="00C96534">
      <w:pPr>
        <w:jc w:val="both"/>
      </w:pPr>
    </w:p>
    <w:p w14:paraId="3A1F40D5" w14:textId="77777777" w:rsidR="005F1365" w:rsidRDefault="005F1365" w:rsidP="00C96534">
      <w:pPr>
        <w:jc w:val="both"/>
      </w:pPr>
    </w:p>
    <w:p w14:paraId="5C06FC26" w14:textId="77777777" w:rsidR="005F1365" w:rsidRDefault="005F1365" w:rsidP="00C96534">
      <w:pPr>
        <w:jc w:val="both"/>
      </w:pPr>
    </w:p>
    <w:p w14:paraId="130436AB" w14:textId="77777777" w:rsidR="005F1365" w:rsidRDefault="005F1365" w:rsidP="00C96534">
      <w:pPr>
        <w:jc w:val="both"/>
      </w:pPr>
    </w:p>
    <w:p w14:paraId="04776C7A" w14:textId="1C448677" w:rsidR="00D30C78" w:rsidRPr="000F289D" w:rsidRDefault="008123C6" w:rsidP="007A697E">
      <w:pPr>
        <w:pStyle w:val="Paragraphedeliste"/>
        <w:numPr>
          <w:ilvl w:val="0"/>
          <w:numId w:val="131"/>
        </w:numPr>
        <w:jc w:val="both"/>
        <w:rPr>
          <w:color w:val="FF6700" w:themeColor="accent3"/>
        </w:rPr>
      </w:pPr>
      <w:r w:rsidRPr="000F289D">
        <w:rPr>
          <w:color w:val="FF6700" w:themeColor="accent3"/>
        </w:rPr>
        <w:lastRenderedPageBreak/>
        <w:t>Le</w:t>
      </w:r>
      <w:r w:rsidR="00D30C78" w:rsidRPr="000F289D">
        <w:rPr>
          <w:color w:val="FF6700" w:themeColor="accent3"/>
        </w:rPr>
        <w:t xml:space="preserve"> fractionne</w:t>
      </w:r>
      <w:r w:rsidRPr="000F289D">
        <w:rPr>
          <w:color w:val="FF6700" w:themeColor="accent3"/>
        </w:rPr>
        <w:t>ment</w:t>
      </w:r>
      <w:r w:rsidR="00D30C78" w:rsidRPr="000F289D">
        <w:rPr>
          <w:color w:val="FF6700" w:themeColor="accent3"/>
        </w:rPr>
        <w:t xml:space="preserve"> la rente de retraite entre conjoints</w:t>
      </w:r>
      <w:r w:rsidR="00751489" w:rsidRPr="000F289D">
        <w:rPr>
          <w:color w:val="FF6700" w:themeColor="accent3"/>
        </w:rPr>
        <w:t xml:space="preserve"> </w:t>
      </w:r>
    </w:p>
    <w:p w14:paraId="221F0D0E" w14:textId="77777777" w:rsidR="00751489" w:rsidRDefault="00751489" w:rsidP="00751489">
      <w:pPr>
        <w:ind w:left="709"/>
        <w:jc w:val="both"/>
      </w:pPr>
    </w:p>
    <w:p w14:paraId="4D8A1E02" w14:textId="2F8C8AF8" w:rsidR="002C6CE5" w:rsidRDefault="00432C2D" w:rsidP="00751489">
      <w:pPr>
        <w:jc w:val="both"/>
      </w:pPr>
      <w:r>
        <w:t>Dans l’arsenal du parfait fiscaliste qui souhaite réduire au maximum sa facture d’impôt, on retrouve l</w:t>
      </w:r>
      <w:r w:rsidR="002C6CE5">
        <w:t>a ma</w:t>
      </w:r>
      <w:r w:rsidR="00F50DA5">
        <w:t>î</w:t>
      </w:r>
      <w:r w:rsidR="002C6CE5">
        <w:t>trise du</w:t>
      </w:r>
      <w:r>
        <w:t xml:space="preserve"> principe du fractionnement du revenu. Ce </w:t>
      </w:r>
      <w:r w:rsidR="002C6CE5">
        <w:t>concept</w:t>
      </w:r>
      <w:r>
        <w:t xml:space="preserve"> découle directement du choix du législateur d’imposer, avant tout, l’individu plutôt que le couple. </w:t>
      </w:r>
      <w:r w:rsidR="00C76B25">
        <w:t>C’est donc dire qu’</w:t>
      </w:r>
      <w:r>
        <w:t>un c</w:t>
      </w:r>
      <w:r w:rsidR="002C6CE5">
        <w:t xml:space="preserve">ouple, ayant </w:t>
      </w:r>
      <w:r w:rsidR="00C76B25" w:rsidRPr="00C76B25">
        <w:rPr>
          <w:color w:val="FF6700" w:themeColor="accent3"/>
        </w:rPr>
        <w:t>UN SEUL</w:t>
      </w:r>
      <w:r w:rsidR="002C6CE5">
        <w:t xml:space="preserve"> </w:t>
      </w:r>
      <w:r w:rsidR="00C76B25" w:rsidRPr="00C76B25">
        <w:rPr>
          <w:color w:val="FF6700" w:themeColor="accent3"/>
        </w:rPr>
        <w:t>REVENU IMPOSABLE</w:t>
      </w:r>
      <w:r w:rsidR="002C6CE5">
        <w:t xml:space="preserve"> </w:t>
      </w:r>
      <w:r>
        <w:t xml:space="preserve">de 100 000 $ devra acquitter une facture d’impôt d’environ </w:t>
      </w:r>
      <w:r w:rsidR="002C6CE5">
        <w:t>32 000 $ alors que le couple où chacun des conjoints gagne 50 000 $ devr</w:t>
      </w:r>
      <w:r w:rsidR="007462CC">
        <w:t>a</w:t>
      </w:r>
      <w:r w:rsidR="002C6CE5">
        <w:t xml:space="preserve"> débourser, globalement, 23 000 $. Cette particularité du système fiscal incite les conjoints à fractionner leurs revenus dès qu’il est possible de le faire. </w:t>
      </w:r>
    </w:p>
    <w:p w14:paraId="2A9CFA9A" w14:textId="77777777" w:rsidR="00C76B25" w:rsidRDefault="00C76B25" w:rsidP="00751489">
      <w:pPr>
        <w:jc w:val="both"/>
      </w:pPr>
    </w:p>
    <w:p w14:paraId="6346BA76" w14:textId="60D8A1DA" w:rsidR="00C76B25" w:rsidRDefault="00C76B25" w:rsidP="00751489">
      <w:pPr>
        <w:jc w:val="both"/>
      </w:pPr>
      <w:r>
        <w:t xml:space="preserve">À cet effet, il est possible pour les conjoints d’effectuer le choix de répartir dans une proportion de 50/50 la somme des rentes acquises </w:t>
      </w:r>
      <w:r w:rsidR="00D128CA">
        <w:t>par le</w:t>
      </w:r>
      <w:r>
        <w:t xml:space="preserve"> couple depuis le</w:t>
      </w:r>
      <w:r w:rsidR="00D128CA">
        <w:t xml:space="preserve"> début de l’union. En tout</w:t>
      </w:r>
      <w:r w:rsidR="007462CC">
        <w:t>e</w:t>
      </w:r>
      <w:r w:rsidR="00D128CA">
        <w:t xml:space="preserve"> cohérence avec le concept du patrimoine familial, cette demande peut </w:t>
      </w:r>
      <w:r w:rsidR="007462CC">
        <w:t xml:space="preserve">être </w:t>
      </w:r>
      <w:r w:rsidR="00D128CA">
        <w:t xml:space="preserve">effectuée de manière </w:t>
      </w:r>
      <w:r w:rsidR="009E6ACB">
        <w:t>unilatérale</w:t>
      </w:r>
      <w:r w:rsidR="00D128CA">
        <w:t xml:space="preserve"> par un seul des conjoints dans le cas o</w:t>
      </w:r>
      <w:r w:rsidR="007462CC">
        <w:t>ù</w:t>
      </w:r>
      <w:r w:rsidR="00D128CA">
        <w:t xml:space="preserve"> ceux-ci sont mariés. Dans le cas des conjoints des faits, cette demande doit être </w:t>
      </w:r>
      <w:r w:rsidR="009E6ACB">
        <w:t>effectuée</w:t>
      </w:r>
      <w:r w:rsidR="00D128CA">
        <w:t xml:space="preserve"> par les deux conjoints.</w:t>
      </w:r>
      <w:r>
        <w:t xml:space="preserve"> </w:t>
      </w:r>
      <w:r w:rsidR="00752D03">
        <w:t>Ce choix devrait normalement s’eff</w:t>
      </w:r>
      <w:r w:rsidR="00277DBD">
        <w:t>ectuer lorsque l’un des conjoints s’impose à un taux d’imposition (voir TEMI) plus faible que l’autre.</w:t>
      </w:r>
    </w:p>
    <w:p w14:paraId="5BA96E83" w14:textId="77777777" w:rsidR="00277DBD" w:rsidRDefault="00277DBD" w:rsidP="00751489">
      <w:pPr>
        <w:jc w:val="both"/>
      </w:pPr>
    </w:p>
    <w:p w14:paraId="0E0183A4" w14:textId="3E9C11D6" w:rsidR="00277DBD" w:rsidRDefault="00277DBD" w:rsidP="00751489">
      <w:pPr>
        <w:jc w:val="both"/>
      </w:pPr>
      <w:r>
        <w:t xml:space="preserve">Par ailleurs, dans le contexte d’un divorce, il est possible, lorsque les deux ex-conjoints s’entendent, d’effectuer une </w:t>
      </w:r>
      <w:r w:rsidR="009E6ACB">
        <w:t>répar</w:t>
      </w:r>
      <w:r w:rsidR="00402E40">
        <w:t>tit</w:t>
      </w:r>
      <w:r w:rsidR="009E6ACB">
        <w:t>ion</w:t>
      </w:r>
      <w:r>
        <w:t xml:space="preserve"> des rentes selon une proportion autre que celle initialement prévue par la répartition du patrimoine (soit 50/50). Cette situation prévaut lorsque l’ajout de la RRQ </w:t>
      </w:r>
      <w:r w:rsidR="00A62F3E">
        <w:t>aux revenus de</w:t>
      </w:r>
      <w:r>
        <w:t xml:space="preserve"> l’un des </w:t>
      </w:r>
      <w:r w:rsidR="009E6ACB">
        <w:t>ex-conjoints</w:t>
      </w:r>
      <w:r>
        <w:t xml:space="preserve"> se retrouve imposé à un TEMI démesuré</w:t>
      </w:r>
      <w:r w:rsidR="00A62F3E">
        <w:t>ment élevé</w:t>
      </w:r>
      <w:r>
        <w:t>. Bien sûr, le conjoint qui renoncera à sa portion du RRQ devra être compensé financièrement d’une autre façon lors du règlement du divorce (par un bien qui ne sera pas instantanément soumis à l’imposition</w:t>
      </w:r>
      <w:r w:rsidR="00A62F3E">
        <w:t xml:space="preserve"> -  Comme une plus grande partie de la résidence principale par exemple</w:t>
      </w:r>
      <w:r>
        <w:t>).</w:t>
      </w:r>
    </w:p>
    <w:p w14:paraId="61329287" w14:textId="77777777" w:rsidR="00D30C78" w:rsidRDefault="00D30C78" w:rsidP="008123C6">
      <w:pPr>
        <w:ind w:left="709"/>
        <w:jc w:val="both"/>
      </w:pPr>
    </w:p>
    <w:p w14:paraId="5DA69A80" w14:textId="39ACC016" w:rsidR="00D30C78" w:rsidRPr="000F289D" w:rsidRDefault="008123C6" w:rsidP="007A697E">
      <w:pPr>
        <w:pStyle w:val="Paragraphedeliste"/>
        <w:numPr>
          <w:ilvl w:val="0"/>
          <w:numId w:val="131"/>
        </w:numPr>
        <w:jc w:val="both"/>
        <w:rPr>
          <w:color w:val="FF6700" w:themeColor="accent3"/>
        </w:rPr>
      </w:pPr>
      <w:r w:rsidRPr="000F289D">
        <w:rPr>
          <w:color w:val="FF6700" w:themeColor="accent3"/>
        </w:rPr>
        <w:t>Le choix de ne pas adhérer au RRQ pour les actionnaires</w:t>
      </w:r>
      <w:r w:rsidR="006662CE" w:rsidRPr="000F289D">
        <w:rPr>
          <w:color w:val="FF6700" w:themeColor="accent3"/>
        </w:rPr>
        <w:t xml:space="preserve"> </w:t>
      </w:r>
      <w:r w:rsidRPr="000F289D">
        <w:rPr>
          <w:color w:val="FF6700" w:themeColor="accent3"/>
        </w:rPr>
        <w:t>dirigeants</w:t>
      </w:r>
    </w:p>
    <w:p w14:paraId="39461203" w14:textId="77777777" w:rsidR="000B3EC6" w:rsidRDefault="000B3EC6" w:rsidP="000B3EC6">
      <w:pPr>
        <w:ind w:left="709"/>
        <w:jc w:val="both"/>
      </w:pPr>
    </w:p>
    <w:p w14:paraId="0EFCFD19" w14:textId="24842997" w:rsidR="000B3EC6" w:rsidRDefault="000B3EC6" w:rsidP="000B3EC6">
      <w:pPr>
        <w:jc w:val="both"/>
      </w:pPr>
      <w:r>
        <w:t>P</w:t>
      </w:r>
      <w:r w:rsidR="002F345C">
        <w:t xml:space="preserve">our la vaste majorité des contribuables </w:t>
      </w:r>
      <w:r w:rsidR="009E6ACB">
        <w:t>québécois,</w:t>
      </w:r>
      <w:r w:rsidR="002F345C">
        <w:t xml:space="preserve"> la question d’adhérer au RRQ n’est pas un </w:t>
      </w:r>
      <w:r w:rsidR="009E6ACB">
        <w:t>choix,</w:t>
      </w:r>
      <w:r w:rsidR="002F345C">
        <w:t xml:space="preserve"> mais une conséquence associée </w:t>
      </w:r>
      <w:r w:rsidR="00C43779">
        <w:t>au</w:t>
      </w:r>
      <w:r w:rsidR="002F345C">
        <w:t xml:space="preserve"> statut de travailleur, soit à titre d’employé ou d’entrepreneur (travailleur autonome, entreprise individuelle ou associé d’une SENC). </w:t>
      </w:r>
      <w:r w:rsidR="004F49FF">
        <w:t xml:space="preserve">Pour ces gens, le débat quant à l’attractivité du RRQ est sans importance puisqu’il n’existe </w:t>
      </w:r>
      <w:r w:rsidR="009E6ACB">
        <w:t>aucune</w:t>
      </w:r>
      <w:r w:rsidR="004F49FF">
        <w:t xml:space="preserve"> alternative. La situation diffère pour tous les individ</w:t>
      </w:r>
      <w:r w:rsidR="008101E9">
        <w:t>u</w:t>
      </w:r>
      <w:r w:rsidR="004F49FF">
        <w:t>s qui sont à la fois actionnaire et employé d’une société par actions. On parle alors d’actionnaires</w:t>
      </w:r>
      <w:r w:rsidR="002B2753">
        <w:t xml:space="preserve"> </w:t>
      </w:r>
      <w:r w:rsidR="004F49FF">
        <w:t>dirigeants de PME. La particularité de ce statut est de permettre à l’actionnaire</w:t>
      </w:r>
      <w:r w:rsidR="002B2753">
        <w:t xml:space="preserve"> </w:t>
      </w:r>
      <w:r w:rsidR="004F49FF">
        <w:t xml:space="preserve">dirigeant de choisir son mode de rémunération. </w:t>
      </w:r>
      <w:r w:rsidR="004F49FF">
        <w:lastRenderedPageBreak/>
        <w:t>Essentiellement, celui-ci peut être rémunéré à même un salaire ou par le versement de dividendes. Bien sûr, il est aussi possible d’obtenir un dosage entre ces deux formes de rémunération</w:t>
      </w:r>
      <w:r w:rsidR="008101E9">
        <w:t xml:space="preserve"> afin d’optimiser la situation du particulier. Dans ces cas, il existe bel et bien un choix possible quant à l’adhésion au RRQ puisque le versement de dividendes ne </w:t>
      </w:r>
      <w:r w:rsidR="009E6ACB">
        <w:t>constitue</w:t>
      </w:r>
      <w:r w:rsidR="008101E9">
        <w:t xml:space="preserve"> pas un gain admissible au RRQ. En clair, l’individu, actionnaire</w:t>
      </w:r>
      <w:r w:rsidR="002B2753">
        <w:t xml:space="preserve"> </w:t>
      </w:r>
      <w:r w:rsidR="008101E9">
        <w:t>dirigeant, qui souhaiterait s’inscrire en marge du RRQ n’aurait qu’à se verser exclusivement que des dividendes à titre de rémunération.</w:t>
      </w:r>
    </w:p>
    <w:p w14:paraId="719D23E9" w14:textId="77777777" w:rsidR="008101E9" w:rsidRDefault="008101E9" w:rsidP="000B3EC6">
      <w:pPr>
        <w:jc w:val="both"/>
      </w:pPr>
    </w:p>
    <w:p w14:paraId="69839671" w14:textId="38FD8302" w:rsidR="008101E9" w:rsidRDefault="002B2753" w:rsidP="000B3EC6">
      <w:pPr>
        <w:jc w:val="both"/>
      </w:pPr>
      <w:r>
        <w:t>Mainte</w:t>
      </w:r>
      <w:r w:rsidR="00E470B0">
        <w:t>n</w:t>
      </w:r>
      <w:r>
        <w:t xml:space="preserve">ant que nous avons soulevé ce choix qui s’offre à l’actionnaire dirigeant d’une PME, il est important de bien comprendre que l’analyse de cette décision est fort complexe, exige une vue d’ensemble de la situation et qu’elle comporte de nombreuses conséquences. </w:t>
      </w:r>
      <w:r w:rsidR="00E470B0">
        <w:t xml:space="preserve">Par exemple, si la voie de rémunération empruntée se limite aux dividendes, le contribuable devra s’abstenir d’investir ses placements dans un REÉR puisque l’espace de ce régime d’épargne se bâtit par le revenu gagné et que le dividende n’en fait pas partie. </w:t>
      </w:r>
      <w:r>
        <w:t>L</w:t>
      </w:r>
      <w:r w:rsidR="00E470B0">
        <w:t xml:space="preserve">e concept </w:t>
      </w:r>
      <w:r w:rsidR="004F351D">
        <w:t>a</w:t>
      </w:r>
      <w:r w:rsidR="00E470B0">
        <w:t xml:space="preserve"> fait l’objet d’une analyse complète par Éric Bras</w:t>
      </w:r>
      <w:r w:rsidR="00EA1C46">
        <w:t>sard dans le cadre du congrès 2014 de l’APFF</w:t>
      </w:r>
      <w:r w:rsidR="004F351D">
        <w:rPr>
          <w:rStyle w:val="Marquenotebasdepage"/>
        </w:rPr>
        <w:footnoteReference w:customMarkFollows="1" w:id="30"/>
        <w:t>27</w:t>
      </w:r>
      <w:r w:rsidR="00EA1C46">
        <w:t>.</w:t>
      </w:r>
      <w:r w:rsidR="008E7D08">
        <w:t xml:space="preserve"> L’analyse s’articule autour de trois axes :</w:t>
      </w:r>
    </w:p>
    <w:p w14:paraId="7097C67B" w14:textId="77777777" w:rsidR="008E7D08" w:rsidRDefault="008E7D08" w:rsidP="000B3EC6">
      <w:pPr>
        <w:jc w:val="both"/>
      </w:pPr>
    </w:p>
    <w:p w14:paraId="084D554E" w14:textId="56631A28" w:rsidR="008E7D08" w:rsidRDefault="008E7D08" w:rsidP="007A697E">
      <w:pPr>
        <w:pStyle w:val="Paragraphedeliste"/>
        <w:numPr>
          <w:ilvl w:val="0"/>
          <w:numId w:val="131"/>
        </w:numPr>
        <w:jc w:val="both"/>
      </w:pPr>
      <w:r>
        <w:t>Axe</w:t>
      </w:r>
      <w:r w:rsidRPr="008E7D08">
        <w:t xml:space="preserve"> 1 – Le volet « mathématiques fiscales pures »</w:t>
      </w:r>
      <w:r>
        <w:t>, c’est-à-dire la valeur de la rémunération a</w:t>
      </w:r>
      <w:r w:rsidR="006B771E">
        <w:t>près</w:t>
      </w:r>
      <w:r>
        <w:t xml:space="preserve"> avoir </w:t>
      </w:r>
      <w:r w:rsidR="009E6ACB">
        <w:t>considéré</w:t>
      </w:r>
      <w:r>
        <w:t xml:space="preserve"> toutes les déductions applicables</w:t>
      </w:r>
      <w:r w:rsidR="00130F87">
        <w:t xml:space="preserve"> (pour l’individu et la société)</w:t>
      </w:r>
      <w:r w:rsidR="00FB7D59">
        <w:t> ;</w:t>
      </w:r>
    </w:p>
    <w:p w14:paraId="7F316F4D" w14:textId="77777777" w:rsidR="002B2753" w:rsidRDefault="002B2753" w:rsidP="000B3EC6">
      <w:pPr>
        <w:jc w:val="both"/>
      </w:pPr>
    </w:p>
    <w:p w14:paraId="2687D7EF" w14:textId="58A2D66B" w:rsidR="002B2753" w:rsidRDefault="008E7D08" w:rsidP="007A697E">
      <w:pPr>
        <w:pStyle w:val="Paragraphedeliste"/>
        <w:numPr>
          <w:ilvl w:val="0"/>
          <w:numId w:val="131"/>
        </w:numPr>
        <w:jc w:val="both"/>
      </w:pPr>
      <w:r>
        <w:t>Axe</w:t>
      </w:r>
      <w:r w:rsidRPr="008E7D08">
        <w:t xml:space="preserve"> 2 – La valeur de la cotisation à la RRQ</w:t>
      </w:r>
      <w:r w:rsidR="00FB7D59">
        <w:t xml:space="preserve"> selon le scénario de la rémunération par le salaire ;</w:t>
      </w:r>
    </w:p>
    <w:p w14:paraId="1A8D7A51" w14:textId="77777777" w:rsidR="008E7D08" w:rsidRDefault="008E7D08" w:rsidP="008E7D08">
      <w:pPr>
        <w:jc w:val="both"/>
      </w:pPr>
    </w:p>
    <w:p w14:paraId="1ADC9003" w14:textId="7A08BF34" w:rsidR="008E7D08" w:rsidRPr="00FB7D59" w:rsidRDefault="008E7D08" w:rsidP="007A697E">
      <w:pPr>
        <w:pStyle w:val="Paragraphedeliste"/>
        <w:numPr>
          <w:ilvl w:val="0"/>
          <w:numId w:val="131"/>
        </w:numPr>
        <w:jc w:val="both"/>
        <w:rPr>
          <w:rFonts w:asciiTheme="majorHAnsi" w:hAnsiTheme="majorHAnsi"/>
        </w:rPr>
      </w:pPr>
      <w:r>
        <w:t>Axe</w:t>
      </w:r>
      <w:r w:rsidRPr="008E7D08">
        <w:t xml:space="preserve"> 3 – Placement dans un REÉR ou une société</w:t>
      </w:r>
      <w:r w:rsidRPr="00130F87">
        <w:rPr>
          <w:rFonts w:ascii="Avenir Book" w:hAnsi="Avenir Book"/>
        </w:rPr>
        <w:t>?</w:t>
      </w:r>
      <w:r w:rsidR="00130F87">
        <w:rPr>
          <w:rFonts w:ascii="Avenir Book" w:hAnsi="Avenir Book"/>
        </w:rPr>
        <w:t xml:space="preserve"> </w:t>
      </w:r>
      <w:r w:rsidR="00130F87" w:rsidRPr="00FB7D59">
        <w:rPr>
          <w:rFonts w:asciiTheme="majorHAnsi" w:hAnsiTheme="majorHAnsi"/>
        </w:rPr>
        <w:t>C’est-à-dire la valeur de l’épargne selon son emplacement, (REÉR, si salaires) ou (Société, si dividendes)</w:t>
      </w:r>
      <w:r w:rsidR="00FB7D59" w:rsidRPr="00FB7D59">
        <w:rPr>
          <w:rFonts w:asciiTheme="majorHAnsi" w:hAnsiTheme="majorHAnsi"/>
        </w:rPr>
        <w:t>.</w:t>
      </w:r>
    </w:p>
    <w:p w14:paraId="2DF4ECBF" w14:textId="77777777" w:rsidR="004F49FF" w:rsidRDefault="004F49FF" w:rsidP="008123C6">
      <w:pPr>
        <w:ind w:left="709"/>
        <w:jc w:val="both"/>
      </w:pPr>
    </w:p>
    <w:p w14:paraId="019D6011" w14:textId="1E6816BE" w:rsidR="008956DF" w:rsidRDefault="008956DF" w:rsidP="008956DF">
      <w:pPr>
        <w:jc w:val="both"/>
      </w:pPr>
      <w:r>
        <w:t xml:space="preserve">Ce type d’analyse se doit d’être </w:t>
      </w:r>
      <w:r w:rsidR="009E6ACB">
        <w:t>constamment</w:t>
      </w:r>
      <w:r>
        <w:t xml:space="preserve"> mis à jour puisque chacune des variables pertinentes sont sujettes régulièrement à des changements de taux et de règles.</w:t>
      </w:r>
    </w:p>
    <w:p w14:paraId="258FB4F2" w14:textId="77777777" w:rsidR="00FB7D59" w:rsidRDefault="00FB7D59" w:rsidP="008123C6">
      <w:pPr>
        <w:ind w:left="709"/>
        <w:jc w:val="both"/>
      </w:pPr>
    </w:p>
    <w:p w14:paraId="151D7EC2" w14:textId="77777777" w:rsidR="00FB7D59" w:rsidRDefault="00FB7D59" w:rsidP="008123C6">
      <w:pPr>
        <w:ind w:left="709"/>
        <w:jc w:val="both"/>
      </w:pPr>
    </w:p>
    <w:p w14:paraId="27949FF6" w14:textId="77777777" w:rsidR="00FB7D59" w:rsidRDefault="00FB7D59" w:rsidP="008123C6">
      <w:pPr>
        <w:ind w:left="709"/>
        <w:jc w:val="both"/>
      </w:pPr>
    </w:p>
    <w:p w14:paraId="0BC95EC9" w14:textId="77777777" w:rsidR="00FB7D59" w:rsidRDefault="00FB7D59" w:rsidP="008123C6">
      <w:pPr>
        <w:ind w:left="709"/>
        <w:jc w:val="both"/>
      </w:pPr>
    </w:p>
    <w:p w14:paraId="06260B88" w14:textId="747432ED" w:rsidR="008123C6" w:rsidRPr="000F289D" w:rsidRDefault="008123C6" w:rsidP="007A697E">
      <w:pPr>
        <w:pStyle w:val="Paragraphedeliste"/>
        <w:numPr>
          <w:ilvl w:val="0"/>
          <w:numId w:val="131"/>
        </w:numPr>
        <w:jc w:val="both"/>
        <w:rPr>
          <w:color w:val="FF6700" w:themeColor="accent3"/>
        </w:rPr>
      </w:pPr>
      <w:r w:rsidRPr="000F289D">
        <w:rPr>
          <w:color w:val="FF6700" w:themeColor="accent3"/>
        </w:rPr>
        <w:lastRenderedPageBreak/>
        <w:t>Le</w:t>
      </w:r>
      <w:r w:rsidR="00751489" w:rsidRPr="000F289D">
        <w:rPr>
          <w:color w:val="FF6700" w:themeColor="accent3"/>
        </w:rPr>
        <w:t>s cotisations au</w:t>
      </w:r>
      <w:r w:rsidRPr="000F289D">
        <w:rPr>
          <w:color w:val="FF6700" w:themeColor="accent3"/>
        </w:rPr>
        <w:t xml:space="preserve"> RRQ </w:t>
      </w:r>
      <w:r w:rsidRPr="000F289D">
        <w:rPr>
          <w:color w:val="FF6700" w:themeColor="accent3"/>
          <w:u w:val="single"/>
        </w:rPr>
        <w:t>après</w:t>
      </w:r>
      <w:r w:rsidRPr="000F289D">
        <w:rPr>
          <w:color w:val="FF6700" w:themeColor="accent3"/>
        </w:rPr>
        <w:t xml:space="preserve"> </w:t>
      </w:r>
      <w:r w:rsidR="00751489" w:rsidRPr="000F289D">
        <w:rPr>
          <w:color w:val="FF6700" w:themeColor="accent3"/>
        </w:rPr>
        <w:t>l'</w:t>
      </w:r>
      <w:r w:rsidRPr="000F289D">
        <w:rPr>
          <w:color w:val="FF6700" w:themeColor="accent3"/>
        </w:rPr>
        <w:t>obtention</w:t>
      </w:r>
      <w:r w:rsidR="00751489" w:rsidRPr="000F289D">
        <w:rPr>
          <w:color w:val="FF6700" w:themeColor="accent3"/>
        </w:rPr>
        <w:t xml:space="preserve"> de la rente</w:t>
      </w:r>
    </w:p>
    <w:p w14:paraId="7B77B525" w14:textId="77777777" w:rsidR="00751489" w:rsidRDefault="00751489" w:rsidP="00751489">
      <w:pPr>
        <w:ind w:left="709"/>
        <w:jc w:val="both"/>
      </w:pPr>
    </w:p>
    <w:p w14:paraId="16FFBE69" w14:textId="388B770D" w:rsidR="008956DF" w:rsidRDefault="0046200F" w:rsidP="008956DF">
      <w:pPr>
        <w:jc w:val="both"/>
        <w:rPr>
          <w:color w:val="FF6700" w:themeColor="accent3"/>
        </w:rPr>
      </w:pPr>
      <w:r>
        <w:t xml:space="preserve">Pour différentes raisons, certains contribuables souhaitent continuer à travailler même s’ils ont commencé à </w:t>
      </w:r>
      <w:r w:rsidR="009E6ACB">
        <w:t>recevoir</w:t>
      </w:r>
      <w:r>
        <w:t xml:space="preserve"> leur rente du RRQ (entre 60 et 70 ans). Ce travail est parfois une façon de combler le déficit financier qui apparaît au moment de la prise initiale de retraite. Pour d’autres, c’est aussi un moyen de demeurer actif et de briser une forme d’isolement social. Dans tous </w:t>
      </w:r>
      <w:r w:rsidR="00F10441">
        <w:t xml:space="preserve">ces </w:t>
      </w:r>
      <w:r>
        <w:t xml:space="preserve">cas, le travailleur doit poursuivre la cotisation à son RRQ, et ce même s’il en est prestataire de la rente de retraite. </w:t>
      </w:r>
      <w:r w:rsidRPr="00F10441">
        <w:rPr>
          <w:color w:val="FF6700" w:themeColor="accent3"/>
        </w:rPr>
        <w:t>E</w:t>
      </w:r>
      <w:r w:rsidR="00F10441">
        <w:rPr>
          <w:color w:val="FF6700" w:themeColor="accent3"/>
        </w:rPr>
        <w:t>N FAIT</w:t>
      </w:r>
      <w:r w:rsidRPr="00F10441">
        <w:rPr>
          <w:color w:val="FF6700" w:themeColor="accent3"/>
        </w:rPr>
        <w:t xml:space="preserve">, </w:t>
      </w:r>
      <w:r w:rsidR="00F10441">
        <w:rPr>
          <w:color w:val="FF6700" w:themeColor="accent3"/>
        </w:rPr>
        <w:t>TOUT TRAVAILLEUR</w:t>
      </w:r>
      <w:r w:rsidRPr="00F10441">
        <w:rPr>
          <w:color w:val="FF6700" w:themeColor="accent3"/>
        </w:rPr>
        <w:t xml:space="preserve">, </w:t>
      </w:r>
      <w:r w:rsidR="00F10441">
        <w:rPr>
          <w:color w:val="FF6700" w:themeColor="accent3"/>
        </w:rPr>
        <w:t>ÂGÉ D’AU MOINS 18 ANS</w:t>
      </w:r>
      <w:r w:rsidRPr="00F10441">
        <w:rPr>
          <w:color w:val="FF6700" w:themeColor="accent3"/>
        </w:rPr>
        <w:t xml:space="preserve">, </w:t>
      </w:r>
      <w:r w:rsidR="00F10441">
        <w:rPr>
          <w:color w:val="FF6700" w:themeColor="accent3"/>
        </w:rPr>
        <w:t>GÉNÉRANT UN REVENU ADMISSIBLE</w:t>
      </w:r>
      <w:r w:rsidRPr="00F10441">
        <w:rPr>
          <w:color w:val="FF6700" w:themeColor="accent3"/>
        </w:rPr>
        <w:t xml:space="preserve"> </w:t>
      </w:r>
      <w:r w:rsidR="00F10441">
        <w:rPr>
          <w:color w:val="FF6700" w:themeColor="accent3"/>
        </w:rPr>
        <w:t>SUPÉRIEUR À</w:t>
      </w:r>
      <w:r w:rsidRPr="00F10441">
        <w:rPr>
          <w:color w:val="FF6700" w:themeColor="accent3"/>
        </w:rPr>
        <w:t xml:space="preserve"> 3 500 $, </w:t>
      </w:r>
      <w:r w:rsidR="00F10441">
        <w:rPr>
          <w:color w:val="FF6700" w:themeColor="accent3"/>
        </w:rPr>
        <w:t xml:space="preserve">DOIT COTISER AU </w:t>
      </w:r>
      <w:r w:rsidR="00F10441" w:rsidRPr="00F10441">
        <w:rPr>
          <w:color w:val="FF6700" w:themeColor="accent3"/>
        </w:rPr>
        <w:t>RRQ.</w:t>
      </w:r>
    </w:p>
    <w:p w14:paraId="4D343C03" w14:textId="77777777" w:rsidR="00F10441" w:rsidRDefault="00F10441" w:rsidP="008956DF">
      <w:pPr>
        <w:jc w:val="both"/>
        <w:rPr>
          <w:color w:val="FF6700" w:themeColor="accent3"/>
        </w:rPr>
      </w:pPr>
    </w:p>
    <w:p w14:paraId="67EF1614" w14:textId="45B6018A" w:rsidR="00F10441" w:rsidRDefault="00F10441" w:rsidP="008956DF">
      <w:pPr>
        <w:jc w:val="both"/>
      </w:pPr>
      <w:r>
        <w:t xml:space="preserve">Antérieurement, ces cotisations </w:t>
      </w:r>
      <w:r w:rsidR="009E6ACB">
        <w:t>correspondaient</w:t>
      </w:r>
      <w:r>
        <w:t>, ni plus, mi moins, à une forme de taxation puisqu’elle ne soutenait aucun avantage en retour, aucune bonification des rentes de retraite. L’État voulant encourager la population à travailler le plus longtemps possible a donc instauré un incitatif qui fait en sorte que pour chaque dollar cotisé au RRQ, après l’obtention de la rente, cette dernière sera bonifiée d’un montant annuel de ,5 %. Et ce, même si le maximum de la rente est atteint.</w:t>
      </w:r>
    </w:p>
    <w:p w14:paraId="54270AE5" w14:textId="4ADD5A3D" w:rsidR="00F10441" w:rsidRDefault="007B6926" w:rsidP="008956DF">
      <w:pPr>
        <w:jc w:val="both"/>
      </w:pPr>
      <w:r>
        <w:rPr>
          <w:noProof/>
          <w:lang w:eastAsia="fr-FR"/>
        </w:rPr>
        <w:drawing>
          <wp:anchor distT="0" distB="0" distL="114300" distR="114300" simplePos="0" relativeHeight="252028928" behindDoc="0" locked="0" layoutInCell="1" allowOverlap="1" wp14:anchorId="62E536B4" wp14:editId="28DBB7DE">
            <wp:simplePos x="0" y="0"/>
            <wp:positionH relativeFrom="column">
              <wp:posOffset>-643890</wp:posOffset>
            </wp:positionH>
            <wp:positionV relativeFrom="paragraph">
              <wp:posOffset>59690</wp:posOffset>
            </wp:positionV>
            <wp:extent cx="383540" cy="723265"/>
            <wp:effectExtent l="177800" t="50800" r="99060" b="64135"/>
            <wp:wrapNone/>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11">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296BF4E" w14:textId="488CC775" w:rsidR="00307D62" w:rsidRDefault="007B6926" w:rsidP="008956DF">
      <w:pPr>
        <w:jc w:val="both"/>
      </w:pPr>
      <w:r>
        <w:t xml:space="preserve">Prenons l’exemple de </w:t>
      </w:r>
      <w:r w:rsidRPr="007B6926">
        <w:rPr>
          <w:color w:val="008000"/>
        </w:rPr>
        <w:t>Marie Richer</w:t>
      </w:r>
      <w:r w:rsidRPr="007B6926">
        <w:t>, une enseignante à la retraite,</w:t>
      </w:r>
      <w:r>
        <w:t xml:space="preserve"> qui reçoit une rente du RRQ de 800 $ par mois. Marie décide d’offrir ses services d’aide pédagogique </w:t>
      </w:r>
      <w:r w:rsidR="00307D62">
        <w:t>à des</w:t>
      </w:r>
      <w:r>
        <w:t xml:space="preserve"> élèves qui rencontre</w:t>
      </w:r>
      <w:r w:rsidR="00307D62">
        <w:t>nt</w:t>
      </w:r>
      <w:r>
        <w:t xml:space="preserve"> des </w:t>
      </w:r>
      <w:r w:rsidR="009E6ACB">
        <w:t>difficultés</w:t>
      </w:r>
      <w:r>
        <w:t xml:space="preserve"> d’apprentissage. Grâce à cette activité</w:t>
      </w:r>
      <w:r w:rsidR="00307D62">
        <w:t>, Marie a généré un revenu d’entreprise de 20 000 $. Voici les impacts au niveau du RRQ pour Marie Richer.</w:t>
      </w:r>
    </w:p>
    <w:p w14:paraId="1CB5FF10" w14:textId="77777777" w:rsidR="00307D62" w:rsidRDefault="00307D62" w:rsidP="008956DF">
      <w:pPr>
        <w:jc w:val="both"/>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3"/>
        <w:gridCol w:w="6573"/>
      </w:tblGrid>
      <w:tr w:rsidR="00307D62" w14:paraId="176A8D89" w14:textId="77777777" w:rsidTr="0016435D">
        <w:tc>
          <w:tcPr>
            <w:tcW w:w="6573" w:type="dxa"/>
            <w:shd w:val="clear" w:color="auto" w:fill="94C600" w:themeFill="accent1"/>
          </w:tcPr>
          <w:p w14:paraId="0D48D2DA" w14:textId="002E9A62" w:rsidR="00307D62" w:rsidRDefault="00307D62" w:rsidP="008956DF">
            <w:pPr>
              <w:jc w:val="both"/>
            </w:pPr>
            <w:r>
              <w:t>Cotisations au RRQ</w:t>
            </w:r>
          </w:p>
        </w:tc>
        <w:tc>
          <w:tcPr>
            <w:tcW w:w="6573" w:type="dxa"/>
            <w:shd w:val="clear" w:color="auto" w:fill="D2D4C0" w:themeFill="accent4" w:themeFillTint="66"/>
          </w:tcPr>
          <w:p w14:paraId="3DCDB376" w14:textId="23B7BC80" w:rsidR="00307D62" w:rsidRDefault="00307D62" w:rsidP="00307D62">
            <w:pPr>
              <w:jc w:val="both"/>
            </w:pPr>
            <w:r>
              <w:t>(20 000 $ - 3 500 $) * 10,5 % = 1 733 $</w:t>
            </w:r>
          </w:p>
        </w:tc>
      </w:tr>
      <w:tr w:rsidR="00307D62" w14:paraId="1A115C42" w14:textId="77777777" w:rsidTr="0016435D">
        <w:tc>
          <w:tcPr>
            <w:tcW w:w="6573" w:type="dxa"/>
            <w:shd w:val="clear" w:color="auto" w:fill="94C600" w:themeFill="accent1"/>
          </w:tcPr>
          <w:p w14:paraId="6DC4882C" w14:textId="77777777" w:rsidR="00307D62" w:rsidRDefault="00307D62" w:rsidP="008956DF">
            <w:pPr>
              <w:jc w:val="both"/>
            </w:pPr>
          </w:p>
        </w:tc>
        <w:tc>
          <w:tcPr>
            <w:tcW w:w="6573" w:type="dxa"/>
            <w:shd w:val="clear" w:color="auto" w:fill="D2D4C0" w:themeFill="accent4" w:themeFillTint="66"/>
          </w:tcPr>
          <w:p w14:paraId="27A90429" w14:textId="77777777" w:rsidR="00307D62" w:rsidRDefault="00307D62" w:rsidP="008956DF">
            <w:pPr>
              <w:jc w:val="both"/>
            </w:pPr>
          </w:p>
        </w:tc>
      </w:tr>
      <w:tr w:rsidR="00307D62" w14:paraId="7DAD5C70" w14:textId="77777777" w:rsidTr="0016435D">
        <w:tc>
          <w:tcPr>
            <w:tcW w:w="6573" w:type="dxa"/>
            <w:shd w:val="clear" w:color="auto" w:fill="94C600" w:themeFill="accent1"/>
          </w:tcPr>
          <w:p w14:paraId="270D0EC5" w14:textId="5AC74C9F" w:rsidR="00307D62" w:rsidRDefault="00307D62" w:rsidP="008956DF">
            <w:pPr>
              <w:jc w:val="both"/>
            </w:pPr>
            <w:r>
              <w:t>Bonification de la rente de Marie (sur une base annuelle)</w:t>
            </w:r>
          </w:p>
        </w:tc>
        <w:tc>
          <w:tcPr>
            <w:tcW w:w="6573" w:type="dxa"/>
            <w:shd w:val="clear" w:color="auto" w:fill="D2D4C0" w:themeFill="accent4" w:themeFillTint="66"/>
          </w:tcPr>
          <w:p w14:paraId="3AFC5749" w14:textId="10A221A7" w:rsidR="00307D62" w:rsidRDefault="00307D62" w:rsidP="00307D62">
            <w:pPr>
              <w:jc w:val="both"/>
            </w:pPr>
            <w:r>
              <w:t>(20 000 $ - 3 500 $) * ,5 % = 83 $</w:t>
            </w:r>
          </w:p>
        </w:tc>
      </w:tr>
      <w:tr w:rsidR="00307D62" w14:paraId="141DAE37" w14:textId="77777777" w:rsidTr="0016435D">
        <w:tc>
          <w:tcPr>
            <w:tcW w:w="6573" w:type="dxa"/>
            <w:shd w:val="clear" w:color="auto" w:fill="94C600" w:themeFill="accent1"/>
          </w:tcPr>
          <w:p w14:paraId="7EC03B7B" w14:textId="77777777" w:rsidR="00307D62" w:rsidRDefault="00307D62" w:rsidP="008956DF">
            <w:pPr>
              <w:jc w:val="both"/>
            </w:pPr>
          </w:p>
        </w:tc>
        <w:tc>
          <w:tcPr>
            <w:tcW w:w="6573" w:type="dxa"/>
            <w:shd w:val="clear" w:color="auto" w:fill="D2D4C0" w:themeFill="accent4" w:themeFillTint="66"/>
          </w:tcPr>
          <w:p w14:paraId="2FB6D532" w14:textId="77777777" w:rsidR="00307D62" w:rsidRDefault="00307D62" w:rsidP="008956DF">
            <w:pPr>
              <w:jc w:val="both"/>
            </w:pPr>
          </w:p>
        </w:tc>
      </w:tr>
      <w:tr w:rsidR="00307D62" w14:paraId="2030836C" w14:textId="77777777" w:rsidTr="0016435D">
        <w:tc>
          <w:tcPr>
            <w:tcW w:w="6573" w:type="dxa"/>
            <w:shd w:val="clear" w:color="auto" w:fill="94C600" w:themeFill="accent1"/>
          </w:tcPr>
          <w:p w14:paraId="51B13FA8" w14:textId="426EC1F7" w:rsidR="00307D62" w:rsidRDefault="00307D62" w:rsidP="008956DF">
            <w:pPr>
              <w:jc w:val="both"/>
            </w:pPr>
            <w:r>
              <w:t xml:space="preserve">Rente annuelle de </w:t>
            </w:r>
            <w:r w:rsidR="00F623A8">
              <w:t>Marie jusqu’à son décès</w:t>
            </w:r>
          </w:p>
        </w:tc>
        <w:tc>
          <w:tcPr>
            <w:tcW w:w="6573" w:type="dxa"/>
            <w:shd w:val="clear" w:color="auto" w:fill="D2D4C0" w:themeFill="accent4" w:themeFillTint="66"/>
          </w:tcPr>
          <w:p w14:paraId="17E3FB68" w14:textId="659F913F" w:rsidR="00307D62" w:rsidRDefault="00F623A8" w:rsidP="008956DF">
            <w:pPr>
              <w:jc w:val="both"/>
            </w:pPr>
            <w:r>
              <w:t>(800 $ * 12) + 83 $ = 9 683 $</w:t>
            </w:r>
          </w:p>
        </w:tc>
      </w:tr>
    </w:tbl>
    <w:p w14:paraId="78D9CC34" w14:textId="5C35F2F1" w:rsidR="00F10441" w:rsidRPr="007B6926" w:rsidRDefault="007B6926" w:rsidP="008956DF">
      <w:pPr>
        <w:jc w:val="both"/>
      </w:pPr>
      <w:r>
        <w:t xml:space="preserve"> </w:t>
      </w:r>
    </w:p>
    <w:p w14:paraId="4D1BFCBD" w14:textId="1D9282BE" w:rsidR="00F10441" w:rsidRPr="0016435D" w:rsidRDefault="00935670" w:rsidP="008956DF">
      <w:pPr>
        <w:jc w:val="both"/>
      </w:pPr>
      <w:r>
        <w:t>C</w:t>
      </w:r>
      <w:r w:rsidR="0016435D">
        <w:t>ette bonification</w:t>
      </w:r>
      <w:r>
        <w:t xml:space="preserve"> est davantage intéressante si Marie est âgée, par exemple, de 63 ans que si elle est âgée de 75 ans puisque celle-ci sera versée sur une plus longue période (+12 années) pour un même coût (1 733 $).</w:t>
      </w:r>
    </w:p>
    <w:p w14:paraId="45BBB294" w14:textId="77777777" w:rsidR="00F10441" w:rsidRPr="00F10441" w:rsidRDefault="00F10441" w:rsidP="008956DF">
      <w:pPr>
        <w:jc w:val="both"/>
        <w:rPr>
          <w:color w:val="FF6700" w:themeColor="accent3"/>
        </w:rPr>
      </w:pPr>
    </w:p>
    <w:p w14:paraId="6C3888F3" w14:textId="77777777" w:rsidR="008956DF" w:rsidRDefault="008956DF" w:rsidP="00751489">
      <w:pPr>
        <w:ind w:left="709"/>
        <w:jc w:val="both"/>
      </w:pPr>
    </w:p>
    <w:p w14:paraId="3A6D4C45" w14:textId="1DE981A3" w:rsidR="00751489" w:rsidRPr="000F289D" w:rsidRDefault="00751489" w:rsidP="007A697E">
      <w:pPr>
        <w:pStyle w:val="Paragraphedeliste"/>
        <w:numPr>
          <w:ilvl w:val="0"/>
          <w:numId w:val="131"/>
        </w:numPr>
        <w:jc w:val="both"/>
        <w:rPr>
          <w:color w:val="FF6700" w:themeColor="accent3"/>
        </w:rPr>
      </w:pPr>
      <w:r w:rsidRPr="000F289D">
        <w:rPr>
          <w:color w:val="FF6700" w:themeColor="accent3"/>
        </w:rPr>
        <w:lastRenderedPageBreak/>
        <w:t>Les cotisations au RRQ dans le contexte d'une retraite progressive</w:t>
      </w:r>
    </w:p>
    <w:p w14:paraId="18AE7EEE" w14:textId="77777777" w:rsidR="00935670" w:rsidRDefault="00935670" w:rsidP="00935670">
      <w:pPr>
        <w:jc w:val="both"/>
      </w:pPr>
    </w:p>
    <w:p w14:paraId="485C0D60" w14:textId="5856414B" w:rsidR="00935670" w:rsidRDefault="00935670" w:rsidP="00935670">
      <w:pPr>
        <w:jc w:val="both"/>
      </w:pPr>
      <w:r>
        <w:t>Dans certaines situations, il est possible qu’un contribuable, qui n’est pas encore un p</w:t>
      </w:r>
      <w:r w:rsidR="00433D5F">
        <w:t>r</w:t>
      </w:r>
      <w:r>
        <w:t xml:space="preserve">estataire du RRQ, souhaite prendre une retraite de manière progressive. Dans ce cas, les revenus diminueront progressivement, réduisant ainsi les revenus admissibles au RRQ, ce qui ultimement risquerait de réduire les rentes de retraite du RRQ. </w:t>
      </w:r>
      <w:r w:rsidR="00433D5F">
        <w:t>Afin d’</w:t>
      </w:r>
      <w:r w:rsidR="00CD635E">
        <w:t>éviter</w:t>
      </w:r>
      <w:r w:rsidR="00433D5F">
        <w:t xml:space="preserve"> ces effets défavorables</w:t>
      </w:r>
      <w:r w:rsidR="00CD635E">
        <w:t xml:space="preserve">, il est possible pour un individu qui prend une retraite </w:t>
      </w:r>
      <w:r w:rsidR="009E6ACB">
        <w:t>progressive</w:t>
      </w:r>
      <w:r w:rsidR="00CD635E">
        <w:t xml:space="preserve"> d’effectuer des cotisations au RRQ sur la base de son revenu admissible de l’année précédente au moment où il y aura réduction du temps de travail. Et ce tout au long de sa période de retraite progressive. Cette modalité est permise lorsque l’individu:</w:t>
      </w:r>
    </w:p>
    <w:p w14:paraId="43CE6057" w14:textId="77777777" w:rsidR="00CD635E" w:rsidRDefault="00CD635E" w:rsidP="00935670">
      <w:pPr>
        <w:jc w:val="both"/>
      </w:pPr>
    </w:p>
    <w:p w14:paraId="183174DD" w14:textId="02B1C82A" w:rsidR="00CD635E" w:rsidRPr="00CD635E" w:rsidRDefault="00CD635E" w:rsidP="007A697E">
      <w:pPr>
        <w:pStyle w:val="Paragraphedeliste"/>
        <w:numPr>
          <w:ilvl w:val="0"/>
          <w:numId w:val="131"/>
        </w:numPr>
        <w:jc w:val="both"/>
      </w:pPr>
      <w:r>
        <w:t>est</w:t>
      </w:r>
      <w:r w:rsidRPr="00CD635E">
        <w:t xml:space="preserve"> âgé entre 55 et 70 ans;</w:t>
      </w:r>
    </w:p>
    <w:p w14:paraId="7C9F0A8B" w14:textId="0CE2EA63" w:rsidR="00CD635E" w:rsidRPr="00CD635E" w:rsidRDefault="00CD635E" w:rsidP="007A697E">
      <w:pPr>
        <w:pStyle w:val="Paragraphedeliste"/>
        <w:numPr>
          <w:ilvl w:val="0"/>
          <w:numId w:val="131"/>
        </w:numPr>
        <w:jc w:val="both"/>
      </w:pPr>
      <w:r w:rsidRPr="00CD635E">
        <w:t>n</w:t>
      </w:r>
      <w:r>
        <w:t>’</w:t>
      </w:r>
      <w:r w:rsidRPr="00CD635E">
        <w:t>e</w:t>
      </w:r>
      <w:r>
        <w:t>st</w:t>
      </w:r>
      <w:r w:rsidRPr="00CD635E">
        <w:t xml:space="preserve"> pas</w:t>
      </w:r>
      <w:r w:rsidR="003B0BCB">
        <w:t xml:space="preserve"> déjà</w:t>
      </w:r>
      <w:r w:rsidRPr="00CD635E">
        <w:t xml:space="preserve"> bénéficiaire d'une rente de retraite du RRQ;</w:t>
      </w:r>
    </w:p>
    <w:p w14:paraId="5F52C385" w14:textId="0E8EC610" w:rsidR="00CD635E" w:rsidRDefault="00CD635E" w:rsidP="007A697E">
      <w:pPr>
        <w:pStyle w:val="Paragraphedeliste"/>
        <w:numPr>
          <w:ilvl w:val="0"/>
          <w:numId w:val="131"/>
        </w:numPr>
        <w:jc w:val="both"/>
      </w:pPr>
      <w:r>
        <w:t xml:space="preserve">a </w:t>
      </w:r>
      <w:r w:rsidRPr="00CD635E">
        <w:t>conclu une entente</w:t>
      </w:r>
      <w:r>
        <w:t xml:space="preserve">, </w:t>
      </w:r>
      <w:r w:rsidR="009E6ACB">
        <w:t>approuvée</w:t>
      </w:r>
      <w:r>
        <w:t xml:space="preserve"> par la RRQ,</w:t>
      </w:r>
      <w:r w:rsidRPr="00CD635E">
        <w:t xml:space="preserve"> avec son employeur.</w:t>
      </w:r>
    </w:p>
    <w:p w14:paraId="7FBC001E" w14:textId="77777777" w:rsidR="00CD635E" w:rsidRDefault="00CD635E" w:rsidP="00CD635E">
      <w:pPr>
        <w:jc w:val="both"/>
      </w:pPr>
    </w:p>
    <w:p w14:paraId="1827C6AC" w14:textId="58EDED35" w:rsidR="00CD635E" w:rsidRDefault="00CD635E" w:rsidP="00CD635E">
      <w:pPr>
        <w:jc w:val="both"/>
      </w:pPr>
      <w:r>
        <w:t>Avant de se prévaloir</w:t>
      </w:r>
      <w:r w:rsidR="00CE1CA5">
        <w:t xml:space="preserve"> de cette option, il est essentiel de s’assurer que les années de retraite progressive ne seraient pas d’office considérées </w:t>
      </w:r>
      <w:r w:rsidR="009E6ACB">
        <w:t>comme</w:t>
      </w:r>
      <w:r w:rsidR="00CE1CA5">
        <w:t xml:space="preserve"> des années </w:t>
      </w:r>
      <w:r w:rsidR="009E6ACB">
        <w:t>exclues</w:t>
      </w:r>
      <w:r w:rsidR="00CE1CA5">
        <w:t xml:space="preserve"> du calcul de la rente par la règle d’</w:t>
      </w:r>
      <w:r w:rsidR="00E17221">
        <w:t>élimination</w:t>
      </w:r>
      <w:r w:rsidR="00CE1CA5">
        <w:t xml:space="preserve"> du 15 % des mois</w:t>
      </w:r>
      <w:r w:rsidR="00C81ED6">
        <w:t xml:space="preserve"> </w:t>
      </w:r>
      <w:r w:rsidR="00CE1CA5">
        <w:t>cotisable</w:t>
      </w:r>
      <w:r w:rsidR="00C81ED6">
        <w:t>s</w:t>
      </w:r>
      <w:r w:rsidR="00CE1CA5">
        <w:t xml:space="preserve"> où les revenus admissibles étaient les plus faibles.</w:t>
      </w:r>
      <w:r w:rsidR="00E17221">
        <w:t xml:space="preserve"> Dans un</w:t>
      </w:r>
      <w:r w:rsidR="006F7492">
        <w:t>e</w:t>
      </w:r>
      <w:r w:rsidR="00E17221">
        <w:t xml:space="preserve"> telle situation, les cotisations </w:t>
      </w:r>
      <w:r w:rsidR="005E2656">
        <w:t>majorées seraient vaines, sans bonification de la prestation.</w:t>
      </w:r>
    </w:p>
    <w:p w14:paraId="24D12285" w14:textId="77777777" w:rsidR="008123C6" w:rsidRDefault="008123C6" w:rsidP="008123C6">
      <w:pPr>
        <w:ind w:left="709"/>
        <w:jc w:val="both"/>
      </w:pPr>
    </w:p>
    <w:p w14:paraId="36AEF925" w14:textId="77777777" w:rsidR="004906D2" w:rsidRDefault="004906D2" w:rsidP="00406683"/>
    <w:p w14:paraId="077EBCA8" w14:textId="33B26283" w:rsidR="00E80D98" w:rsidRDefault="00E80D98">
      <w:pPr>
        <w:rPr>
          <w:rFonts w:asciiTheme="majorHAnsi" w:eastAsiaTheme="majorEastAsia" w:hAnsiTheme="majorHAnsi" w:cstheme="majorBidi"/>
          <w:color w:val="2E2D21" w:themeColor="text2" w:themeShade="BF"/>
          <w:spacing w:val="5"/>
          <w:kern w:val="28"/>
          <w:sz w:val="52"/>
          <w:szCs w:val="52"/>
        </w:rPr>
      </w:pPr>
      <w:r>
        <w:rPr>
          <w:rFonts w:asciiTheme="majorHAnsi" w:eastAsiaTheme="majorEastAsia" w:hAnsiTheme="majorHAnsi" w:cstheme="majorBidi"/>
          <w:color w:val="2E2D21" w:themeColor="text2" w:themeShade="BF"/>
          <w:spacing w:val="5"/>
          <w:kern w:val="28"/>
          <w:sz w:val="52"/>
          <w:szCs w:val="52"/>
        </w:rPr>
        <w:br w:type="page"/>
      </w:r>
    </w:p>
    <w:p w14:paraId="7F7F3497" w14:textId="77777777" w:rsidR="00E1473D" w:rsidRDefault="00E1473D" w:rsidP="006C34CF">
      <w:pPr>
        <w:pStyle w:val="Titre1"/>
        <w:numPr>
          <w:ilvl w:val="0"/>
          <w:numId w:val="16"/>
        </w:numPr>
      </w:pPr>
      <w:bookmarkStart w:id="36" w:name="_Toc314397825"/>
      <w:bookmarkStart w:id="37" w:name="_Toc443569369"/>
      <w:r>
        <w:lastRenderedPageBreak/>
        <w:t>Les régimes reliés à l’emploi</w:t>
      </w:r>
      <w:bookmarkEnd w:id="36"/>
      <w:bookmarkEnd w:id="37"/>
    </w:p>
    <w:p w14:paraId="47ECB6B7" w14:textId="77777777" w:rsidR="00FE5457" w:rsidRDefault="00FE5457" w:rsidP="00FE5457"/>
    <w:p w14:paraId="5A79C22E" w14:textId="1BD34FC4" w:rsidR="00BA1E3B" w:rsidRDefault="00FE5457" w:rsidP="007C0813">
      <w:pPr>
        <w:jc w:val="both"/>
      </w:pPr>
      <w:r>
        <w:t xml:space="preserve">Les conditions reliées à un emploi font référence à plusieurs caractéristiques qui définissent la relation entre l’employé et l’employeur. Elles peuvent être d’ordre </w:t>
      </w:r>
      <w:r w:rsidR="00982AC8">
        <w:t>financier</w:t>
      </w:r>
      <w:r w:rsidR="007C0813">
        <w:t xml:space="preserve">, </w:t>
      </w:r>
      <w:r w:rsidR="00982AC8">
        <w:t>organisationnel</w:t>
      </w:r>
      <w:r w:rsidR="007C0813">
        <w:t xml:space="preserve"> et </w:t>
      </w:r>
      <w:r w:rsidR="00982AC8">
        <w:t>humain</w:t>
      </w:r>
      <w:r w:rsidR="007C0813">
        <w:t>. Cet en</w:t>
      </w:r>
      <w:r w:rsidR="00321703">
        <w:t>semble</w:t>
      </w:r>
      <w:r w:rsidR="007C0813">
        <w:t xml:space="preserve"> contribue à définir le niveau de bonheur et de satisfaction que l’employé ressent à son travail.</w:t>
      </w:r>
      <w:r w:rsidR="00321703">
        <w:t xml:space="preserve"> Pour la plupart des </w:t>
      </w:r>
      <w:r w:rsidR="00982AC8">
        <w:t>gens,</w:t>
      </w:r>
      <w:r w:rsidR="00321703">
        <w:t xml:space="preserve"> cette satisfaction à l’égard du travail constitue l’un des éléments </w:t>
      </w:r>
      <w:r w:rsidR="00982AC8">
        <w:t>importants</w:t>
      </w:r>
      <w:r w:rsidR="00321703">
        <w:t xml:space="preserve"> d</w:t>
      </w:r>
      <w:r w:rsidR="00BA1E3B">
        <w:t>e</w:t>
      </w:r>
      <w:r w:rsidR="00321703">
        <w:t xml:space="preserve"> l</w:t>
      </w:r>
      <w:r w:rsidR="00BA1E3B">
        <w:t xml:space="preserve">eur </w:t>
      </w:r>
      <w:r w:rsidR="00321703">
        <w:t>épanou</w:t>
      </w:r>
      <w:r w:rsidR="009214C9">
        <w:t>i</w:t>
      </w:r>
      <w:r w:rsidR="00321703">
        <w:t xml:space="preserve">ssement </w:t>
      </w:r>
      <w:r w:rsidR="00BA1E3B">
        <w:t>personnel. Il s’agit d’un sujet sérieux!</w:t>
      </w:r>
    </w:p>
    <w:p w14:paraId="0BA00789" w14:textId="77777777" w:rsidR="00BA1E3B" w:rsidRDefault="00BA1E3B" w:rsidP="007C0813">
      <w:pPr>
        <w:jc w:val="both"/>
      </w:pPr>
    </w:p>
    <w:p w14:paraId="34B4D711" w14:textId="77777777" w:rsidR="00765E93" w:rsidRDefault="00BA1E3B" w:rsidP="007C0813">
      <w:pPr>
        <w:jc w:val="both"/>
      </w:pPr>
      <w:r>
        <w:t>Dans son sens large, les considérations financières regroupent toute forme d’enrichissement concédée par l’employeur en contrepartie de la prestation de</w:t>
      </w:r>
      <w:r w:rsidR="00765E93">
        <w:t>s</w:t>
      </w:r>
      <w:r>
        <w:t xml:space="preserve"> services fournis par l’employé</w:t>
      </w:r>
      <w:r w:rsidR="00765E93">
        <w:t>. Les considérations financières peuvent être nombreuses, par exemple :</w:t>
      </w:r>
    </w:p>
    <w:p w14:paraId="04E04429" w14:textId="77777777" w:rsidR="00406683" w:rsidRDefault="00406683" w:rsidP="00406683">
      <w:pPr>
        <w:jc w:val="both"/>
      </w:pPr>
    </w:p>
    <w:p w14:paraId="0064905F" w14:textId="1A65754C" w:rsidR="00406683" w:rsidRDefault="00406683" w:rsidP="006C34CF">
      <w:pPr>
        <w:pStyle w:val="Paragraphedeliste"/>
        <w:numPr>
          <w:ilvl w:val="0"/>
          <w:numId w:val="14"/>
        </w:numPr>
        <w:jc w:val="both"/>
      </w:pPr>
      <w:r>
        <w:t>Le salaire</w:t>
      </w:r>
    </w:p>
    <w:p w14:paraId="5C6EE020" w14:textId="68C4C87E" w:rsidR="00406683" w:rsidRDefault="00406683" w:rsidP="006C34CF">
      <w:pPr>
        <w:pStyle w:val="Paragraphedeliste"/>
        <w:numPr>
          <w:ilvl w:val="0"/>
          <w:numId w:val="14"/>
        </w:numPr>
        <w:jc w:val="both"/>
      </w:pPr>
      <w:r>
        <w:t>Prime au rendement ou commission</w:t>
      </w:r>
    </w:p>
    <w:p w14:paraId="01D7DF69" w14:textId="4607E618" w:rsidR="00406683" w:rsidRDefault="00406683" w:rsidP="006C34CF">
      <w:pPr>
        <w:pStyle w:val="Paragraphedeliste"/>
        <w:numPr>
          <w:ilvl w:val="0"/>
          <w:numId w:val="14"/>
        </w:numPr>
        <w:jc w:val="both"/>
      </w:pPr>
      <w:r>
        <w:t>Boni</w:t>
      </w:r>
      <w:r w:rsidR="000C6A5F">
        <w:t xml:space="preserve"> de fin d’année</w:t>
      </w:r>
    </w:p>
    <w:p w14:paraId="59E4073D" w14:textId="7C6BE9CC" w:rsidR="00BD0D49" w:rsidRDefault="00BD0D49" w:rsidP="006C34CF">
      <w:pPr>
        <w:pStyle w:val="Paragraphedeliste"/>
        <w:numPr>
          <w:ilvl w:val="0"/>
          <w:numId w:val="14"/>
        </w:numPr>
        <w:jc w:val="both"/>
      </w:pPr>
      <w:r>
        <w:t>Options d’achat d’actions</w:t>
      </w:r>
    </w:p>
    <w:p w14:paraId="604C75BE" w14:textId="2D301843" w:rsidR="00406683" w:rsidRDefault="00406683" w:rsidP="006C34CF">
      <w:pPr>
        <w:pStyle w:val="Paragraphedeliste"/>
        <w:numPr>
          <w:ilvl w:val="0"/>
          <w:numId w:val="14"/>
        </w:numPr>
        <w:jc w:val="both"/>
      </w:pPr>
      <w:r>
        <w:t>Dépenses remboursées par l’employeur</w:t>
      </w:r>
    </w:p>
    <w:p w14:paraId="48D1A191" w14:textId="0F7F95D8" w:rsidR="00406683" w:rsidRDefault="00406683" w:rsidP="006C34CF">
      <w:pPr>
        <w:pStyle w:val="Paragraphedeliste"/>
        <w:numPr>
          <w:ilvl w:val="0"/>
          <w:numId w:val="14"/>
        </w:numPr>
        <w:jc w:val="both"/>
      </w:pPr>
      <w:r>
        <w:t>Voit</w:t>
      </w:r>
      <w:r w:rsidR="000C6A5F">
        <w:t>ure mise à la disposition par l’employeur</w:t>
      </w:r>
    </w:p>
    <w:p w14:paraId="2CA432F2" w14:textId="4CE695AA" w:rsidR="000C6A5F" w:rsidRDefault="000C6A5F" w:rsidP="006C34CF">
      <w:pPr>
        <w:pStyle w:val="Paragraphedeliste"/>
        <w:numPr>
          <w:ilvl w:val="0"/>
          <w:numId w:val="14"/>
        </w:numPr>
        <w:jc w:val="both"/>
      </w:pPr>
      <w:r>
        <w:t>Vacances rémunérées</w:t>
      </w:r>
    </w:p>
    <w:p w14:paraId="301C1A42" w14:textId="412830CA" w:rsidR="000C6A5F" w:rsidRDefault="000C6A5F" w:rsidP="006C34CF">
      <w:pPr>
        <w:pStyle w:val="Paragraphedeliste"/>
        <w:numPr>
          <w:ilvl w:val="0"/>
          <w:numId w:val="14"/>
        </w:numPr>
        <w:jc w:val="both"/>
      </w:pPr>
      <w:r>
        <w:t>Année sabbatique rémunérée</w:t>
      </w:r>
    </w:p>
    <w:p w14:paraId="38130654" w14:textId="0EE764F1" w:rsidR="000C6A5F" w:rsidRDefault="000C6A5F" w:rsidP="006C34CF">
      <w:pPr>
        <w:pStyle w:val="Paragraphedeliste"/>
        <w:numPr>
          <w:ilvl w:val="0"/>
          <w:numId w:val="14"/>
        </w:numPr>
        <w:jc w:val="both"/>
      </w:pPr>
      <w:r>
        <w:t>Nombre d’heures travaillées par semaine</w:t>
      </w:r>
    </w:p>
    <w:p w14:paraId="01F42977" w14:textId="1881FB56" w:rsidR="000C6A5F" w:rsidRDefault="000C6A5F" w:rsidP="006C34CF">
      <w:pPr>
        <w:pStyle w:val="Paragraphedeliste"/>
        <w:numPr>
          <w:ilvl w:val="0"/>
          <w:numId w:val="14"/>
        </w:numPr>
        <w:jc w:val="both"/>
      </w:pPr>
      <w:r>
        <w:t>Heures supplémentaires rémunérées</w:t>
      </w:r>
    </w:p>
    <w:p w14:paraId="59BF3C87" w14:textId="18C35E69" w:rsidR="000C6A5F" w:rsidRDefault="000C6A5F" w:rsidP="006C34CF">
      <w:pPr>
        <w:pStyle w:val="Paragraphedeliste"/>
        <w:numPr>
          <w:ilvl w:val="0"/>
          <w:numId w:val="14"/>
        </w:numPr>
        <w:jc w:val="both"/>
      </w:pPr>
      <w:r>
        <w:t>Couverture d’assurances assumées par l’employeur (santé, invalidité, maladie grave, vie)</w:t>
      </w:r>
    </w:p>
    <w:p w14:paraId="05048087" w14:textId="2B5B435E" w:rsidR="000C6A5F" w:rsidRDefault="000C6A5F" w:rsidP="006C34CF">
      <w:pPr>
        <w:pStyle w:val="Paragraphedeliste"/>
        <w:numPr>
          <w:ilvl w:val="0"/>
          <w:numId w:val="14"/>
        </w:numPr>
        <w:jc w:val="both"/>
      </w:pPr>
      <w:r>
        <w:t xml:space="preserve">Prime de </w:t>
      </w:r>
      <w:r w:rsidR="009214C9">
        <w:t>départ</w:t>
      </w:r>
    </w:p>
    <w:p w14:paraId="55A5DCDF" w14:textId="1FBE81F0" w:rsidR="000C6A5F" w:rsidRDefault="009155D5" w:rsidP="006C34CF">
      <w:pPr>
        <w:pStyle w:val="Paragraphedeliste"/>
        <w:numPr>
          <w:ilvl w:val="0"/>
          <w:numId w:val="14"/>
        </w:numPr>
        <w:jc w:val="both"/>
      </w:pPr>
      <w:r>
        <w:rPr>
          <w:color w:val="FF6700" w:themeColor="accent3"/>
        </w:rPr>
        <w:t>RÉGIME DE PENSION</w:t>
      </w:r>
    </w:p>
    <w:p w14:paraId="031A4F51" w14:textId="77777777" w:rsidR="00765E93" w:rsidRDefault="00765E93" w:rsidP="007C0813">
      <w:pPr>
        <w:jc w:val="both"/>
      </w:pPr>
    </w:p>
    <w:p w14:paraId="5D7A0CD0" w14:textId="449FD3F2" w:rsidR="00E80D98" w:rsidRDefault="001D5B25" w:rsidP="00844D83">
      <w:pPr>
        <w:jc w:val="both"/>
      </w:pPr>
      <w:r>
        <w:t>En fait, dès que l’employeur</w:t>
      </w:r>
      <w:r w:rsidR="00875306">
        <w:t xml:space="preserve"> surpasse à ses engagements financiers obligatoires et régis par les lois (salaire minimum, deux semaines de vacances annuelles, cotisations au</w:t>
      </w:r>
      <w:r w:rsidR="00A34F69">
        <w:t>x</w:t>
      </w:r>
      <w:r w:rsidR="00875306">
        <w:t xml:space="preserve"> RRQ, AE, FSS, CSST et CNT), </w:t>
      </w:r>
      <w:r w:rsidR="00982AC8">
        <w:t xml:space="preserve">celui-ci </w:t>
      </w:r>
      <w:r w:rsidR="00844D83">
        <w:t xml:space="preserve">vise à réunir des conditions financières d’emploi qui seront concurrentielles et invitantes. Cette approche lui </w:t>
      </w:r>
      <w:r w:rsidR="00982AC8">
        <w:t>permettra</w:t>
      </w:r>
      <w:r w:rsidR="00844D83">
        <w:t xml:space="preserve"> d’embaucher et de s’assurer de la rétention d’employés performants. </w:t>
      </w:r>
    </w:p>
    <w:p w14:paraId="11D4AE51" w14:textId="77777777" w:rsidR="00A34F69" w:rsidRDefault="00A34F69" w:rsidP="00844D83">
      <w:pPr>
        <w:jc w:val="both"/>
      </w:pPr>
    </w:p>
    <w:p w14:paraId="26C21821" w14:textId="77C140BC" w:rsidR="00A34F69" w:rsidRDefault="000E6CF0" w:rsidP="006C34CF">
      <w:pPr>
        <w:pStyle w:val="Titre2"/>
        <w:numPr>
          <w:ilvl w:val="1"/>
          <w:numId w:val="17"/>
        </w:numPr>
        <w:tabs>
          <w:tab w:val="left" w:pos="567"/>
          <w:tab w:val="left" w:pos="1134"/>
        </w:tabs>
        <w:ind w:left="426"/>
        <w:rPr>
          <w:szCs w:val="28"/>
        </w:rPr>
      </w:pPr>
      <w:bookmarkStart w:id="38" w:name="_Toc314397826"/>
      <w:bookmarkStart w:id="39" w:name="_Toc443569370"/>
      <w:r>
        <w:rPr>
          <w:szCs w:val="28"/>
        </w:rPr>
        <w:lastRenderedPageBreak/>
        <w:t>La rémunération globale</w:t>
      </w:r>
      <w:bookmarkEnd w:id="38"/>
      <w:bookmarkEnd w:id="39"/>
    </w:p>
    <w:p w14:paraId="7B153872" w14:textId="77777777" w:rsidR="00A34F69" w:rsidRDefault="00A34F69" w:rsidP="000E6CF0"/>
    <w:p w14:paraId="4BDD6C59" w14:textId="0F0C1194" w:rsidR="000E6CF0" w:rsidRDefault="000E6CF0" w:rsidP="006C0CCF">
      <w:pPr>
        <w:jc w:val="both"/>
      </w:pPr>
      <w:r>
        <w:t xml:space="preserve">La rémunération globale fait référence à l’expression usuelle de </w:t>
      </w:r>
      <w:r w:rsidRPr="00984603">
        <w:rPr>
          <w:color w:val="FF6700" w:themeColor="accent3"/>
        </w:rPr>
        <w:t>«</w:t>
      </w:r>
      <w:r w:rsidR="00984603">
        <w:rPr>
          <w:color w:val="FF6700" w:themeColor="accent3"/>
        </w:rPr>
        <w:t xml:space="preserve"> </w:t>
      </w:r>
      <w:r w:rsidRPr="00984603">
        <w:rPr>
          <w:color w:val="FF6700" w:themeColor="accent3"/>
        </w:rPr>
        <w:t>P</w:t>
      </w:r>
      <w:r w:rsidR="00984603">
        <w:rPr>
          <w:color w:val="FF6700" w:themeColor="accent3"/>
        </w:rPr>
        <w:t xml:space="preserve">ACKAGE </w:t>
      </w:r>
      <w:r w:rsidRPr="00984603">
        <w:rPr>
          <w:color w:val="FF6700" w:themeColor="accent3"/>
        </w:rPr>
        <w:t xml:space="preserve">» </w:t>
      </w:r>
      <w:r w:rsidR="00984603">
        <w:rPr>
          <w:color w:val="FF6700" w:themeColor="accent3"/>
        </w:rPr>
        <w:t>DE RÉMUNÉRATION</w:t>
      </w:r>
      <w:r>
        <w:t xml:space="preserve">, </w:t>
      </w:r>
      <w:r w:rsidR="009214C9">
        <w:t>c’est-à-dire</w:t>
      </w:r>
      <w:r>
        <w:t xml:space="preserve"> qu’elle vise à évaluer l’avantage </w:t>
      </w:r>
      <w:r w:rsidR="009214C9">
        <w:t>pécuniaire</w:t>
      </w:r>
      <w:r>
        <w:t xml:space="preserve"> </w:t>
      </w:r>
      <w:r w:rsidR="006C0CCF">
        <w:t>de l’ensemble de la rémunération qui est consenti à un employé. Cette analyse est à la fois complexe (si les formes de rémunérations sont multiples) et essentielle à maîtriser lorsqu’un futur employé est en période de recrutement et qu’il cherche à comparer plusieurs offres.</w:t>
      </w:r>
    </w:p>
    <w:p w14:paraId="320EC1C5" w14:textId="77777777" w:rsidR="006C0CCF" w:rsidRDefault="006C0CCF" w:rsidP="006C0CCF">
      <w:pPr>
        <w:jc w:val="both"/>
      </w:pPr>
    </w:p>
    <w:p w14:paraId="716BD8F4" w14:textId="6F33DC39" w:rsidR="006C0CCF" w:rsidRPr="009B666B" w:rsidRDefault="006C0CCF" w:rsidP="006C0CCF">
      <w:pPr>
        <w:jc w:val="both"/>
      </w:pPr>
      <w:r>
        <w:t xml:space="preserve">La comparaison </w:t>
      </w:r>
      <w:r w:rsidR="00457E6C">
        <w:t xml:space="preserve">financière entre différentes offres d’emploi </w:t>
      </w:r>
      <w:r>
        <w:t>est ardue</w:t>
      </w:r>
      <w:r w:rsidR="00457E6C">
        <w:t xml:space="preserve"> puisqu</w:t>
      </w:r>
      <w:r w:rsidR="009B666B">
        <w:t>e ce</w:t>
      </w:r>
      <w:r w:rsidR="00457E6C">
        <w:t>lles</w:t>
      </w:r>
      <w:r w:rsidR="009B666B">
        <w:t>-ci</w:t>
      </w:r>
      <w:r w:rsidR="00457E6C">
        <w:t xml:space="preserve"> peuvent comporter un très grand nombre de variables pertinentes à l’analyse. Peut-être qu’un emploi vous permettra de vous départir de la deuxième voiture de votre couple puisque vous évoluerez en milieu urbain. Par contre, le coût pour se loger sera plus élevé, cette hausse étant compensée, en partie, par un salaire de base plus élevé. Un autre employeur vous offrira un emploi</w:t>
      </w:r>
      <w:r w:rsidR="009B666B">
        <w:t xml:space="preserve"> avec un salaire annuel encore plus élevé, mais sans contribution à un régime de retraite, alors que vous avez présentement une offre d’emploi à salaire moindre, mais pourvu d’un généreux régime de pension à prestations déterminées.</w:t>
      </w:r>
      <w:r w:rsidR="006833D3">
        <w:t xml:space="preserve"> </w:t>
      </w:r>
      <w:r w:rsidR="009B666B">
        <w:t>Comment choisir </w:t>
      </w:r>
      <w:r w:rsidR="009B666B" w:rsidRPr="009B666B">
        <w:rPr>
          <w:rFonts w:ascii="Avenir Book" w:hAnsi="Avenir Book"/>
        </w:rPr>
        <w:t>?</w:t>
      </w:r>
      <w:r w:rsidR="006833D3">
        <w:rPr>
          <w:rFonts w:ascii="Avenir Book" w:hAnsi="Avenir Book"/>
        </w:rPr>
        <w:t xml:space="preserve"> </w:t>
      </w:r>
      <w:r w:rsidR="009B666B" w:rsidRPr="009B666B">
        <w:t>Certains éléments</w:t>
      </w:r>
      <w:r w:rsidR="009B666B">
        <w:t xml:space="preserve"> sont des engagements financiers à court terme et garantis (salaire de base), d’autres se matérialiseront dans le lointain futur</w:t>
      </w:r>
      <w:r w:rsidR="00BD0D49">
        <w:t xml:space="preserve"> (rentes provenant du régime de retraite) et certains comportent des risques, mais des traitements fiscaux avantageux (options d’achat d’actions).</w:t>
      </w:r>
    </w:p>
    <w:p w14:paraId="516F0E3D" w14:textId="77777777" w:rsidR="006C0CCF" w:rsidRDefault="006C0CCF" w:rsidP="006C0CCF">
      <w:pPr>
        <w:jc w:val="both"/>
      </w:pPr>
    </w:p>
    <w:p w14:paraId="14829E78" w14:textId="31415A84" w:rsidR="006C0CCF" w:rsidRDefault="006C0CCF" w:rsidP="006C0CCF">
      <w:pPr>
        <w:jc w:val="both"/>
      </w:pPr>
      <w:r>
        <w:t xml:space="preserve">Néanmoins, </w:t>
      </w:r>
      <w:r w:rsidR="00090F94">
        <w:t xml:space="preserve">la certitude est que le </w:t>
      </w:r>
      <w:r>
        <w:t>tout est financier</w:t>
      </w:r>
      <w:r w:rsidR="00090F94">
        <w:t xml:space="preserve"> et </w:t>
      </w:r>
      <w:r w:rsidR="006833D3">
        <w:t xml:space="preserve">qu'il doit </w:t>
      </w:r>
      <w:r w:rsidR="00090F94">
        <w:t xml:space="preserve">faire l’objet de calcul. Dans un contexte de </w:t>
      </w:r>
      <w:r w:rsidR="009214C9">
        <w:t>concurrence</w:t>
      </w:r>
      <w:r w:rsidR="00090F94">
        <w:t xml:space="preserve"> et d</w:t>
      </w:r>
      <w:r w:rsidR="006833D3">
        <w:t>'</w:t>
      </w:r>
      <w:r w:rsidR="00090F94">
        <w:t>e</w:t>
      </w:r>
      <w:r w:rsidR="006833D3">
        <w:t>fficience</w:t>
      </w:r>
      <w:r w:rsidR="00090F94">
        <w:t xml:space="preserve"> des </w:t>
      </w:r>
      <w:r w:rsidR="009214C9">
        <w:t>marchés,</w:t>
      </w:r>
      <w:r w:rsidR="00090F94">
        <w:t xml:space="preserve"> l’employeur est prêt à débourser un certain montant en contrepartie de l’apport d’un employé et ce montant devrait avoir la même valeur </w:t>
      </w:r>
      <w:r w:rsidR="009214C9">
        <w:t>économique,</w:t>
      </w:r>
      <w:r w:rsidR="00090F94">
        <w:t xml:space="preserve"> peu importe</w:t>
      </w:r>
      <w:r w:rsidR="006833D3">
        <w:t xml:space="preserve"> </w:t>
      </w:r>
      <w:r w:rsidR="00090F94">
        <w:t xml:space="preserve">la </w:t>
      </w:r>
      <w:r w:rsidR="00984603">
        <w:t xml:space="preserve">forme de la </w:t>
      </w:r>
      <w:r w:rsidR="00090F94">
        <w:t>rémunération</w:t>
      </w:r>
      <w:r w:rsidR="00984603">
        <w:t>. Qu’elle</w:t>
      </w:r>
      <w:r w:rsidR="00090F94">
        <w:t xml:space="preserve"> se décline dans sa plus simple expression</w:t>
      </w:r>
      <w:r w:rsidR="00984603">
        <w:t xml:space="preserve"> (</w:t>
      </w:r>
      <w:r w:rsidR="00090F94">
        <w:t>limité</w:t>
      </w:r>
      <w:r w:rsidR="00DD6780">
        <w:t>e</w:t>
      </w:r>
      <w:r w:rsidR="00090F94">
        <w:t xml:space="preserve"> à un salaire de base</w:t>
      </w:r>
      <w:r w:rsidR="00984603">
        <w:t>)</w:t>
      </w:r>
      <w:r w:rsidR="00090F94">
        <w:t xml:space="preserve"> ou qu’elle </w:t>
      </w:r>
      <w:r w:rsidR="006833D3">
        <w:t xml:space="preserve">prenne une allure </w:t>
      </w:r>
      <w:r w:rsidR="00090F94">
        <w:t>sophistiquée</w:t>
      </w:r>
      <w:r w:rsidR="006833D3">
        <w:t>, composée</w:t>
      </w:r>
      <w:r w:rsidR="00090F94">
        <w:t xml:space="preserve"> de plusieurs éléments (salaire de base, options d’achat d’actions, assurances collectives, voiture fournie, régime de retraite, prime de </w:t>
      </w:r>
      <w:r w:rsidR="009214C9">
        <w:t>départ</w:t>
      </w:r>
      <w:r w:rsidR="00090F94">
        <w:t>).</w:t>
      </w:r>
      <w:r w:rsidR="00DD6780">
        <w:t xml:space="preserve"> En fait, l’a</w:t>
      </w:r>
      <w:r w:rsidR="001247BF">
        <w:t xml:space="preserve">déquation </w:t>
      </w:r>
      <w:r w:rsidR="00DD6780">
        <w:t>et la comparaison de différentes propositions de rémunération doi</w:t>
      </w:r>
      <w:r w:rsidR="00925EC0">
        <w:t>ven</w:t>
      </w:r>
      <w:r w:rsidR="00DD6780">
        <w:t xml:space="preserve">t s’effectuer en intégrant </w:t>
      </w:r>
      <w:r w:rsidR="001247BF">
        <w:t xml:space="preserve">toutes </w:t>
      </w:r>
      <w:r w:rsidR="00DD6780">
        <w:t>nos compétences en matière de finance, de gestion du risque, de coûts pertinents et de fiscalité.</w:t>
      </w:r>
    </w:p>
    <w:p w14:paraId="3A4937FF" w14:textId="77777777" w:rsidR="0023370F" w:rsidRDefault="0023370F" w:rsidP="006C0CCF">
      <w:pPr>
        <w:jc w:val="both"/>
      </w:pPr>
    </w:p>
    <w:p w14:paraId="3BF2B577" w14:textId="77777777" w:rsidR="008112D5" w:rsidRDefault="008112D5" w:rsidP="006C0CCF">
      <w:pPr>
        <w:jc w:val="both"/>
      </w:pPr>
    </w:p>
    <w:p w14:paraId="69286D38" w14:textId="77777777" w:rsidR="008112D5" w:rsidRDefault="008112D5" w:rsidP="006C0CCF">
      <w:pPr>
        <w:jc w:val="both"/>
      </w:pPr>
    </w:p>
    <w:p w14:paraId="4EF2F920" w14:textId="77777777" w:rsidR="008112D5" w:rsidRDefault="008112D5" w:rsidP="006C0CCF">
      <w:pPr>
        <w:jc w:val="both"/>
      </w:pPr>
    </w:p>
    <w:p w14:paraId="5A4C1D29" w14:textId="77777777" w:rsidR="008112D5" w:rsidRDefault="008112D5" w:rsidP="006C0CCF">
      <w:pPr>
        <w:jc w:val="both"/>
      </w:pPr>
    </w:p>
    <w:p w14:paraId="7C041C9A" w14:textId="1DE0A56B" w:rsidR="0083316A" w:rsidRPr="000F289D" w:rsidRDefault="0083316A" w:rsidP="007A697E">
      <w:pPr>
        <w:pStyle w:val="Paragraphedeliste"/>
        <w:numPr>
          <w:ilvl w:val="0"/>
          <w:numId w:val="131"/>
        </w:numPr>
        <w:jc w:val="both"/>
        <w:rPr>
          <w:color w:val="FF6700" w:themeColor="accent3"/>
        </w:rPr>
      </w:pPr>
      <w:r w:rsidRPr="000F289D">
        <w:rPr>
          <w:color w:val="FF6700" w:themeColor="accent3"/>
        </w:rPr>
        <w:lastRenderedPageBreak/>
        <w:t>EXEMPLE 7-7</w:t>
      </w:r>
    </w:p>
    <w:p w14:paraId="6926FF39" w14:textId="7B43A9E5" w:rsidR="008112D5" w:rsidRDefault="008112D5">
      <w:r>
        <w:rPr>
          <w:noProof/>
          <w:lang w:eastAsia="fr-FR"/>
        </w:rPr>
        <w:drawing>
          <wp:anchor distT="0" distB="0" distL="114300" distR="114300" simplePos="0" relativeHeight="252030976" behindDoc="0" locked="0" layoutInCell="1" allowOverlap="1" wp14:anchorId="6DD99F03" wp14:editId="0C733E13">
            <wp:simplePos x="0" y="0"/>
            <wp:positionH relativeFrom="column">
              <wp:posOffset>-529420</wp:posOffset>
            </wp:positionH>
            <wp:positionV relativeFrom="paragraph">
              <wp:posOffset>89254</wp:posOffset>
            </wp:positionV>
            <wp:extent cx="383540" cy="723265"/>
            <wp:effectExtent l="177800" t="50800" r="99060" b="64135"/>
            <wp:wrapNone/>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11">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63D6FE9" w14:textId="77777777" w:rsidR="0002754F" w:rsidRDefault="008112D5" w:rsidP="00F33347">
      <w:pPr>
        <w:jc w:val="both"/>
      </w:pPr>
      <w:r>
        <w:rPr>
          <w:color w:val="008000"/>
        </w:rPr>
        <w:t xml:space="preserve">Marie Richer </w:t>
      </w:r>
      <w:r>
        <w:t xml:space="preserve">souhaite donner un </w:t>
      </w:r>
      <w:r w:rsidR="00F33347">
        <w:t xml:space="preserve">nouvel </w:t>
      </w:r>
      <w:r>
        <w:t xml:space="preserve">élan à sa </w:t>
      </w:r>
      <w:r w:rsidR="00F33347">
        <w:t>carrière</w:t>
      </w:r>
      <w:r>
        <w:t xml:space="preserve"> </w:t>
      </w:r>
      <w:r w:rsidR="00F33347">
        <w:t>en s’y investissant pleinement pour les 10 prochaines années. Son objectif est de prioriser l’enrichissement financier afin de prendre sa retraite au terme de cette dernière période intensive de vie professionnelle. Elle vient tout juste d’obtenir deux offres d’emploi, l’une à Trois-Rivières, et l’autre, à Montréal. Elle se propose d’en faire l’analyse.</w:t>
      </w:r>
    </w:p>
    <w:p w14:paraId="41C9E3DC" w14:textId="6D1E8D88" w:rsidR="0002754F" w:rsidRDefault="0002754F" w:rsidP="00F33347">
      <w:pPr>
        <w:jc w:val="both"/>
      </w:pPr>
    </w:p>
    <w:p w14:paraId="52A57F9B" w14:textId="48289630" w:rsidR="00FE1D37" w:rsidRDefault="00C304DE" w:rsidP="00F33347">
      <w:pPr>
        <w:jc w:val="both"/>
      </w:pPr>
      <w:r>
        <w:rPr>
          <w:noProof/>
          <w:lang w:eastAsia="fr-FR"/>
        </w:rPr>
        <mc:AlternateContent>
          <mc:Choice Requires="wps">
            <w:drawing>
              <wp:anchor distT="0" distB="0" distL="114300" distR="114300" simplePos="0" relativeHeight="252035072" behindDoc="0" locked="0" layoutInCell="1" allowOverlap="1" wp14:anchorId="414622E8" wp14:editId="58168BF9">
                <wp:simplePos x="0" y="0"/>
                <wp:positionH relativeFrom="column">
                  <wp:posOffset>6858000</wp:posOffset>
                </wp:positionH>
                <wp:positionV relativeFrom="paragraph">
                  <wp:posOffset>177800</wp:posOffset>
                </wp:positionV>
                <wp:extent cx="457200" cy="457200"/>
                <wp:effectExtent l="0" t="0" r="25400" b="25400"/>
                <wp:wrapNone/>
                <wp:docPr id="155" name="Ellipse 155"/>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04A3CAB2" w14:textId="18C5624A" w:rsidR="00573C95" w:rsidRPr="00F42166" w:rsidRDefault="00573C95" w:rsidP="00124F95">
                            <w:pPr>
                              <w:jc w:val="center"/>
                              <w:rPr>
                                <w:sz w:val="20"/>
                                <w:szCs w:val="20"/>
                              </w:rPr>
                            </w:pPr>
                            <w:r>
                              <w:rPr>
                                <w:sz w:val="20"/>
                                <w:szCs w:val="20"/>
                              </w:rPr>
                              <w:t>2</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55" o:spid="_x0000_s1086" style="position:absolute;left:0;text-align:left;margin-left:540pt;margin-top:14pt;width:36pt;height:36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" fillcolor="black [3200]" strokecolor="white [3201]" strokeweight="1.75pt">
                <v:textbox>
                  <w:txbxContent>
                    <w:p w14:paraId="04A3CAB2" w14:textId="18C5624A" w:rsidR="001501D6" w:rsidRPr="00F42166" w:rsidRDefault="001501D6" w:rsidP="00124F95">
                      <w:pPr>
                        <w:jc w:val="center"/>
                        <w:rPr>
                          <w:sz w:val="20"/>
                          <w:szCs w:val="20"/>
                        </w:rPr>
                      </w:pPr>
                      <w:r>
                        <w:rPr>
                          <w:sz w:val="20"/>
                          <w:szCs w:val="20"/>
                        </w:rPr>
                        <w:t>2</w:t>
                      </w:r>
                      <w:r w:rsidRPr="00F42166">
                        <w:rPr>
                          <w:sz w:val="20"/>
                          <w:szCs w:val="20"/>
                        </w:rPr>
                        <w:t xml:space="preserve"> </w:t>
                      </w:r>
                    </w:p>
                  </w:txbxContent>
                </v:textbox>
              </v:oval>
            </w:pict>
          </mc:Fallback>
        </mc:AlternateContent>
      </w:r>
      <w:r>
        <w:rPr>
          <w:noProof/>
          <w:lang w:eastAsia="fr-FR"/>
        </w:rPr>
        <mc:AlternateContent>
          <mc:Choice Requires="wps">
            <w:drawing>
              <wp:anchor distT="0" distB="0" distL="114300" distR="114300" simplePos="0" relativeHeight="252033024" behindDoc="0" locked="0" layoutInCell="1" allowOverlap="1" wp14:anchorId="1A301CC4" wp14:editId="48A72A78">
                <wp:simplePos x="0" y="0"/>
                <wp:positionH relativeFrom="column">
                  <wp:posOffset>2971800</wp:posOffset>
                </wp:positionH>
                <wp:positionV relativeFrom="paragraph">
                  <wp:posOffset>177800</wp:posOffset>
                </wp:positionV>
                <wp:extent cx="457200" cy="457200"/>
                <wp:effectExtent l="0" t="0" r="25400" b="25400"/>
                <wp:wrapNone/>
                <wp:docPr id="154" name="Ellipse 154"/>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87AE274" w14:textId="6BF5AB34" w:rsidR="00573C95" w:rsidRPr="00F42166" w:rsidRDefault="00573C95" w:rsidP="00124F95">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54" o:spid="_x0000_s1087" style="position:absolute;left:0;text-align:left;margin-left:234pt;margin-top:14pt;width:36pt;height:36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" fillcolor="black [3200]" strokecolor="white [3201]" strokeweight="1.75pt">
                <v:textbox>
                  <w:txbxContent>
                    <w:p w14:paraId="687AE274" w14:textId="6BF5AB34" w:rsidR="001501D6" w:rsidRPr="00F42166" w:rsidRDefault="001501D6" w:rsidP="00124F95">
                      <w:pPr>
                        <w:jc w:val="center"/>
                        <w:rPr>
                          <w:sz w:val="20"/>
                          <w:szCs w:val="20"/>
                        </w:rPr>
                      </w:pPr>
                      <w:r>
                        <w:rPr>
                          <w:sz w:val="20"/>
                          <w:szCs w:val="20"/>
                        </w:rPr>
                        <w:t>1</w:t>
                      </w:r>
                      <w:r w:rsidRPr="00F42166">
                        <w:rPr>
                          <w:sz w:val="20"/>
                          <w:szCs w:val="20"/>
                        </w:rPr>
                        <w:t xml:space="preserve"> </w:t>
                      </w:r>
                    </w:p>
                  </w:txbxContent>
                </v:textbox>
              </v:oval>
            </w:pict>
          </mc:Fallback>
        </mc:AlternateContent>
      </w:r>
    </w:p>
    <w:p w14:paraId="321D4263" w14:textId="77777777" w:rsidR="00FE1D37" w:rsidRDefault="00FE1D37" w:rsidP="00F33347">
      <w:pPr>
        <w:jc w:val="both"/>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02754F" w14:paraId="3272EA94" w14:textId="77777777" w:rsidTr="00124F95">
        <w:tc>
          <w:tcPr>
            <w:tcW w:w="6573" w:type="dxa"/>
            <w:gridSpan w:val="2"/>
            <w:shd w:val="clear" w:color="auto" w:fill="BFBFBF" w:themeFill="background1" w:themeFillShade="BF"/>
          </w:tcPr>
          <w:p w14:paraId="18674585" w14:textId="18ECF845" w:rsidR="0002754F" w:rsidRDefault="00231563" w:rsidP="00231563">
            <w:pPr>
              <w:jc w:val="both"/>
            </w:pPr>
            <w:r>
              <w:t>Cadre</w:t>
            </w:r>
            <w:r w:rsidR="0002754F">
              <w:t xml:space="preserve"> d’une entreprise à Trois-Rivières</w:t>
            </w:r>
          </w:p>
        </w:tc>
        <w:tc>
          <w:tcPr>
            <w:tcW w:w="6573" w:type="dxa"/>
            <w:gridSpan w:val="2"/>
            <w:shd w:val="clear" w:color="auto" w:fill="BFBFBF" w:themeFill="background1" w:themeFillShade="BF"/>
          </w:tcPr>
          <w:p w14:paraId="4CE2C380" w14:textId="7EA50C7F" w:rsidR="0002754F" w:rsidRDefault="00231563" w:rsidP="00231563">
            <w:pPr>
              <w:jc w:val="both"/>
            </w:pPr>
            <w:r>
              <w:t>Cadre</w:t>
            </w:r>
            <w:r w:rsidR="0002754F">
              <w:t xml:space="preserve"> d’une entreprise à Montréal</w:t>
            </w:r>
          </w:p>
        </w:tc>
      </w:tr>
      <w:tr w:rsidR="0002754F" w14:paraId="466B31DD" w14:textId="77777777" w:rsidTr="0005030F">
        <w:tc>
          <w:tcPr>
            <w:tcW w:w="3286" w:type="dxa"/>
            <w:shd w:val="clear" w:color="auto" w:fill="BBB9A1" w:themeFill="text2" w:themeFillTint="66"/>
          </w:tcPr>
          <w:p w14:paraId="5BACDDF1" w14:textId="77777777" w:rsidR="00723D8A" w:rsidRDefault="00723D8A" w:rsidP="00F33347">
            <w:pPr>
              <w:jc w:val="both"/>
            </w:pPr>
          </w:p>
          <w:p w14:paraId="51CE8ACB" w14:textId="4CFA583F" w:rsidR="0002754F" w:rsidRDefault="0002754F" w:rsidP="00F33347">
            <w:pPr>
              <w:jc w:val="both"/>
            </w:pPr>
            <w:r>
              <w:t>Salaire annuel</w:t>
            </w:r>
          </w:p>
        </w:tc>
        <w:tc>
          <w:tcPr>
            <w:tcW w:w="3286" w:type="dxa"/>
            <w:shd w:val="clear" w:color="auto" w:fill="BBB9A1"/>
          </w:tcPr>
          <w:p w14:paraId="11CB5D2A" w14:textId="77777777" w:rsidR="00723D8A" w:rsidRDefault="00723D8A" w:rsidP="00231563">
            <w:pPr>
              <w:jc w:val="both"/>
            </w:pPr>
          </w:p>
          <w:p w14:paraId="7BAF797D" w14:textId="4FC595B7" w:rsidR="0002754F" w:rsidRDefault="000158B4" w:rsidP="0005030F">
            <w:pPr>
              <w:tabs>
                <w:tab w:val="right" w:pos="3071"/>
              </w:tabs>
              <w:jc w:val="both"/>
            </w:pPr>
            <w:r>
              <w:t>1</w:t>
            </w:r>
            <w:r w:rsidR="00231563">
              <w:t>0</w:t>
            </w:r>
            <w:r>
              <w:t>0 000 $</w:t>
            </w:r>
            <w:r w:rsidR="0005030F">
              <w:tab/>
            </w:r>
          </w:p>
        </w:tc>
        <w:tc>
          <w:tcPr>
            <w:tcW w:w="3287" w:type="dxa"/>
            <w:shd w:val="clear" w:color="auto" w:fill="FF5D72"/>
          </w:tcPr>
          <w:p w14:paraId="41C1DC57" w14:textId="77777777" w:rsidR="00723D8A" w:rsidRDefault="00723D8A" w:rsidP="00F33347">
            <w:pPr>
              <w:jc w:val="both"/>
            </w:pPr>
          </w:p>
          <w:p w14:paraId="15D4B842" w14:textId="4FBE528C" w:rsidR="0002754F" w:rsidRDefault="0002754F" w:rsidP="00F33347">
            <w:pPr>
              <w:jc w:val="both"/>
            </w:pPr>
            <w:r>
              <w:t>Salaire annuel</w:t>
            </w:r>
          </w:p>
        </w:tc>
        <w:tc>
          <w:tcPr>
            <w:tcW w:w="3287" w:type="dxa"/>
            <w:shd w:val="clear" w:color="auto" w:fill="FF5D72"/>
          </w:tcPr>
          <w:p w14:paraId="452EC567" w14:textId="77777777" w:rsidR="00723D8A" w:rsidRDefault="00723D8A" w:rsidP="00231563">
            <w:pPr>
              <w:jc w:val="both"/>
            </w:pPr>
          </w:p>
          <w:p w14:paraId="1CAD7B98" w14:textId="33D66BA9" w:rsidR="0002754F" w:rsidRDefault="00231563" w:rsidP="00D16EE4">
            <w:pPr>
              <w:jc w:val="both"/>
            </w:pPr>
            <w:r>
              <w:t>1</w:t>
            </w:r>
            <w:r w:rsidR="00D16EE4">
              <w:t>25</w:t>
            </w:r>
            <w:r w:rsidR="000158B4">
              <w:t xml:space="preserve"> 000 $</w:t>
            </w:r>
          </w:p>
        </w:tc>
      </w:tr>
      <w:tr w:rsidR="0002754F" w14:paraId="1DB6C399" w14:textId="77777777" w:rsidTr="00124F95">
        <w:tc>
          <w:tcPr>
            <w:tcW w:w="3286" w:type="dxa"/>
            <w:shd w:val="clear" w:color="auto" w:fill="BBB9A1" w:themeFill="text2" w:themeFillTint="66"/>
          </w:tcPr>
          <w:p w14:paraId="1964B53E" w14:textId="537195B5" w:rsidR="0002754F" w:rsidRDefault="0002754F" w:rsidP="00F33347">
            <w:pPr>
              <w:jc w:val="both"/>
            </w:pPr>
            <w:r>
              <w:t>Augmentation annuelle</w:t>
            </w:r>
          </w:p>
        </w:tc>
        <w:tc>
          <w:tcPr>
            <w:tcW w:w="3286" w:type="dxa"/>
            <w:shd w:val="clear" w:color="auto" w:fill="BBB9A1" w:themeFill="text2" w:themeFillTint="66"/>
          </w:tcPr>
          <w:p w14:paraId="4789C9B7" w14:textId="217ADEED" w:rsidR="0002754F" w:rsidRDefault="00174B6F" w:rsidP="00174B6F">
            <w:pPr>
              <w:jc w:val="both"/>
            </w:pPr>
            <w:r>
              <w:t>5</w:t>
            </w:r>
            <w:r w:rsidR="000158B4">
              <w:t xml:space="preserve"> %</w:t>
            </w:r>
          </w:p>
        </w:tc>
        <w:tc>
          <w:tcPr>
            <w:tcW w:w="3287" w:type="dxa"/>
            <w:shd w:val="clear" w:color="auto" w:fill="FF5D72"/>
          </w:tcPr>
          <w:p w14:paraId="0C0C422F" w14:textId="47891A38" w:rsidR="0002754F" w:rsidRDefault="0002754F" w:rsidP="00F33347">
            <w:pPr>
              <w:jc w:val="both"/>
            </w:pPr>
            <w:r>
              <w:t>Augmentation annuelle</w:t>
            </w:r>
          </w:p>
        </w:tc>
        <w:tc>
          <w:tcPr>
            <w:tcW w:w="3287" w:type="dxa"/>
            <w:shd w:val="clear" w:color="auto" w:fill="FF5D72"/>
          </w:tcPr>
          <w:p w14:paraId="4D53AA3D" w14:textId="53A94E98" w:rsidR="0002754F" w:rsidRDefault="00174B6F" w:rsidP="00174B6F">
            <w:pPr>
              <w:jc w:val="both"/>
            </w:pPr>
            <w:r>
              <w:t>5</w:t>
            </w:r>
            <w:r w:rsidR="000158B4">
              <w:t xml:space="preserve"> %</w:t>
            </w:r>
          </w:p>
        </w:tc>
      </w:tr>
      <w:tr w:rsidR="0002754F" w14:paraId="27B85785" w14:textId="77777777" w:rsidTr="00124F95">
        <w:tc>
          <w:tcPr>
            <w:tcW w:w="3286" w:type="dxa"/>
            <w:shd w:val="clear" w:color="auto" w:fill="BBB9A1" w:themeFill="text2" w:themeFillTint="66"/>
          </w:tcPr>
          <w:p w14:paraId="077A8B78" w14:textId="71BFAB89" w:rsidR="0002754F" w:rsidRDefault="0002754F" w:rsidP="00F33347">
            <w:pPr>
              <w:jc w:val="both"/>
            </w:pPr>
            <w:r>
              <w:t>Voiture fournie</w:t>
            </w:r>
          </w:p>
        </w:tc>
        <w:tc>
          <w:tcPr>
            <w:tcW w:w="3286" w:type="dxa"/>
            <w:shd w:val="clear" w:color="auto" w:fill="BBB9A1" w:themeFill="text2" w:themeFillTint="66"/>
          </w:tcPr>
          <w:p w14:paraId="034527A1" w14:textId="03225F8A" w:rsidR="0002754F" w:rsidRDefault="00FB096E" w:rsidP="00FB096E">
            <w:pPr>
              <w:jc w:val="both"/>
            </w:pPr>
            <w:r>
              <w:t xml:space="preserve">VW </w:t>
            </w:r>
            <w:r w:rsidR="00EC77E8">
              <w:t>Golf, renouvellement de la location au 3 ans</w:t>
            </w:r>
          </w:p>
        </w:tc>
        <w:tc>
          <w:tcPr>
            <w:tcW w:w="3287" w:type="dxa"/>
            <w:shd w:val="clear" w:color="auto" w:fill="FF5D72"/>
          </w:tcPr>
          <w:p w14:paraId="0F0E0556" w14:textId="612494C3" w:rsidR="0002754F" w:rsidRDefault="0002754F" w:rsidP="00F33347">
            <w:pPr>
              <w:jc w:val="both"/>
            </w:pPr>
            <w:r>
              <w:t>Voiture fournie</w:t>
            </w:r>
          </w:p>
        </w:tc>
        <w:tc>
          <w:tcPr>
            <w:tcW w:w="3287" w:type="dxa"/>
            <w:shd w:val="clear" w:color="auto" w:fill="FF5D72"/>
          </w:tcPr>
          <w:p w14:paraId="27EF706A" w14:textId="0FAA65E0" w:rsidR="0002754F" w:rsidRDefault="000158B4" w:rsidP="000158B4">
            <w:pPr>
              <w:jc w:val="both"/>
            </w:pPr>
            <w:r>
              <w:t>Audi 4, renouvellement de la location au 3 ans</w:t>
            </w:r>
          </w:p>
        </w:tc>
      </w:tr>
      <w:tr w:rsidR="0002754F" w14:paraId="311B02E9" w14:textId="77777777" w:rsidTr="00124F95">
        <w:tc>
          <w:tcPr>
            <w:tcW w:w="3286" w:type="dxa"/>
            <w:shd w:val="clear" w:color="auto" w:fill="BBB9A1" w:themeFill="text2" w:themeFillTint="66"/>
          </w:tcPr>
          <w:p w14:paraId="660247F4" w14:textId="536BEF8E" w:rsidR="0002754F" w:rsidRDefault="0002754F" w:rsidP="00F33347">
            <w:pPr>
              <w:jc w:val="both"/>
            </w:pPr>
            <w:r>
              <w:t>Régime de retraite</w:t>
            </w:r>
          </w:p>
        </w:tc>
        <w:tc>
          <w:tcPr>
            <w:tcW w:w="3286" w:type="dxa"/>
            <w:shd w:val="clear" w:color="auto" w:fill="BBB9A1" w:themeFill="text2" w:themeFillTint="66"/>
          </w:tcPr>
          <w:p w14:paraId="008F5627" w14:textId="243DE4BF" w:rsidR="0002754F" w:rsidRDefault="00331190" w:rsidP="005241D4">
            <w:pPr>
              <w:jc w:val="both"/>
            </w:pPr>
            <w:r>
              <w:t>Employeur</w:t>
            </w:r>
            <w:r w:rsidR="000158B4">
              <w:t xml:space="preserve"> </w:t>
            </w:r>
            <w:r w:rsidR="00C26BA8">
              <w:t>1</w:t>
            </w:r>
            <w:r w:rsidR="005241D4">
              <w:t>5</w:t>
            </w:r>
            <w:r w:rsidR="000158B4">
              <w:t xml:space="preserve"> </w:t>
            </w:r>
            <w:r>
              <w:t>%</w:t>
            </w:r>
            <w:r w:rsidR="000158B4">
              <w:t xml:space="preserve">, employé </w:t>
            </w:r>
            <w:r w:rsidR="00C26BA8">
              <w:t>0</w:t>
            </w:r>
            <w:r w:rsidR="000158B4">
              <w:t xml:space="preserve"> %</w:t>
            </w:r>
          </w:p>
        </w:tc>
        <w:tc>
          <w:tcPr>
            <w:tcW w:w="3287" w:type="dxa"/>
            <w:shd w:val="clear" w:color="auto" w:fill="FF5D72"/>
          </w:tcPr>
          <w:p w14:paraId="15E8C8F9" w14:textId="6ED1F7F2" w:rsidR="0002754F" w:rsidRDefault="0002754F" w:rsidP="00F33347">
            <w:pPr>
              <w:jc w:val="both"/>
            </w:pPr>
            <w:r>
              <w:t>Régime de retraite</w:t>
            </w:r>
          </w:p>
        </w:tc>
        <w:tc>
          <w:tcPr>
            <w:tcW w:w="3287" w:type="dxa"/>
            <w:shd w:val="clear" w:color="auto" w:fill="FF5D72"/>
          </w:tcPr>
          <w:p w14:paraId="1E72B1C8" w14:textId="33518EFB" w:rsidR="0002754F" w:rsidRDefault="00331190" w:rsidP="00231563">
            <w:pPr>
              <w:jc w:val="both"/>
            </w:pPr>
            <w:r>
              <w:t>Employeur</w:t>
            </w:r>
            <w:r w:rsidR="000158B4">
              <w:t xml:space="preserve"> </w:t>
            </w:r>
            <w:r w:rsidR="00231563">
              <w:t>5</w:t>
            </w:r>
            <w:r w:rsidR="000158B4">
              <w:t xml:space="preserve"> %, employé </w:t>
            </w:r>
            <w:r w:rsidR="00231563">
              <w:t xml:space="preserve">5 </w:t>
            </w:r>
            <w:r w:rsidR="000158B4">
              <w:t>%</w:t>
            </w:r>
          </w:p>
        </w:tc>
      </w:tr>
      <w:tr w:rsidR="0002754F" w14:paraId="38A9E1B8" w14:textId="77777777" w:rsidTr="00124F95">
        <w:tc>
          <w:tcPr>
            <w:tcW w:w="3286" w:type="dxa"/>
            <w:shd w:val="clear" w:color="auto" w:fill="BBB9A1" w:themeFill="text2" w:themeFillTint="66"/>
          </w:tcPr>
          <w:p w14:paraId="744B7E25" w14:textId="3137739D" w:rsidR="0002754F" w:rsidRDefault="0002754F" w:rsidP="009214C9">
            <w:pPr>
              <w:jc w:val="both"/>
            </w:pPr>
            <w:r>
              <w:t xml:space="preserve">Prime de </w:t>
            </w:r>
            <w:r w:rsidR="009214C9">
              <w:t>départ</w:t>
            </w:r>
          </w:p>
        </w:tc>
        <w:tc>
          <w:tcPr>
            <w:tcW w:w="3286" w:type="dxa"/>
            <w:shd w:val="clear" w:color="auto" w:fill="BBB9A1" w:themeFill="text2" w:themeFillTint="66"/>
          </w:tcPr>
          <w:p w14:paraId="0F333D4E" w14:textId="56B47A42" w:rsidR="0002754F" w:rsidRDefault="005241D4" w:rsidP="005241D4">
            <w:pPr>
              <w:jc w:val="both"/>
            </w:pPr>
            <w:r>
              <w:t>200 000 $</w:t>
            </w:r>
          </w:p>
        </w:tc>
        <w:tc>
          <w:tcPr>
            <w:tcW w:w="3287" w:type="dxa"/>
            <w:shd w:val="clear" w:color="auto" w:fill="FF5D72"/>
          </w:tcPr>
          <w:p w14:paraId="3BC38BC3" w14:textId="3C1BEB0C" w:rsidR="0002754F" w:rsidRDefault="0002754F" w:rsidP="003359D8">
            <w:pPr>
              <w:jc w:val="both"/>
            </w:pPr>
            <w:r>
              <w:t xml:space="preserve">Prime de </w:t>
            </w:r>
            <w:r w:rsidR="003359D8">
              <w:t>départ</w:t>
            </w:r>
          </w:p>
        </w:tc>
        <w:tc>
          <w:tcPr>
            <w:tcW w:w="3287" w:type="dxa"/>
            <w:shd w:val="clear" w:color="auto" w:fill="FF5D72"/>
          </w:tcPr>
          <w:p w14:paraId="57D59B0B" w14:textId="29C9DC08" w:rsidR="0002754F" w:rsidRDefault="005241D4" w:rsidP="005241D4">
            <w:pPr>
              <w:jc w:val="both"/>
            </w:pPr>
            <w:r>
              <w:t>1</w:t>
            </w:r>
            <w:r w:rsidR="000158B4">
              <w:t>00 000 $</w:t>
            </w:r>
          </w:p>
        </w:tc>
      </w:tr>
      <w:tr w:rsidR="0002754F" w14:paraId="3693758C" w14:textId="77777777" w:rsidTr="00124F95">
        <w:tc>
          <w:tcPr>
            <w:tcW w:w="3286" w:type="dxa"/>
            <w:shd w:val="clear" w:color="auto" w:fill="BBB9A1" w:themeFill="text2" w:themeFillTint="66"/>
          </w:tcPr>
          <w:p w14:paraId="684518D2" w14:textId="3C54A1CC" w:rsidR="0002754F" w:rsidRDefault="004F693D" w:rsidP="004F693D">
            <w:pPr>
              <w:jc w:val="both"/>
            </w:pPr>
            <w:r>
              <w:t>Loyer mensuel</w:t>
            </w:r>
          </w:p>
        </w:tc>
        <w:tc>
          <w:tcPr>
            <w:tcW w:w="3286" w:type="dxa"/>
            <w:shd w:val="clear" w:color="auto" w:fill="BBB9A1" w:themeFill="text2" w:themeFillTint="66"/>
          </w:tcPr>
          <w:p w14:paraId="3DD62D58" w14:textId="00CB9738" w:rsidR="0002754F" w:rsidRDefault="004F693D" w:rsidP="004F693D">
            <w:pPr>
              <w:jc w:val="both"/>
            </w:pPr>
            <w:r>
              <w:t>8</w:t>
            </w:r>
            <w:r w:rsidR="00331190">
              <w:t>00 $</w:t>
            </w:r>
          </w:p>
        </w:tc>
        <w:tc>
          <w:tcPr>
            <w:tcW w:w="3287" w:type="dxa"/>
            <w:shd w:val="clear" w:color="auto" w:fill="FF5D72"/>
          </w:tcPr>
          <w:p w14:paraId="5C9668E0" w14:textId="5861E4F6" w:rsidR="0002754F" w:rsidRDefault="005241D4" w:rsidP="005241D4">
            <w:pPr>
              <w:jc w:val="both"/>
            </w:pPr>
            <w:r>
              <w:t>Loyer mensuel</w:t>
            </w:r>
          </w:p>
        </w:tc>
        <w:tc>
          <w:tcPr>
            <w:tcW w:w="3287" w:type="dxa"/>
            <w:shd w:val="clear" w:color="auto" w:fill="FF5D72"/>
          </w:tcPr>
          <w:p w14:paraId="11424666" w14:textId="5B1CCDDD" w:rsidR="0002754F" w:rsidRDefault="004F693D" w:rsidP="004F693D">
            <w:pPr>
              <w:jc w:val="both"/>
            </w:pPr>
            <w:r>
              <w:t xml:space="preserve">1 </w:t>
            </w:r>
            <w:r w:rsidR="00331190">
              <w:t>500 $</w:t>
            </w:r>
          </w:p>
        </w:tc>
      </w:tr>
    </w:tbl>
    <w:p w14:paraId="48B97B98" w14:textId="77777777" w:rsidR="00AE212C" w:rsidRDefault="00AE212C" w:rsidP="00F33347">
      <w:pPr>
        <w:jc w:val="both"/>
      </w:pPr>
    </w:p>
    <w:p w14:paraId="39562033" w14:textId="14A7D917" w:rsidR="00AE212C" w:rsidRDefault="00AE212C" w:rsidP="00F33347">
      <w:pPr>
        <w:jc w:val="both"/>
      </w:pPr>
      <w:r>
        <w:t>La meilleure méthode d’analyse financière consiste à actualiser tous les flux monétaires générés par les deux propositions et de les comparer, en tenant compte d’un certain nombre d’</w:t>
      </w:r>
      <w:r w:rsidR="009214C9">
        <w:t>hypothèses</w:t>
      </w:r>
      <w:r>
        <w:t xml:space="preserve"> afin de limiter la complexification </w:t>
      </w:r>
      <w:r w:rsidR="00F56F84">
        <w:t xml:space="preserve">exagérée </w:t>
      </w:r>
      <w:r>
        <w:t>des ca</w:t>
      </w:r>
      <w:r w:rsidR="009214C9">
        <w:t>l</w:t>
      </w:r>
      <w:r>
        <w:t>culs.</w:t>
      </w:r>
    </w:p>
    <w:p w14:paraId="2E57EB6B" w14:textId="77777777" w:rsidR="00723D8A" w:rsidRDefault="00723D8A" w:rsidP="00F33347">
      <w:pPr>
        <w:jc w:val="both"/>
      </w:pPr>
    </w:p>
    <w:p w14:paraId="7DEF2A08" w14:textId="77777777" w:rsidR="00723D8A" w:rsidRDefault="00723D8A" w:rsidP="00F33347">
      <w:pPr>
        <w:jc w:val="both"/>
      </w:pPr>
    </w:p>
    <w:p w14:paraId="5B2C5DA8" w14:textId="77777777" w:rsidR="00723D8A" w:rsidRDefault="00723D8A" w:rsidP="00F33347">
      <w:pPr>
        <w:jc w:val="both"/>
      </w:pPr>
    </w:p>
    <w:p w14:paraId="5011CD79" w14:textId="77777777" w:rsidR="00723D8A" w:rsidRDefault="00723D8A" w:rsidP="00F33347">
      <w:pPr>
        <w:jc w:val="both"/>
      </w:pPr>
    </w:p>
    <w:p w14:paraId="560473D2" w14:textId="77777777" w:rsidR="00723D8A" w:rsidRDefault="00723D8A" w:rsidP="00F33347">
      <w:pPr>
        <w:jc w:val="both"/>
      </w:pPr>
    </w:p>
    <w:p w14:paraId="03DC2977" w14:textId="77777777" w:rsidR="00723D8A" w:rsidRDefault="00723D8A" w:rsidP="00F33347">
      <w:pPr>
        <w:jc w:val="both"/>
      </w:pPr>
    </w:p>
    <w:p w14:paraId="302F7C78" w14:textId="77777777" w:rsidR="00723D8A" w:rsidRDefault="00723D8A" w:rsidP="00F33347">
      <w:pPr>
        <w:jc w:val="both"/>
      </w:pPr>
    </w:p>
    <w:p w14:paraId="28C6D0F3" w14:textId="77777777" w:rsidR="00723D8A" w:rsidRDefault="00723D8A" w:rsidP="00F33347">
      <w:pPr>
        <w:jc w:val="both"/>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FE1D37" w14:paraId="3292E8DD" w14:textId="77777777" w:rsidTr="00723D8A">
        <w:tc>
          <w:tcPr>
            <w:tcW w:w="6573" w:type="dxa"/>
            <w:gridSpan w:val="2"/>
            <w:tcBorders>
              <w:bottom w:val="single" w:sz="4" w:space="0" w:color="auto"/>
            </w:tcBorders>
            <w:shd w:val="clear" w:color="auto" w:fill="BFBFBF" w:themeFill="background1" w:themeFillShade="BF"/>
          </w:tcPr>
          <w:p w14:paraId="0CF878FF" w14:textId="0B524886" w:rsidR="00FE1D37" w:rsidRDefault="00C304DE" w:rsidP="00FE1D37">
            <w:pPr>
              <w:jc w:val="both"/>
            </w:pPr>
            <w:r>
              <w:rPr>
                <w:noProof/>
                <w:lang w:eastAsia="fr-FR"/>
              </w:rPr>
              <w:lastRenderedPageBreak/>
              <mc:AlternateContent>
                <mc:Choice Requires="wps">
                  <w:drawing>
                    <wp:anchor distT="0" distB="0" distL="114300" distR="114300" simplePos="0" relativeHeight="252037120" behindDoc="0" locked="0" layoutInCell="1" allowOverlap="1" wp14:anchorId="25A17EB2" wp14:editId="2E4B81C2">
                      <wp:simplePos x="0" y="0"/>
                      <wp:positionH relativeFrom="column">
                        <wp:posOffset>2743200</wp:posOffset>
                      </wp:positionH>
                      <wp:positionV relativeFrom="paragraph">
                        <wp:posOffset>-228600</wp:posOffset>
                      </wp:positionV>
                      <wp:extent cx="457200" cy="457200"/>
                      <wp:effectExtent l="0" t="0" r="25400" b="25400"/>
                      <wp:wrapNone/>
                      <wp:docPr id="157" name="Ellipse 157"/>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0F90424" w14:textId="77777777" w:rsidR="00573C95" w:rsidRPr="00F42166" w:rsidRDefault="00573C95" w:rsidP="00FE1D37">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57" o:spid="_x0000_s1088" style="position:absolute;left:0;text-align:left;margin-left:3in;margin-top:-17.95pt;width:36pt;height:36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" fillcolor="black [3200]" strokecolor="white [3201]" strokeweight="1.75pt">
                      <v:textbox>
                        <w:txbxContent>
                          <w:p w14:paraId="50F90424" w14:textId="77777777" w:rsidR="001501D6" w:rsidRPr="00F42166" w:rsidRDefault="001501D6" w:rsidP="00FE1D37">
                            <w:pPr>
                              <w:jc w:val="center"/>
                              <w:rPr>
                                <w:sz w:val="20"/>
                                <w:szCs w:val="20"/>
                              </w:rPr>
                            </w:pPr>
                            <w:r>
                              <w:rPr>
                                <w:sz w:val="20"/>
                                <w:szCs w:val="20"/>
                              </w:rPr>
                              <w:t>1</w:t>
                            </w:r>
                            <w:r w:rsidRPr="00F42166">
                              <w:rPr>
                                <w:sz w:val="20"/>
                                <w:szCs w:val="20"/>
                              </w:rPr>
                              <w:t xml:space="preserve"> </w:t>
                            </w:r>
                          </w:p>
                        </w:txbxContent>
                      </v:textbox>
                    </v:oval>
                  </w:pict>
                </mc:Fallback>
              </mc:AlternateContent>
            </w:r>
            <w:r w:rsidR="00A57BCE">
              <w:rPr>
                <w:noProof/>
                <w:lang w:eastAsia="fr-FR"/>
              </w:rPr>
              <mc:AlternateContent>
                <mc:Choice Requires="wps">
                  <w:drawing>
                    <wp:anchor distT="0" distB="0" distL="114300" distR="114300" simplePos="0" relativeHeight="252039168" behindDoc="0" locked="0" layoutInCell="1" allowOverlap="1" wp14:anchorId="05D8352B" wp14:editId="6EB4EF41">
                      <wp:simplePos x="0" y="0"/>
                      <wp:positionH relativeFrom="column">
                        <wp:posOffset>3200400</wp:posOffset>
                      </wp:positionH>
                      <wp:positionV relativeFrom="paragraph">
                        <wp:posOffset>114300</wp:posOffset>
                      </wp:positionV>
                      <wp:extent cx="342900" cy="342900"/>
                      <wp:effectExtent l="76200" t="76200" r="0" b="63500"/>
                      <wp:wrapNone/>
                      <wp:docPr id="182" name="Ellipse 182"/>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E64A32" w14:textId="23794A7C" w:rsidR="00573C95" w:rsidRPr="00A57BCE" w:rsidRDefault="00573C95" w:rsidP="00A57BCE">
                                  <w:pPr>
                                    <w:jc w:val="center"/>
                                    <w:rPr>
                                      <w:sz w:val="16"/>
                                      <w:szCs w:val="16"/>
                                    </w:rPr>
                                  </w:pPr>
                                  <w:r w:rsidRPr="00A57BCE">
                                    <w:rPr>
                                      <w:sz w:val="16"/>
                                      <w:szCs w:val="1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82" o:spid="_x0000_s1089" style="position:absolute;left:0;text-align:left;margin-left:252pt;margin-top:9pt;width:27pt;height:27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" fillcolor="#ff6700 [3206]" strokecolor="white [3212]">
                      <v:textbox>
                        <w:txbxContent>
                          <w:p w14:paraId="78E64A32" w14:textId="23794A7C" w:rsidR="001501D6" w:rsidRPr="00A57BCE" w:rsidRDefault="001501D6" w:rsidP="00A57BCE">
                            <w:pPr>
                              <w:jc w:val="center"/>
                              <w:rPr>
                                <w:sz w:val="16"/>
                                <w:szCs w:val="16"/>
                              </w:rPr>
                            </w:pPr>
                            <w:r w:rsidRPr="00A57BCE">
                              <w:rPr>
                                <w:sz w:val="16"/>
                                <w:szCs w:val="16"/>
                              </w:rPr>
                              <w:t>A</w:t>
                            </w:r>
                          </w:p>
                        </w:txbxContent>
                      </v:textbox>
                    </v:oval>
                  </w:pict>
                </mc:Fallback>
              </mc:AlternateContent>
            </w:r>
            <w:r w:rsidR="00723D8A">
              <w:t>Les flux monétaires positifs actualisés</w:t>
            </w:r>
          </w:p>
        </w:tc>
        <w:tc>
          <w:tcPr>
            <w:tcW w:w="6574" w:type="dxa"/>
            <w:gridSpan w:val="2"/>
            <w:tcBorders>
              <w:bottom w:val="single" w:sz="4" w:space="0" w:color="auto"/>
            </w:tcBorders>
            <w:shd w:val="clear" w:color="auto" w:fill="BFBFBF" w:themeFill="background1" w:themeFillShade="BF"/>
          </w:tcPr>
          <w:p w14:paraId="33467F6B" w14:textId="73564B7E" w:rsidR="00FE1D37" w:rsidRDefault="00723D8A" w:rsidP="00FE1D37">
            <w:pPr>
              <w:jc w:val="both"/>
            </w:pPr>
            <w:r>
              <w:rPr>
                <w:noProof/>
                <w:lang w:eastAsia="fr-FR"/>
              </w:rPr>
              <mc:AlternateContent>
                <mc:Choice Requires="wps">
                  <w:drawing>
                    <wp:anchor distT="0" distB="0" distL="114300" distR="114300" simplePos="0" relativeHeight="252038144" behindDoc="0" locked="0" layoutInCell="1" allowOverlap="1" wp14:anchorId="709338AF" wp14:editId="04BF29B2">
                      <wp:simplePos x="0" y="0"/>
                      <wp:positionH relativeFrom="column">
                        <wp:posOffset>2684145</wp:posOffset>
                      </wp:positionH>
                      <wp:positionV relativeFrom="paragraph">
                        <wp:posOffset>-228600</wp:posOffset>
                      </wp:positionV>
                      <wp:extent cx="457200" cy="457200"/>
                      <wp:effectExtent l="0" t="0" r="25400" b="25400"/>
                      <wp:wrapNone/>
                      <wp:docPr id="156" name="Ellipse 156"/>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D7A4A7C" w14:textId="77777777" w:rsidR="00573C95" w:rsidRPr="00F42166" w:rsidRDefault="00573C95" w:rsidP="00FE1D37">
                                  <w:pPr>
                                    <w:jc w:val="center"/>
                                    <w:rPr>
                                      <w:sz w:val="20"/>
                                      <w:szCs w:val="20"/>
                                    </w:rPr>
                                  </w:pPr>
                                  <w:r>
                                    <w:rPr>
                                      <w:sz w:val="20"/>
                                      <w:szCs w:val="20"/>
                                    </w:rPr>
                                    <w:t>2</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56" o:spid="_x0000_s1090" style="position:absolute;left:0;text-align:left;margin-left:211.35pt;margin-top:-17.95pt;width:36pt;height:36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" fillcolor="black [3200]" strokecolor="white [3201]" strokeweight="1.75pt">
                      <v:textbox>
                        <w:txbxContent>
                          <w:p w14:paraId="2D7A4A7C" w14:textId="77777777" w:rsidR="001501D6" w:rsidRPr="00F42166" w:rsidRDefault="001501D6" w:rsidP="00FE1D37">
                            <w:pPr>
                              <w:jc w:val="center"/>
                              <w:rPr>
                                <w:sz w:val="20"/>
                                <w:szCs w:val="20"/>
                              </w:rPr>
                            </w:pPr>
                            <w:r>
                              <w:rPr>
                                <w:sz w:val="20"/>
                                <w:szCs w:val="20"/>
                              </w:rPr>
                              <w:t>2</w:t>
                            </w:r>
                            <w:r w:rsidRPr="00F42166">
                              <w:rPr>
                                <w:sz w:val="20"/>
                                <w:szCs w:val="20"/>
                              </w:rPr>
                              <w:t xml:space="preserve"> </w:t>
                            </w:r>
                          </w:p>
                        </w:txbxContent>
                      </v:textbox>
                    </v:oval>
                  </w:pict>
                </mc:Fallback>
              </mc:AlternateContent>
            </w:r>
            <w:r>
              <w:t>Les flux monétaires positifs actualisés</w:t>
            </w:r>
          </w:p>
        </w:tc>
      </w:tr>
      <w:tr w:rsidR="00FE1D37" w14:paraId="327BF434" w14:textId="77777777" w:rsidTr="00723D8A">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3B844D39" w14:textId="24A9066F" w:rsidR="00FE1D37" w:rsidRDefault="00FE1D37" w:rsidP="00723D8A">
            <w:pPr>
              <w:jc w:val="both"/>
            </w:pPr>
            <w:r>
              <w:t>Salaire</w:t>
            </w:r>
            <w:r w:rsidR="00723D8A">
              <w:t>s</w:t>
            </w:r>
          </w:p>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5D9347AA" w14:textId="7D498934" w:rsidR="00FE1D37" w:rsidRDefault="00FE1D37" w:rsidP="0083316A">
            <w:pPr>
              <w:jc w:val="both"/>
            </w:pPr>
            <w:r>
              <w:t>1</w:t>
            </w:r>
            <w:r w:rsidR="0083316A">
              <w:t xml:space="preserve"> 060 253</w:t>
            </w:r>
            <w:r>
              <w:t xml:space="preserve">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76313B4B" w14:textId="5A0FCAFA" w:rsidR="00FE1D37" w:rsidRDefault="00FE1D37" w:rsidP="0083316A">
            <w:pPr>
              <w:jc w:val="both"/>
            </w:pPr>
            <w:r>
              <w:t xml:space="preserve">Salaire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59BC93B9" w14:textId="453253CC" w:rsidR="00FE1D37" w:rsidRDefault="00A57BCE" w:rsidP="008F6ED6">
            <w:pPr>
              <w:jc w:val="both"/>
            </w:pPr>
            <w:r>
              <w:rPr>
                <w:noProof/>
                <w:lang w:eastAsia="fr-FR"/>
              </w:rPr>
              <mc:AlternateContent>
                <mc:Choice Requires="wps">
                  <w:drawing>
                    <wp:anchor distT="0" distB="0" distL="114300" distR="114300" simplePos="0" relativeHeight="252041216" behindDoc="0" locked="0" layoutInCell="1" allowOverlap="1" wp14:anchorId="7090E4AB" wp14:editId="36C598F2">
                      <wp:simplePos x="0" y="0"/>
                      <wp:positionH relativeFrom="column">
                        <wp:posOffset>1168400</wp:posOffset>
                      </wp:positionH>
                      <wp:positionV relativeFrom="paragraph">
                        <wp:posOffset>149860</wp:posOffset>
                      </wp:positionV>
                      <wp:extent cx="342900" cy="342900"/>
                      <wp:effectExtent l="76200" t="76200" r="0" b="63500"/>
                      <wp:wrapNone/>
                      <wp:docPr id="183" name="Ellipse 183"/>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72D9643" w14:textId="0CC06BEC" w:rsidR="00573C95" w:rsidRPr="00A57BCE" w:rsidRDefault="00573C95" w:rsidP="00A57BCE">
                                  <w:pPr>
                                    <w:jc w:val="center"/>
                                    <w:rPr>
                                      <w:sz w:val="16"/>
                                      <w:szCs w:val="16"/>
                                    </w:rPr>
                                  </w:pPr>
                                  <w:r>
                                    <w:rPr>
                                      <w:sz w:val="16"/>
                                      <w:szCs w:val="1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83" o:spid="_x0000_s1091" style="position:absolute;left:0;text-align:left;margin-left:92pt;margin-top:11.8pt;width:27pt;height:27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" fillcolor="#ff6700 [3206]" strokecolor="white [3212]">
                      <v:textbox>
                        <w:txbxContent>
                          <w:p w14:paraId="672D9643" w14:textId="0CC06BEC" w:rsidR="001501D6" w:rsidRPr="00A57BCE" w:rsidRDefault="001501D6" w:rsidP="00A57BCE">
                            <w:pPr>
                              <w:jc w:val="center"/>
                              <w:rPr>
                                <w:sz w:val="16"/>
                                <w:szCs w:val="16"/>
                              </w:rPr>
                            </w:pPr>
                            <w:r>
                              <w:rPr>
                                <w:sz w:val="16"/>
                                <w:szCs w:val="16"/>
                              </w:rPr>
                              <w:t>B</w:t>
                            </w:r>
                          </w:p>
                        </w:txbxContent>
                      </v:textbox>
                    </v:oval>
                  </w:pict>
                </mc:Fallback>
              </mc:AlternateContent>
            </w:r>
            <w:r w:rsidR="0083316A">
              <w:t xml:space="preserve">1 </w:t>
            </w:r>
            <w:r w:rsidR="008F6ED6">
              <w:t>325 316</w:t>
            </w:r>
            <w:r w:rsidR="00FE1D37">
              <w:t xml:space="preserve"> $</w:t>
            </w:r>
          </w:p>
        </w:tc>
      </w:tr>
      <w:tr w:rsidR="00FE1D37" w14:paraId="59511F47" w14:textId="77777777" w:rsidTr="00723D8A">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4D01A75F" w14:textId="62CBE6AC" w:rsidR="00FE1D37" w:rsidRDefault="00723D8A" w:rsidP="00FE1D37">
            <w:pPr>
              <w:jc w:val="both"/>
            </w:pPr>
            <w:r>
              <w:t>Régime de retraite</w:t>
            </w:r>
          </w:p>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537EB463" w14:textId="4DAF979A" w:rsidR="00FE1D37" w:rsidRDefault="00A57BCE" w:rsidP="00EC77E8">
            <w:pPr>
              <w:jc w:val="both"/>
            </w:pPr>
            <w:r>
              <w:rPr>
                <w:noProof/>
                <w:lang w:eastAsia="fr-FR"/>
              </w:rPr>
              <mc:AlternateContent>
                <mc:Choice Requires="wps">
                  <w:drawing>
                    <wp:anchor distT="0" distB="0" distL="114300" distR="114300" simplePos="0" relativeHeight="252043264" behindDoc="0" locked="0" layoutInCell="1" allowOverlap="1" wp14:anchorId="137D0A00" wp14:editId="6457D00D">
                      <wp:simplePos x="0" y="0"/>
                      <wp:positionH relativeFrom="column">
                        <wp:posOffset>1113790</wp:posOffset>
                      </wp:positionH>
                      <wp:positionV relativeFrom="paragraph">
                        <wp:posOffset>70485</wp:posOffset>
                      </wp:positionV>
                      <wp:extent cx="342900" cy="342900"/>
                      <wp:effectExtent l="76200" t="76200" r="0" b="63500"/>
                      <wp:wrapNone/>
                      <wp:docPr id="184" name="Ellipse 184"/>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4CC0713" w14:textId="627DCA0F" w:rsidR="00573C95" w:rsidRPr="00A57BCE" w:rsidRDefault="00573C95" w:rsidP="00A57BCE">
                                  <w:pPr>
                                    <w:jc w:val="center"/>
                                    <w:rPr>
                                      <w:sz w:val="16"/>
                                      <w:szCs w:val="16"/>
                                    </w:rPr>
                                  </w:pPr>
                                  <w:r>
                                    <w:rPr>
                                      <w:sz w:val="16"/>
                                      <w:szCs w:val="16"/>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84" o:spid="_x0000_s1092" style="position:absolute;left:0;text-align:left;margin-left:87.7pt;margin-top:5.55pt;width:27pt;height:27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" fillcolor="#ff6700 [3206]" strokecolor="white [3212]">
                      <v:textbox>
                        <w:txbxContent>
                          <w:p w14:paraId="34CC0713" w14:textId="627DCA0F" w:rsidR="001501D6" w:rsidRPr="00A57BCE" w:rsidRDefault="001501D6" w:rsidP="00A57BCE">
                            <w:pPr>
                              <w:jc w:val="center"/>
                              <w:rPr>
                                <w:sz w:val="16"/>
                                <w:szCs w:val="16"/>
                              </w:rPr>
                            </w:pPr>
                            <w:r>
                              <w:rPr>
                                <w:sz w:val="16"/>
                                <w:szCs w:val="16"/>
                              </w:rPr>
                              <w:t>C</w:t>
                            </w:r>
                          </w:p>
                        </w:txbxContent>
                      </v:textbox>
                    </v:oval>
                  </w:pict>
                </mc:Fallback>
              </mc:AlternateContent>
            </w:r>
            <w:r w:rsidR="00EC77E8">
              <w:t xml:space="preserve">   </w:t>
            </w:r>
            <w:r w:rsidR="00B076AF">
              <w:t>1</w:t>
            </w:r>
            <w:r w:rsidR="00EC77E8">
              <w:t>77 479</w:t>
            </w:r>
            <w:r w:rsidR="00B076AF">
              <w:t xml:space="preserve">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3EDB21BE" w14:textId="2A83C113" w:rsidR="00FE1D37" w:rsidRDefault="00723D8A" w:rsidP="00FE1D37">
            <w:pPr>
              <w:jc w:val="both"/>
            </w:pPr>
            <w:r>
              <w:t>Régime de retraite</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77AA3F73" w14:textId="457218E8" w:rsidR="00FE1D37" w:rsidRDefault="00EC77E8" w:rsidP="00EC77E8">
            <w:pPr>
              <w:jc w:val="both"/>
            </w:pPr>
            <w:r>
              <w:t xml:space="preserve">     </w:t>
            </w:r>
            <w:r w:rsidR="008F6ED6">
              <w:t>7</w:t>
            </w:r>
            <w:r>
              <w:t>3 950</w:t>
            </w:r>
            <w:r w:rsidR="00B076AF">
              <w:t xml:space="preserve"> $</w:t>
            </w:r>
          </w:p>
        </w:tc>
      </w:tr>
      <w:tr w:rsidR="00FE1D37" w14:paraId="1209DA60" w14:textId="77777777" w:rsidTr="00723D8A">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1829D46A" w14:textId="11FD0022" w:rsidR="00FE1D37" w:rsidRDefault="00723D8A" w:rsidP="009214C9">
            <w:pPr>
              <w:jc w:val="both"/>
            </w:pPr>
            <w:r>
              <w:t xml:space="preserve">Prime de </w:t>
            </w:r>
            <w:r w:rsidR="009214C9">
              <w:t>départ</w:t>
            </w:r>
          </w:p>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17C6B662" w14:textId="40B3D2ED" w:rsidR="00FE1D37" w:rsidRDefault="00EC77E8" w:rsidP="00992274">
            <w:pPr>
              <w:jc w:val="both"/>
            </w:pPr>
            <w:r>
              <w:t xml:space="preserve">   </w:t>
            </w:r>
            <w:r w:rsidR="00992274">
              <w:t>148 819 $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3D4F9934" w14:textId="1C420D88" w:rsidR="00FE1D37" w:rsidRDefault="00723D8A" w:rsidP="009214C9">
            <w:pPr>
              <w:jc w:val="both"/>
            </w:pPr>
            <w:r>
              <w:t xml:space="preserve">Prime de </w:t>
            </w:r>
            <w:r w:rsidR="009214C9">
              <w:t>départ</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31B5444C" w14:textId="0B745FAB" w:rsidR="00FE1D37" w:rsidRDefault="00EC77E8" w:rsidP="00992274">
            <w:pPr>
              <w:jc w:val="both"/>
            </w:pPr>
            <w:r>
              <w:t xml:space="preserve">     </w:t>
            </w:r>
            <w:r w:rsidR="00992274">
              <w:t>74 409</w:t>
            </w:r>
            <w:r w:rsidR="00F32694">
              <w:t xml:space="preserve"> $</w:t>
            </w:r>
          </w:p>
        </w:tc>
      </w:tr>
      <w:tr w:rsidR="00FE1D37" w14:paraId="1202714A" w14:textId="77777777" w:rsidTr="00723D8A">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1F0B4249" w14:textId="49217544" w:rsidR="00FE1D37" w:rsidRDefault="00FE1D37" w:rsidP="00FE1D37">
            <w:pPr>
              <w:jc w:val="both"/>
            </w:pPr>
          </w:p>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0DFAA0D9" w14:textId="72473027" w:rsidR="00FE1D37" w:rsidRDefault="00FE1D37" w:rsidP="00FE1D37">
            <w:pPr>
              <w:jc w:val="both"/>
            </w:pP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62F94C64" w14:textId="5405042A" w:rsidR="00FE1D37" w:rsidRDefault="00FE1D37" w:rsidP="00FE1D37">
            <w:pPr>
              <w:jc w:val="both"/>
            </w:pP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10F494F0" w14:textId="5F7DA59C" w:rsidR="00FE1D37" w:rsidRDefault="00FE1D37" w:rsidP="00FE1D37">
            <w:pPr>
              <w:jc w:val="both"/>
            </w:pPr>
          </w:p>
        </w:tc>
      </w:tr>
      <w:tr w:rsidR="00FE1D37" w14:paraId="1DDADE6A" w14:textId="77777777" w:rsidTr="00723D8A">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02C0DCE8" w14:textId="4D28AD01" w:rsidR="00FE1D37" w:rsidRDefault="008F6ED6" w:rsidP="00FE1D37">
            <w:pPr>
              <w:jc w:val="both"/>
            </w:pPr>
            <w:r>
              <w:t>SOUS-TOTAL</w:t>
            </w:r>
          </w:p>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3BE76C86" w14:textId="21D8BE25" w:rsidR="00FE1D37" w:rsidRDefault="008F6ED6" w:rsidP="00EC77E8">
            <w:pPr>
              <w:jc w:val="both"/>
            </w:pPr>
            <w:r>
              <w:t>1 3</w:t>
            </w:r>
            <w:r w:rsidR="00EC77E8">
              <w:t>86 551</w:t>
            </w:r>
            <w:r>
              <w:t xml:space="preserve">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383B2C05" w14:textId="2C81E6FE" w:rsidR="00FE1D37" w:rsidRDefault="008F6ED6" w:rsidP="00FE1D37">
            <w:pPr>
              <w:jc w:val="both"/>
            </w:pPr>
            <w:r>
              <w:t>SOUS-TOTAL</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51149667" w14:textId="6D0AA0AB" w:rsidR="00FE1D37" w:rsidRDefault="008F6ED6" w:rsidP="00EC77E8">
            <w:pPr>
              <w:jc w:val="both"/>
            </w:pPr>
            <w:r>
              <w:t>1 47</w:t>
            </w:r>
            <w:r w:rsidR="00EC77E8">
              <w:t>3</w:t>
            </w:r>
            <w:r>
              <w:t xml:space="preserve"> </w:t>
            </w:r>
            <w:r w:rsidR="00EC77E8">
              <w:t>675</w:t>
            </w:r>
            <w:r>
              <w:t xml:space="preserve"> $</w:t>
            </w:r>
          </w:p>
        </w:tc>
      </w:tr>
    </w:tbl>
    <w:p w14:paraId="6DF938CF" w14:textId="77777777" w:rsidR="00723D8A" w:rsidRDefault="00723D8A" w:rsidP="00F33347">
      <w:pPr>
        <w:jc w:val="both"/>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723D8A" w14:paraId="08AD5E01" w14:textId="77777777" w:rsidTr="00723D8A">
        <w:tc>
          <w:tcPr>
            <w:tcW w:w="6573" w:type="dxa"/>
            <w:gridSpan w:val="2"/>
            <w:tcBorders>
              <w:bottom w:val="single" w:sz="4" w:space="0" w:color="auto"/>
            </w:tcBorders>
            <w:shd w:val="clear" w:color="auto" w:fill="BFBFBF" w:themeFill="background1" w:themeFillShade="BF"/>
          </w:tcPr>
          <w:p w14:paraId="5791E2E4" w14:textId="19F49D0C" w:rsidR="00723D8A" w:rsidRDefault="00723D8A" w:rsidP="00723D8A">
            <w:pPr>
              <w:jc w:val="both"/>
            </w:pPr>
            <w:r>
              <w:t>Les flux monétaires négatifs actualisés</w:t>
            </w:r>
          </w:p>
        </w:tc>
        <w:tc>
          <w:tcPr>
            <w:tcW w:w="6574" w:type="dxa"/>
            <w:gridSpan w:val="2"/>
            <w:tcBorders>
              <w:bottom w:val="single" w:sz="4" w:space="0" w:color="auto"/>
            </w:tcBorders>
            <w:shd w:val="clear" w:color="auto" w:fill="BFBFBF" w:themeFill="background1" w:themeFillShade="BF"/>
          </w:tcPr>
          <w:p w14:paraId="12BA1B13" w14:textId="1D487305" w:rsidR="00723D8A" w:rsidRDefault="00A57BCE" w:rsidP="00723D8A">
            <w:pPr>
              <w:jc w:val="both"/>
            </w:pPr>
            <w:r>
              <w:rPr>
                <w:noProof/>
                <w:lang w:eastAsia="fr-FR"/>
              </w:rPr>
              <mc:AlternateContent>
                <mc:Choice Requires="wps">
                  <w:drawing>
                    <wp:anchor distT="0" distB="0" distL="114300" distR="114300" simplePos="0" relativeHeight="252045312" behindDoc="0" locked="0" layoutInCell="1" allowOverlap="1" wp14:anchorId="015E8C99" wp14:editId="7F71465A">
                      <wp:simplePos x="0" y="0"/>
                      <wp:positionH relativeFrom="column">
                        <wp:posOffset>3255645</wp:posOffset>
                      </wp:positionH>
                      <wp:positionV relativeFrom="paragraph">
                        <wp:posOffset>139700</wp:posOffset>
                      </wp:positionV>
                      <wp:extent cx="342900" cy="342900"/>
                      <wp:effectExtent l="76200" t="76200" r="0" b="63500"/>
                      <wp:wrapNone/>
                      <wp:docPr id="185" name="Ellipse 185"/>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9192CBF" w14:textId="4D02493B" w:rsidR="00573C95" w:rsidRPr="00A57BCE" w:rsidRDefault="00573C95" w:rsidP="00A57BCE">
                                  <w:pPr>
                                    <w:jc w:val="center"/>
                                    <w:rPr>
                                      <w:sz w:val="16"/>
                                      <w:szCs w:val="16"/>
                                    </w:rPr>
                                  </w:pPr>
                                  <w:r>
                                    <w:rPr>
                                      <w:sz w:val="16"/>
                                      <w:szCs w:val="16"/>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85" o:spid="_x0000_s1093" style="position:absolute;left:0;text-align:left;margin-left:256.35pt;margin-top:11pt;width:27pt;height:27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" fillcolor="#ff6700 [3206]" strokecolor="white [3212]">
                      <v:textbox>
                        <w:txbxContent>
                          <w:p w14:paraId="59192CBF" w14:textId="4D02493B" w:rsidR="001501D6" w:rsidRPr="00A57BCE" w:rsidRDefault="001501D6" w:rsidP="00A57BCE">
                            <w:pPr>
                              <w:jc w:val="center"/>
                              <w:rPr>
                                <w:sz w:val="16"/>
                                <w:szCs w:val="16"/>
                              </w:rPr>
                            </w:pPr>
                            <w:r>
                              <w:rPr>
                                <w:sz w:val="16"/>
                                <w:szCs w:val="16"/>
                              </w:rPr>
                              <w:t>D</w:t>
                            </w:r>
                          </w:p>
                        </w:txbxContent>
                      </v:textbox>
                    </v:oval>
                  </w:pict>
                </mc:Fallback>
              </mc:AlternateContent>
            </w:r>
            <w:r w:rsidR="00723D8A">
              <w:t>Les flux monétaires négatifs actualisés</w:t>
            </w:r>
          </w:p>
        </w:tc>
      </w:tr>
      <w:tr w:rsidR="00723D8A" w14:paraId="57DDEF88" w14:textId="77777777" w:rsidTr="00614788">
        <w:tc>
          <w:tcPr>
            <w:tcW w:w="3286" w:type="dxa"/>
            <w:tcBorders>
              <w:top w:val="single" w:sz="4" w:space="0" w:color="auto"/>
              <w:left w:val="single" w:sz="4" w:space="0" w:color="auto"/>
              <w:bottom w:val="single" w:sz="4" w:space="0" w:color="auto"/>
              <w:right w:val="single" w:sz="4" w:space="0" w:color="auto"/>
            </w:tcBorders>
            <w:shd w:val="clear" w:color="auto" w:fill="C85C70"/>
          </w:tcPr>
          <w:p w14:paraId="7DFC0561" w14:textId="38FED642" w:rsidR="00723D8A" w:rsidRDefault="004F693D" w:rsidP="004F693D">
            <w:pPr>
              <w:jc w:val="both"/>
            </w:pPr>
            <w:r>
              <w:t>Appartement</w:t>
            </w:r>
          </w:p>
        </w:tc>
        <w:tc>
          <w:tcPr>
            <w:tcW w:w="3287" w:type="dxa"/>
            <w:tcBorders>
              <w:top w:val="single" w:sz="4" w:space="0" w:color="auto"/>
              <w:left w:val="single" w:sz="4" w:space="0" w:color="auto"/>
              <w:bottom w:val="single" w:sz="4" w:space="0" w:color="auto"/>
              <w:right w:val="single" w:sz="4" w:space="0" w:color="auto"/>
            </w:tcBorders>
            <w:shd w:val="clear" w:color="auto" w:fill="C85C70"/>
          </w:tcPr>
          <w:p w14:paraId="48676335" w14:textId="6C8782BA" w:rsidR="00723D8A" w:rsidRDefault="00A57BCE" w:rsidP="00723D8A">
            <w:pPr>
              <w:jc w:val="both"/>
            </w:pPr>
            <w:r>
              <w:rPr>
                <w:noProof/>
                <w:lang w:eastAsia="fr-FR"/>
              </w:rPr>
              <mc:AlternateContent>
                <mc:Choice Requires="wps">
                  <w:drawing>
                    <wp:anchor distT="0" distB="0" distL="114300" distR="114300" simplePos="0" relativeHeight="252047360" behindDoc="0" locked="0" layoutInCell="1" allowOverlap="1" wp14:anchorId="5DFF874A" wp14:editId="25AF0E89">
                      <wp:simplePos x="0" y="0"/>
                      <wp:positionH relativeFrom="column">
                        <wp:posOffset>1113790</wp:posOffset>
                      </wp:positionH>
                      <wp:positionV relativeFrom="paragraph">
                        <wp:posOffset>60960</wp:posOffset>
                      </wp:positionV>
                      <wp:extent cx="342900" cy="342900"/>
                      <wp:effectExtent l="76200" t="76200" r="0" b="63500"/>
                      <wp:wrapNone/>
                      <wp:docPr id="186" name="Ellipse 186"/>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7504B66" w14:textId="2DD1CB9B" w:rsidR="00573C95" w:rsidRPr="00A57BCE" w:rsidRDefault="00573C95" w:rsidP="00A57BCE">
                                  <w:pPr>
                                    <w:jc w:val="center"/>
                                    <w:rPr>
                                      <w:sz w:val="16"/>
                                      <w:szCs w:val="16"/>
                                    </w:rPr>
                                  </w:pPr>
                                  <w:r>
                                    <w:rPr>
                                      <w:sz w:val="16"/>
                                      <w:szCs w:val="16"/>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86" o:spid="_x0000_s1094" style="position:absolute;left:0;text-align:left;margin-left:87.7pt;margin-top:4.8pt;width:27pt;height:27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" fillcolor="#ff6700 [3206]" strokecolor="white [3212]">
                      <v:textbox>
                        <w:txbxContent>
                          <w:p w14:paraId="47504B66" w14:textId="2DD1CB9B" w:rsidR="001501D6" w:rsidRPr="00A57BCE" w:rsidRDefault="001501D6" w:rsidP="00A57BCE">
                            <w:pPr>
                              <w:jc w:val="center"/>
                              <w:rPr>
                                <w:sz w:val="16"/>
                                <w:szCs w:val="16"/>
                              </w:rPr>
                            </w:pPr>
                            <w:r>
                              <w:rPr>
                                <w:sz w:val="16"/>
                                <w:szCs w:val="16"/>
                              </w:rPr>
                              <w:t>E</w:t>
                            </w:r>
                          </w:p>
                        </w:txbxContent>
                      </v:textbox>
                    </v:oval>
                  </w:pict>
                </mc:Fallback>
              </mc:AlternateContent>
            </w:r>
            <w:r w:rsidR="00EC77E8">
              <w:t xml:space="preserve">    </w:t>
            </w:r>
            <w:r w:rsidR="004F693D">
              <w:t>96 000 $</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4155C397" w14:textId="6257CA96" w:rsidR="00723D8A" w:rsidRDefault="004F693D" w:rsidP="004F693D">
            <w:pPr>
              <w:jc w:val="both"/>
            </w:pPr>
            <w:r>
              <w:t>Appartement</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123D61CF" w14:textId="640E8D1D" w:rsidR="00723D8A" w:rsidRDefault="00EC77E8" w:rsidP="00EC77E8">
            <w:pPr>
              <w:jc w:val="both"/>
            </w:pPr>
            <w:r>
              <w:t xml:space="preserve">  </w:t>
            </w:r>
            <w:r w:rsidR="004F693D">
              <w:t>180  000 $</w:t>
            </w:r>
          </w:p>
        </w:tc>
      </w:tr>
      <w:tr w:rsidR="004D20CE" w14:paraId="73275788" w14:textId="77777777" w:rsidTr="00614788">
        <w:tc>
          <w:tcPr>
            <w:tcW w:w="3286" w:type="dxa"/>
            <w:tcBorders>
              <w:top w:val="single" w:sz="4" w:space="0" w:color="auto"/>
              <w:left w:val="single" w:sz="4" w:space="0" w:color="auto"/>
              <w:bottom w:val="single" w:sz="4" w:space="0" w:color="auto"/>
              <w:right w:val="single" w:sz="4" w:space="0" w:color="auto"/>
            </w:tcBorders>
            <w:shd w:val="clear" w:color="auto" w:fill="C85C70"/>
          </w:tcPr>
          <w:p w14:paraId="391B06C2" w14:textId="4755F8F0" w:rsidR="004D20CE" w:rsidRDefault="004D20CE" w:rsidP="00723D8A">
            <w:pPr>
              <w:jc w:val="both"/>
            </w:pPr>
            <w:r>
              <w:t>Voiture</w:t>
            </w:r>
          </w:p>
        </w:tc>
        <w:tc>
          <w:tcPr>
            <w:tcW w:w="3287" w:type="dxa"/>
            <w:tcBorders>
              <w:top w:val="single" w:sz="4" w:space="0" w:color="auto"/>
              <w:left w:val="single" w:sz="4" w:space="0" w:color="auto"/>
              <w:bottom w:val="single" w:sz="4" w:space="0" w:color="auto"/>
              <w:right w:val="single" w:sz="4" w:space="0" w:color="auto"/>
            </w:tcBorders>
            <w:shd w:val="clear" w:color="auto" w:fill="C85C70"/>
          </w:tcPr>
          <w:p w14:paraId="5CDF1A64" w14:textId="18DCDFEF" w:rsidR="004D20CE" w:rsidRDefault="00EC77E8" w:rsidP="00FB096E">
            <w:pPr>
              <w:jc w:val="both"/>
            </w:pPr>
            <w:r>
              <w:t xml:space="preserve">    </w:t>
            </w:r>
            <w:r w:rsidR="00F56F84">
              <w:t xml:space="preserve">  </w:t>
            </w:r>
            <w:r w:rsidR="00FB096E">
              <w:t>S/O</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760446F7" w14:textId="483BE4D5" w:rsidR="004D20CE" w:rsidRDefault="004D20CE" w:rsidP="00723D8A">
            <w:pPr>
              <w:jc w:val="both"/>
            </w:pPr>
            <w:r>
              <w:t>Voiture</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1D236D5D" w14:textId="34D751BC" w:rsidR="004D20CE" w:rsidRDefault="00F56F84" w:rsidP="00723D8A">
            <w:pPr>
              <w:jc w:val="both"/>
            </w:pPr>
            <w:r>
              <w:t xml:space="preserve">     </w:t>
            </w:r>
            <w:r w:rsidR="004D20CE">
              <w:t>S/O</w:t>
            </w:r>
          </w:p>
        </w:tc>
      </w:tr>
      <w:tr w:rsidR="00BA3979" w14:paraId="6D4E9B12" w14:textId="77777777" w:rsidTr="00614788">
        <w:tc>
          <w:tcPr>
            <w:tcW w:w="3286" w:type="dxa"/>
            <w:tcBorders>
              <w:top w:val="single" w:sz="4" w:space="0" w:color="auto"/>
              <w:left w:val="single" w:sz="4" w:space="0" w:color="auto"/>
              <w:bottom w:val="single" w:sz="4" w:space="0" w:color="auto"/>
              <w:right w:val="single" w:sz="4" w:space="0" w:color="auto"/>
            </w:tcBorders>
            <w:shd w:val="clear" w:color="auto" w:fill="C85C70"/>
          </w:tcPr>
          <w:p w14:paraId="43F86199" w14:textId="77777777" w:rsidR="00BA3979" w:rsidRDefault="00BA3979" w:rsidP="00723D8A">
            <w:pPr>
              <w:jc w:val="both"/>
            </w:pPr>
          </w:p>
        </w:tc>
        <w:tc>
          <w:tcPr>
            <w:tcW w:w="3287" w:type="dxa"/>
            <w:tcBorders>
              <w:top w:val="single" w:sz="4" w:space="0" w:color="auto"/>
              <w:left w:val="single" w:sz="4" w:space="0" w:color="auto"/>
              <w:bottom w:val="single" w:sz="4" w:space="0" w:color="auto"/>
              <w:right w:val="single" w:sz="4" w:space="0" w:color="auto"/>
            </w:tcBorders>
            <w:shd w:val="clear" w:color="auto" w:fill="C85C70"/>
          </w:tcPr>
          <w:p w14:paraId="2AC513B5" w14:textId="77777777" w:rsidR="00BA3979" w:rsidRDefault="00BA3979" w:rsidP="00723D8A">
            <w:pPr>
              <w:jc w:val="both"/>
            </w:pP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6591DA86" w14:textId="77777777" w:rsidR="00BA3979" w:rsidRDefault="00BA3979" w:rsidP="00723D8A">
            <w:pPr>
              <w:jc w:val="both"/>
            </w:pP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2779235E" w14:textId="77777777" w:rsidR="00BA3979" w:rsidRDefault="00BA3979" w:rsidP="00723D8A">
            <w:pPr>
              <w:jc w:val="both"/>
            </w:pPr>
          </w:p>
        </w:tc>
      </w:tr>
      <w:tr w:rsidR="008F6ED6" w14:paraId="45D54647" w14:textId="77777777" w:rsidTr="00614788">
        <w:tc>
          <w:tcPr>
            <w:tcW w:w="3286" w:type="dxa"/>
            <w:tcBorders>
              <w:top w:val="single" w:sz="4" w:space="0" w:color="auto"/>
              <w:left w:val="single" w:sz="4" w:space="0" w:color="auto"/>
              <w:bottom w:val="single" w:sz="4" w:space="0" w:color="auto"/>
              <w:right w:val="single" w:sz="4" w:space="0" w:color="auto"/>
            </w:tcBorders>
            <w:shd w:val="clear" w:color="auto" w:fill="C85C70"/>
          </w:tcPr>
          <w:p w14:paraId="05338A8D" w14:textId="773FF933" w:rsidR="008F6ED6" w:rsidRDefault="008F6ED6" w:rsidP="00723D8A">
            <w:pPr>
              <w:jc w:val="both"/>
            </w:pPr>
            <w:r>
              <w:t>SOUS-TOTAL</w:t>
            </w:r>
          </w:p>
        </w:tc>
        <w:tc>
          <w:tcPr>
            <w:tcW w:w="3287" w:type="dxa"/>
            <w:tcBorders>
              <w:top w:val="single" w:sz="4" w:space="0" w:color="auto"/>
              <w:left w:val="single" w:sz="4" w:space="0" w:color="auto"/>
              <w:bottom w:val="single" w:sz="4" w:space="0" w:color="auto"/>
              <w:right w:val="single" w:sz="4" w:space="0" w:color="auto"/>
            </w:tcBorders>
            <w:shd w:val="clear" w:color="auto" w:fill="C85C70"/>
          </w:tcPr>
          <w:p w14:paraId="2556EB50" w14:textId="2FFAC8DA" w:rsidR="008F6ED6" w:rsidRDefault="00EC77E8" w:rsidP="00FB096E">
            <w:pPr>
              <w:jc w:val="both"/>
            </w:pPr>
            <w:r>
              <w:t xml:space="preserve">  </w:t>
            </w:r>
            <w:r w:rsidR="00FB096E">
              <w:t xml:space="preserve">  9</w:t>
            </w:r>
            <w:r w:rsidR="008F6ED6">
              <w:t>6 000 $</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128E165C" w14:textId="69E53A42" w:rsidR="008F6ED6" w:rsidRDefault="008F6ED6" w:rsidP="00723D8A">
            <w:pPr>
              <w:jc w:val="both"/>
            </w:pPr>
            <w:r>
              <w:t>SOUS-TOTAL</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6FFC8709" w14:textId="5C179535" w:rsidR="008F6ED6" w:rsidRDefault="00EC77E8" w:rsidP="00EC77E8">
            <w:pPr>
              <w:jc w:val="both"/>
            </w:pPr>
            <w:r>
              <w:t xml:space="preserve">   </w:t>
            </w:r>
            <w:r w:rsidR="008F6ED6">
              <w:t>180 000 $</w:t>
            </w:r>
          </w:p>
        </w:tc>
      </w:tr>
    </w:tbl>
    <w:p w14:paraId="3EB8412B" w14:textId="77777777" w:rsidR="00D70F7C" w:rsidRDefault="00D70F7C" w:rsidP="00F33347">
      <w:pPr>
        <w:jc w:val="both"/>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D70F7C" w14:paraId="708614CF" w14:textId="77777777" w:rsidTr="00D70F7C">
        <w:tc>
          <w:tcPr>
            <w:tcW w:w="6573" w:type="dxa"/>
            <w:gridSpan w:val="2"/>
            <w:tcBorders>
              <w:bottom w:val="single" w:sz="4" w:space="0" w:color="auto"/>
            </w:tcBorders>
            <w:shd w:val="clear" w:color="auto" w:fill="BFBFBF" w:themeFill="background1" w:themeFillShade="BF"/>
          </w:tcPr>
          <w:p w14:paraId="3DA8D880" w14:textId="15D10BBD" w:rsidR="00D70F7C" w:rsidRDefault="00D70F7C" w:rsidP="00D70F7C">
            <w:pPr>
              <w:jc w:val="both"/>
            </w:pPr>
            <w:r>
              <w:t>Les flux monétaires nets actualisés</w:t>
            </w:r>
          </w:p>
        </w:tc>
        <w:tc>
          <w:tcPr>
            <w:tcW w:w="6574" w:type="dxa"/>
            <w:gridSpan w:val="2"/>
            <w:tcBorders>
              <w:bottom w:val="single" w:sz="4" w:space="0" w:color="auto"/>
            </w:tcBorders>
            <w:shd w:val="clear" w:color="auto" w:fill="BFBFBF" w:themeFill="background1" w:themeFillShade="BF"/>
          </w:tcPr>
          <w:p w14:paraId="11868417" w14:textId="08FA6297" w:rsidR="00D70F7C" w:rsidRDefault="00D70F7C" w:rsidP="00D70F7C">
            <w:pPr>
              <w:jc w:val="both"/>
            </w:pPr>
            <w:r>
              <w:t>Les flux monétaires nets actualisés</w:t>
            </w:r>
          </w:p>
        </w:tc>
      </w:tr>
      <w:tr w:rsidR="00D70F7C" w14:paraId="38C918AB" w14:textId="77777777" w:rsidTr="00D70F7C">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62D93AB7" w14:textId="3B43B9F2" w:rsidR="00D70F7C" w:rsidRDefault="00D70F7C" w:rsidP="00D70F7C">
            <w:pPr>
              <w:jc w:val="both"/>
            </w:pPr>
            <w:r>
              <w:t>Total</w:t>
            </w:r>
          </w:p>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42AE5F83" w14:textId="46A23B68" w:rsidR="00D70F7C" w:rsidRDefault="008F6ED6" w:rsidP="00FB096E">
            <w:pPr>
              <w:jc w:val="both"/>
            </w:pPr>
            <w:r>
              <w:t>1 2</w:t>
            </w:r>
            <w:r w:rsidR="00FB096E">
              <w:t>9</w:t>
            </w:r>
            <w:r w:rsidR="00EC77E8">
              <w:t>0 551</w:t>
            </w:r>
            <w:r>
              <w:t xml:space="preserve">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3693070C" w14:textId="409A7406" w:rsidR="00D70F7C" w:rsidRDefault="00D70F7C" w:rsidP="00D70F7C">
            <w:pPr>
              <w:jc w:val="both"/>
            </w:pPr>
            <w:r>
              <w:t>Total</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418224C3" w14:textId="6E90FCE1" w:rsidR="00D70F7C" w:rsidRDefault="008F6ED6" w:rsidP="00EC77E8">
            <w:pPr>
              <w:jc w:val="both"/>
            </w:pPr>
            <w:r>
              <w:t>1 29</w:t>
            </w:r>
            <w:r w:rsidR="00EC77E8">
              <w:t>3</w:t>
            </w:r>
            <w:r>
              <w:t xml:space="preserve"> </w:t>
            </w:r>
            <w:r w:rsidR="00EC77E8">
              <w:t>675</w:t>
            </w:r>
            <w:r>
              <w:t xml:space="preserve"> $</w:t>
            </w:r>
          </w:p>
        </w:tc>
      </w:tr>
    </w:tbl>
    <w:p w14:paraId="43677C0D" w14:textId="77777777" w:rsidR="00F56F84" w:rsidRDefault="00F56F84" w:rsidP="00F33347">
      <w:pPr>
        <w:jc w:val="both"/>
      </w:pPr>
    </w:p>
    <w:p w14:paraId="53601145" w14:textId="4E294691" w:rsidR="00A57BCE" w:rsidRPr="00D159C4" w:rsidRDefault="00F56F84" w:rsidP="00F33347">
      <w:pPr>
        <w:jc w:val="both"/>
        <w:rPr>
          <w:color w:val="FF6700" w:themeColor="accent3"/>
        </w:rPr>
      </w:pPr>
      <w:r w:rsidRPr="00D159C4">
        <w:rPr>
          <w:color w:val="FF6700" w:themeColor="accent3"/>
        </w:rPr>
        <w:t>H</w:t>
      </w:r>
      <w:r w:rsidR="00F32CF6">
        <w:rPr>
          <w:color w:val="FF6700" w:themeColor="accent3"/>
        </w:rPr>
        <w:t>YPOTHÈSES ET EXPLICATIONS</w:t>
      </w:r>
    </w:p>
    <w:p w14:paraId="7887DE7D" w14:textId="38A268C0" w:rsidR="00A57BCE" w:rsidRDefault="00A57BCE" w:rsidP="00F33347">
      <w:pPr>
        <w:jc w:val="both"/>
      </w:pPr>
      <w:r>
        <w:rPr>
          <w:noProof/>
          <w:lang w:eastAsia="fr-FR"/>
        </w:rPr>
        <mc:AlternateContent>
          <mc:Choice Requires="wps">
            <w:drawing>
              <wp:anchor distT="0" distB="0" distL="114300" distR="114300" simplePos="0" relativeHeight="252049408" behindDoc="0" locked="0" layoutInCell="1" allowOverlap="1" wp14:anchorId="2E0F7AB9" wp14:editId="40392790">
                <wp:simplePos x="0" y="0"/>
                <wp:positionH relativeFrom="column">
                  <wp:posOffset>-457200</wp:posOffset>
                </wp:positionH>
                <wp:positionV relativeFrom="paragraph">
                  <wp:posOffset>170180</wp:posOffset>
                </wp:positionV>
                <wp:extent cx="342900" cy="342900"/>
                <wp:effectExtent l="76200" t="76200" r="0" b="63500"/>
                <wp:wrapNone/>
                <wp:docPr id="187" name="Ellipse 187"/>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F6F6297" w14:textId="77777777" w:rsidR="00573C95" w:rsidRPr="00A57BCE" w:rsidRDefault="00573C95" w:rsidP="00A57BCE">
                            <w:pPr>
                              <w:jc w:val="center"/>
                              <w:rPr>
                                <w:sz w:val="16"/>
                                <w:szCs w:val="16"/>
                              </w:rPr>
                            </w:pPr>
                            <w:r w:rsidRPr="00A57BCE">
                              <w:rPr>
                                <w:sz w:val="16"/>
                                <w:szCs w:val="1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87" o:spid="_x0000_s1095" style="position:absolute;left:0;text-align:left;margin-left:-35.95pt;margin-top:13.4pt;width:27pt;height:27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" fillcolor="#ff6700 [3206]" strokecolor="white [3212]">
                <v:textbox>
                  <w:txbxContent>
                    <w:p w14:paraId="0F6F6297" w14:textId="77777777" w:rsidR="001501D6" w:rsidRPr="00A57BCE" w:rsidRDefault="001501D6" w:rsidP="00A57BCE">
                      <w:pPr>
                        <w:jc w:val="center"/>
                        <w:rPr>
                          <w:sz w:val="16"/>
                          <w:szCs w:val="16"/>
                        </w:rPr>
                      </w:pPr>
                      <w:r w:rsidRPr="00A57BCE">
                        <w:rPr>
                          <w:sz w:val="16"/>
                          <w:szCs w:val="16"/>
                        </w:rPr>
                        <w:t>A</w:t>
                      </w:r>
                    </w:p>
                  </w:txbxContent>
                </v:textbox>
              </v:oval>
            </w:pict>
          </mc:Fallback>
        </mc:AlternateContent>
      </w:r>
    </w:p>
    <w:p w14:paraId="2E0D28FF" w14:textId="6D2FC835" w:rsidR="00C304DE" w:rsidRDefault="00C304DE" w:rsidP="00F33347">
      <w:pPr>
        <w:jc w:val="both"/>
      </w:pPr>
      <w:r>
        <w:rPr>
          <w:noProof/>
          <w:lang w:eastAsia="fr-FR"/>
        </w:rPr>
        <mc:AlternateContent>
          <mc:Choice Requires="wps">
            <w:drawing>
              <wp:anchor distT="0" distB="0" distL="114300" distR="114300" simplePos="0" relativeHeight="252051456" behindDoc="0" locked="0" layoutInCell="1" allowOverlap="1" wp14:anchorId="5F3B114B" wp14:editId="100BC18E">
                <wp:simplePos x="0" y="0"/>
                <wp:positionH relativeFrom="column">
                  <wp:posOffset>-457200</wp:posOffset>
                </wp:positionH>
                <wp:positionV relativeFrom="paragraph">
                  <wp:posOffset>1011555</wp:posOffset>
                </wp:positionV>
                <wp:extent cx="342900" cy="342900"/>
                <wp:effectExtent l="76200" t="76200" r="0" b="63500"/>
                <wp:wrapNone/>
                <wp:docPr id="188" name="Ellipse 188"/>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A9DB229" w14:textId="77777777" w:rsidR="00573C95" w:rsidRPr="00A57BCE" w:rsidRDefault="00573C95" w:rsidP="00A57BCE">
                            <w:pPr>
                              <w:jc w:val="center"/>
                              <w:rPr>
                                <w:sz w:val="16"/>
                                <w:szCs w:val="16"/>
                              </w:rPr>
                            </w:pPr>
                            <w:r>
                              <w:rPr>
                                <w:sz w:val="16"/>
                                <w:szCs w:val="1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88" o:spid="_x0000_s1096" style="position:absolute;left:0;text-align:left;margin-left:-35.95pt;margin-top:79.65pt;width:27pt;height:27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" fillcolor="#ff6700 [3206]" strokecolor="white [3212]">
                <v:textbox>
                  <w:txbxContent>
                    <w:p w14:paraId="1A9DB229" w14:textId="77777777" w:rsidR="001501D6" w:rsidRPr="00A57BCE" w:rsidRDefault="001501D6" w:rsidP="00A57BCE">
                      <w:pPr>
                        <w:jc w:val="center"/>
                        <w:rPr>
                          <w:sz w:val="16"/>
                          <w:szCs w:val="16"/>
                        </w:rPr>
                      </w:pPr>
                      <w:r>
                        <w:rPr>
                          <w:sz w:val="16"/>
                          <w:szCs w:val="16"/>
                        </w:rPr>
                        <w:t>B</w:t>
                      </w:r>
                    </w:p>
                  </w:txbxContent>
                </v:textbox>
              </v:oval>
            </w:pict>
          </mc:Fallback>
        </mc:AlternateContent>
      </w:r>
      <w:r>
        <w:t>Dans le calcul du flux monétaire généré par les salaires, nous avons majoré</w:t>
      </w:r>
      <w:r w:rsidR="009214C9">
        <w:t xml:space="preserve"> annuellement</w:t>
      </w:r>
      <w:r>
        <w:t xml:space="preserve"> les salaires de l’augmentation prévue de 5 % (dans les deux cas) et nous avons actualisé tous les flux en utilisant un taux de 3 %. Dans ce type de calcul, nous avons fixé le taux d’actualisation en </w:t>
      </w:r>
      <w:r w:rsidR="009214C9">
        <w:t>nous inspirant</w:t>
      </w:r>
      <w:r>
        <w:t xml:space="preserve"> du taux d’infla</w:t>
      </w:r>
      <w:r w:rsidR="00D159C4">
        <w:t>tion (un peu surévalué)</w:t>
      </w:r>
      <w:r>
        <w:t xml:space="preserve"> puisque nous avons considéré la préservation du pouvoir d’achat comme étant le concept à privilégier. Nous avons utilisé la fonction VAN </w:t>
      </w:r>
      <w:r w:rsidR="009214C9">
        <w:t>d’</w:t>
      </w:r>
      <w:r>
        <w:t>Excel.</w:t>
      </w:r>
    </w:p>
    <w:p w14:paraId="46F9BCBA" w14:textId="77777777" w:rsidR="00C304DE" w:rsidRDefault="00C304DE" w:rsidP="00F33347">
      <w:pPr>
        <w:jc w:val="both"/>
      </w:pPr>
    </w:p>
    <w:p w14:paraId="63D3FB73" w14:textId="7C5ABC5C" w:rsidR="00D159C4" w:rsidRDefault="00D159C4" w:rsidP="00F33347">
      <w:pPr>
        <w:jc w:val="both"/>
      </w:pPr>
      <w:r>
        <w:rPr>
          <w:noProof/>
          <w:lang w:eastAsia="fr-FR"/>
        </w:rPr>
        <mc:AlternateContent>
          <mc:Choice Requires="wps">
            <w:drawing>
              <wp:anchor distT="0" distB="0" distL="114300" distR="114300" simplePos="0" relativeHeight="252053504" behindDoc="0" locked="0" layoutInCell="1" allowOverlap="1" wp14:anchorId="27FC7A94" wp14:editId="26BAB58F">
                <wp:simplePos x="0" y="0"/>
                <wp:positionH relativeFrom="column">
                  <wp:posOffset>-457200</wp:posOffset>
                </wp:positionH>
                <wp:positionV relativeFrom="paragraph">
                  <wp:posOffset>690880</wp:posOffset>
                </wp:positionV>
                <wp:extent cx="342900" cy="342900"/>
                <wp:effectExtent l="76200" t="76200" r="0" b="63500"/>
                <wp:wrapNone/>
                <wp:docPr id="189" name="Ellipse 189"/>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79E3B0B" w14:textId="77777777" w:rsidR="00573C95" w:rsidRPr="00A57BCE" w:rsidRDefault="00573C95" w:rsidP="00A57BCE">
                            <w:pPr>
                              <w:jc w:val="center"/>
                              <w:rPr>
                                <w:sz w:val="16"/>
                                <w:szCs w:val="16"/>
                              </w:rPr>
                            </w:pPr>
                            <w:r>
                              <w:rPr>
                                <w:sz w:val="16"/>
                                <w:szCs w:val="16"/>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89" o:spid="_x0000_s1097" style="position:absolute;left:0;text-align:left;margin-left:-35.95pt;margin-top:54.4pt;width:27pt;height:27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" fillcolor="#ff6700 [3206]" strokecolor="white [3212]">
                <v:textbox>
                  <w:txbxContent>
                    <w:p w14:paraId="479E3B0B" w14:textId="77777777" w:rsidR="001501D6" w:rsidRPr="00A57BCE" w:rsidRDefault="001501D6" w:rsidP="00A57BCE">
                      <w:pPr>
                        <w:jc w:val="center"/>
                        <w:rPr>
                          <w:sz w:val="16"/>
                          <w:szCs w:val="16"/>
                        </w:rPr>
                      </w:pPr>
                      <w:r>
                        <w:rPr>
                          <w:sz w:val="16"/>
                          <w:szCs w:val="16"/>
                        </w:rPr>
                        <w:t>C</w:t>
                      </w:r>
                    </w:p>
                  </w:txbxContent>
                </v:textbox>
              </v:oval>
            </w:pict>
          </mc:Fallback>
        </mc:AlternateContent>
      </w:r>
      <w:r>
        <w:t xml:space="preserve">Pour les régimes de retraite, nous avons considéré les contributions de l’employeur seulement (puisque c’est la comparaison des rémunérations qui nous intéresse) en </w:t>
      </w:r>
      <w:r w:rsidR="009214C9">
        <w:t>utilisant</w:t>
      </w:r>
      <w:r>
        <w:t xml:space="preserve"> un rendement de 5 %. Au terme de la dixième année, nous avons actualisé avec les taux de 3 %, la valeur du placement en utilisant la fonction VA </w:t>
      </w:r>
      <w:r w:rsidR="009214C9">
        <w:t>d’</w:t>
      </w:r>
      <w:r>
        <w:t>Excel.</w:t>
      </w:r>
    </w:p>
    <w:p w14:paraId="158CF4F1" w14:textId="77777777" w:rsidR="00D159C4" w:rsidRDefault="00D159C4" w:rsidP="00F33347">
      <w:pPr>
        <w:jc w:val="both"/>
      </w:pPr>
    </w:p>
    <w:p w14:paraId="59CFA4B6" w14:textId="269CE660" w:rsidR="00D159C4" w:rsidRDefault="00D159C4" w:rsidP="00F33347">
      <w:pPr>
        <w:jc w:val="both"/>
      </w:pPr>
      <w:r>
        <w:t xml:space="preserve">Dans le cas de la prime de </w:t>
      </w:r>
      <w:r w:rsidR="009214C9">
        <w:t>départ</w:t>
      </w:r>
      <w:r>
        <w:t xml:space="preserve">, nous avons tout simplement actualisé, toujours en utilisant le taux de 3 %, le montant qui sera versé dans 10 ans. Nous avons utilisé la fonction VA </w:t>
      </w:r>
      <w:r w:rsidR="009214C9">
        <w:t>d’</w:t>
      </w:r>
      <w:r>
        <w:t xml:space="preserve">Excel. </w:t>
      </w:r>
    </w:p>
    <w:p w14:paraId="190D5498" w14:textId="77777777" w:rsidR="00D159C4" w:rsidRDefault="00D159C4" w:rsidP="00F33347">
      <w:pPr>
        <w:jc w:val="both"/>
      </w:pPr>
    </w:p>
    <w:p w14:paraId="77BB530E" w14:textId="7FBCC008" w:rsidR="005B3CED" w:rsidRDefault="00D159C4" w:rsidP="00F33347">
      <w:pPr>
        <w:jc w:val="both"/>
      </w:pPr>
      <w:r>
        <w:rPr>
          <w:noProof/>
          <w:lang w:eastAsia="fr-FR"/>
        </w:rPr>
        <w:lastRenderedPageBreak/>
        <mc:AlternateContent>
          <mc:Choice Requires="wps">
            <w:drawing>
              <wp:anchor distT="0" distB="0" distL="114300" distR="114300" simplePos="0" relativeHeight="252055552" behindDoc="0" locked="0" layoutInCell="1" allowOverlap="1" wp14:anchorId="796AD1A9" wp14:editId="6F8E254D">
                <wp:simplePos x="0" y="0"/>
                <wp:positionH relativeFrom="column">
                  <wp:posOffset>-457200</wp:posOffset>
                </wp:positionH>
                <wp:positionV relativeFrom="paragraph">
                  <wp:posOffset>-114300</wp:posOffset>
                </wp:positionV>
                <wp:extent cx="342900" cy="342900"/>
                <wp:effectExtent l="76200" t="76200" r="0" b="63500"/>
                <wp:wrapNone/>
                <wp:docPr id="190" name="Ellipse 190"/>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910D50D" w14:textId="6ABD2A82" w:rsidR="00573C95" w:rsidRPr="00A57BCE" w:rsidRDefault="00573C95" w:rsidP="00C304DE">
                            <w:pPr>
                              <w:jc w:val="center"/>
                              <w:rPr>
                                <w:sz w:val="16"/>
                                <w:szCs w:val="16"/>
                              </w:rPr>
                            </w:pPr>
                            <w:r>
                              <w:rPr>
                                <w:sz w:val="16"/>
                                <w:szCs w:val="16"/>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90" o:spid="_x0000_s1098" style="position:absolute;left:0;text-align:left;margin-left:-35.95pt;margin-top:-8.95pt;width:27pt;height:27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" fillcolor="#ff6700 [3206]" strokecolor="white [3212]">
                <v:textbox>
                  <w:txbxContent>
                    <w:p w14:paraId="6910D50D" w14:textId="6ABD2A82" w:rsidR="001501D6" w:rsidRPr="00A57BCE" w:rsidRDefault="001501D6" w:rsidP="00C304DE">
                      <w:pPr>
                        <w:jc w:val="center"/>
                        <w:rPr>
                          <w:sz w:val="16"/>
                          <w:szCs w:val="16"/>
                        </w:rPr>
                      </w:pPr>
                      <w:r>
                        <w:rPr>
                          <w:sz w:val="16"/>
                          <w:szCs w:val="16"/>
                        </w:rPr>
                        <w:t>D</w:t>
                      </w:r>
                    </w:p>
                  </w:txbxContent>
                </v:textbox>
              </v:oval>
            </w:pict>
          </mc:Fallback>
        </mc:AlternateContent>
      </w:r>
      <w:r>
        <w:t xml:space="preserve">Pour tenir compte de la valeur actuelle des loyers, nous avons considéré que les </w:t>
      </w:r>
      <w:r w:rsidR="009214C9">
        <w:t>augmentations</w:t>
      </w:r>
      <w:r>
        <w:t xml:space="preserve"> seraient </w:t>
      </w:r>
      <w:r w:rsidR="009214C9">
        <w:t>comparables</w:t>
      </w:r>
      <w:r>
        <w:t xml:space="preserve"> à notre taux d’actualisation de 3 % et que par conséquent nous pouvions tout simplement </w:t>
      </w:r>
      <w:r w:rsidR="009214C9">
        <w:t>utiliser</w:t>
      </w:r>
      <w:r>
        <w:t xml:space="preserve"> les montants </w:t>
      </w:r>
      <w:r w:rsidR="009214C9">
        <w:t>tels quels</w:t>
      </w:r>
      <w:r w:rsidR="005B3CED">
        <w:t xml:space="preserve"> (120 mois * 800 $ et 120 mois * 1 500 $).</w:t>
      </w:r>
    </w:p>
    <w:p w14:paraId="65EAA7FB" w14:textId="28BE70C4" w:rsidR="005B3CED" w:rsidRDefault="005B3CED" w:rsidP="00F33347">
      <w:pPr>
        <w:jc w:val="both"/>
      </w:pPr>
      <w:r>
        <w:rPr>
          <w:noProof/>
          <w:lang w:eastAsia="fr-FR"/>
        </w:rPr>
        <mc:AlternateContent>
          <mc:Choice Requires="wps">
            <w:drawing>
              <wp:anchor distT="0" distB="0" distL="114300" distR="114300" simplePos="0" relativeHeight="252057600" behindDoc="0" locked="0" layoutInCell="1" allowOverlap="1" wp14:anchorId="471251A8" wp14:editId="453B03EE">
                <wp:simplePos x="0" y="0"/>
                <wp:positionH relativeFrom="column">
                  <wp:posOffset>-457200</wp:posOffset>
                </wp:positionH>
                <wp:positionV relativeFrom="paragraph">
                  <wp:posOffset>10795</wp:posOffset>
                </wp:positionV>
                <wp:extent cx="342900" cy="342900"/>
                <wp:effectExtent l="76200" t="76200" r="0" b="63500"/>
                <wp:wrapNone/>
                <wp:docPr id="191" name="Ellipse 191"/>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8F89189" w14:textId="77777777" w:rsidR="00573C95" w:rsidRPr="00A57BCE" w:rsidRDefault="00573C95" w:rsidP="00C304DE">
                            <w:pPr>
                              <w:jc w:val="center"/>
                              <w:rPr>
                                <w:sz w:val="16"/>
                                <w:szCs w:val="16"/>
                              </w:rPr>
                            </w:pPr>
                            <w:r>
                              <w:rPr>
                                <w:sz w:val="16"/>
                                <w:szCs w:val="16"/>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91" o:spid="_x0000_s1099" style="position:absolute;left:0;text-align:left;margin-left:-35.95pt;margin-top:.85pt;width:27pt;height:27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" fillcolor="#ff6700 [3206]" strokecolor="white [3212]">
                <v:textbox>
                  <w:txbxContent>
                    <w:p w14:paraId="28F89189" w14:textId="77777777" w:rsidR="001501D6" w:rsidRPr="00A57BCE" w:rsidRDefault="001501D6" w:rsidP="00C304DE">
                      <w:pPr>
                        <w:jc w:val="center"/>
                        <w:rPr>
                          <w:sz w:val="16"/>
                          <w:szCs w:val="16"/>
                        </w:rPr>
                      </w:pPr>
                      <w:r>
                        <w:rPr>
                          <w:sz w:val="16"/>
                          <w:szCs w:val="16"/>
                        </w:rPr>
                        <w:t>E</w:t>
                      </w:r>
                    </w:p>
                  </w:txbxContent>
                </v:textbox>
              </v:oval>
            </w:pict>
          </mc:Fallback>
        </mc:AlternateContent>
      </w:r>
    </w:p>
    <w:p w14:paraId="1CB78018" w14:textId="16901676" w:rsidR="00F32CF6" w:rsidRDefault="005A0A8A" w:rsidP="00F33347">
      <w:pPr>
        <w:jc w:val="both"/>
      </w:pPr>
      <w:r>
        <w:t xml:space="preserve">L’hypothèse utilisée pour les voitures est à notre avis intéressante puisqu’elle s’inspire d’une réflexion en partie </w:t>
      </w:r>
      <w:r w:rsidR="009214C9">
        <w:t>contre-intuitive</w:t>
      </w:r>
      <w:r>
        <w:t xml:space="preserve"> (ou est-ce simplement un peu de paresse de la part de l’auteur</w:t>
      </w:r>
      <w:r w:rsidRPr="005A0A8A">
        <w:rPr>
          <w:rFonts w:ascii="Avenir Book" w:hAnsi="Avenir Book"/>
        </w:rPr>
        <w:t>?</w:t>
      </w:r>
      <w:r>
        <w:rPr>
          <w:rFonts w:ascii="Avenir Book" w:hAnsi="Avenir Book"/>
        </w:rPr>
        <w:t>)</w:t>
      </w:r>
      <w:r>
        <w:t>. Nous avons simplement décidé de ne pas inclure dans les calculs financiers la valeur économique de cet avantage puisque qu’en tant que bonne consommatrice, Marie sait</w:t>
      </w:r>
      <w:r w:rsidR="00395BB8">
        <w:t xml:space="preserve"> </w:t>
      </w:r>
      <w:r>
        <w:t>pertinemment que la Golf correspond très bien à ses besoins et que la Audi, bien que très agréable à conduire, n’est qu’un coût supplémentaire qui en quelque sorte réduit le salaire que l’emplo</w:t>
      </w:r>
      <w:r w:rsidR="00F32CF6">
        <w:t xml:space="preserve">yeur est prêt à lui verser. Tous les éléments de la rémunération globale </w:t>
      </w:r>
      <w:r>
        <w:t xml:space="preserve"> étant interrelié</w:t>
      </w:r>
      <w:r w:rsidR="00F32CF6">
        <w:t>s</w:t>
      </w:r>
      <w:r>
        <w:t>.</w:t>
      </w:r>
    </w:p>
    <w:p w14:paraId="641466B8" w14:textId="77777777" w:rsidR="00F32CF6" w:rsidRDefault="00F32CF6" w:rsidP="00F33347">
      <w:pPr>
        <w:jc w:val="both"/>
      </w:pPr>
    </w:p>
    <w:p w14:paraId="34569899" w14:textId="77777777" w:rsidR="00F32CF6" w:rsidRDefault="00F32CF6" w:rsidP="00F33347">
      <w:pPr>
        <w:jc w:val="both"/>
        <w:rPr>
          <w:color w:val="FF6700" w:themeColor="accent3"/>
        </w:rPr>
      </w:pPr>
      <w:r w:rsidRPr="00F32CF6">
        <w:rPr>
          <w:color w:val="FF6700" w:themeColor="accent3"/>
        </w:rPr>
        <w:t>CONCLUSION</w:t>
      </w:r>
    </w:p>
    <w:p w14:paraId="31C52779" w14:textId="77777777" w:rsidR="00F32CF6" w:rsidRDefault="00F32CF6" w:rsidP="00F33347">
      <w:pPr>
        <w:jc w:val="both"/>
        <w:rPr>
          <w:color w:val="FF6700" w:themeColor="accent3"/>
        </w:rPr>
      </w:pPr>
    </w:p>
    <w:p w14:paraId="329BFD42" w14:textId="30BA76D3" w:rsidR="004E563A" w:rsidRDefault="004E563A" w:rsidP="00F33347">
      <w:pPr>
        <w:jc w:val="both"/>
      </w:pPr>
      <w:r>
        <w:t xml:space="preserve">Sous l’angle purement financier, sans tenir compte d’informations plus pointues sur le coût de la vie (sauf pour le loyer) et de la quantification </w:t>
      </w:r>
      <w:r w:rsidR="00395BB8">
        <w:t xml:space="preserve">différentielle </w:t>
      </w:r>
      <w:r>
        <w:t xml:space="preserve">de l’effet fiscal, les deux offres se valent. Cette analyse est un excellent point de départ à l’analyse globale que devra réaliser Marie. Le cadre de vie, le climat de travail, l’organisation du travail, le potentiel de croissance de l’entreprise seront des </w:t>
      </w:r>
      <w:r w:rsidR="009214C9">
        <w:t>éléments</w:t>
      </w:r>
      <w:r>
        <w:t xml:space="preserve"> à considérer puisqu’en terme financier les deux offres se valent. </w:t>
      </w:r>
    </w:p>
    <w:p w14:paraId="7752E48D" w14:textId="77777777" w:rsidR="004E563A" w:rsidRDefault="004E563A" w:rsidP="00F33347">
      <w:pPr>
        <w:jc w:val="both"/>
      </w:pPr>
    </w:p>
    <w:p w14:paraId="58B93653" w14:textId="226FFA4D" w:rsidR="00C659A1" w:rsidRDefault="004E563A" w:rsidP="00F33347">
      <w:pPr>
        <w:jc w:val="both"/>
      </w:pPr>
      <w:r>
        <w:t xml:space="preserve">La question fiscale mérite d’être abordée puisqu’elle pourrait avoir un impact financier dans le cadre d’un calcul plus sophistiqué. Dans le contexte où les deux propositions se déclineraient sous la forme d’une imposition identique, l’omission de cette variable dans un calcul comparatif est tout à fait acceptable. Par contre, l’avantage imposable automobile sur la Audi A 4 risque bien d’être quasiment le double que celui calculé sur la Golf. Cet avantage serait imposable au taux d’imposition marginal maximum, soit environ 50 %. </w:t>
      </w:r>
      <w:r w:rsidR="002F60DB">
        <w:t>De plus,</w:t>
      </w:r>
      <w:r>
        <w:t xml:space="preserve"> afin de réduire sa facture d’impôt</w:t>
      </w:r>
      <w:r w:rsidR="002F60DB">
        <w:t xml:space="preserve">, Marie devrait demander le </w:t>
      </w:r>
      <w:r w:rsidR="009214C9">
        <w:t>paiement</w:t>
      </w:r>
      <w:r w:rsidR="002F60DB">
        <w:t xml:space="preserve"> de sa prime de </w:t>
      </w:r>
      <w:r w:rsidR="009214C9">
        <w:t>départ</w:t>
      </w:r>
      <w:r w:rsidR="002F60DB">
        <w:t xml:space="preserve"> en deux paiements, l’un à la fin décembre et l’autre au début janvier. En agissant ainsi, elle fractionnerait ce revenu sur deux années fiscales distinctes, réduisant alors l’impôt à payer.</w:t>
      </w:r>
    </w:p>
    <w:p w14:paraId="66229A31" w14:textId="02D391B4" w:rsidR="00C659A1" w:rsidRDefault="00C659A1" w:rsidP="00F33347">
      <w:pPr>
        <w:jc w:val="both"/>
      </w:pPr>
      <w:r w:rsidRPr="00171817">
        <w:rPr>
          <w:rFonts w:asciiTheme="majorHAnsi" w:hAnsiTheme="majorHAnsi"/>
          <w:noProof/>
          <w:lang w:eastAsia="fr-FR"/>
        </w:rPr>
        <w:drawing>
          <wp:anchor distT="0" distB="0" distL="114300" distR="114300" simplePos="0" relativeHeight="252059648" behindDoc="0" locked="0" layoutInCell="1" allowOverlap="1" wp14:anchorId="6D287AA9" wp14:editId="45CEF195">
            <wp:simplePos x="0" y="0"/>
            <wp:positionH relativeFrom="column">
              <wp:posOffset>3657600</wp:posOffset>
            </wp:positionH>
            <wp:positionV relativeFrom="paragraph">
              <wp:posOffset>76200</wp:posOffset>
            </wp:positionV>
            <wp:extent cx="685800" cy="741045"/>
            <wp:effectExtent l="0" t="0" r="0" b="0"/>
            <wp:wrapNone/>
            <wp:docPr id="158" name="Image 158" descr="Macintosh HD:Users:marcbachand:Desktop:logo_WIKI_FISCx180 - copie.pn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54EB370" w14:textId="527C3A40" w:rsidR="008112D5" w:rsidRPr="00F32CF6" w:rsidRDefault="00C659A1" w:rsidP="00F33347">
      <w:pPr>
        <w:jc w:val="both"/>
        <w:rPr>
          <w:color w:val="FF6700" w:themeColor="accent3"/>
        </w:rPr>
      </w:pPr>
      <w:r w:rsidRPr="00171817">
        <w:rPr>
          <w:rFonts w:asciiTheme="majorHAnsi" w:hAnsiTheme="majorHAnsi"/>
        </w:rPr>
        <w:t xml:space="preserve">Pour </w:t>
      </w:r>
      <w:r>
        <w:rPr>
          <w:rFonts w:asciiTheme="majorHAnsi" w:hAnsiTheme="majorHAnsi"/>
        </w:rPr>
        <w:t>discuter de cet exemple</w:t>
      </w:r>
      <w:r w:rsidRPr="00171817">
        <w:rPr>
          <w:rFonts w:asciiTheme="majorHAnsi" w:hAnsiTheme="majorHAnsi"/>
        </w:rPr>
        <w:t>, rendez-vous sur</w:t>
      </w:r>
      <w:r w:rsidRPr="00F32CF6">
        <w:rPr>
          <w:color w:val="FF6700" w:themeColor="accent3"/>
        </w:rPr>
        <w:t xml:space="preserve"> </w:t>
      </w:r>
      <w:r w:rsidR="008112D5" w:rsidRPr="00F32CF6">
        <w:rPr>
          <w:color w:val="FF6700" w:themeColor="accent3"/>
        </w:rPr>
        <w:br w:type="page"/>
      </w:r>
    </w:p>
    <w:p w14:paraId="5E4D737F" w14:textId="31C6F8BF" w:rsidR="006C0CCF" w:rsidRDefault="006C0CCF" w:rsidP="006C34CF">
      <w:pPr>
        <w:pStyle w:val="Titre2"/>
        <w:numPr>
          <w:ilvl w:val="1"/>
          <w:numId w:val="15"/>
        </w:numPr>
        <w:tabs>
          <w:tab w:val="left" w:pos="567"/>
          <w:tab w:val="left" w:pos="1134"/>
        </w:tabs>
        <w:ind w:hanging="792"/>
        <w:rPr>
          <w:szCs w:val="28"/>
        </w:rPr>
      </w:pPr>
      <w:bookmarkStart w:id="40" w:name="_Toc314397827"/>
      <w:bookmarkStart w:id="41" w:name="_Toc443569371"/>
      <w:r>
        <w:rPr>
          <w:szCs w:val="28"/>
        </w:rPr>
        <w:lastRenderedPageBreak/>
        <w:t>Les régimes de pension</w:t>
      </w:r>
      <w:bookmarkEnd w:id="40"/>
      <w:bookmarkEnd w:id="41"/>
    </w:p>
    <w:p w14:paraId="22E44CAD" w14:textId="77777777" w:rsidR="006C0CCF" w:rsidRDefault="006C0CCF" w:rsidP="006C0CCF">
      <w:pPr>
        <w:jc w:val="both"/>
      </w:pPr>
    </w:p>
    <w:p w14:paraId="1C6CDE93" w14:textId="45EF3B7C" w:rsidR="00647AD0" w:rsidRDefault="00647AD0" w:rsidP="006C0CCF">
      <w:pPr>
        <w:jc w:val="both"/>
      </w:pPr>
      <w:r>
        <w:t xml:space="preserve">Les régimes de pension qui sont pourvus par le lien d’emploi, comme nous venons de l’illustrer, constituent </w:t>
      </w:r>
      <w:r w:rsidRPr="003E1E50">
        <w:rPr>
          <w:color w:val="0000FF"/>
        </w:rPr>
        <w:t>une forme de rémunération dont l’avantage se matérialisera plus tard</w:t>
      </w:r>
      <w:r>
        <w:t xml:space="preserve">, soit au moment de la retraite. Ces régimes peuvent </w:t>
      </w:r>
      <w:r w:rsidR="00620EDE">
        <w:t>être</w:t>
      </w:r>
      <w:r>
        <w:t xml:space="preserve"> très variés dans leurs formes ainsi que dans leurs modalités. Afin de comparer deux régimes, il faut tenir compte d’un grand nombre de cara</w:t>
      </w:r>
      <w:r w:rsidR="001C7E85">
        <w:t>c</w:t>
      </w:r>
      <w:r>
        <w:t xml:space="preserve">téristiques, </w:t>
      </w:r>
      <w:r w:rsidR="003E1E50">
        <w:t xml:space="preserve">en </w:t>
      </w:r>
      <w:r>
        <w:t>voici quelques exemples :</w:t>
      </w:r>
    </w:p>
    <w:p w14:paraId="744F2C4F" w14:textId="77777777" w:rsidR="00647AD0" w:rsidRDefault="00647AD0" w:rsidP="006C0CCF">
      <w:pPr>
        <w:jc w:val="both"/>
      </w:pPr>
    </w:p>
    <w:p w14:paraId="363EC148" w14:textId="7294984B" w:rsidR="009F2B95" w:rsidRDefault="00647AD0" w:rsidP="007A697E">
      <w:pPr>
        <w:pStyle w:val="Paragraphedeliste"/>
        <w:numPr>
          <w:ilvl w:val="0"/>
          <w:numId w:val="131"/>
        </w:numPr>
        <w:jc w:val="both"/>
      </w:pPr>
      <w:r>
        <w:t>Est-ce un régime à prestation ou à cotisation déterminée</w:t>
      </w:r>
      <w:r w:rsidRPr="00647AD0">
        <w:rPr>
          <w:rFonts w:ascii="Avenir Book" w:hAnsi="Avenir Book"/>
        </w:rPr>
        <w:t>?</w:t>
      </w:r>
    </w:p>
    <w:p w14:paraId="44C5CE39" w14:textId="4B249E46" w:rsidR="00647AD0" w:rsidRDefault="00647AD0" w:rsidP="007A697E">
      <w:pPr>
        <w:pStyle w:val="Paragraphedeliste"/>
        <w:numPr>
          <w:ilvl w:val="0"/>
          <w:numId w:val="131"/>
        </w:numPr>
        <w:jc w:val="both"/>
      </w:pPr>
      <w:r>
        <w:t>Quelles sont les modal</w:t>
      </w:r>
      <w:r w:rsidR="001C7E85">
        <w:t>i</w:t>
      </w:r>
      <w:r>
        <w:t>tés quant à l’âge et le nombre d’années de services pour avoir droit au régime</w:t>
      </w:r>
      <w:r w:rsidRPr="00647AD0">
        <w:rPr>
          <w:rFonts w:ascii="Avenir Book" w:hAnsi="Avenir Book"/>
        </w:rPr>
        <w:t>?</w:t>
      </w:r>
    </w:p>
    <w:p w14:paraId="6A3883AF" w14:textId="6F68E536" w:rsidR="00647AD0" w:rsidRDefault="00647AD0" w:rsidP="007A697E">
      <w:pPr>
        <w:pStyle w:val="Paragraphedeliste"/>
        <w:numPr>
          <w:ilvl w:val="0"/>
          <w:numId w:val="131"/>
        </w:numPr>
        <w:jc w:val="both"/>
      </w:pPr>
      <w:r>
        <w:t>Comment s</w:t>
      </w:r>
      <w:r w:rsidR="000702E7">
        <w:t>’</w:t>
      </w:r>
      <w:r>
        <w:t>e</w:t>
      </w:r>
      <w:r w:rsidR="000702E7">
        <w:t>ffectue le</w:t>
      </w:r>
      <w:r>
        <w:t xml:space="preserve"> calcul </w:t>
      </w:r>
      <w:r w:rsidR="000702E7">
        <w:t>d</w:t>
      </w:r>
      <w:r>
        <w:t>es pénalités actuarielles, s’il y a lieu</w:t>
      </w:r>
      <w:r w:rsidRPr="00647AD0">
        <w:rPr>
          <w:rFonts w:ascii="Avenir Book" w:hAnsi="Avenir Book"/>
        </w:rPr>
        <w:t>?</w:t>
      </w:r>
    </w:p>
    <w:p w14:paraId="13F83720" w14:textId="646C9D37" w:rsidR="00647AD0" w:rsidRDefault="00780D04" w:rsidP="007A697E">
      <w:pPr>
        <w:pStyle w:val="Paragraphedeliste"/>
        <w:numPr>
          <w:ilvl w:val="0"/>
          <w:numId w:val="131"/>
        </w:numPr>
        <w:jc w:val="both"/>
      </w:pPr>
      <w:r>
        <w:rPr>
          <w:noProof/>
          <w:lang w:eastAsia="fr-FR"/>
        </w:rPr>
        <w:drawing>
          <wp:anchor distT="0" distB="0" distL="114300" distR="114300" simplePos="0" relativeHeight="252060672" behindDoc="0" locked="0" layoutInCell="1" allowOverlap="1" wp14:anchorId="08B472AF" wp14:editId="6FB83960">
            <wp:simplePos x="0" y="0"/>
            <wp:positionH relativeFrom="column">
              <wp:posOffset>4572000</wp:posOffset>
            </wp:positionH>
            <wp:positionV relativeFrom="paragraph">
              <wp:posOffset>90805</wp:posOffset>
            </wp:positionV>
            <wp:extent cx="4509135" cy="3314700"/>
            <wp:effectExtent l="0" t="0" r="12065" b="12700"/>
            <wp:wrapSquare wrapText="bothSides"/>
            <wp:docPr id="159" name="Image 159" descr="Macintosh HD:Users:marcbachand:Desktop:Capture d’écran 2015-06-05 à 09.3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5 à 09.33.0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09135" cy="3314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47AD0">
        <w:t xml:space="preserve">Quel est le </w:t>
      </w:r>
      <w:r w:rsidR="00F27804">
        <w:t xml:space="preserve">pourcentage </w:t>
      </w:r>
      <w:r w:rsidR="00647AD0">
        <w:t>des cotisations effectuées par l’employeur</w:t>
      </w:r>
      <w:r w:rsidR="00647AD0" w:rsidRPr="00647AD0">
        <w:rPr>
          <w:rFonts w:ascii="Avenir Book" w:hAnsi="Avenir Book"/>
        </w:rPr>
        <w:t>?</w:t>
      </w:r>
      <w:r w:rsidR="00E46BF9" w:rsidRPr="00E46BF9">
        <w:rPr>
          <w:noProof/>
          <w:lang w:eastAsia="fr-FR"/>
        </w:rPr>
        <w:t xml:space="preserve"> </w:t>
      </w:r>
    </w:p>
    <w:p w14:paraId="598E826C" w14:textId="7431A9C6" w:rsidR="00647AD0" w:rsidRDefault="00647AD0" w:rsidP="007A697E">
      <w:pPr>
        <w:pStyle w:val="Paragraphedeliste"/>
        <w:numPr>
          <w:ilvl w:val="0"/>
          <w:numId w:val="131"/>
        </w:numPr>
        <w:jc w:val="both"/>
      </w:pPr>
      <w:r>
        <w:t xml:space="preserve">Quel est le montant de la rente </w:t>
      </w:r>
      <w:r w:rsidR="006C0577">
        <w:t>qui sera</w:t>
      </w:r>
      <w:r>
        <w:t xml:space="preserve"> versé</w:t>
      </w:r>
      <w:r w:rsidRPr="00647AD0">
        <w:rPr>
          <w:rFonts w:ascii="Avenir Book" w:hAnsi="Avenir Book"/>
        </w:rPr>
        <w:t>?</w:t>
      </w:r>
    </w:p>
    <w:p w14:paraId="658D39A6" w14:textId="2AAD0A3C" w:rsidR="00647AD0" w:rsidRDefault="000702E7" w:rsidP="007A697E">
      <w:pPr>
        <w:pStyle w:val="Paragraphedeliste"/>
        <w:numPr>
          <w:ilvl w:val="0"/>
          <w:numId w:val="131"/>
        </w:numPr>
        <w:jc w:val="both"/>
      </w:pPr>
      <w:r>
        <w:t>Est-ce qu’il y a</w:t>
      </w:r>
      <w:r w:rsidR="003E1E50">
        <w:t>ura</w:t>
      </w:r>
      <w:r>
        <w:t xml:space="preserve"> </w:t>
      </w:r>
      <w:r w:rsidR="00647AD0">
        <w:t>indexation de la rente</w:t>
      </w:r>
      <w:r w:rsidRPr="00647AD0">
        <w:rPr>
          <w:rFonts w:ascii="Avenir Book" w:hAnsi="Avenir Book"/>
        </w:rPr>
        <w:t>?</w:t>
      </w:r>
    </w:p>
    <w:p w14:paraId="5C3775AE" w14:textId="304B1661" w:rsidR="00647AD0" w:rsidRDefault="00E46BF9" w:rsidP="007A697E">
      <w:pPr>
        <w:pStyle w:val="Paragraphedeliste"/>
        <w:numPr>
          <w:ilvl w:val="0"/>
          <w:numId w:val="131"/>
        </w:numPr>
        <w:jc w:val="both"/>
      </w:pPr>
      <w:r>
        <w:rPr>
          <w:noProof/>
          <w:lang w:eastAsia="fr-FR"/>
        </w:rPr>
        <mc:AlternateContent>
          <mc:Choice Requires="wps">
            <w:drawing>
              <wp:anchor distT="0" distB="0" distL="114300" distR="114300" simplePos="0" relativeHeight="252062720" behindDoc="0" locked="0" layoutInCell="1" allowOverlap="1" wp14:anchorId="76BEE13D" wp14:editId="2CD805BE">
                <wp:simplePos x="0" y="0"/>
                <wp:positionH relativeFrom="column">
                  <wp:posOffset>7543800</wp:posOffset>
                </wp:positionH>
                <wp:positionV relativeFrom="paragraph">
                  <wp:posOffset>76835</wp:posOffset>
                </wp:positionV>
                <wp:extent cx="1028700" cy="1028700"/>
                <wp:effectExtent l="76200" t="76200" r="88900" b="88900"/>
                <wp:wrapThrough wrapText="bothSides">
                  <wp:wrapPolygon edited="0">
                    <wp:start x="5867" y="-1600"/>
                    <wp:lineTo x="-1600" y="-533"/>
                    <wp:lineTo x="-1600" y="14933"/>
                    <wp:lineTo x="-533" y="17067"/>
                    <wp:lineTo x="5333" y="21867"/>
                    <wp:lineTo x="5867" y="22933"/>
                    <wp:lineTo x="16000" y="22933"/>
                    <wp:lineTo x="16533" y="21867"/>
                    <wp:lineTo x="21867" y="17067"/>
                    <wp:lineTo x="22933" y="8533"/>
                    <wp:lineTo x="22933" y="6400"/>
                    <wp:lineTo x="17067" y="-533"/>
                    <wp:lineTo x="15467" y="-1600"/>
                    <wp:lineTo x="5867" y="-1600"/>
                  </wp:wrapPolygon>
                </wp:wrapThrough>
                <wp:docPr id="160" name="Ellipse 160"/>
                <wp:cNvGraphicFramePr/>
                <a:graphic xmlns:a="http://schemas.openxmlformats.org/drawingml/2006/main">
                  <a:graphicData uri="http://schemas.microsoft.com/office/word/2010/wordprocessingShape">
                    <wps:wsp>
                      <wps:cNvSpPr/>
                      <wps:spPr>
                        <a:xfrm>
                          <a:off x="0" y="0"/>
                          <a:ext cx="1028700" cy="1028700"/>
                        </a:xfrm>
                        <a:prstGeom prst="ellipse">
                          <a:avLst/>
                        </a:prstGeom>
                        <a:no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id="Ellipse 160" o:spid="_x0000_s1026" style="position:absolute;margin-left:594pt;margin-top:6.05pt;width:81pt;height:81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" filled="f" strokecolor="maroon" strokeweight="2.25pt">
                <w10:wrap type="through"/>
              </v:oval>
            </w:pict>
          </mc:Fallback>
        </mc:AlternateContent>
      </w:r>
      <w:r w:rsidR="003E1E50">
        <w:t>Suite au décès, q</w:t>
      </w:r>
      <w:r w:rsidR="000702E7">
        <w:t xml:space="preserve">uel </w:t>
      </w:r>
      <w:r w:rsidR="003E1E50">
        <w:t>sera</w:t>
      </w:r>
      <w:r w:rsidR="000702E7">
        <w:t xml:space="preserve"> le </w:t>
      </w:r>
      <w:r w:rsidR="00F27804">
        <w:t xml:space="preserve">pourcentage </w:t>
      </w:r>
      <w:r w:rsidR="00647AD0">
        <w:t xml:space="preserve">de la rente </w:t>
      </w:r>
      <w:r w:rsidR="00F27804">
        <w:t>qui sera versé</w:t>
      </w:r>
      <w:r w:rsidR="006C0577">
        <w:t>e</w:t>
      </w:r>
      <w:r w:rsidR="00F27804">
        <w:t xml:space="preserve"> </w:t>
      </w:r>
      <w:r w:rsidR="00647AD0">
        <w:t xml:space="preserve">au conjoint survivant </w:t>
      </w:r>
      <w:r w:rsidR="000702E7" w:rsidRPr="00647AD0">
        <w:rPr>
          <w:rFonts w:ascii="Avenir Book" w:hAnsi="Avenir Book"/>
        </w:rPr>
        <w:t>?</w:t>
      </w:r>
    </w:p>
    <w:p w14:paraId="2A0A90DB" w14:textId="7A0378A8" w:rsidR="00647AD0" w:rsidRDefault="00647AD0" w:rsidP="00647AD0">
      <w:pPr>
        <w:jc w:val="both"/>
      </w:pPr>
    </w:p>
    <w:p w14:paraId="37041471" w14:textId="26A30C9C" w:rsidR="000906F7" w:rsidRDefault="00E46BF9" w:rsidP="00647AD0">
      <w:pPr>
        <w:jc w:val="both"/>
      </w:pPr>
      <w:r>
        <w:rPr>
          <w:noProof/>
          <w:lang w:eastAsia="fr-FR"/>
        </w:rPr>
        <mc:AlternateContent>
          <mc:Choice Requires="wps">
            <w:drawing>
              <wp:anchor distT="0" distB="0" distL="114300" distR="114300" simplePos="0" relativeHeight="252064768" behindDoc="0" locked="0" layoutInCell="1" allowOverlap="1" wp14:anchorId="078E7838" wp14:editId="61399C75">
                <wp:simplePos x="0" y="0"/>
                <wp:positionH relativeFrom="column">
                  <wp:posOffset>6286500</wp:posOffset>
                </wp:positionH>
                <wp:positionV relativeFrom="paragraph">
                  <wp:posOffset>523240</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61" name="Ellipse 161"/>
                <wp:cNvGraphicFramePr/>
                <a:graphic xmlns:a="http://schemas.openxmlformats.org/drawingml/2006/main">
                  <a:graphicData uri="http://schemas.microsoft.com/office/word/2010/wordprocessingShape">
                    <wps:wsp>
                      <wps:cNvSpPr/>
                      <wps:spPr>
                        <a:xfrm>
                          <a:off x="0" y="0"/>
                          <a:ext cx="914400" cy="914400"/>
                        </a:xfrm>
                        <a:prstGeom prst="ellipse">
                          <a:avLst/>
                        </a:prstGeom>
                        <a:no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id="Ellipse 161" o:spid="_x0000_s1026" style="position:absolute;margin-left:495pt;margin-top:41.2pt;width:1in;height:1in;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" filled="f" strokecolor="maroon" strokeweight="2.25pt">
                <w10:wrap type="through"/>
              </v:oval>
            </w:pict>
          </mc:Fallback>
        </mc:AlternateContent>
      </w:r>
      <w:r w:rsidR="004B3734">
        <w:t>Les régimes de pension souscrits auprès de l’employeur se situent au deuxième palier de la pyramide des placements. Normalement, les contribuables qui jouissent d’un tel régime n’ont pas à démontrer d’initiative personnelle</w:t>
      </w:r>
      <w:r w:rsidR="003170C8">
        <w:t xml:space="preserve"> (autre que de n</w:t>
      </w:r>
      <w:r w:rsidR="00F27804">
        <w:t>e</w:t>
      </w:r>
      <w:r w:rsidR="003170C8">
        <w:t xml:space="preserve"> pas vivre a</w:t>
      </w:r>
      <w:r w:rsidR="001C7E85">
        <w:t>u</w:t>
      </w:r>
      <w:r w:rsidR="003170C8">
        <w:t>-dessus de leurs moyens)</w:t>
      </w:r>
      <w:r w:rsidR="004B3734">
        <w:t xml:space="preserve"> à l’égard de l’épargne puisque celle-ci est automatique et intégr</w:t>
      </w:r>
      <w:r w:rsidR="003170C8">
        <w:t>ée</w:t>
      </w:r>
      <w:r w:rsidR="004B3734">
        <w:t xml:space="preserve"> par </w:t>
      </w:r>
      <w:r w:rsidR="003170C8">
        <w:t xml:space="preserve">le </w:t>
      </w:r>
      <w:r w:rsidR="004B3734">
        <w:t>lien d’emploi (les cotisations sont obli</w:t>
      </w:r>
      <w:r>
        <w:t>g</w:t>
      </w:r>
      <w:r w:rsidR="004B3734">
        <w:t>atoires et s’effectue</w:t>
      </w:r>
      <w:r w:rsidR="00F27804">
        <w:t>nt</w:t>
      </w:r>
      <w:r w:rsidR="004B3734">
        <w:t xml:space="preserve"> à même les prélèvements sur la paie).</w:t>
      </w:r>
      <w:r w:rsidR="00F27804">
        <w:t xml:space="preserve"> Toutefois</w:t>
      </w:r>
      <w:r w:rsidR="003170C8">
        <w:t>, rappelons que p</w:t>
      </w:r>
      <w:r w:rsidR="003170C8" w:rsidRPr="00D90FA0">
        <w:rPr>
          <w:lang w:val="fr-CA"/>
        </w:rPr>
        <w:t>rès de 60 %</w:t>
      </w:r>
      <w:r w:rsidR="00206C3E">
        <w:rPr>
          <w:rStyle w:val="Marquenotebasdepage"/>
          <w:lang w:val="fr-CA"/>
        </w:rPr>
        <w:footnoteReference w:customMarkFollows="1" w:id="31"/>
        <w:t>28</w:t>
      </w:r>
      <w:r w:rsidR="00F27804">
        <w:rPr>
          <w:lang w:val="fr-CA"/>
        </w:rPr>
        <w:t xml:space="preserve"> </w:t>
      </w:r>
      <w:r w:rsidR="003170C8" w:rsidRPr="00D90FA0">
        <w:rPr>
          <w:lang w:val="fr-CA"/>
        </w:rPr>
        <w:t xml:space="preserve">des </w:t>
      </w:r>
      <w:r w:rsidR="003170C8">
        <w:rPr>
          <w:lang w:val="fr-CA"/>
        </w:rPr>
        <w:t>Québécois</w:t>
      </w:r>
      <w:r w:rsidR="003170C8" w:rsidRPr="00D90FA0">
        <w:rPr>
          <w:lang w:val="fr-CA"/>
        </w:rPr>
        <w:t xml:space="preserve"> n’ont pas un régime de retraite </w:t>
      </w:r>
      <w:r w:rsidR="003E1E50">
        <w:rPr>
          <w:lang w:val="fr-CA"/>
        </w:rPr>
        <w:t>avec</w:t>
      </w:r>
      <w:r w:rsidR="003170C8" w:rsidRPr="00D90FA0">
        <w:rPr>
          <w:lang w:val="fr-CA"/>
        </w:rPr>
        <w:t xml:space="preserve"> leur employeur.</w:t>
      </w:r>
      <w:r w:rsidR="003170C8">
        <w:t xml:space="preserve"> </w:t>
      </w:r>
    </w:p>
    <w:p w14:paraId="1EFB2564" w14:textId="79317958" w:rsidR="000906F7" w:rsidRDefault="000906F7" w:rsidP="00647AD0">
      <w:pPr>
        <w:jc w:val="both"/>
      </w:pPr>
      <w:r>
        <w:lastRenderedPageBreak/>
        <w:t xml:space="preserve">Le </w:t>
      </w:r>
      <w:r w:rsidR="003E1E50" w:rsidRPr="003E1E50">
        <w:rPr>
          <w:color w:val="FF6700" w:themeColor="accent3"/>
        </w:rPr>
        <w:t>CO</w:t>
      </w:r>
      <w:r w:rsidR="003E1E50">
        <w:rPr>
          <w:color w:val="FF6700" w:themeColor="accent3"/>
        </w:rPr>
        <w:t>N</w:t>
      </w:r>
      <w:r w:rsidR="003E1E50" w:rsidRPr="003E1E50">
        <w:rPr>
          <w:color w:val="FF6700" w:themeColor="accent3"/>
        </w:rPr>
        <w:t>CEPT FISCAL</w:t>
      </w:r>
      <w:r w:rsidR="00CA6E91">
        <w:t xml:space="preserve"> de base</w:t>
      </w:r>
      <w:r>
        <w:t xml:space="preserve"> </w:t>
      </w:r>
      <w:r w:rsidR="00CA6E91">
        <w:t xml:space="preserve">associé aux régimes de pension et de retraite, qu’ils soient </w:t>
      </w:r>
      <w:proofErr w:type="gramStart"/>
      <w:r w:rsidR="00CA6E91">
        <w:t>du type lié à l’employeur (RPA) ou issus</w:t>
      </w:r>
      <w:proofErr w:type="gramEnd"/>
      <w:r w:rsidR="00CA6E91">
        <w:t xml:space="preserve"> de l’initiative personnelle du contribuable (RE</w:t>
      </w:r>
      <w:r w:rsidR="00704D8E">
        <w:t>É</w:t>
      </w:r>
      <w:r w:rsidR="00CA6E91">
        <w:t>R), est d</w:t>
      </w:r>
      <w:r w:rsidR="006C0577">
        <w:t>'un</w:t>
      </w:r>
      <w:r w:rsidR="00CA6E91">
        <w:t>e même teneur. Les règles fiscales</w:t>
      </w:r>
      <w:r w:rsidR="00A9452E">
        <w:t xml:space="preserve"> qui sont consignées dans la </w:t>
      </w:r>
      <w:r w:rsidR="00A9452E" w:rsidRPr="00A9452E">
        <w:rPr>
          <w:color w:val="FF6700" w:themeColor="accent3"/>
        </w:rPr>
        <w:t>LOI DE L'IMPÔT SUR LE REVENU</w:t>
      </w:r>
      <w:r w:rsidR="00A9452E">
        <w:t xml:space="preserve"> (LIR)</w:t>
      </w:r>
      <w:r w:rsidR="00CA6E91">
        <w:t xml:space="preserve"> visent à appuyer la démarche d’accumulation du patrimoine pour l</w:t>
      </w:r>
      <w:r w:rsidR="003D4923">
        <w:t>a</w:t>
      </w:r>
      <w:r w:rsidR="00CA6E91">
        <w:t xml:space="preserve"> retraite</w:t>
      </w:r>
      <w:r w:rsidR="003D4923">
        <w:t xml:space="preserve">. Pour </w:t>
      </w:r>
      <w:r w:rsidR="00675FBE">
        <w:t>permettre à l’ensemble de la population canadienne de se constituer des rentes de retraite</w:t>
      </w:r>
      <w:r w:rsidR="003D4923">
        <w:t>, le fisc exempte d’impôt, à la fois</w:t>
      </w:r>
      <w:r w:rsidR="000C62D9">
        <w:t>,</w:t>
      </w:r>
      <w:r w:rsidR="003D4923">
        <w:t xml:space="preserve"> les montants versés par l’employeur (et en permettant la déduction lorsque la cotisation provient du contribuable) dans le régime et les revenus de placement générés à même le régime. L’imposition s’effectuant au moment d</w:t>
      </w:r>
      <w:r w:rsidR="000C62D9">
        <w:t>u</w:t>
      </w:r>
      <w:r w:rsidR="003D4923">
        <w:t xml:space="preserve"> versement des rentes de retraite.</w:t>
      </w:r>
      <w:r w:rsidR="00704D8E">
        <w:t xml:space="preserve"> L’autre objectif du fisc à l’égard de la retraite et de ses différents régimes est </w:t>
      </w:r>
      <w:r w:rsidR="00C929ED">
        <w:t>d’</w:t>
      </w:r>
      <w:r w:rsidR="00704D8E">
        <w:t>être équitable envers chacun d’eux (</w:t>
      </w:r>
      <w:r w:rsidR="00071FEA">
        <w:t>P.E</w:t>
      </w:r>
      <w:r w:rsidR="00704D8E">
        <w:t>. REÉR vs RPA)</w:t>
      </w:r>
      <w:r w:rsidR="00930161">
        <w:t xml:space="preserve">, en ne favorisant pas l’un au détriment de l’autre. De plus, les règles fiscales fixent des plafonds aux sommes pouvant être investies dans les différents régimes. </w:t>
      </w:r>
      <w:r w:rsidR="00CD5C7B">
        <w:t xml:space="preserve">Dans le jargon </w:t>
      </w:r>
      <w:r w:rsidR="003E1E50">
        <w:t xml:space="preserve">fiscal </w:t>
      </w:r>
      <w:r w:rsidR="00CD5C7B">
        <w:t>usuel, ces régimes sont désignés comme des régimes de revenus différés ou des régimes de participation</w:t>
      </w:r>
      <w:r w:rsidR="004F6825">
        <w:t xml:space="preserve"> différée.</w:t>
      </w:r>
      <w:r w:rsidR="0036009D">
        <w:t xml:space="preserve"> Ces appellations s'ajoutent aux désignations de régimes de retraite, régimes de pension, fonds de pension qui sont tous considérés comme des expressions similaires.</w:t>
      </w:r>
    </w:p>
    <w:p w14:paraId="75A61CA0" w14:textId="77777777" w:rsidR="008F1A51" w:rsidRDefault="008F1A51" w:rsidP="00647AD0">
      <w:pPr>
        <w:jc w:val="both"/>
      </w:pPr>
    </w:p>
    <w:p w14:paraId="00A51ADE" w14:textId="161E19B6" w:rsidR="008F1A51" w:rsidRDefault="00544B86" w:rsidP="00647AD0">
      <w:pPr>
        <w:jc w:val="both"/>
      </w:pPr>
      <w:r>
        <w:rPr>
          <w:noProof/>
          <w:sz w:val="18"/>
          <w:szCs w:val="18"/>
          <w:lang w:eastAsia="fr-FR"/>
        </w:rPr>
        <w:drawing>
          <wp:anchor distT="0" distB="0" distL="114300" distR="114300" simplePos="0" relativeHeight="252066816" behindDoc="0" locked="0" layoutInCell="1" allowOverlap="1" wp14:anchorId="73ED0C8D" wp14:editId="3F01960F">
            <wp:simplePos x="0" y="0"/>
            <wp:positionH relativeFrom="column">
              <wp:posOffset>2971800</wp:posOffset>
            </wp:positionH>
            <wp:positionV relativeFrom="paragraph">
              <wp:posOffset>344805</wp:posOffset>
            </wp:positionV>
            <wp:extent cx="685800" cy="685800"/>
            <wp:effectExtent l="0" t="0" r="0" b="0"/>
            <wp:wrapNone/>
            <wp:docPr id="162" name="Image 162">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F1A51">
        <w:t>Pour revisiter les notions fiscales relativement aux régimes de revenus différés, veuillez consulter le sujet 8 de notre ouvrage « Conformité fiscale des particuliers et des entreprises – Tome I ».</w:t>
      </w:r>
    </w:p>
    <w:p w14:paraId="627092FA" w14:textId="30CBD102" w:rsidR="0036718B" w:rsidRDefault="0036718B" w:rsidP="00647AD0">
      <w:pPr>
        <w:jc w:val="both"/>
      </w:pPr>
    </w:p>
    <w:p w14:paraId="7F8501A2" w14:textId="23BA7428" w:rsidR="004F6825" w:rsidRPr="002256F1" w:rsidRDefault="00573C95" w:rsidP="00647AD0">
      <w:pPr>
        <w:jc w:val="both"/>
        <w:rPr>
          <w:color w:val="FF6700" w:themeColor="accent3"/>
        </w:rPr>
      </w:pPr>
      <w:hyperlink r:id="rId62" w:anchor="pagemode=bookmarks&amp;page=330" w:history="1">
        <w:r w:rsidR="00544B86" w:rsidRPr="002256F1">
          <w:rPr>
            <w:rStyle w:val="Lienhypertexte"/>
            <w:color w:val="FF6700" w:themeColor="accent3"/>
          </w:rPr>
          <w:t>Sujet 8 - Régimes de revenus différés</w:t>
        </w:r>
      </w:hyperlink>
      <w:r w:rsidR="00544B86" w:rsidRPr="002256F1">
        <w:rPr>
          <w:color w:val="FF6700" w:themeColor="accent3"/>
        </w:rPr>
        <w:t xml:space="preserve"> </w:t>
      </w:r>
      <w:r w:rsidR="00544B86" w:rsidRPr="002256F1">
        <w:rPr>
          <w:color w:val="FF6700" w:themeColor="accent3"/>
        </w:rPr>
        <w:tab/>
      </w:r>
    </w:p>
    <w:p w14:paraId="23D62C7F" w14:textId="77777777" w:rsidR="000906F7" w:rsidRDefault="000906F7" w:rsidP="00647AD0">
      <w:pPr>
        <w:jc w:val="both"/>
      </w:pPr>
    </w:p>
    <w:p w14:paraId="79EDF81A" w14:textId="77777777" w:rsidR="00544B86" w:rsidRDefault="00544B86" w:rsidP="00647AD0">
      <w:pPr>
        <w:jc w:val="both"/>
      </w:pPr>
    </w:p>
    <w:p w14:paraId="2325EB17" w14:textId="77777777" w:rsidR="00537901" w:rsidRDefault="00537901" w:rsidP="00647AD0">
      <w:pPr>
        <w:jc w:val="both"/>
      </w:pPr>
    </w:p>
    <w:p w14:paraId="2FC1B1DF" w14:textId="489B3F59" w:rsidR="00255016" w:rsidRDefault="00A9452E" w:rsidP="00647AD0">
      <w:pPr>
        <w:jc w:val="both"/>
      </w:pPr>
      <w:r>
        <w:t xml:space="preserve">Le </w:t>
      </w:r>
      <w:r w:rsidRPr="00A9452E">
        <w:rPr>
          <w:color w:val="FF6700" w:themeColor="accent3"/>
        </w:rPr>
        <w:t>CADRE JURIDIQUE</w:t>
      </w:r>
      <w:r w:rsidR="00594AE5">
        <w:rPr>
          <w:color w:val="FF6700" w:themeColor="accent3"/>
        </w:rPr>
        <w:t xml:space="preserve"> </w:t>
      </w:r>
      <w:r w:rsidR="00594AE5">
        <w:t xml:space="preserve">des régimes de retraite peut être complexe à situer puisqu'il est dans certains cas de compétence provinciale (Loi sur les régimes complémentaires de retraite), parfois de compétence fédérale (Loi de 1985 sur les normes de prestation de pension) et </w:t>
      </w:r>
      <w:r w:rsidR="00286A42">
        <w:t xml:space="preserve">être, exceptionnellement, unique (Loi sur les </w:t>
      </w:r>
      <w:r w:rsidR="00C929ED">
        <w:t>Régimes</w:t>
      </w:r>
      <w:r w:rsidR="00286A42">
        <w:t xml:space="preserve"> de retraite des employés du gouvernement et des organismes publics). Par ailleurs, la grande majorité des régimes de retraite québécois qui </w:t>
      </w:r>
      <w:r w:rsidR="000D3182">
        <w:t>font l'objet d'</w:t>
      </w:r>
      <w:r w:rsidR="00286A42">
        <w:t>une</w:t>
      </w:r>
      <w:r w:rsidR="000D3182">
        <w:t xml:space="preserve"> règlementation</w:t>
      </w:r>
      <w:r w:rsidR="00286A42">
        <w:t xml:space="preserve"> particulière</w:t>
      </w:r>
      <w:r w:rsidR="000D3182">
        <w:t xml:space="preserve"> sont soumis à la </w:t>
      </w:r>
      <w:r w:rsidR="000D3182" w:rsidRPr="000D3182">
        <w:rPr>
          <w:color w:val="FF6700" w:themeColor="accent3"/>
        </w:rPr>
        <w:t>LOI SUR LES RÉGIMES COMPLÉMENTAIRES DE RETRAITE</w:t>
      </w:r>
      <w:r w:rsidR="00867098">
        <w:rPr>
          <w:color w:val="FF6700" w:themeColor="accent3"/>
        </w:rPr>
        <w:t xml:space="preserve"> (RCR)</w:t>
      </w:r>
      <w:r w:rsidR="000D3182">
        <w:t xml:space="preserve">. La RRQ a le rôle de s'assurer du respect de cette loi par les différents régimes de retraite qui y sont assujettis. </w:t>
      </w:r>
    </w:p>
    <w:p w14:paraId="25173B97" w14:textId="77777777" w:rsidR="00286A42" w:rsidRDefault="00286A42" w:rsidP="00647AD0">
      <w:pPr>
        <w:jc w:val="both"/>
      </w:pPr>
    </w:p>
    <w:p w14:paraId="01BA53F7" w14:textId="77777777" w:rsidR="00286A42" w:rsidRPr="00594AE5" w:rsidRDefault="00286A42" w:rsidP="00647AD0">
      <w:pPr>
        <w:jc w:val="both"/>
      </w:pPr>
    </w:p>
    <w:p w14:paraId="34D189E9" w14:textId="77777777" w:rsidR="00255016" w:rsidRDefault="00255016" w:rsidP="00647AD0">
      <w:pPr>
        <w:jc w:val="both"/>
      </w:pPr>
    </w:p>
    <w:p w14:paraId="2FF60E7F" w14:textId="075CDCA7" w:rsidR="00537901" w:rsidRDefault="0036009D" w:rsidP="00647AD0">
      <w:pPr>
        <w:jc w:val="both"/>
      </w:pPr>
      <w:r>
        <w:lastRenderedPageBreak/>
        <w:t>Il existe un nombre impressionnant de régimes de pension</w:t>
      </w:r>
      <w:r w:rsidR="00537901">
        <w:t>, chacun répondant à des besoins et des objectifs différents. Pour en saisir l'ampleur</w:t>
      </w:r>
      <w:r w:rsidR="0035771E">
        <w:t xml:space="preserve"> et en départager la terminologie</w:t>
      </w:r>
      <w:r w:rsidR="00537901">
        <w:t>,  en voici une liste:</w:t>
      </w:r>
    </w:p>
    <w:p w14:paraId="6660A35E" w14:textId="77777777" w:rsidR="00C828D3" w:rsidRDefault="00C828D3" w:rsidP="00647AD0">
      <w:pPr>
        <w:jc w:val="both"/>
      </w:pPr>
    </w:p>
    <w:tbl>
      <w:tblPr>
        <w:tblStyle w:val="Listecouleur-Accent4"/>
        <w:tblW w:w="13858" w:type="dxa"/>
        <w:tblLook w:val="04A0" w:firstRow="1" w:lastRow="0" w:firstColumn="1" w:lastColumn="0" w:noHBand="0" w:noVBand="1"/>
      </w:tblPr>
      <w:tblGrid>
        <w:gridCol w:w="7338"/>
        <w:gridCol w:w="6520"/>
      </w:tblGrid>
      <w:tr w:rsidR="005911DA" w14:paraId="779B3359" w14:textId="77777777" w:rsidTr="005911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shd w:val="clear" w:color="auto" w:fill="94C600" w:themeFill="accent1"/>
          </w:tcPr>
          <w:p w14:paraId="31B6F2A6" w14:textId="46F24E8B" w:rsidR="00D82238" w:rsidRPr="005911DA" w:rsidRDefault="00D82238" w:rsidP="002250A1">
            <w:pPr>
              <w:jc w:val="center"/>
              <w:rPr>
                <w:color w:val="auto"/>
              </w:rPr>
            </w:pPr>
            <w:r w:rsidRPr="005911DA">
              <w:rPr>
                <w:color w:val="auto"/>
              </w:rPr>
              <w:t>Terme</w:t>
            </w:r>
            <w:r w:rsidR="005556E3" w:rsidRPr="005911DA">
              <w:rPr>
                <w:color w:val="auto"/>
              </w:rPr>
              <w:t>s</w:t>
            </w:r>
            <w:r w:rsidRPr="005911DA">
              <w:rPr>
                <w:color w:val="auto"/>
              </w:rPr>
              <w:t xml:space="preserve"> règlementaire</w:t>
            </w:r>
            <w:r w:rsidR="005556E3" w:rsidRPr="005911DA">
              <w:rPr>
                <w:color w:val="auto"/>
              </w:rPr>
              <w:t>s</w:t>
            </w:r>
          </w:p>
        </w:tc>
        <w:tc>
          <w:tcPr>
            <w:tcW w:w="6520" w:type="dxa"/>
            <w:shd w:val="clear" w:color="auto" w:fill="94C600" w:themeFill="accent1"/>
          </w:tcPr>
          <w:p w14:paraId="528790A9" w14:textId="3B6C0284" w:rsidR="00D82238" w:rsidRPr="005911DA" w:rsidRDefault="00D82238" w:rsidP="00D82238">
            <w:pPr>
              <w:jc w:val="center"/>
              <w:cnfStyle w:val="100000000000" w:firstRow="1" w:lastRow="0" w:firstColumn="0" w:lastColumn="0" w:oddVBand="0" w:evenVBand="0" w:oddHBand="0" w:evenHBand="0" w:firstRowFirstColumn="0" w:firstRowLastColumn="0" w:lastRowFirstColumn="0" w:lastRowLastColumn="0"/>
              <w:rPr>
                <w:color w:val="auto"/>
              </w:rPr>
            </w:pPr>
            <w:r w:rsidRPr="005911DA">
              <w:rPr>
                <w:color w:val="auto"/>
              </w:rPr>
              <w:t>Autres termes utilisés</w:t>
            </w:r>
          </w:p>
        </w:tc>
      </w:tr>
      <w:tr w:rsidR="005556E3" w14:paraId="3295F7B3"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bottom w:val="single" w:sz="4" w:space="0" w:color="auto"/>
            </w:tcBorders>
          </w:tcPr>
          <w:p w14:paraId="180DE39B" w14:textId="3E54103D" w:rsidR="00D82238" w:rsidRDefault="00D82238" w:rsidP="00A46C9F">
            <w:pPr>
              <w:tabs>
                <w:tab w:val="left" w:pos="1574"/>
              </w:tabs>
              <w:jc w:val="both"/>
            </w:pPr>
            <w:r>
              <w:tab/>
              <w:t xml:space="preserve"> </w:t>
            </w:r>
          </w:p>
        </w:tc>
        <w:tc>
          <w:tcPr>
            <w:tcW w:w="6520" w:type="dxa"/>
            <w:tcBorders>
              <w:bottom w:val="single" w:sz="4" w:space="0" w:color="auto"/>
            </w:tcBorders>
          </w:tcPr>
          <w:p w14:paraId="67E177F7" w14:textId="77777777" w:rsidR="00D82238" w:rsidRDefault="00D82238" w:rsidP="00647AD0">
            <w:pPr>
              <w:jc w:val="both"/>
              <w:cnfStyle w:val="000000100000" w:firstRow="0" w:lastRow="0" w:firstColumn="0" w:lastColumn="0" w:oddVBand="0" w:evenVBand="0" w:oddHBand="1" w:evenHBand="0" w:firstRowFirstColumn="0" w:firstRowLastColumn="0" w:lastRowFirstColumn="0" w:lastRowLastColumn="0"/>
            </w:pPr>
          </w:p>
        </w:tc>
      </w:tr>
      <w:tr w:rsidR="005556E3" w14:paraId="0FE6576B"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18132E3B" w14:textId="77777777" w:rsidR="00D82238" w:rsidRDefault="00D82238" w:rsidP="00A46C9F">
            <w:pPr>
              <w:jc w:val="both"/>
            </w:pPr>
            <w:r>
              <w:t>RCR à cotisation déterminée</w:t>
            </w:r>
          </w:p>
          <w:p w14:paraId="3E4C6F6F" w14:textId="7B8CC80C" w:rsidR="00D82238" w:rsidRDefault="00D82238" w:rsidP="00A46C9F">
            <w:pPr>
              <w:jc w:val="both"/>
            </w:pPr>
          </w:p>
        </w:tc>
        <w:tc>
          <w:tcPr>
            <w:tcW w:w="6520" w:type="dxa"/>
            <w:tcBorders>
              <w:top w:val="single" w:sz="4" w:space="0" w:color="auto"/>
              <w:left w:val="single" w:sz="4" w:space="0" w:color="auto"/>
              <w:bottom w:val="single" w:sz="4" w:space="0" w:color="auto"/>
              <w:right w:val="single" w:sz="4" w:space="0" w:color="auto"/>
            </w:tcBorders>
          </w:tcPr>
          <w:p w14:paraId="155BD443" w14:textId="6A8830DE" w:rsidR="00D82238" w:rsidRDefault="00B96312" w:rsidP="00A72392">
            <w:pPr>
              <w:jc w:val="both"/>
              <w:cnfStyle w:val="000000000000" w:firstRow="0" w:lastRow="0" w:firstColumn="0" w:lastColumn="0" w:oddVBand="0" w:evenVBand="0" w:oddHBand="0" w:evenHBand="0" w:firstRowFirstColumn="0" w:firstRowLastColumn="0" w:lastRowFirstColumn="0" w:lastRowLastColumn="0"/>
            </w:pPr>
            <w:r>
              <w:t xml:space="preserve">RPA à cotisation déterminée, </w:t>
            </w:r>
            <w:r w:rsidR="00A72392">
              <w:t>F</w:t>
            </w:r>
            <w:r>
              <w:t>onds de pension à cotisation déterminée</w:t>
            </w:r>
          </w:p>
        </w:tc>
      </w:tr>
      <w:tr w:rsidR="005556E3" w14:paraId="27BDBE0E"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32E15597" w14:textId="77777777" w:rsidR="00D82238" w:rsidRDefault="00D82238" w:rsidP="00A46C9F">
            <w:pPr>
              <w:jc w:val="both"/>
            </w:pPr>
            <w:r>
              <w:t>RCR à prestation déterminée</w:t>
            </w:r>
          </w:p>
          <w:p w14:paraId="12B46549" w14:textId="6AF140D6" w:rsidR="00D82238" w:rsidRDefault="00D82238" w:rsidP="00A46C9F">
            <w:pPr>
              <w:jc w:val="both"/>
            </w:pPr>
          </w:p>
        </w:tc>
        <w:tc>
          <w:tcPr>
            <w:tcW w:w="6520" w:type="dxa"/>
            <w:tcBorders>
              <w:top w:val="single" w:sz="4" w:space="0" w:color="auto"/>
              <w:left w:val="single" w:sz="4" w:space="0" w:color="auto"/>
              <w:bottom w:val="single" w:sz="4" w:space="0" w:color="auto"/>
              <w:right w:val="single" w:sz="4" w:space="0" w:color="auto"/>
            </w:tcBorders>
          </w:tcPr>
          <w:p w14:paraId="2D9E6AF3" w14:textId="564A30AC" w:rsidR="00D82238" w:rsidRDefault="00B96312" w:rsidP="00A72392">
            <w:pPr>
              <w:jc w:val="both"/>
              <w:cnfStyle w:val="000000100000" w:firstRow="0" w:lastRow="0" w:firstColumn="0" w:lastColumn="0" w:oddVBand="0" w:evenVBand="0" w:oddHBand="1" w:evenHBand="0" w:firstRowFirstColumn="0" w:firstRowLastColumn="0" w:lastRowFirstColumn="0" w:lastRowLastColumn="0"/>
            </w:pPr>
            <w:r>
              <w:t xml:space="preserve">RPA à prestation déterminée, </w:t>
            </w:r>
            <w:r w:rsidR="00A72392">
              <w:t>F</w:t>
            </w:r>
            <w:r>
              <w:t>onds de pension à prestation déterminée</w:t>
            </w:r>
          </w:p>
        </w:tc>
      </w:tr>
      <w:tr w:rsidR="005556E3" w14:paraId="086661CC"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5AC27E03" w14:textId="72692E0D" w:rsidR="00D82238" w:rsidRDefault="00D82238" w:rsidP="00A46C9F">
            <w:pPr>
              <w:jc w:val="both"/>
            </w:pPr>
            <w:r>
              <w:t>RCR hybride</w:t>
            </w:r>
          </w:p>
          <w:p w14:paraId="2830DC18" w14:textId="77777777" w:rsidR="00D82238" w:rsidRDefault="00D82238" w:rsidP="00A46C9F">
            <w:pPr>
              <w:jc w:val="both"/>
            </w:pPr>
          </w:p>
        </w:tc>
        <w:tc>
          <w:tcPr>
            <w:tcW w:w="6520" w:type="dxa"/>
            <w:tcBorders>
              <w:top w:val="single" w:sz="4" w:space="0" w:color="auto"/>
              <w:left w:val="single" w:sz="4" w:space="0" w:color="auto"/>
              <w:bottom w:val="single" w:sz="4" w:space="0" w:color="auto"/>
              <w:right w:val="single" w:sz="4" w:space="0" w:color="auto"/>
            </w:tcBorders>
          </w:tcPr>
          <w:p w14:paraId="7578478D" w14:textId="127084EB" w:rsidR="00D82238" w:rsidRDefault="00B96312" w:rsidP="00647AD0">
            <w:pPr>
              <w:jc w:val="both"/>
              <w:cnfStyle w:val="000000000000" w:firstRow="0" w:lastRow="0" w:firstColumn="0" w:lastColumn="0" w:oddVBand="0" w:evenVBand="0" w:oddHBand="0" w:evenHBand="0" w:firstRowFirstColumn="0" w:firstRowLastColumn="0" w:lastRowFirstColumn="0" w:lastRowLastColumn="0"/>
            </w:pPr>
            <w:r>
              <w:t>RCR à double volet</w:t>
            </w:r>
          </w:p>
        </w:tc>
      </w:tr>
      <w:tr w:rsidR="005556E3" w14:paraId="00937268"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1CF09E55" w14:textId="264ECCDA" w:rsidR="00D82238" w:rsidRDefault="00683E9C" w:rsidP="00B31E60">
            <w:pPr>
              <w:jc w:val="both"/>
            </w:pPr>
            <w:r>
              <w:t>Régime de retraite des employés du gouvernement et des organismes publics (RREGOP)</w:t>
            </w:r>
          </w:p>
          <w:p w14:paraId="3530E7FE" w14:textId="7DAAAF47" w:rsidR="00683E9C" w:rsidRDefault="00683E9C" w:rsidP="00B31E60">
            <w:pPr>
              <w:jc w:val="both"/>
            </w:pPr>
          </w:p>
        </w:tc>
        <w:tc>
          <w:tcPr>
            <w:tcW w:w="6520" w:type="dxa"/>
            <w:tcBorders>
              <w:top w:val="single" w:sz="4" w:space="0" w:color="auto"/>
              <w:left w:val="single" w:sz="4" w:space="0" w:color="auto"/>
              <w:bottom w:val="single" w:sz="4" w:space="0" w:color="auto"/>
              <w:right w:val="single" w:sz="4" w:space="0" w:color="auto"/>
            </w:tcBorders>
          </w:tcPr>
          <w:p w14:paraId="3040CB00" w14:textId="53F0A035" w:rsidR="00D82238" w:rsidRDefault="00B71355" w:rsidP="00DC0A9C">
            <w:pPr>
              <w:jc w:val="both"/>
              <w:cnfStyle w:val="000000100000" w:firstRow="0" w:lastRow="0" w:firstColumn="0" w:lastColumn="0" w:oddVBand="0" w:evenVBand="0" w:oddHBand="1" w:evenHBand="0" w:firstRowFirstColumn="0" w:firstRowLastColumn="0" w:lastRowFirstColumn="0" w:lastRowLastColumn="0"/>
            </w:pPr>
            <w:r>
              <w:t xml:space="preserve">Il s'agit d'un régime à prestation déterminée qui est </w:t>
            </w:r>
            <w:r w:rsidR="00DC0A9C">
              <w:t xml:space="preserve">assujetti à </w:t>
            </w:r>
            <w:r>
              <w:t xml:space="preserve">sa propre loi et dont la gestion est </w:t>
            </w:r>
            <w:r w:rsidR="00DC0A9C">
              <w:t xml:space="preserve">sous </w:t>
            </w:r>
            <w:r>
              <w:t>la responsabilité de la CARRA</w:t>
            </w:r>
          </w:p>
        </w:tc>
      </w:tr>
      <w:tr w:rsidR="005556E3" w14:paraId="7D284F5F"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0BA6FDE7" w14:textId="77777777" w:rsidR="00B31E60" w:rsidRDefault="00B31E60" w:rsidP="00B31E60">
            <w:pPr>
              <w:jc w:val="both"/>
            </w:pPr>
            <w:r>
              <w:t>REÉR collectif</w:t>
            </w:r>
          </w:p>
          <w:p w14:paraId="3398C1CB" w14:textId="77777777" w:rsidR="00B31E60" w:rsidRDefault="00B31E60" w:rsidP="00B31E60">
            <w:pPr>
              <w:jc w:val="both"/>
            </w:pPr>
          </w:p>
        </w:tc>
        <w:tc>
          <w:tcPr>
            <w:tcW w:w="6520" w:type="dxa"/>
            <w:tcBorders>
              <w:top w:val="single" w:sz="4" w:space="0" w:color="auto"/>
              <w:left w:val="single" w:sz="4" w:space="0" w:color="auto"/>
              <w:bottom w:val="single" w:sz="4" w:space="0" w:color="auto"/>
              <w:right w:val="single" w:sz="4" w:space="0" w:color="auto"/>
            </w:tcBorders>
          </w:tcPr>
          <w:p w14:paraId="064F6390" w14:textId="77777777" w:rsidR="00B31E60" w:rsidRDefault="00B31E60" w:rsidP="00647AD0">
            <w:pPr>
              <w:jc w:val="both"/>
              <w:cnfStyle w:val="000000000000" w:firstRow="0" w:lastRow="0" w:firstColumn="0" w:lastColumn="0" w:oddVBand="0" w:evenVBand="0" w:oddHBand="0" w:evenHBand="0" w:firstRowFirstColumn="0" w:firstRowLastColumn="0" w:lastRowFirstColumn="0" w:lastRowLastColumn="0"/>
            </w:pPr>
          </w:p>
        </w:tc>
      </w:tr>
      <w:tr w:rsidR="005556E3" w14:paraId="586407E0"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20673646" w14:textId="77777777" w:rsidR="00B31E60" w:rsidRDefault="00B31E60" w:rsidP="00B31E60">
            <w:pPr>
              <w:jc w:val="both"/>
            </w:pPr>
            <w:r>
              <w:t>Régime volontaire d'épargne-retraite (RVÉR)</w:t>
            </w:r>
          </w:p>
          <w:p w14:paraId="0E79E963" w14:textId="77777777" w:rsidR="00B31E60" w:rsidRDefault="00B31E60" w:rsidP="00647AD0">
            <w:pPr>
              <w:jc w:val="both"/>
            </w:pPr>
          </w:p>
        </w:tc>
        <w:tc>
          <w:tcPr>
            <w:tcW w:w="6520" w:type="dxa"/>
            <w:tcBorders>
              <w:top w:val="single" w:sz="4" w:space="0" w:color="auto"/>
              <w:left w:val="single" w:sz="4" w:space="0" w:color="auto"/>
              <w:bottom w:val="single" w:sz="4" w:space="0" w:color="auto"/>
              <w:right w:val="single" w:sz="4" w:space="0" w:color="auto"/>
            </w:tcBorders>
          </w:tcPr>
          <w:p w14:paraId="75FB2C31" w14:textId="12DB2F16" w:rsidR="00B31E60" w:rsidRDefault="00A72392" w:rsidP="00A72392">
            <w:pPr>
              <w:jc w:val="both"/>
              <w:cnfStyle w:val="000000100000" w:firstRow="0" w:lastRow="0" w:firstColumn="0" w:lastColumn="0" w:oddVBand="0" w:evenVBand="0" w:oddHBand="1" w:evenHBand="0" w:firstRowFirstColumn="0" w:firstRowLastColumn="0" w:lastRowFirstColumn="0" w:lastRowLastColumn="0"/>
            </w:pPr>
            <w:r>
              <w:t>Régime de pension agréé collectif (fédéral)</w:t>
            </w:r>
          </w:p>
        </w:tc>
      </w:tr>
      <w:tr w:rsidR="005556E3" w14:paraId="68580B19"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3299ED7A" w14:textId="77777777" w:rsidR="00B31E60" w:rsidRDefault="00B31E60" w:rsidP="00B31E60">
            <w:pPr>
              <w:jc w:val="both"/>
            </w:pPr>
            <w:r>
              <w:t>Régime de retraite simplifié (RRS)</w:t>
            </w:r>
          </w:p>
          <w:p w14:paraId="3BD8D64C" w14:textId="77777777" w:rsidR="00B31E60" w:rsidRDefault="00B31E60" w:rsidP="00647AD0">
            <w:pPr>
              <w:jc w:val="both"/>
            </w:pPr>
          </w:p>
        </w:tc>
        <w:tc>
          <w:tcPr>
            <w:tcW w:w="6520" w:type="dxa"/>
            <w:tcBorders>
              <w:top w:val="single" w:sz="4" w:space="0" w:color="auto"/>
              <w:left w:val="single" w:sz="4" w:space="0" w:color="auto"/>
              <w:bottom w:val="single" w:sz="4" w:space="0" w:color="auto"/>
              <w:right w:val="single" w:sz="4" w:space="0" w:color="auto"/>
            </w:tcBorders>
          </w:tcPr>
          <w:p w14:paraId="08A1EF2A" w14:textId="77777777" w:rsidR="00B31E60" w:rsidRDefault="00B31E60" w:rsidP="00647AD0">
            <w:pPr>
              <w:jc w:val="both"/>
              <w:cnfStyle w:val="000000000000" w:firstRow="0" w:lastRow="0" w:firstColumn="0" w:lastColumn="0" w:oddVBand="0" w:evenVBand="0" w:oddHBand="0" w:evenHBand="0" w:firstRowFirstColumn="0" w:firstRowLastColumn="0" w:lastRowFirstColumn="0" w:lastRowLastColumn="0"/>
            </w:pPr>
          </w:p>
        </w:tc>
      </w:tr>
      <w:tr w:rsidR="005556E3" w14:paraId="18E465DD"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56383730" w14:textId="77777777" w:rsidR="00B31E60" w:rsidRDefault="00B31E60" w:rsidP="00B31E60">
            <w:pPr>
              <w:jc w:val="both"/>
            </w:pPr>
            <w:r>
              <w:t>Régime de retraite par financement salarial (RRFS)</w:t>
            </w:r>
          </w:p>
          <w:p w14:paraId="0D65ED26" w14:textId="77777777" w:rsidR="00B31E60" w:rsidRDefault="00B31E60" w:rsidP="00B31E60">
            <w:pPr>
              <w:jc w:val="both"/>
            </w:pPr>
          </w:p>
        </w:tc>
        <w:tc>
          <w:tcPr>
            <w:tcW w:w="6520" w:type="dxa"/>
            <w:tcBorders>
              <w:top w:val="single" w:sz="4" w:space="0" w:color="auto"/>
              <w:left w:val="single" w:sz="4" w:space="0" w:color="auto"/>
              <w:bottom w:val="single" w:sz="4" w:space="0" w:color="auto"/>
              <w:right w:val="single" w:sz="4" w:space="0" w:color="auto"/>
            </w:tcBorders>
          </w:tcPr>
          <w:p w14:paraId="1A478374" w14:textId="77777777" w:rsidR="00B31E60" w:rsidRDefault="00B31E60" w:rsidP="00647AD0">
            <w:pPr>
              <w:jc w:val="both"/>
              <w:cnfStyle w:val="000000100000" w:firstRow="0" w:lastRow="0" w:firstColumn="0" w:lastColumn="0" w:oddVBand="0" w:evenVBand="0" w:oddHBand="1" w:evenHBand="0" w:firstRowFirstColumn="0" w:firstRowLastColumn="0" w:lastRowFirstColumn="0" w:lastRowLastColumn="0"/>
            </w:pPr>
          </w:p>
        </w:tc>
      </w:tr>
      <w:tr w:rsidR="005556E3" w14:paraId="4B5ABA95"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45AA0C6C" w14:textId="77777777" w:rsidR="00B31E60" w:rsidRDefault="00B31E60" w:rsidP="00B31E60">
            <w:pPr>
              <w:jc w:val="both"/>
            </w:pPr>
            <w:r>
              <w:t>Régime de participation différée aux bénéfices (RPDB)</w:t>
            </w:r>
          </w:p>
          <w:p w14:paraId="7B68A7EE" w14:textId="77777777" w:rsidR="00B31E60" w:rsidRDefault="00B31E60" w:rsidP="00B31E60">
            <w:pPr>
              <w:jc w:val="both"/>
            </w:pPr>
          </w:p>
        </w:tc>
        <w:tc>
          <w:tcPr>
            <w:tcW w:w="6520" w:type="dxa"/>
            <w:tcBorders>
              <w:top w:val="single" w:sz="4" w:space="0" w:color="auto"/>
              <w:left w:val="single" w:sz="4" w:space="0" w:color="auto"/>
              <w:bottom w:val="single" w:sz="4" w:space="0" w:color="auto"/>
              <w:right w:val="single" w:sz="4" w:space="0" w:color="auto"/>
            </w:tcBorders>
          </w:tcPr>
          <w:p w14:paraId="78FF5D01" w14:textId="241BC193" w:rsidR="00B31E60" w:rsidRDefault="00A72392" w:rsidP="00647AD0">
            <w:pPr>
              <w:jc w:val="both"/>
              <w:cnfStyle w:val="000000000000" w:firstRow="0" w:lastRow="0" w:firstColumn="0" w:lastColumn="0" w:oddVBand="0" w:evenVBand="0" w:oddHBand="0" w:evenHBand="0" w:firstRowFirstColumn="0" w:firstRowLastColumn="0" w:lastRowFirstColumn="0" w:lastRowLastColumn="0"/>
            </w:pPr>
            <w:r>
              <w:t>Régime d'intéressement différé (Québec)</w:t>
            </w:r>
          </w:p>
        </w:tc>
      </w:tr>
      <w:tr w:rsidR="005556E3" w14:paraId="1AA885EF"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27AB58DD" w14:textId="77777777" w:rsidR="00B31E60" w:rsidRDefault="00B31E60" w:rsidP="00B31E60">
            <w:pPr>
              <w:jc w:val="both"/>
            </w:pPr>
            <w:r>
              <w:t>Régime de participation des employés aux bénéfices (RPEB)</w:t>
            </w:r>
          </w:p>
          <w:p w14:paraId="5BF37F76" w14:textId="77777777" w:rsidR="00B31E60" w:rsidRDefault="00B31E60" w:rsidP="00B31E60">
            <w:pPr>
              <w:jc w:val="both"/>
            </w:pPr>
          </w:p>
        </w:tc>
        <w:tc>
          <w:tcPr>
            <w:tcW w:w="6520" w:type="dxa"/>
            <w:tcBorders>
              <w:top w:val="single" w:sz="4" w:space="0" w:color="auto"/>
              <w:left w:val="single" w:sz="4" w:space="0" w:color="auto"/>
              <w:bottom w:val="single" w:sz="4" w:space="0" w:color="auto"/>
              <w:right w:val="single" w:sz="4" w:space="0" w:color="auto"/>
            </w:tcBorders>
          </w:tcPr>
          <w:p w14:paraId="276DB766" w14:textId="57DDE2D1" w:rsidR="00B31E60" w:rsidRDefault="00A72392" w:rsidP="00647AD0">
            <w:pPr>
              <w:jc w:val="both"/>
              <w:cnfStyle w:val="000000100000" w:firstRow="0" w:lastRow="0" w:firstColumn="0" w:lastColumn="0" w:oddVBand="0" w:evenVBand="0" w:oddHBand="1" w:evenHBand="0" w:firstRowFirstColumn="0" w:firstRowLastColumn="0" w:lastRowFirstColumn="0" w:lastRowLastColumn="0"/>
            </w:pPr>
            <w:r>
              <w:t>Régime d'intéressement aux employés (Québec)</w:t>
            </w:r>
          </w:p>
        </w:tc>
      </w:tr>
      <w:tr w:rsidR="005556E3" w14:paraId="6929537F"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737CD0A7" w14:textId="339F33AD" w:rsidR="00B31E60" w:rsidRDefault="00B31E60" w:rsidP="00B31E60">
            <w:pPr>
              <w:jc w:val="both"/>
            </w:pPr>
            <w:r>
              <w:t>Régime surcomplémentaire de retraite</w:t>
            </w:r>
            <w:r w:rsidR="00C24383">
              <w:t xml:space="preserve"> (RSR)</w:t>
            </w:r>
          </w:p>
          <w:p w14:paraId="52EB10BA" w14:textId="77777777" w:rsidR="00B31E60" w:rsidRDefault="00B31E60" w:rsidP="00B31E60">
            <w:pPr>
              <w:jc w:val="both"/>
            </w:pPr>
          </w:p>
        </w:tc>
        <w:tc>
          <w:tcPr>
            <w:tcW w:w="6520" w:type="dxa"/>
            <w:tcBorders>
              <w:top w:val="single" w:sz="4" w:space="0" w:color="auto"/>
              <w:left w:val="single" w:sz="4" w:space="0" w:color="auto"/>
              <w:bottom w:val="single" w:sz="4" w:space="0" w:color="auto"/>
              <w:right w:val="single" w:sz="4" w:space="0" w:color="auto"/>
            </w:tcBorders>
          </w:tcPr>
          <w:p w14:paraId="1EED9F37" w14:textId="79C1D243" w:rsidR="00B31E60" w:rsidRDefault="00A72392" w:rsidP="00A72392">
            <w:pPr>
              <w:jc w:val="both"/>
              <w:cnfStyle w:val="000000000000" w:firstRow="0" w:lastRow="0" w:firstColumn="0" w:lastColumn="0" w:oddVBand="0" w:evenVBand="0" w:oddHBand="0" w:evenHBand="0" w:firstRowFirstColumn="0" w:firstRowLastColumn="0" w:lastRowFirstColumn="0" w:lastRowLastColumn="0"/>
            </w:pPr>
            <w:r>
              <w:t xml:space="preserve">Régime de retraite supplémentaire, Régime d'appoint, Top </w:t>
            </w:r>
            <w:r w:rsidR="00C929ED">
              <w:t>HAT</w:t>
            </w:r>
            <w:r>
              <w:t xml:space="preserve"> plan</w:t>
            </w:r>
            <w:r w:rsidR="00D13E10">
              <w:t>, SERP</w:t>
            </w:r>
          </w:p>
        </w:tc>
      </w:tr>
      <w:tr w:rsidR="005556E3" w14:paraId="5C163E38"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165D839E" w14:textId="77777777" w:rsidR="00B31E60" w:rsidRDefault="00B31E60" w:rsidP="00B31E60">
            <w:pPr>
              <w:jc w:val="both"/>
            </w:pPr>
            <w:r>
              <w:t>Convention de retraite</w:t>
            </w:r>
          </w:p>
          <w:p w14:paraId="12B9F505" w14:textId="06C82EFE" w:rsidR="00B31E60" w:rsidRDefault="00B31E60" w:rsidP="00B31E60">
            <w:pPr>
              <w:jc w:val="both"/>
            </w:pPr>
          </w:p>
        </w:tc>
        <w:tc>
          <w:tcPr>
            <w:tcW w:w="6520" w:type="dxa"/>
            <w:tcBorders>
              <w:top w:val="single" w:sz="4" w:space="0" w:color="auto"/>
              <w:left w:val="single" w:sz="4" w:space="0" w:color="auto"/>
              <w:bottom w:val="single" w:sz="4" w:space="0" w:color="auto"/>
              <w:right w:val="single" w:sz="4" w:space="0" w:color="auto"/>
            </w:tcBorders>
          </w:tcPr>
          <w:p w14:paraId="02F97E43" w14:textId="77777777" w:rsidR="00B31E60" w:rsidRDefault="00B31E60" w:rsidP="00647AD0">
            <w:pPr>
              <w:jc w:val="both"/>
              <w:cnfStyle w:val="000000100000" w:firstRow="0" w:lastRow="0" w:firstColumn="0" w:lastColumn="0" w:oddVBand="0" w:evenVBand="0" w:oddHBand="1" w:evenHBand="0" w:firstRowFirstColumn="0" w:firstRowLastColumn="0" w:lastRowFirstColumn="0" w:lastRowLastColumn="0"/>
            </w:pPr>
          </w:p>
        </w:tc>
      </w:tr>
      <w:tr w:rsidR="005556E3" w14:paraId="72F09A56"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78E09014" w14:textId="135DBAB3" w:rsidR="00E44E23" w:rsidRDefault="00E44E23" w:rsidP="00B31E60">
            <w:pPr>
              <w:jc w:val="both"/>
            </w:pPr>
            <w:r>
              <w:t>Régime de retraite individuel (RRI)</w:t>
            </w:r>
          </w:p>
        </w:tc>
        <w:tc>
          <w:tcPr>
            <w:tcW w:w="6520" w:type="dxa"/>
            <w:tcBorders>
              <w:top w:val="single" w:sz="4" w:space="0" w:color="auto"/>
              <w:left w:val="single" w:sz="4" w:space="0" w:color="auto"/>
              <w:bottom w:val="single" w:sz="4" w:space="0" w:color="auto"/>
              <w:right w:val="single" w:sz="4" w:space="0" w:color="auto"/>
            </w:tcBorders>
          </w:tcPr>
          <w:p w14:paraId="5A0452FD" w14:textId="77777777" w:rsidR="00E44E23" w:rsidRDefault="00E44E23" w:rsidP="00647AD0">
            <w:pPr>
              <w:jc w:val="both"/>
              <w:cnfStyle w:val="000000000000" w:firstRow="0" w:lastRow="0" w:firstColumn="0" w:lastColumn="0" w:oddVBand="0" w:evenVBand="0" w:oddHBand="0" w:evenHBand="0" w:firstRowFirstColumn="0" w:firstRowLastColumn="0" w:lastRowFirstColumn="0" w:lastRowLastColumn="0"/>
            </w:pPr>
          </w:p>
        </w:tc>
      </w:tr>
    </w:tbl>
    <w:p w14:paraId="35AC9388" w14:textId="0170B485" w:rsidR="00867098" w:rsidRDefault="00C955B1" w:rsidP="00647AD0">
      <w:pPr>
        <w:jc w:val="both"/>
      </w:pPr>
      <w:r>
        <w:lastRenderedPageBreak/>
        <w:t>Pour faciliter la compréhension générale de tous ces régimes, nous allons tenter d'en faire une classification</w:t>
      </w:r>
      <w:r w:rsidR="000D0BA4">
        <w:t xml:space="preserve"> (voir </w:t>
      </w:r>
      <w:r w:rsidR="00C929ED">
        <w:rPr>
          <w:color w:val="008000"/>
        </w:rPr>
        <w:t>IMAGE </w:t>
      </w:r>
      <w:r w:rsidR="000D0BA4">
        <w:rPr>
          <w:color w:val="008000"/>
        </w:rPr>
        <w:t>7-8</w:t>
      </w:r>
      <w:r w:rsidR="000D0BA4">
        <w:t>)</w:t>
      </w:r>
      <w:r>
        <w:t xml:space="preserve">. À notre avis, les distinctions </w:t>
      </w:r>
      <w:r w:rsidR="00867098">
        <w:t xml:space="preserve">les plus fondamentales consistent à déterminer si le régime est soumis à la Loi sur les RCR et s'il est dans sa nature fiscale, enregistrée (à l'abri de l'impôt). Nous verrons un peu plus loin que l'adhésion à la Loi sur les RCR par un régime de retraite </w:t>
      </w:r>
      <w:r w:rsidR="006C0577">
        <w:t>fait naître</w:t>
      </w:r>
      <w:r w:rsidR="00867098">
        <w:t xml:space="preserve"> pl</w:t>
      </w:r>
      <w:r w:rsidR="00312AE7">
        <w:t>usieurs obligations à respecter. Ces obligations qui visent à protéger les cotisants et leur conjoint font en sorte que ce type de régime est beaucoup moins souple qu'un régime individuel (REÉR), notamment lorsqu'il est question d'avoir accès à des liquidités avant la prise de retraite. Quant à la nature fiscale du régime, ceux-ci sont presque tous enregistrés, permettant ainsi l'accumulation d'un patrimoine de retraite à l'abri de l'impôt. Comme nous l'avons mentionné précédemment, c'est cette réalité fiscale qui rend les règles fiscales complexes puisque celle</w:t>
      </w:r>
      <w:r w:rsidR="005F4FE9">
        <w:t>s</w:t>
      </w:r>
      <w:r w:rsidR="00312AE7">
        <w:t xml:space="preserve">-ci doivent permettre </w:t>
      </w:r>
      <w:r w:rsidR="00F27804">
        <w:t xml:space="preserve">de soutenir </w:t>
      </w:r>
      <w:r w:rsidR="00312AE7">
        <w:t xml:space="preserve">l'équité pour chacun des régimes et de leur cotisant. </w:t>
      </w:r>
    </w:p>
    <w:p w14:paraId="1AE36B3F" w14:textId="77777777" w:rsidR="00867098" w:rsidRDefault="00867098" w:rsidP="00647AD0">
      <w:pPr>
        <w:jc w:val="both"/>
      </w:pPr>
    </w:p>
    <w:p w14:paraId="13C04313" w14:textId="051B6FC2" w:rsidR="0093425B" w:rsidRDefault="000D0BA4" w:rsidP="00647AD0">
      <w:pPr>
        <w:jc w:val="both"/>
      </w:pPr>
      <w:r>
        <w:t>Dans la poursuite de l'étude des régimes de pension</w:t>
      </w:r>
      <w:r w:rsidR="00302273">
        <w:t xml:space="preserve"> </w:t>
      </w:r>
      <w:r w:rsidR="00C929ED">
        <w:rPr>
          <w:color w:val="FF6700" w:themeColor="accent3"/>
        </w:rPr>
        <w:t>SOUSCRITS</w:t>
      </w:r>
      <w:r w:rsidR="00302273" w:rsidRPr="00302273">
        <w:rPr>
          <w:color w:val="FF6700" w:themeColor="accent3"/>
        </w:rPr>
        <w:t xml:space="preserve"> AUPRÈS D'EMPLOYEURS</w:t>
      </w:r>
      <w:r>
        <w:t xml:space="preserve">, nous allons privilégier </w:t>
      </w:r>
      <w:r w:rsidR="0093425B">
        <w:t>les régimes qui sont les plus populaires (</w:t>
      </w:r>
      <w:r w:rsidR="0093425B" w:rsidRPr="00302273">
        <w:rPr>
          <w:color w:val="008000"/>
        </w:rPr>
        <w:t>RPA à cotisation déterminée</w:t>
      </w:r>
      <w:r w:rsidR="0093425B">
        <w:t xml:space="preserve"> et </w:t>
      </w:r>
      <w:r w:rsidR="0093425B" w:rsidRPr="00302273">
        <w:rPr>
          <w:color w:val="008000"/>
        </w:rPr>
        <w:t>RPA à prestation déterminée</w:t>
      </w:r>
      <w:r w:rsidR="0093425B">
        <w:t>) et les plus porteurs pour l'avenir (</w:t>
      </w:r>
      <w:r w:rsidR="0093425B" w:rsidRPr="00302273">
        <w:rPr>
          <w:color w:val="008000"/>
        </w:rPr>
        <w:t>REÉR collectif</w:t>
      </w:r>
      <w:r w:rsidR="0093425B">
        <w:t xml:space="preserve"> et </w:t>
      </w:r>
      <w:r w:rsidR="0093425B" w:rsidRPr="00302273">
        <w:rPr>
          <w:color w:val="008000"/>
        </w:rPr>
        <w:t>RVÉR</w:t>
      </w:r>
      <w:r w:rsidR="0093425B">
        <w:t>).</w:t>
      </w:r>
    </w:p>
    <w:p w14:paraId="2DA4810B" w14:textId="5F722B76" w:rsidR="0093425B" w:rsidRDefault="00957CC2" w:rsidP="00647AD0">
      <w:pPr>
        <w:jc w:val="both"/>
      </w:pPr>
      <w:r>
        <w:rPr>
          <w:noProof/>
          <w:sz w:val="18"/>
          <w:szCs w:val="18"/>
          <w:lang w:eastAsia="fr-FR"/>
        </w:rPr>
        <w:drawing>
          <wp:anchor distT="0" distB="0" distL="114300" distR="114300" simplePos="0" relativeHeight="252086272" behindDoc="0" locked="0" layoutInCell="1" allowOverlap="1" wp14:anchorId="292BBB99" wp14:editId="39FA3831">
            <wp:simplePos x="0" y="0"/>
            <wp:positionH relativeFrom="column">
              <wp:posOffset>-800100</wp:posOffset>
            </wp:positionH>
            <wp:positionV relativeFrom="paragraph">
              <wp:posOffset>12700</wp:posOffset>
            </wp:positionV>
            <wp:extent cx="685800" cy="685800"/>
            <wp:effectExtent l="0" t="0" r="0" b="0"/>
            <wp:wrapNone/>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05DBAC3" w14:textId="59B25D78" w:rsidR="00A34F69" w:rsidRPr="00957CC2" w:rsidRDefault="00957CC2" w:rsidP="006C0CCF">
      <w:pPr>
        <w:jc w:val="both"/>
        <w:rPr>
          <w:color w:val="008000"/>
        </w:rPr>
      </w:pPr>
      <w:r>
        <w:t xml:space="preserve">Pour en connaître davantage sur les régimes qui ne seront pas traités dans notre ouvrage, </w:t>
      </w:r>
      <w:r w:rsidRPr="00957CC2">
        <w:rPr>
          <w:color w:val="008000"/>
        </w:rPr>
        <w:t xml:space="preserve">CLIQUEZ SUR LES BULLES </w:t>
      </w:r>
    </w:p>
    <w:p w14:paraId="694D6189" w14:textId="2317D2BA" w:rsidR="0026270A" w:rsidRDefault="0026270A" w:rsidP="006C0CCF">
      <w:pPr>
        <w:jc w:val="both"/>
      </w:pPr>
    </w:p>
    <w:p w14:paraId="78B29A32" w14:textId="31AD1C88" w:rsidR="00957CC2" w:rsidRDefault="00957CC2">
      <w:r>
        <w:rPr>
          <w:noProof/>
          <w:lang w:eastAsia="fr-FR"/>
        </w:rPr>
        <mc:AlternateContent>
          <mc:Choice Requires="wps">
            <w:drawing>
              <wp:anchor distT="0" distB="0" distL="114300" distR="114300" simplePos="0" relativeHeight="253431808" behindDoc="0" locked="0" layoutInCell="1" allowOverlap="1" wp14:anchorId="368D96E3" wp14:editId="3041966E">
                <wp:simplePos x="0" y="0"/>
                <wp:positionH relativeFrom="column">
                  <wp:posOffset>4800600</wp:posOffset>
                </wp:positionH>
                <wp:positionV relativeFrom="paragraph">
                  <wp:posOffset>138430</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66" name="Ellipse 166">
                  <a:hlinkClick xmlns:a="http://schemas.openxmlformats.org/drawingml/2006/main" r:id="rId63"/>
                </wp:docPr>
                <wp:cNvGraphicFramePr/>
                <a:graphic xmlns:a="http://schemas.openxmlformats.org/drawingml/2006/main">
                  <a:graphicData uri="http://schemas.microsoft.com/office/word/2010/wordprocessingShape">
                    <wps:wsp>
                      <wps:cNvSpPr/>
                      <wps:spPr>
                        <a:xfrm>
                          <a:off x="0" y="0"/>
                          <a:ext cx="914400" cy="9144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59F345C" w14:textId="096A013F" w:rsidR="00573C95" w:rsidRDefault="00573C95" w:rsidP="007F5866">
                            <w:pPr>
                              <w:jc w:val="center"/>
                            </w:pPr>
                            <w:hyperlink r:id="rId64" w:history="1">
                              <w:r w:rsidRPr="00CB4B47">
                                <w:rPr>
                                  <w:rStyle w:val="Lienhypertexte"/>
                                </w:rPr>
                                <w:t>RRFS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66" o:spid="_x0000_s1100" href="https://www.youtube.com/watch?v=wMI7rDN9720" style="position:absolute;margin-left:378pt;margin-top:10.9pt;width:1in;height:1in;z-index:2534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" o:button="t" fillcolor="#94c600 [3204]" strokecolor="#94c600 [3204]">
                <v:fill color2="#84b100 [2884]" rotate="t" o:detectmouseclick="t" focus="100%" type="gradient">
                  <o:fill v:ext="view" type="gradientUnscaled"/>
                </v:fill>
                <v:textbox>
                  <w:txbxContent>
                    <w:p w14:paraId="659F345C" w14:textId="096A013F" w:rsidR="001501D6" w:rsidRDefault="00E21DC3" w:rsidP="007F5866">
                      <w:pPr>
                        <w:jc w:val="center"/>
                      </w:pPr>
                      <w:hyperlink r:id="rId65" w:history="1">
                        <w:r w:rsidR="001501D6" w:rsidRPr="00CB4B47">
                          <w:rPr>
                            <w:rStyle w:val="Lienhypertexte"/>
                          </w:rPr>
                          <w:t>RRFS</w:t>
                        </w:r>
                      </w:hyperlink>
                    </w:p>
                  </w:txbxContent>
                </v:textbox>
                <w10:wrap type="through"/>
              </v:oval>
            </w:pict>
          </mc:Fallback>
        </mc:AlternateContent>
      </w:r>
    </w:p>
    <w:p w14:paraId="76D25C95" w14:textId="75E4699A" w:rsidR="00957CC2" w:rsidRDefault="00957CC2">
      <w:r>
        <w:rPr>
          <w:noProof/>
          <w:lang w:eastAsia="fr-FR"/>
        </w:rPr>
        <mc:AlternateContent>
          <mc:Choice Requires="wps">
            <w:drawing>
              <wp:anchor distT="0" distB="0" distL="114300" distR="114300" simplePos="0" relativeHeight="253432832" behindDoc="0" locked="0" layoutInCell="1" allowOverlap="1" wp14:anchorId="7C605201" wp14:editId="6D0CA9F4">
                <wp:simplePos x="0" y="0"/>
                <wp:positionH relativeFrom="column">
                  <wp:posOffset>6172200</wp:posOffset>
                </wp:positionH>
                <wp:positionV relativeFrom="paragraph">
                  <wp:posOffset>294005</wp:posOffset>
                </wp:positionV>
                <wp:extent cx="2400300" cy="2400300"/>
                <wp:effectExtent l="76200" t="76200" r="38100" b="63500"/>
                <wp:wrapThrough wrapText="bothSides">
                  <wp:wrapPolygon edited="0">
                    <wp:start x="7543" y="-686"/>
                    <wp:lineTo x="1600" y="-229"/>
                    <wp:lineTo x="1600" y="3429"/>
                    <wp:lineTo x="-457" y="3429"/>
                    <wp:lineTo x="-686" y="10743"/>
                    <wp:lineTo x="-229" y="15314"/>
                    <wp:lineTo x="1829" y="18057"/>
                    <wp:lineTo x="1829" y="18286"/>
                    <wp:lineTo x="6857" y="21486"/>
                    <wp:lineTo x="7314" y="21943"/>
                    <wp:lineTo x="13943" y="21943"/>
                    <wp:lineTo x="14171" y="21486"/>
                    <wp:lineTo x="19429" y="18286"/>
                    <wp:lineTo x="21714" y="14400"/>
                    <wp:lineTo x="21714" y="7086"/>
                    <wp:lineTo x="19657" y="3429"/>
                    <wp:lineTo x="19657" y="2514"/>
                    <wp:lineTo x="15314" y="-229"/>
                    <wp:lineTo x="13943" y="-686"/>
                    <wp:lineTo x="7543" y="-686"/>
                  </wp:wrapPolygon>
                </wp:wrapThrough>
                <wp:docPr id="171" name="Ellipse 171">
                  <a:hlinkClick xmlns:a="http://schemas.openxmlformats.org/drawingml/2006/main" r:id="rId66"/>
                </wp:docPr>
                <wp:cNvGraphicFramePr/>
                <a:graphic xmlns:a="http://schemas.openxmlformats.org/drawingml/2006/main">
                  <a:graphicData uri="http://schemas.microsoft.com/office/word/2010/wordprocessingShape">
                    <wps:wsp>
                      <wps:cNvSpPr/>
                      <wps:spPr>
                        <a:xfrm>
                          <a:off x="0" y="0"/>
                          <a:ext cx="2400300" cy="24003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6DEC76" w14:textId="2575B8DC" w:rsidR="00573C95" w:rsidRDefault="00573C95" w:rsidP="007F5866">
                            <w:pPr>
                              <w:jc w:val="center"/>
                            </w:pPr>
                            <w:hyperlink r:id="rId67" w:history="1">
                              <w:r w:rsidRPr="00CB4B47">
                                <w:rPr>
                                  <w:rStyle w:val="Lienhypertexte"/>
                                </w:rPr>
                                <w:t>Régime surcomplémentaire de retraite</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1" o:spid="_x0000_s1101" href="https://books.google.ca/books?id=RG6ggOcKozMC&amp;pg=PA267&amp;hl=fr&amp;source=gbs_toc_r&amp;cad=3#v=onepage&amp;q&amp;f=false" style="position:absolute;margin-left:486pt;margin-top:23.15pt;width:189pt;height:189pt;z-index:2534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" o:button="t" fillcolor="#94c600 [3204]" strokecolor="#94c600 [3204]">
                <v:fill color2="#84b100 [2884]" rotate="t" o:detectmouseclick="t" focus="100%" type="gradient">
                  <o:fill v:ext="view" type="gradientUnscaled"/>
                </v:fill>
                <v:textbox>
                  <w:txbxContent>
                    <w:p w14:paraId="306DEC76" w14:textId="2575B8DC" w:rsidR="001501D6" w:rsidRDefault="00E21DC3" w:rsidP="007F5866">
                      <w:pPr>
                        <w:jc w:val="center"/>
                      </w:pPr>
                      <w:hyperlink r:id="rId68" w:history="1">
                        <w:r w:rsidR="001501D6" w:rsidRPr="00CB4B47">
                          <w:rPr>
                            <w:rStyle w:val="Lienhypertexte"/>
                          </w:rPr>
                          <w:t>Régime surcomplémentaire de retraite</w:t>
                        </w:r>
                      </w:hyperlink>
                    </w:p>
                  </w:txbxContent>
                </v:textbox>
                <w10:wrap type="through"/>
              </v:oval>
            </w:pict>
          </mc:Fallback>
        </mc:AlternateContent>
      </w:r>
      <w:r>
        <w:rPr>
          <w:noProof/>
          <w:lang w:eastAsia="fr-FR"/>
        </w:rPr>
        <mc:AlternateContent>
          <mc:Choice Requires="wps">
            <w:drawing>
              <wp:anchor distT="0" distB="0" distL="114300" distR="114300" simplePos="0" relativeHeight="253430784" behindDoc="0" locked="0" layoutInCell="1" allowOverlap="1" wp14:anchorId="60DD3D5F" wp14:editId="45101494">
                <wp:simplePos x="0" y="0"/>
                <wp:positionH relativeFrom="column">
                  <wp:posOffset>3200400</wp:posOffset>
                </wp:positionH>
                <wp:positionV relativeFrom="paragraph">
                  <wp:posOffset>179705</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165" name="Ellipse 165">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685800" cy="6858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75E5A27" w14:textId="0778E41B" w:rsidR="00573C95" w:rsidRDefault="00573C95" w:rsidP="007F5866">
                            <w:pPr>
                              <w:jc w:val="center"/>
                            </w:pPr>
                            <w:hyperlink r:id="rId70" w:history="1">
                              <w:r w:rsidRPr="00CB4B47">
                                <w:rPr>
                                  <w:rStyle w:val="Lienhypertexte"/>
                                </w:rPr>
                                <w:t>RRS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65" o:spid="_x0000_s1102" href="http://www.rrq.gouv.qc.ca/fr/professionnels/rrs/offre_rrs/Pages/rrs_regime_a_connaitre.aspx" style="position:absolute;margin-left:252pt;margin-top:14.15pt;width:54pt;height:54pt;z-index:2534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" o:button="t" fillcolor="#94c600 [3204]" strokecolor="#94c600 [3204]">
                <v:fill color2="#84b100 [2884]" rotate="t" o:detectmouseclick="t" focus="100%" type="gradient">
                  <o:fill v:ext="view" type="gradientUnscaled"/>
                </v:fill>
                <v:textbox>
                  <w:txbxContent>
                    <w:p w14:paraId="175E5A27" w14:textId="0778E41B" w:rsidR="001501D6" w:rsidRDefault="00E21DC3" w:rsidP="007F5866">
                      <w:pPr>
                        <w:jc w:val="center"/>
                      </w:pPr>
                      <w:hyperlink r:id="rId71" w:history="1">
                        <w:r w:rsidR="001501D6" w:rsidRPr="00CB4B47">
                          <w:rPr>
                            <w:rStyle w:val="Lienhypertexte"/>
                          </w:rPr>
                          <w:t>RRS</w:t>
                        </w:r>
                      </w:hyperlink>
                    </w:p>
                  </w:txbxContent>
                </v:textbox>
                <w10:wrap type="through"/>
              </v:oval>
            </w:pict>
          </mc:Fallback>
        </mc:AlternateContent>
      </w:r>
    </w:p>
    <w:p w14:paraId="7F36BA09" w14:textId="05DAB061" w:rsidR="00957CC2" w:rsidRDefault="00957CC2">
      <w:r>
        <w:rPr>
          <w:noProof/>
          <w:lang w:eastAsia="fr-FR"/>
        </w:rPr>
        <mc:AlternateContent>
          <mc:Choice Requires="wps">
            <w:drawing>
              <wp:anchor distT="0" distB="0" distL="114300" distR="114300" simplePos="0" relativeHeight="253436928" behindDoc="0" locked="0" layoutInCell="1" allowOverlap="1" wp14:anchorId="3D859059" wp14:editId="149BE064">
                <wp:simplePos x="0" y="0"/>
                <wp:positionH relativeFrom="column">
                  <wp:posOffset>-114300</wp:posOffset>
                </wp:positionH>
                <wp:positionV relativeFrom="paragraph">
                  <wp:posOffset>107315</wp:posOffset>
                </wp:positionV>
                <wp:extent cx="1257300" cy="1257300"/>
                <wp:effectExtent l="76200" t="76200" r="63500" b="63500"/>
                <wp:wrapThrough wrapText="bothSides">
                  <wp:wrapPolygon edited="0">
                    <wp:start x="5673" y="-1309"/>
                    <wp:lineTo x="-1309" y="-436"/>
                    <wp:lineTo x="-1309" y="15273"/>
                    <wp:lineTo x="5673" y="22255"/>
                    <wp:lineTo x="15273" y="22255"/>
                    <wp:lineTo x="17891" y="20509"/>
                    <wp:lineTo x="22255" y="13964"/>
                    <wp:lineTo x="22255" y="5673"/>
                    <wp:lineTo x="15273" y="-1309"/>
                    <wp:lineTo x="5673" y="-1309"/>
                  </wp:wrapPolygon>
                </wp:wrapThrough>
                <wp:docPr id="163" name="Ellipse 163">
                  <a:hlinkClick xmlns:a="http://schemas.openxmlformats.org/drawingml/2006/main" r:id="rId72"/>
                </wp:docPr>
                <wp:cNvGraphicFramePr/>
                <a:graphic xmlns:a="http://schemas.openxmlformats.org/drawingml/2006/main">
                  <a:graphicData uri="http://schemas.microsoft.com/office/word/2010/wordprocessingShape">
                    <wps:wsp>
                      <wps:cNvSpPr/>
                      <wps:spPr>
                        <a:xfrm>
                          <a:off x="0" y="0"/>
                          <a:ext cx="1257300" cy="12573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F60C3BD" w14:textId="3B6AE6F4" w:rsidR="00573C95" w:rsidRPr="00CB4B47" w:rsidRDefault="00573C95" w:rsidP="007F5866">
                            <w:pPr>
                              <w:jc w:val="center"/>
                              <w:rPr>
                                <w:rStyle w:val="Lienhypertexte"/>
                              </w:rPr>
                            </w:pPr>
                            <w:r>
                              <w:fldChar w:fldCharType="begin"/>
                            </w:r>
                            <w:r>
                              <w:instrText xml:space="preserve"> HYPERLINK "http://www.conseiller.ca/avantages/files/2007/11/1107_hybride.pdf" </w:instrText>
                            </w:r>
                            <w:r>
                              <w:fldChar w:fldCharType="separate"/>
                            </w:r>
                            <w:r w:rsidRPr="00CB4B47">
                              <w:rPr>
                                <w:rStyle w:val="Lienhypertexte"/>
                              </w:rPr>
                              <w:t>RCR</w:t>
                            </w:r>
                          </w:p>
                          <w:p w14:paraId="77A97EEE" w14:textId="7DC3F51A" w:rsidR="00573C95" w:rsidRDefault="00573C95" w:rsidP="007F5866">
                            <w:pPr>
                              <w:jc w:val="center"/>
                            </w:pPr>
                            <w:r w:rsidRPr="00CB4B47">
                              <w:rPr>
                                <w:rStyle w:val="Lienhypertexte"/>
                              </w:rPr>
                              <w:t>Hybride</w:t>
                            </w:r>
                            <w: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63" o:spid="_x0000_s1103" href="http://www.conseiller.ca/avantages/files/2007/11/1107_hybride.pdf" style="position:absolute;margin-left:-8.95pt;margin-top:8.45pt;width:99pt;height:99pt;z-index:2534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" o:button="t" fillcolor="#94c600 [3204]" strokecolor="#94c600 [3204]">
                <v:fill color2="#84b100 [2884]" rotate="t" o:detectmouseclick="t" focus="100%" type="gradient">
                  <o:fill v:ext="view" type="gradientUnscaled"/>
                </v:fill>
                <v:textbox>
                  <w:txbxContent>
                    <w:p w14:paraId="6F60C3BD" w14:textId="3B6AE6F4" w:rsidR="001501D6" w:rsidRPr="00CB4B47" w:rsidRDefault="001501D6" w:rsidP="007F5866">
                      <w:pPr>
                        <w:jc w:val="center"/>
                        <w:rPr>
                          <w:rStyle w:val="Lienhypertexte"/>
                        </w:rPr>
                      </w:pPr>
                      <w:r>
                        <w:fldChar w:fldCharType="begin"/>
                      </w:r>
                      <w:r>
                        <w:instrText xml:space="preserve"> HYPERLINK "http://www.conseiller.ca/avantages/files/2007/11/1107_hybride.pdf" </w:instrText>
                      </w:r>
                      <w:r>
                        <w:fldChar w:fldCharType="separate"/>
                      </w:r>
                      <w:r w:rsidRPr="00CB4B47">
                        <w:rPr>
                          <w:rStyle w:val="Lienhypertexte"/>
                        </w:rPr>
                        <w:t>RCR</w:t>
                      </w:r>
                    </w:p>
                    <w:p w14:paraId="77A97EEE" w14:textId="7DC3F51A" w:rsidR="001501D6" w:rsidRDefault="001501D6" w:rsidP="007F5866">
                      <w:pPr>
                        <w:jc w:val="center"/>
                      </w:pPr>
                      <w:r w:rsidRPr="00CB4B47">
                        <w:rPr>
                          <w:rStyle w:val="Lienhypertexte"/>
                        </w:rPr>
                        <w:t>Hybride</w:t>
                      </w:r>
                      <w:r>
                        <w:fldChar w:fldCharType="end"/>
                      </w:r>
                    </w:p>
                  </w:txbxContent>
                </v:textbox>
                <w10:wrap type="through"/>
              </v:oval>
            </w:pict>
          </mc:Fallback>
        </mc:AlternateContent>
      </w:r>
    </w:p>
    <w:p w14:paraId="718BD97D" w14:textId="401847C0" w:rsidR="00957CC2" w:rsidRDefault="00957CC2"/>
    <w:p w14:paraId="1D2371BF" w14:textId="77777777" w:rsidR="00957CC2" w:rsidRDefault="00957CC2"/>
    <w:p w14:paraId="73CF5E10" w14:textId="5A989594" w:rsidR="00957CC2" w:rsidRDefault="00957CC2">
      <w:r>
        <w:rPr>
          <w:noProof/>
          <w:lang w:eastAsia="fr-FR"/>
        </w:rPr>
        <mc:AlternateContent>
          <mc:Choice Requires="wps">
            <w:drawing>
              <wp:anchor distT="0" distB="0" distL="114300" distR="114300" simplePos="0" relativeHeight="253435904" behindDoc="0" locked="0" layoutInCell="1" allowOverlap="1" wp14:anchorId="0A874531" wp14:editId="67E5DF39">
                <wp:simplePos x="0" y="0"/>
                <wp:positionH relativeFrom="column">
                  <wp:posOffset>304800</wp:posOffset>
                </wp:positionH>
                <wp:positionV relativeFrom="paragraph">
                  <wp:posOffset>48895</wp:posOffset>
                </wp:positionV>
                <wp:extent cx="1257300" cy="1257300"/>
                <wp:effectExtent l="76200" t="76200" r="63500" b="63500"/>
                <wp:wrapThrough wrapText="bothSides">
                  <wp:wrapPolygon edited="0">
                    <wp:start x="5673" y="-1309"/>
                    <wp:lineTo x="-1309" y="-436"/>
                    <wp:lineTo x="-1309" y="15273"/>
                    <wp:lineTo x="5673" y="22255"/>
                    <wp:lineTo x="15273" y="22255"/>
                    <wp:lineTo x="17891" y="20509"/>
                    <wp:lineTo x="22255" y="13964"/>
                    <wp:lineTo x="22255" y="5673"/>
                    <wp:lineTo x="15273" y="-1309"/>
                    <wp:lineTo x="5673" y="-1309"/>
                  </wp:wrapPolygon>
                </wp:wrapThrough>
                <wp:docPr id="164" name="Ellipse 164">
                  <a:hlinkClick xmlns:a="http://schemas.openxmlformats.org/drawingml/2006/main" r:id="rId73"/>
                </wp:docPr>
                <wp:cNvGraphicFramePr/>
                <a:graphic xmlns:a="http://schemas.openxmlformats.org/drawingml/2006/main">
                  <a:graphicData uri="http://schemas.microsoft.com/office/word/2010/wordprocessingShape">
                    <wps:wsp>
                      <wps:cNvSpPr/>
                      <wps:spPr>
                        <a:xfrm>
                          <a:off x="0" y="0"/>
                          <a:ext cx="1257300" cy="12573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4BA49DB" w14:textId="64C4BD50" w:rsidR="00573C95" w:rsidRDefault="00573C95" w:rsidP="007F5866">
                            <w:pPr>
                              <w:jc w:val="center"/>
                            </w:pPr>
                            <w:hyperlink r:id="rId74" w:history="1">
                              <w:r w:rsidRPr="00CB4B47">
                                <w:rPr>
                                  <w:rStyle w:val="Lienhypertexte"/>
                                </w:rPr>
                                <w:t>RREGOP</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64" o:spid="_x0000_s1104" href="http://www.carra.gouv.qc.ca/fra/regime/rregop/rregop_index.htm" style="position:absolute;margin-left:24pt;margin-top:3.85pt;width:99pt;height:99pt;z-index:2534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" o:button="t" fillcolor="#94c600 [3204]" strokecolor="#94c600 [3204]">
                <v:fill color2="#84b100 [2884]" rotate="t" o:detectmouseclick="t" focus="100%" type="gradient">
                  <o:fill v:ext="view" type="gradientUnscaled"/>
                </v:fill>
                <v:textbox>
                  <w:txbxContent>
                    <w:p w14:paraId="24BA49DB" w14:textId="64C4BD50" w:rsidR="001501D6" w:rsidRDefault="00E21DC3" w:rsidP="007F5866">
                      <w:pPr>
                        <w:jc w:val="center"/>
                      </w:pPr>
                      <w:hyperlink r:id="rId75" w:history="1">
                        <w:r w:rsidR="001501D6" w:rsidRPr="00CB4B47">
                          <w:rPr>
                            <w:rStyle w:val="Lienhypertexte"/>
                          </w:rPr>
                          <w:t>RREGOP</w:t>
                        </w:r>
                      </w:hyperlink>
                    </w:p>
                  </w:txbxContent>
                </v:textbox>
                <w10:wrap type="through"/>
              </v:oval>
            </w:pict>
          </mc:Fallback>
        </mc:AlternateContent>
      </w:r>
    </w:p>
    <w:p w14:paraId="7558760F" w14:textId="226148E3" w:rsidR="00957CC2" w:rsidRDefault="00957CC2">
      <w:r>
        <w:rPr>
          <w:noProof/>
          <w:lang w:eastAsia="fr-FR"/>
        </w:rPr>
        <mc:AlternateContent>
          <mc:Choice Requires="wps">
            <w:drawing>
              <wp:anchor distT="0" distB="0" distL="114300" distR="114300" simplePos="0" relativeHeight="253433856" behindDoc="0" locked="0" layoutInCell="1" allowOverlap="1" wp14:anchorId="7A353B4E" wp14:editId="42BE7839">
                <wp:simplePos x="0" y="0"/>
                <wp:positionH relativeFrom="column">
                  <wp:posOffset>2483485</wp:posOffset>
                </wp:positionH>
                <wp:positionV relativeFrom="paragraph">
                  <wp:posOffset>90805</wp:posOffset>
                </wp:positionV>
                <wp:extent cx="1600200" cy="1600200"/>
                <wp:effectExtent l="76200" t="76200" r="76200" b="76200"/>
                <wp:wrapThrough wrapText="bothSides">
                  <wp:wrapPolygon edited="0">
                    <wp:start x="6171" y="-1029"/>
                    <wp:lineTo x="-343" y="-343"/>
                    <wp:lineTo x="-1029" y="10629"/>
                    <wp:lineTo x="-343" y="16800"/>
                    <wp:lineTo x="5829" y="22286"/>
                    <wp:lineTo x="15429" y="22286"/>
                    <wp:lineTo x="15771" y="21600"/>
                    <wp:lineTo x="21600" y="16457"/>
                    <wp:lineTo x="22286" y="10629"/>
                    <wp:lineTo x="21600" y="4457"/>
                    <wp:lineTo x="15086" y="-1029"/>
                    <wp:lineTo x="6171" y="-1029"/>
                  </wp:wrapPolygon>
                </wp:wrapThrough>
                <wp:docPr id="170" name="Ellipse 170">
                  <a:hlinkClick xmlns:a="http://schemas.openxmlformats.org/drawingml/2006/main" r:id="rId76"/>
                </wp:docPr>
                <wp:cNvGraphicFramePr/>
                <a:graphic xmlns:a="http://schemas.openxmlformats.org/drawingml/2006/main">
                  <a:graphicData uri="http://schemas.microsoft.com/office/word/2010/wordprocessingShape">
                    <wps:wsp>
                      <wps:cNvSpPr/>
                      <wps:spPr>
                        <a:xfrm>
                          <a:off x="0" y="0"/>
                          <a:ext cx="1600200" cy="16002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AFDB1D3" w14:textId="6B84146A" w:rsidR="00573C95" w:rsidRDefault="00573C95" w:rsidP="007F5866">
                            <w:pPr>
                              <w:jc w:val="center"/>
                            </w:pPr>
                            <w:hyperlink r:id="rId77" w:history="1">
                              <w:r w:rsidRPr="00CB4B47">
                                <w:rPr>
                                  <w:rStyle w:val="Lienhypertexte"/>
                                </w:rPr>
                                <w:t>Convention de retraite</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0" o:spid="_x0000_s1105" href="https://repsourcepublic.manulife.com/wps/wcm/connect/f32ae680433c2665b2b2f6319e0f5575/ins_tepg_taxtopicrcasf.pdf?MOD=AJPERES&amp;CACHEID=f32ae680433c2665b2b2f6319e0f5575" style="position:absolute;margin-left:195.55pt;margin-top:7.15pt;width:126pt;height:126pt;z-index:2534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" o:button="t" fillcolor="#94c600 [3204]" strokecolor="#94c600 [3204]">
                <v:fill color2="#84b100 [2884]" rotate="t" o:detectmouseclick="t" focus="100%" type="gradient">
                  <o:fill v:ext="view" type="gradientUnscaled"/>
                </v:fill>
                <v:textbox>
                  <w:txbxContent>
                    <w:p w14:paraId="0AFDB1D3" w14:textId="6B84146A" w:rsidR="001501D6" w:rsidRDefault="00E21DC3" w:rsidP="007F5866">
                      <w:pPr>
                        <w:jc w:val="center"/>
                      </w:pPr>
                      <w:hyperlink r:id="rId78" w:history="1">
                        <w:r w:rsidR="001501D6" w:rsidRPr="00CB4B47">
                          <w:rPr>
                            <w:rStyle w:val="Lienhypertexte"/>
                          </w:rPr>
                          <w:t>Convention de retraite</w:t>
                        </w:r>
                      </w:hyperlink>
                    </w:p>
                  </w:txbxContent>
                </v:textbox>
                <w10:wrap type="through"/>
              </v:oval>
            </w:pict>
          </mc:Fallback>
        </mc:AlternateContent>
      </w:r>
    </w:p>
    <w:p w14:paraId="5DB60D2A" w14:textId="77777777" w:rsidR="00957CC2" w:rsidRDefault="00957CC2"/>
    <w:p w14:paraId="2C23FDDE" w14:textId="77777777" w:rsidR="00957CC2" w:rsidRDefault="00957CC2"/>
    <w:p w14:paraId="7BCEFFEB" w14:textId="5BDED4DB" w:rsidR="00957CC2" w:rsidRDefault="00957CC2">
      <w:r>
        <w:rPr>
          <w:noProof/>
          <w:lang w:eastAsia="fr-FR"/>
        </w:rPr>
        <mc:AlternateContent>
          <mc:Choice Requires="wps">
            <w:drawing>
              <wp:anchor distT="0" distB="0" distL="114300" distR="114300" simplePos="0" relativeHeight="253437952" behindDoc="0" locked="0" layoutInCell="1" allowOverlap="1" wp14:anchorId="73449F45" wp14:editId="00AEAFC7">
                <wp:simplePos x="0" y="0"/>
                <wp:positionH relativeFrom="column">
                  <wp:posOffset>-687705</wp:posOffset>
                </wp:positionH>
                <wp:positionV relativeFrom="paragraph">
                  <wp:posOffset>170815</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169" name="Ellipse 169">
                  <a:hlinkClick xmlns:a="http://schemas.openxmlformats.org/drawingml/2006/main" r:id="rId79"/>
                </wp:docPr>
                <wp:cNvGraphicFramePr/>
                <a:graphic xmlns:a="http://schemas.openxmlformats.org/drawingml/2006/main">
                  <a:graphicData uri="http://schemas.microsoft.com/office/word/2010/wordprocessingShape">
                    <wps:wsp>
                      <wps:cNvSpPr/>
                      <wps:spPr>
                        <a:xfrm>
                          <a:off x="0" y="0"/>
                          <a:ext cx="685800" cy="6858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4E17943" w14:textId="4B885AA9" w:rsidR="00573C95" w:rsidRDefault="00573C95" w:rsidP="007F5866">
                            <w:pPr>
                              <w:jc w:val="center"/>
                            </w:pPr>
                            <w:hyperlink r:id="rId80" w:history="1">
                              <w:r w:rsidRPr="00CB4B47">
                                <w:rPr>
                                  <w:rStyle w:val="Lienhypertexte"/>
                                </w:rPr>
                                <w:t>RRI</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69" o:spid="_x0000_s1106" href="https://www.standardlife.ca/pdf/gf11158.pdf" style="position:absolute;margin-left:-54.1pt;margin-top:13.45pt;width:54pt;height:54pt;z-index:2534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" o:button="t" fillcolor="#94c600 [3204]" strokecolor="#94c600 [3204]">
                <v:fill color2="#84b100 [2884]" rotate="t" o:detectmouseclick="t" focus="100%" type="gradient">
                  <o:fill v:ext="view" type="gradientUnscaled"/>
                </v:fill>
                <v:textbox>
                  <w:txbxContent>
                    <w:p w14:paraId="44E17943" w14:textId="4B885AA9" w:rsidR="001501D6" w:rsidRDefault="00E21DC3" w:rsidP="007F5866">
                      <w:pPr>
                        <w:jc w:val="center"/>
                      </w:pPr>
                      <w:hyperlink r:id="rId81" w:history="1">
                        <w:r w:rsidR="001501D6" w:rsidRPr="00CB4B47">
                          <w:rPr>
                            <w:rStyle w:val="Lienhypertexte"/>
                          </w:rPr>
                          <w:t>RRI</w:t>
                        </w:r>
                      </w:hyperlink>
                    </w:p>
                  </w:txbxContent>
                </v:textbox>
                <w10:wrap type="through"/>
              </v:oval>
            </w:pict>
          </mc:Fallback>
        </mc:AlternateContent>
      </w:r>
    </w:p>
    <w:p w14:paraId="4F3CC525" w14:textId="16435296" w:rsidR="00957CC2" w:rsidRDefault="00957CC2">
      <w:r>
        <w:rPr>
          <w:noProof/>
          <w:lang w:eastAsia="fr-FR"/>
        </w:rPr>
        <mc:AlternateContent>
          <mc:Choice Requires="wps">
            <w:drawing>
              <wp:anchor distT="0" distB="0" distL="114300" distR="114300" simplePos="0" relativeHeight="253438976" behindDoc="0" locked="0" layoutInCell="1" allowOverlap="1" wp14:anchorId="546BC3B1" wp14:editId="0F2B03F2">
                <wp:simplePos x="0" y="0"/>
                <wp:positionH relativeFrom="column">
                  <wp:posOffset>1028700</wp:posOffset>
                </wp:positionH>
                <wp:positionV relativeFrom="paragraph">
                  <wp:posOffset>207010</wp:posOffset>
                </wp:positionV>
                <wp:extent cx="800100" cy="800100"/>
                <wp:effectExtent l="76200" t="76200" r="63500" b="63500"/>
                <wp:wrapThrough wrapText="bothSides">
                  <wp:wrapPolygon edited="0">
                    <wp:start x="4800" y="-2057"/>
                    <wp:lineTo x="-2057" y="-686"/>
                    <wp:lineTo x="-2057" y="15771"/>
                    <wp:lineTo x="4800" y="21257"/>
                    <wp:lineTo x="4800" y="22629"/>
                    <wp:lineTo x="16457" y="22629"/>
                    <wp:lineTo x="17143" y="21257"/>
                    <wp:lineTo x="22629" y="10971"/>
                    <wp:lineTo x="22629" y="8229"/>
                    <wp:lineTo x="17143" y="-686"/>
                    <wp:lineTo x="15771" y="-2057"/>
                    <wp:lineTo x="4800" y="-2057"/>
                  </wp:wrapPolygon>
                </wp:wrapThrough>
                <wp:docPr id="168" name="Ellipse 168">
                  <a:hlinkClick xmlns:a="http://schemas.openxmlformats.org/drawingml/2006/main" r:id="rId82"/>
                </wp:docPr>
                <wp:cNvGraphicFramePr/>
                <a:graphic xmlns:a="http://schemas.openxmlformats.org/drawingml/2006/main">
                  <a:graphicData uri="http://schemas.microsoft.com/office/word/2010/wordprocessingShape">
                    <wps:wsp>
                      <wps:cNvSpPr/>
                      <wps:spPr>
                        <a:xfrm>
                          <a:off x="0" y="0"/>
                          <a:ext cx="800100" cy="8001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47DAEEE" w14:textId="413DF361" w:rsidR="00573C95" w:rsidRDefault="00573C95" w:rsidP="007F5866">
                            <w:pPr>
                              <w:jc w:val="center"/>
                            </w:pPr>
                            <w:hyperlink r:id="rId83" w:history="1">
                              <w:r w:rsidRPr="00CB4B47">
                                <w:rPr>
                                  <w:rStyle w:val="Lienhypertexte"/>
                                </w:rPr>
                                <w:t>RPEB</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68" o:spid="_x0000_s1107" href="http://www.cra-arc.gc.ca/gncy/bdgt/2012/qa05-fra.html" style="position:absolute;margin-left:81pt;margin-top:16.3pt;width:63pt;height:63pt;z-index:2534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" o:button="t" fillcolor="#94c600 [3204]" strokecolor="#94c600 [3204]">
                <v:fill color2="#84b100 [2884]" rotate="t" o:detectmouseclick="t" focus="100%" type="gradient">
                  <o:fill v:ext="view" type="gradientUnscaled"/>
                </v:fill>
                <v:textbox>
                  <w:txbxContent>
                    <w:p w14:paraId="047DAEEE" w14:textId="413DF361" w:rsidR="001501D6" w:rsidRDefault="00E21DC3" w:rsidP="007F5866">
                      <w:pPr>
                        <w:jc w:val="center"/>
                      </w:pPr>
                      <w:hyperlink r:id="rId84" w:history="1">
                        <w:r w:rsidR="001501D6" w:rsidRPr="00CB4B47">
                          <w:rPr>
                            <w:rStyle w:val="Lienhypertexte"/>
                          </w:rPr>
                          <w:t>RPEB</w:t>
                        </w:r>
                      </w:hyperlink>
                    </w:p>
                  </w:txbxContent>
                </v:textbox>
                <w10:wrap type="through"/>
              </v:oval>
            </w:pict>
          </mc:Fallback>
        </mc:AlternateContent>
      </w:r>
      <w:r>
        <w:rPr>
          <w:noProof/>
          <w:lang w:eastAsia="fr-FR"/>
        </w:rPr>
        <mc:AlternateContent>
          <mc:Choice Requires="wps">
            <w:drawing>
              <wp:anchor distT="0" distB="0" distL="114300" distR="114300" simplePos="0" relativeHeight="253434880" behindDoc="0" locked="0" layoutInCell="1" allowOverlap="1" wp14:anchorId="7551EE91" wp14:editId="43D39708">
                <wp:simplePos x="0" y="0"/>
                <wp:positionH relativeFrom="column">
                  <wp:posOffset>2857500</wp:posOffset>
                </wp:positionH>
                <wp:positionV relativeFrom="paragraph">
                  <wp:posOffset>92710</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67" name="Ellipse 167">
                  <a:hlinkClick xmlns:a="http://schemas.openxmlformats.org/drawingml/2006/main" r:id="rId85"/>
                </wp:docPr>
                <wp:cNvGraphicFramePr/>
                <a:graphic xmlns:a="http://schemas.openxmlformats.org/drawingml/2006/main">
                  <a:graphicData uri="http://schemas.microsoft.com/office/word/2010/wordprocessingShape">
                    <wps:wsp>
                      <wps:cNvSpPr/>
                      <wps:spPr>
                        <a:xfrm>
                          <a:off x="0" y="0"/>
                          <a:ext cx="914400" cy="9144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701FA90" w14:textId="334E8F8D" w:rsidR="00573C95" w:rsidRDefault="00573C95" w:rsidP="007F5866">
                            <w:pPr>
                              <w:jc w:val="center"/>
                            </w:pPr>
                            <w:hyperlink r:id="rId86" w:history="1">
                              <w:r w:rsidRPr="00CB4B47">
                                <w:rPr>
                                  <w:rStyle w:val="Lienhypertexte"/>
                                </w:rPr>
                                <w:t>RPDB</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67" o:spid="_x0000_s1108" href="http://www.cra-arc.gc.ca/F/pub/tp/ic77-1r5/ic77-1r5-f.pdf" style="position:absolute;margin-left:225pt;margin-top:7.3pt;width:1in;height:1in;z-index:2534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" o:button="t" fillcolor="#94c600 [3204]" strokecolor="#94c600 [3204]">
                <v:fill color2="#84b100 [2884]" rotate="t" o:detectmouseclick="t" focus="100%" type="gradient">
                  <o:fill v:ext="view" type="gradientUnscaled"/>
                </v:fill>
                <v:textbox>
                  <w:txbxContent>
                    <w:p w14:paraId="0701FA90" w14:textId="334E8F8D" w:rsidR="001501D6" w:rsidRDefault="00E21DC3" w:rsidP="007F5866">
                      <w:pPr>
                        <w:jc w:val="center"/>
                      </w:pPr>
                      <w:hyperlink r:id="rId87" w:history="1">
                        <w:r w:rsidR="001501D6" w:rsidRPr="00CB4B47">
                          <w:rPr>
                            <w:rStyle w:val="Lienhypertexte"/>
                          </w:rPr>
                          <w:t>RPDB</w:t>
                        </w:r>
                      </w:hyperlink>
                    </w:p>
                  </w:txbxContent>
                </v:textbox>
                <w10:wrap type="through"/>
              </v:oval>
            </w:pict>
          </mc:Fallback>
        </mc:AlternateContent>
      </w:r>
    </w:p>
    <w:p w14:paraId="6963F022" w14:textId="77777777" w:rsidR="00957CC2" w:rsidRDefault="00957CC2"/>
    <w:p w14:paraId="3A00446F" w14:textId="77777777" w:rsidR="00957CC2" w:rsidRDefault="00957CC2"/>
    <w:p w14:paraId="4AAF5FA6" w14:textId="4F49EA46" w:rsidR="005A6755" w:rsidRDefault="00EF74BD" w:rsidP="00D47C62">
      <w:pPr>
        <w:rPr>
          <w:color w:val="FF6700" w:themeColor="accent3"/>
        </w:rPr>
      </w:pPr>
      <w:r>
        <w:rPr>
          <w:noProof/>
          <w:lang w:eastAsia="fr-FR"/>
        </w:rPr>
        <w:lastRenderedPageBreak/>
        <mc:AlternateContent>
          <mc:Choice Requires="wps">
            <w:drawing>
              <wp:anchor distT="0" distB="0" distL="114300" distR="114300" simplePos="0" relativeHeight="252094464" behindDoc="0" locked="0" layoutInCell="1" allowOverlap="1" wp14:anchorId="1C4DE13E" wp14:editId="68FD9540">
                <wp:simplePos x="0" y="0"/>
                <wp:positionH relativeFrom="column">
                  <wp:posOffset>6515100</wp:posOffset>
                </wp:positionH>
                <wp:positionV relativeFrom="paragraph">
                  <wp:posOffset>114300</wp:posOffset>
                </wp:positionV>
                <wp:extent cx="457200" cy="457200"/>
                <wp:effectExtent l="0" t="0" r="25400" b="25400"/>
                <wp:wrapNone/>
                <wp:docPr id="178" name="Ellipse 178"/>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0075EC22" w14:textId="77777777" w:rsidR="00573C95" w:rsidRPr="00F42166" w:rsidRDefault="00573C95" w:rsidP="00EF74BD">
                            <w:pPr>
                              <w:jc w:val="cente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8" o:spid="_x0000_s1109" style="position:absolute;margin-left:513pt;margin-top:9pt;width:36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" fillcolor="black [3200]" strokecolor="white [3201]" strokeweight="1.75pt">
                <v:textbox>
                  <w:txbxContent>
                    <w:p w14:paraId="0075EC22" w14:textId="77777777" w:rsidR="001501D6" w:rsidRPr="00F42166" w:rsidRDefault="001501D6" w:rsidP="00EF74BD">
                      <w:pPr>
                        <w:jc w:val="center"/>
                        <w:rPr>
                          <w:sz w:val="20"/>
                          <w:szCs w:val="20"/>
                        </w:rPr>
                      </w:pPr>
                      <w:r>
                        <w:rPr>
                          <w:sz w:val="20"/>
                          <w:szCs w:val="20"/>
                        </w:rPr>
                        <w:t>2</w:t>
                      </w:r>
                    </w:p>
                  </w:txbxContent>
                </v:textbox>
              </v:oval>
            </w:pict>
          </mc:Fallback>
        </mc:AlternateContent>
      </w:r>
      <w:r w:rsidRPr="00EF74BD">
        <w:rPr>
          <w:noProof/>
          <w:u w:val="single"/>
          <w:lang w:eastAsia="fr-FR"/>
        </w:rPr>
        <mc:AlternateContent>
          <mc:Choice Requires="wps">
            <w:drawing>
              <wp:anchor distT="0" distB="0" distL="114300" distR="114300" simplePos="0" relativeHeight="252092416" behindDoc="0" locked="0" layoutInCell="1" allowOverlap="1" wp14:anchorId="3EED4E73" wp14:editId="4575C485">
                <wp:simplePos x="0" y="0"/>
                <wp:positionH relativeFrom="column">
                  <wp:posOffset>5486400</wp:posOffset>
                </wp:positionH>
                <wp:positionV relativeFrom="paragraph">
                  <wp:posOffset>114300</wp:posOffset>
                </wp:positionV>
                <wp:extent cx="457200" cy="457200"/>
                <wp:effectExtent l="0" t="0" r="25400" b="25400"/>
                <wp:wrapNone/>
                <wp:docPr id="177" name="Ellipse 177"/>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4003A084" w14:textId="77777777" w:rsidR="00573C95" w:rsidRPr="00F42166" w:rsidRDefault="00573C95" w:rsidP="00EF74BD">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7" o:spid="_x0000_s1110" style="position:absolute;margin-left:6in;margin-top:9pt;width:36pt;height:36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" fillcolor="black [3200]" strokecolor="white [3201]" strokeweight="1.75pt">
                <v:textbox>
                  <w:txbxContent>
                    <w:p w14:paraId="4003A084" w14:textId="77777777" w:rsidR="001501D6" w:rsidRPr="00F42166" w:rsidRDefault="001501D6" w:rsidP="00EF74BD">
                      <w:pPr>
                        <w:jc w:val="center"/>
                        <w:rPr>
                          <w:sz w:val="20"/>
                          <w:szCs w:val="20"/>
                        </w:rPr>
                      </w:pPr>
                      <w:r>
                        <w:rPr>
                          <w:sz w:val="20"/>
                          <w:szCs w:val="20"/>
                        </w:rPr>
                        <w:t>1</w:t>
                      </w:r>
                      <w:r w:rsidRPr="00F42166">
                        <w:rPr>
                          <w:sz w:val="20"/>
                          <w:szCs w:val="20"/>
                        </w:rPr>
                        <w:t xml:space="preserve"> </w:t>
                      </w:r>
                    </w:p>
                  </w:txbxContent>
                </v:textbox>
              </v:oval>
            </w:pict>
          </mc:Fallback>
        </mc:AlternateContent>
      </w:r>
      <w:r w:rsidR="005A6755" w:rsidRPr="00EC2312">
        <w:rPr>
          <w:color w:val="FF6700" w:themeColor="accent3"/>
        </w:rPr>
        <w:t>I</w:t>
      </w:r>
      <w:r w:rsidR="006C4C47">
        <w:rPr>
          <w:color w:val="FF6700" w:themeColor="accent3"/>
        </w:rPr>
        <w:t>MAGE</w:t>
      </w:r>
      <w:r w:rsidR="005A6755" w:rsidRPr="00EC2312">
        <w:rPr>
          <w:color w:val="FF6700" w:themeColor="accent3"/>
        </w:rPr>
        <w:t xml:space="preserve"> 7</w:t>
      </w:r>
      <w:r w:rsidR="005A6755">
        <w:rPr>
          <w:color w:val="FF6700" w:themeColor="accent3"/>
        </w:rPr>
        <w:t>-8</w:t>
      </w:r>
      <w:r w:rsidR="005A6755" w:rsidRPr="00EC2312">
        <w:rPr>
          <w:color w:val="FF6700" w:themeColor="accent3"/>
        </w:rPr>
        <w:tab/>
      </w:r>
      <w:r w:rsidR="005A6755">
        <w:rPr>
          <w:color w:val="FF6700" w:themeColor="accent3"/>
        </w:rPr>
        <w:t>Classification des régimes de pension</w:t>
      </w:r>
    </w:p>
    <w:p w14:paraId="34299D80" w14:textId="77777777" w:rsidR="00EF74BD" w:rsidRDefault="00EF74BD" w:rsidP="005F4FE9">
      <w:pPr>
        <w:ind w:left="360"/>
        <w:rPr>
          <w:color w:val="FF6700" w:themeColor="accent3"/>
        </w:rPr>
      </w:pPr>
    </w:p>
    <w:tbl>
      <w:tblPr>
        <w:tblStyle w:val="Grille"/>
        <w:tblW w:w="14283" w:type="dxa"/>
        <w:tblLayout w:type="fixed"/>
        <w:tblLook w:val="04A0" w:firstRow="1" w:lastRow="0" w:firstColumn="1" w:lastColumn="0" w:noHBand="0" w:noVBand="1"/>
      </w:tblPr>
      <w:tblGrid>
        <w:gridCol w:w="8472"/>
        <w:gridCol w:w="1417"/>
        <w:gridCol w:w="1559"/>
        <w:gridCol w:w="2835"/>
      </w:tblGrid>
      <w:tr w:rsidR="00C74F2E" w14:paraId="77AB517D" w14:textId="2E5F7874" w:rsidTr="00246791">
        <w:tc>
          <w:tcPr>
            <w:tcW w:w="8472" w:type="dxa"/>
            <w:tcBorders>
              <w:top w:val="nil"/>
              <w:left w:val="nil"/>
              <w:bottom w:val="nil"/>
              <w:right w:val="nil"/>
            </w:tcBorders>
            <w:shd w:val="clear" w:color="auto" w:fill="CAF278" w:themeFill="background2"/>
          </w:tcPr>
          <w:p w14:paraId="49C40CC4" w14:textId="77777777" w:rsidR="00EF74BD" w:rsidRDefault="00EF74BD" w:rsidP="000A1697">
            <w:pPr>
              <w:jc w:val="center"/>
            </w:pPr>
          </w:p>
          <w:p w14:paraId="1409DB90" w14:textId="62E56D2A" w:rsidR="00C74F2E" w:rsidRDefault="00C74F2E" w:rsidP="000A1697">
            <w:pPr>
              <w:jc w:val="center"/>
            </w:pPr>
            <w:r>
              <w:t>Type de régime</w:t>
            </w:r>
          </w:p>
        </w:tc>
        <w:tc>
          <w:tcPr>
            <w:tcW w:w="1417" w:type="dxa"/>
            <w:tcBorders>
              <w:top w:val="nil"/>
              <w:left w:val="nil"/>
              <w:bottom w:val="nil"/>
              <w:right w:val="nil"/>
            </w:tcBorders>
            <w:shd w:val="clear" w:color="auto" w:fill="FF6700" w:themeFill="accent3"/>
          </w:tcPr>
          <w:p w14:paraId="7E6B757A" w14:textId="77777777" w:rsidR="00EF74BD" w:rsidRDefault="00EF74BD" w:rsidP="000A1697">
            <w:pPr>
              <w:jc w:val="center"/>
              <w:rPr>
                <w:color w:val="FFFFFF" w:themeColor="background1"/>
              </w:rPr>
            </w:pPr>
          </w:p>
          <w:p w14:paraId="5938EB64" w14:textId="54973AF0" w:rsidR="00C74F2E" w:rsidRPr="000A1697" w:rsidRDefault="00C74F2E" w:rsidP="000A1697">
            <w:pPr>
              <w:jc w:val="center"/>
              <w:rPr>
                <w:color w:val="FFFFFF" w:themeColor="background1"/>
              </w:rPr>
            </w:pPr>
            <w:r w:rsidRPr="000A1697">
              <w:rPr>
                <w:color w:val="FFFFFF" w:themeColor="background1"/>
              </w:rPr>
              <w:t>Assujetti à la LRCR</w:t>
            </w:r>
          </w:p>
        </w:tc>
        <w:tc>
          <w:tcPr>
            <w:tcW w:w="1559" w:type="dxa"/>
            <w:tcBorders>
              <w:top w:val="nil"/>
              <w:left w:val="nil"/>
              <w:bottom w:val="nil"/>
              <w:right w:val="nil"/>
            </w:tcBorders>
            <w:shd w:val="clear" w:color="auto" w:fill="CCFFCC"/>
          </w:tcPr>
          <w:p w14:paraId="7B86D3C9" w14:textId="77777777" w:rsidR="00EF74BD" w:rsidRDefault="00EF74BD" w:rsidP="000A1697">
            <w:pPr>
              <w:jc w:val="center"/>
            </w:pPr>
          </w:p>
          <w:p w14:paraId="2C601277" w14:textId="48BCD9E3" w:rsidR="00C74F2E" w:rsidRDefault="00C74F2E" w:rsidP="000A1697">
            <w:pPr>
              <w:jc w:val="center"/>
            </w:pPr>
            <w:r>
              <w:t>Enregistré (abri fiscal)</w:t>
            </w:r>
          </w:p>
        </w:tc>
        <w:tc>
          <w:tcPr>
            <w:tcW w:w="2835" w:type="dxa"/>
            <w:tcBorders>
              <w:top w:val="nil"/>
              <w:left w:val="nil"/>
              <w:bottom w:val="nil"/>
              <w:right w:val="nil"/>
            </w:tcBorders>
            <w:shd w:val="clear" w:color="auto" w:fill="6B6E4B" w:themeFill="accent4" w:themeFillShade="BF"/>
          </w:tcPr>
          <w:p w14:paraId="7E77B9A1" w14:textId="77777777" w:rsidR="00EF74BD" w:rsidRDefault="00EF74BD" w:rsidP="000A1697">
            <w:pPr>
              <w:jc w:val="center"/>
              <w:rPr>
                <w:color w:val="FFFFFF" w:themeColor="background1"/>
              </w:rPr>
            </w:pPr>
          </w:p>
          <w:p w14:paraId="1F9CD04F" w14:textId="0FFFA4FF" w:rsidR="00C74F2E" w:rsidRPr="000A1697" w:rsidRDefault="00C74F2E" w:rsidP="000A1697">
            <w:pPr>
              <w:jc w:val="center"/>
              <w:rPr>
                <w:color w:val="FFFFFF" w:themeColor="background1"/>
              </w:rPr>
            </w:pPr>
            <w:r w:rsidRPr="000A1697">
              <w:rPr>
                <w:color w:val="FFFFFF" w:themeColor="background1"/>
              </w:rPr>
              <w:t>Grande organisation ou PME</w:t>
            </w:r>
          </w:p>
        </w:tc>
      </w:tr>
      <w:tr w:rsidR="00246791" w14:paraId="7FEB2563" w14:textId="541F1D91" w:rsidTr="005A6755">
        <w:tc>
          <w:tcPr>
            <w:tcW w:w="8472" w:type="dxa"/>
            <w:tcBorders>
              <w:top w:val="single" w:sz="4" w:space="0" w:color="auto"/>
            </w:tcBorders>
            <w:shd w:val="clear" w:color="auto" w:fill="CAF278" w:themeFill="background2"/>
          </w:tcPr>
          <w:p w14:paraId="5A92A8C5" w14:textId="39B182E1" w:rsidR="005A6755" w:rsidRDefault="00246791" w:rsidP="005A6755">
            <w:pPr>
              <w:jc w:val="both"/>
            </w:pPr>
            <w:r>
              <w:t>RCR à cotisation déterminée</w:t>
            </w:r>
          </w:p>
        </w:tc>
        <w:tc>
          <w:tcPr>
            <w:tcW w:w="1417" w:type="dxa"/>
            <w:tcBorders>
              <w:top w:val="single" w:sz="4" w:space="0" w:color="auto"/>
            </w:tcBorders>
            <w:shd w:val="clear" w:color="auto" w:fill="FF6700" w:themeFill="accent3"/>
          </w:tcPr>
          <w:p w14:paraId="47616EF9" w14:textId="50F9CF53" w:rsidR="00246791" w:rsidRPr="00713160" w:rsidRDefault="00713160" w:rsidP="00246791">
            <w:pPr>
              <w:jc w:val="center"/>
              <w:rPr>
                <w:rFonts w:asciiTheme="majorHAnsi" w:hAnsiTheme="majorHAnsi"/>
                <w:b/>
              </w:rPr>
            </w:pPr>
            <w:r w:rsidRPr="00713160">
              <w:rPr>
                <w:rFonts w:asciiTheme="majorHAnsi" w:hAnsiTheme="majorHAnsi"/>
                <w:b/>
                <w:color w:val="000000"/>
              </w:rPr>
              <w:t>x</w:t>
            </w:r>
          </w:p>
        </w:tc>
        <w:tc>
          <w:tcPr>
            <w:tcW w:w="1559" w:type="dxa"/>
            <w:tcBorders>
              <w:top w:val="single" w:sz="4" w:space="0" w:color="auto"/>
            </w:tcBorders>
            <w:shd w:val="clear" w:color="auto" w:fill="CCFFCC"/>
          </w:tcPr>
          <w:p w14:paraId="7F57405C" w14:textId="34C83F6B" w:rsidR="00246791" w:rsidRPr="00713160" w:rsidRDefault="00713160" w:rsidP="005829D5">
            <w:pPr>
              <w:jc w:val="center"/>
              <w:rPr>
                <w:rFonts w:asciiTheme="majorHAnsi" w:hAnsiTheme="majorHAnsi"/>
                <w:b/>
              </w:rPr>
            </w:pPr>
            <w:r w:rsidRPr="00713160">
              <w:rPr>
                <w:rFonts w:asciiTheme="majorHAnsi" w:hAnsiTheme="majorHAnsi"/>
                <w:b/>
                <w:color w:val="000000"/>
              </w:rPr>
              <w:t>x</w:t>
            </w:r>
          </w:p>
        </w:tc>
        <w:tc>
          <w:tcPr>
            <w:tcW w:w="2835" w:type="dxa"/>
            <w:tcBorders>
              <w:top w:val="single" w:sz="4" w:space="0" w:color="auto"/>
            </w:tcBorders>
            <w:shd w:val="clear" w:color="auto" w:fill="6B6E4B" w:themeFill="accent4" w:themeFillShade="BF"/>
          </w:tcPr>
          <w:p w14:paraId="48BE2289" w14:textId="2D9DBB00" w:rsidR="00246791" w:rsidRPr="005829D5" w:rsidRDefault="005829D5" w:rsidP="005829D5">
            <w:pPr>
              <w:jc w:val="center"/>
              <w:rPr>
                <w:color w:val="FFFFFF" w:themeColor="background1"/>
              </w:rPr>
            </w:pPr>
            <w:r w:rsidRPr="005829D5">
              <w:rPr>
                <w:color w:val="FFFFFF" w:themeColor="background1"/>
              </w:rPr>
              <w:t>Grande organisation</w:t>
            </w:r>
          </w:p>
        </w:tc>
      </w:tr>
      <w:tr w:rsidR="00246791" w14:paraId="1811297E" w14:textId="413FB9F6" w:rsidTr="005A6755">
        <w:tc>
          <w:tcPr>
            <w:tcW w:w="8472" w:type="dxa"/>
            <w:shd w:val="clear" w:color="auto" w:fill="CAF278" w:themeFill="background2"/>
          </w:tcPr>
          <w:p w14:paraId="3BB12543" w14:textId="49360D85" w:rsidR="005A6755" w:rsidRDefault="00246791" w:rsidP="005A6755">
            <w:pPr>
              <w:jc w:val="both"/>
            </w:pPr>
            <w:r>
              <w:t>RCR à prestation déterminée</w:t>
            </w:r>
          </w:p>
        </w:tc>
        <w:tc>
          <w:tcPr>
            <w:tcW w:w="1417" w:type="dxa"/>
            <w:shd w:val="clear" w:color="auto" w:fill="FF6700" w:themeFill="accent3"/>
          </w:tcPr>
          <w:p w14:paraId="15EF4AB1" w14:textId="077B8275" w:rsidR="00246791" w:rsidRPr="00713160" w:rsidRDefault="00713160" w:rsidP="00246791">
            <w:pPr>
              <w:jc w:val="center"/>
              <w:rPr>
                <w:rFonts w:asciiTheme="majorHAnsi" w:hAnsiTheme="majorHAnsi"/>
                <w:b/>
              </w:rPr>
            </w:pPr>
            <w:r w:rsidRPr="00713160">
              <w:rPr>
                <w:rFonts w:asciiTheme="majorHAnsi" w:hAnsiTheme="majorHAnsi" w:cs="Zapf Dingbats"/>
                <w:b/>
              </w:rPr>
              <w:t>x</w:t>
            </w:r>
          </w:p>
        </w:tc>
        <w:tc>
          <w:tcPr>
            <w:tcW w:w="1559" w:type="dxa"/>
            <w:shd w:val="clear" w:color="auto" w:fill="CCFFCC"/>
          </w:tcPr>
          <w:p w14:paraId="1091723E" w14:textId="7D4DAD97" w:rsidR="00246791" w:rsidRPr="00713160" w:rsidRDefault="00713160" w:rsidP="005829D5">
            <w:pPr>
              <w:jc w:val="center"/>
              <w:rPr>
                <w:rFonts w:asciiTheme="majorHAnsi" w:hAnsiTheme="majorHAnsi"/>
                <w:b/>
              </w:rPr>
            </w:pPr>
            <w:r w:rsidRPr="00713160">
              <w:rPr>
                <w:rFonts w:asciiTheme="majorHAnsi" w:hAnsiTheme="majorHAnsi" w:cs="Zapf Dingbats"/>
                <w:b/>
              </w:rPr>
              <w:t>x</w:t>
            </w:r>
          </w:p>
        </w:tc>
        <w:tc>
          <w:tcPr>
            <w:tcW w:w="2835" w:type="dxa"/>
            <w:shd w:val="clear" w:color="auto" w:fill="6B6E4B" w:themeFill="accent4" w:themeFillShade="BF"/>
          </w:tcPr>
          <w:p w14:paraId="44CDE430" w14:textId="73AE7D56" w:rsidR="00246791" w:rsidRDefault="005829D5" w:rsidP="005829D5">
            <w:pPr>
              <w:jc w:val="center"/>
            </w:pPr>
            <w:r w:rsidRPr="005829D5">
              <w:rPr>
                <w:color w:val="FFFFFF" w:themeColor="background1"/>
              </w:rPr>
              <w:t>Grande organisation</w:t>
            </w:r>
          </w:p>
        </w:tc>
      </w:tr>
      <w:tr w:rsidR="00246791" w14:paraId="69D301B0" w14:textId="29B7ECC4" w:rsidTr="005A6755">
        <w:tc>
          <w:tcPr>
            <w:tcW w:w="8472" w:type="dxa"/>
            <w:shd w:val="clear" w:color="auto" w:fill="CAF278" w:themeFill="background2"/>
          </w:tcPr>
          <w:p w14:paraId="4D93F91C" w14:textId="3699E6BF" w:rsidR="005A6755" w:rsidRDefault="00246791" w:rsidP="005A6755">
            <w:pPr>
              <w:jc w:val="both"/>
            </w:pPr>
            <w:r>
              <w:t>RCR hybride</w:t>
            </w:r>
          </w:p>
        </w:tc>
        <w:tc>
          <w:tcPr>
            <w:tcW w:w="1417" w:type="dxa"/>
            <w:shd w:val="clear" w:color="auto" w:fill="FF6700" w:themeFill="accent3"/>
          </w:tcPr>
          <w:p w14:paraId="40C89398" w14:textId="0BD4F32C" w:rsidR="00246791" w:rsidRPr="00713160" w:rsidRDefault="00713160" w:rsidP="00246791">
            <w:pPr>
              <w:jc w:val="center"/>
              <w:rPr>
                <w:rFonts w:asciiTheme="majorHAnsi" w:hAnsiTheme="majorHAnsi"/>
                <w:b/>
              </w:rPr>
            </w:pPr>
            <w:r w:rsidRPr="00713160">
              <w:rPr>
                <w:rFonts w:asciiTheme="majorHAnsi" w:hAnsiTheme="majorHAnsi"/>
                <w:b/>
                <w:color w:val="000000"/>
              </w:rPr>
              <w:t>x</w:t>
            </w:r>
          </w:p>
        </w:tc>
        <w:tc>
          <w:tcPr>
            <w:tcW w:w="1559" w:type="dxa"/>
            <w:shd w:val="clear" w:color="auto" w:fill="CCFFCC"/>
          </w:tcPr>
          <w:p w14:paraId="2671014E" w14:textId="1AF100A8" w:rsidR="00246791" w:rsidRPr="00713160" w:rsidRDefault="00713160" w:rsidP="005829D5">
            <w:pPr>
              <w:jc w:val="center"/>
              <w:rPr>
                <w:rFonts w:asciiTheme="majorHAnsi" w:hAnsiTheme="majorHAnsi"/>
                <w:b/>
              </w:rPr>
            </w:pPr>
            <w:r w:rsidRPr="00713160">
              <w:rPr>
                <w:rFonts w:asciiTheme="majorHAnsi" w:hAnsiTheme="majorHAnsi"/>
                <w:b/>
                <w:color w:val="000000"/>
              </w:rPr>
              <w:t>x</w:t>
            </w:r>
          </w:p>
        </w:tc>
        <w:tc>
          <w:tcPr>
            <w:tcW w:w="2835" w:type="dxa"/>
            <w:shd w:val="clear" w:color="auto" w:fill="6B6E4B" w:themeFill="accent4" w:themeFillShade="BF"/>
          </w:tcPr>
          <w:p w14:paraId="1002E130" w14:textId="080B3E96" w:rsidR="00246791" w:rsidRDefault="005829D5" w:rsidP="005829D5">
            <w:pPr>
              <w:jc w:val="center"/>
            </w:pPr>
            <w:r w:rsidRPr="005829D5">
              <w:rPr>
                <w:color w:val="FFFFFF" w:themeColor="background1"/>
              </w:rPr>
              <w:t>Grande organisation</w:t>
            </w:r>
          </w:p>
        </w:tc>
      </w:tr>
      <w:tr w:rsidR="00246791" w14:paraId="2BD46995" w14:textId="5985BAF0" w:rsidTr="005A6755">
        <w:tc>
          <w:tcPr>
            <w:tcW w:w="8472" w:type="dxa"/>
            <w:shd w:val="clear" w:color="auto" w:fill="CAF278" w:themeFill="background2"/>
          </w:tcPr>
          <w:p w14:paraId="6A48CAF1" w14:textId="2CF71E90" w:rsidR="00246791" w:rsidRDefault="00246791" w:rsidP="005A6755">
            <w:pPr>
              <w:jc w:val="both"/>
            </w:pPr>
            <w:r>
              <w:t>Régime de retraite des employés du gouvernement et des organismes publics (RREGOP)</w:t>
            </w:r>
            <w:r w:rsidR="00215C7D">
              <w:rPr>
                <w:rStyle w:val="Marquenotebasdepage"/>
              </w:rPr>
              <w:footnoteReference w:customMarkFollows="1" w:id="32"/>
              <w:t>29</w:t>
            </w:r>
          </w:p>
        </w:tc>
        <w:tc>
          <w:tcPr>
            <w:tcW w:w="1417" w:type="dxa"/>
            <w:shd w:val="clear" w:color="auto" w:fill="FF6700" w:themeFill="accent3"/>
          </w:tcPr>
          <w:p w14:paraId="059E7AA9" w14:textId="5BBB509A" w:rsidR="00246791" w:rsidRPr="00713160" w:rsidRDefault="00246791" w:rsidP="000A1697">
            <w:pPr>
              <w:jc w:val="both"/>
              <w:rPr>
                <w:rFonts w:asciiTheme="majorHAnsi" w:hAnsiTheme="majorHAnsi"/>
                <w:b/>
              </w:rPr>
            </w:pPr>
          </w:p>
        </w:tc>
        <w:tc>
          <w:tcPr>
            <w:tcW w:w="1559" w:type="dxa"/>
            <w:shd w:val="clear" w:color="auto" w:fill="CCFFCC"/>
          </w:tcPr>
          <w:p w14:paraId="6F10C7A2" w14:textId="2D69B53C" w:rsidR="00246791" w:rsidRPr="00713160" w:rsidRDefault="00713160" w:rsidP="005829D5">
            <w:pPr>
              <w:jc w:val="center"/>
              <w:rPr>
                <w:rFonts w:asciiTheme="majorHAnsi" w:hAnsiTheme="majorHAnsi"/>
                <w:b/>
              </w:rPr>
            </w:pPr>
            <w:r w:rsidRPr="00713160">
              <w:rPr>
                <w:rFonts w:asciiTheme="majorHAnsi" w:hAnsiTheme="majorHAnsi" w:cs="Zapf Dingbats"/>
                <w:b/>
              </w:rPr>
              <w:t>x</w:t>
            </w:r>
          </w:p>
        </w:tc>
        <w:tc>
          <w:tcPr>
            <w:tcW w:w="2835" w:type="dxa"/>
            <w:shd w:val="clear" w:color="auto" w:fill="6B6E4B" w:themeFill="accent4" w:themeFillShade="BF"/>
          </w:tcPr>
          <w:p w14:paraId="7A61747B" w14:textId="326CBB2A" w:rsidR="00246791" w:rsidRDefault="005829D5" w:rsidP="005829D5">
            <w:pPr>
              <w:jc w:val="center"/>
            </w:pPr>
            <w:r w:rsidRPr="005829D5">
              <w:rPr>
                <w:color w:val="FFFFFF" w:themeColor="background1"/>
              </w:rPr>
              <w:t>Grande organisation</w:t>
            </w:r>
          </w:p>
        </w:tc>
      </w:tr>
      <w:tr w:rsidR="005829D5" w14:paraId="11EE310C" w14:textId="07BE9716" w:rsidTr="005A6755">
        <w:tc>
          <w:tcPr>
            <w:tcW w:w="8472" w:type="dxa"/>
            <w:shd w:val="clear" w:color="auto" w:fill="CAF278" w:themeFill="background2"/>
          </w:tcPr>
          <w:p w14:paraId="3DE23495" w14:textId="6E546454" w:rsidR="005A6755" w:rsidRDefault="005829D5" w:rsidP="005A6755">
            <w:pPr>
              <w:jc w:val="both"/>
            </w:pPr>
            <w:r>
              <w:t>REÉR collectif</w:t>
            </w:r>
          </w:p>
        </w:tc>
        <w:tc>
          <w:tcPr>
            <w:tcW w:w="1417" w:type="dxa"/>
            <w:shd w:val="clear" w:color="auto" w:fill="FF6700" w:themeFill="accent3"/>
          </w:tcPr>
          <w:p w14:paraId="2A080D2D" w14:textId="77777777" w:rsidR="005829D5" w:rsidRPr="00713160" w:rsidRDefault="005829D5" w:rsidP="000A1697">
            <w:pPr>
              <w:jc w:val="both"/>
              <w:rPr>
                <w:rFonts w:asciiTheme="majorHAnsi" w:hAnsiTheme="majorHAnsi"/>
                <w:b/>
              </w:rPr>
            </w:pPr>
          </w:p>
        </w:tc>
        <w:tc>
          <w:tcPr>
            <w:tcW w:w="1559" w:type="dxa"/>
            <w:shd w:val="clear" w:color="auto" w:fill="CCFFCC"/>
          </w:tcPr>
          <w:p w14:paraId="1082D187" w14:textId="69C4833E" w:rsidR="005829D5" w:rsidRPr="00713160" w:rsidRDefault="00713160" w:rsidP="005829D5">
            <w:pPr>
              <w:jc w:val="center"/>
              <w:rPr>
                <w:rFonts w:asciiTheme="majorHAnsi" w:hAnsiTheme="majorHAnsi"/>
                <w:b/>
              </w:rPr>
            </w:pPr>
            <w:r w:rsidRPr="00713160">
              <w:rPr>
                <w:rFonts w:asciiTheme="majorHAnsi" w:hAnsiTheme="majorHAnsi"/>
                <w:b/>
                <w:color w:val="000000"/>
              </w:rPr>
              <w:t>x</w:t>
            </w:r>
          </w:p>
        </w:tc>
        <w:tc>
          <w:tcPr>
            <w:tcW w:w="2835" w:type="dxa"/>
            <w:shd w:val="clear" w:color="auto" w:fill="6B6E4B" w:themeFill="accent4" w:themeFillShade="BF"/>
          </w:tcPr>
          <w:p w14:paraId="35B6D8F8" w14:textId="600230BA" w:rsidR="005829D5" w:rsidRDefault="005A6755" w:rsidP="005A6755">
            <w:pPr>
              <w:jc w:val="center"/>
            </w:pPr>
            <w:r w:rsidRPr="009F707E">
              <w:rPr>
                <w:color w:val="FFFFFF" w:themeColor="background1"/>
              </w:rPr>
              <w:t>PME</w:t>
            </w:r>
          </w:p>
        </w:tc>
      </w:tr>
      <w:tr w:rsidR="005829D5" w14:paraId="4905FD96" w14:textId="42AE81DA" w:rsidTr="005A6755">
        <w:tc>
          <w:tcPr>
            <w:tcW w:w="8472" w:type="dxa"/>
            <w:shd w:val="clear" w:color="auto" w:fill="CAF278" w:themeFill="background2"/>
          </w:tcPr>
          <w:p w14:paraId="12B34878" w14:textId="39F104DD" w:rsidR="005A6755" w:rsidRDefault="005829D5" w:rsidP="005A6755">
            <w:pPr>
              <w:jc w:val="both"/>
            </w:pPr>
            <w:r>
              <w:t>Régime volontaire d'épargne-retraite (RVÉR)</w:t>
            </w:r>
          </w:p>
        </w:tc>
        <w:tc>
          <w:tcPr>
            <w:tcW w:w="1417" w:type="dxa"/>
            <w:shd w:val="clear" w:color="auto" w:fill="FF6700" w:themeFill="accent3"/>
          </w:tcPr>
          <w:p w14:paraId="02EFEA8E" w14:textId="5E29E51A" w:rsidR="005829D5" w:rsidRPr="00713160" w:rsidRDefault="005829D5" w:rsidP="000A1697">
            <w:pPr>
              <w:jc w:val="both"/>
              <w:rPr>
                <w:rFonts w:asciiTheme="majorHAnsi" w:hAnsiTheme="majorHAnsi"/>
                <w:b/>
              </w:rPr>
            </w:pPr>
          </w:p>
        </w:tc>
        <w:tc>
          <w:tcPr>
            <w:tcW w:w="1559" w:type="dxa"/>
            <w:shd w:val="clear" w:color="auto" w:fill="CCFFCC"/>
          </w:tcPr>
          <w:p w14:paraId="552EBAD0" w14:textId="1D4B193D" w:rsidR="005829D5" w:rsidRPr="00713160" w:rsidRDefault="00713160" w:rsidP="005829D5">
            <w:pPr>
              <w:jc w:val="center"/>
              <w:rPr>
                <w:rFonts w:asciiTheme="majorHAnsi" w:hAnsiTheme="majorHAnsi"/>
                <w:b/>
              </w:rPr>
            </w:pPr>
            <w:r w:rsidRPr="00713160">
              <w:rPr>
                <w:rFonts w:asciiTheme="majorHAnsi" w:hAnsiTheme="majorHAnsi" w:cs="Zapf Dingbats"/>
                <w:b/>
              </w:rPr>
              <w:t>x</w:t>
            </w:r>
          </w:p>
        </w:tc>
        <w:tc>
          <w:tcPr>
            <w:tcW w:w="2835" w:type="dxa"/>
            <w:shd w:val="clear" w:color="auto" w:fill="6B6E4B" w:themeFill="accent4" w:themeFillShade="BF"/>
          </w:tcPr>
          <w:p w14:paraId="3BB86748" w14:textId="13E9E9E3" w:rsidR="005829D5" w:rsidRDefault="00F53BB8" w:rsidP="00F53BB8">
            <w:pPr>
              <w:jc w:val="center"/>
            </w:pPr>
            <w:r w:rsidRPr="009F707E">
              <w:rPr>
                <w:color w:val="FFFFFF" w:themeColor="background1"/>
              </w:rPr>
              <w:t>PME</w:t>
            </w:r>
          </w:p>
        </w:tc>
      </w:tr>
      <w:tr w:rsidR="005829D5" w14:paraId="3DE038C7" w14:textId="2C5EFBE4" w:rsidTr="005A6755">
        <w:tc>
          <w:tcPr>
            <w:tcW w:w="8472" w:type="dxa"/>
            <w:shd w:val="clear" w:color="auto" w:fill="CAF278" w:themeFill="background2"/>
          </w:tcPr>
          <w:p w14:paraId="3A3A0AAD" w14:textId="7B990F68" w:rsidR="005A6755" w:rsidRDefault="005829D5" w:rsidP="005A6755">
            <w:pPr>
              <w:jc w:val="both"/>
            </w:pPr>
            <w:r>
              <w:t>Régime de retraite simplifié (RRS)</w:t>
            </w:r>
          </w:p>
        </w:tc>
        <w:tc>
          <w:tcPr>
            <w:tcW w:w="1417" w:type="dxa"/>
            <w:shd w:val="clear" w:color="auto" w:fill="FF6700" w:themeFill="accent3"/>
          </w:tcPr>
          <w:p w14:paraId="5FB856A1" w14:textId="1D21684B" w:rsidR="005829D5" w:rsidRPr="00713160" w:rsidRDefault="00713160" w:rsidP="009F707E">
            <w:pPr>
              <w:jc w:val="center"/>
              <w:rPr>
                <w:rFonts w:asciiTheme="majorHAnsi" w:hAnsiTheme="majorHAnsi"/>
                <w:b/>
              </w:rPr>
            </w:pPr>
            <w:r w:rsidRPr="00713160">
              <w:rPr>
                <w:rFonts w:asciiTheme="majorHAnsi" w:hAnsiTheme="majorHAnsi"/>
                <w:b/>
                <w:color w:val="000000"/>
              </w:rPr>
              <w:t>x</w:t>
            </w:r>
          </w:p>
        </w:tc>
        <w:tc>
          <w:tcPr>
            <w:tcW w:w="1559" w:type="dxa"/>
            <w:shd w:val="clear" w:color="auto" w:fill="CCFFCC"/>
          </w:tcPr>
          <w:p w14:paraId="2B2D4CD5" w14:textId="491952FF" w:rsidR="005829D5" w:rsidRPr="00713160" w:rsidRDefault="00713160" w:rsidP="005829D5">
            <w:pPr>
              <w:jc w:val="center"/>
              <w:rPr>
                <w:rFonts w:asciiTheme="majorHAnsi" w:hAnsiTheme="majorHAnsi"/>
                <w:b/>
              </w:rPr>
            </w:pPr>
            <w:r w:rsidRPr="00713160">
              <w:rPr>
                <w:rFonts w:asciiTheme="majorHAnsi" w:hAnsiTheme="majorHAnsi"/>
                <w:b/>
                <w:color w:val="000000"/>
              </w:rPr>
              <w:t>x</w:t>
            </w:r>
          </w:p>
        </w:tc>
        <w:tc>
          <w:tcPr>
            <w:tcW w:w="2835" w:type="dxa"/>
            <w:shd w:val="clear" w:color="auto" w:fill="6B6E4B" w:themeFill="accent4" w:themeFillShade="BF"/>
          </w:tcPr>
          <w:p w14:paraId="52F21F49" w14:textId="5B4963D1" w:rsidR="005829D5" w:rsidRPr="009F707E" w:rsidRDefault="009F707E" w:rsidP="009F707E">
            <w:pPr>
              <w:jc w:val="center"/>
              <w:rPr>
                <w:color w:val="FFFFFF" w:themeColor="background1"/>
              </w:rPr>
            </w:pPr>
            <w:r w:rsidRPr="009F707E">
              <w:rPr>
                <w:color w:val="FFFFFF" w:themeColor="background1"/>
              </w:rPr>
              <w:t>PME</w:t>
            </w:r>
          </w:p>
        </w:tc>
      </w:tr>
      <w:tr w:rsidR="005829D5" w14:paraId="1751237E" w14:textId="2DA71BF9" w:rsidTr="005A6755">
        <w:tc>
          <w:tcPr>
            <w:tcW w:w="8472" w:type="dxa"/>
            <w:shd w:val="clear" w:color="auto" w:fill="CAF278" w:themeFill="background2"/>
          </w:tcPr>
          <w:p w14:paraId="34C9462C" w14:textId="46992123" w:rsidR="005A6755" w:rsidRDefault="005829D5" w:rsidP="005A6755">
            <w:pPr>
              <w:jc w:val="both"/>
            </w:pPr>
            <w:r>
              <w:t>Régime de retraite par financement salarial (RRFS)</w:t>
            </w:r>
          </w:p>
        </w:tc>
        <w:tc>
          <w:tcPr>
            <w:tcW w:w="1417" w:type="dxa"/>
            <w:shd w:val="clear" w:color="auto" w:fill="FF6700" w:themeFill="accent3"/>
          </w:tcPr>
          <w:p w14:paraId="2895D676" w14:textId="2160A42D" w:rsidR="005829D5" w:rsidRPr="00713160" w:rsidRDefault="00713160" w:rsidP="00877EE4">
            <w:pPr>
              <w:jc w:val="center"/>
              <w:rPr>
                <w:rFonts w:asciiTheme="majorHAnsi" w:hAnsiTheme="majorHAnsi"/>
                <w:b/>
              </w:rPr>
            </w:pPr>
            <w:r w:rsidRPr="00713160">
              <w:rPr>
                <w:rFonts w:asciiTheme="majorHAnsi" w:hAnsiTheme="majorHAnsi" w:cs="Zapf Dingbats"/>
                <w:b/>
              </w:rPr>
              <w:t>x</w:t>
            </w:r>
          </w:p>
        </w:tc>
        <w:tc>
          <w:tcPr>
            <w:tcW w:w="1559" w:type="dxa"/>
            <w:shd w:val="clear" w:color="auto" w:fill="CCFFCC"/>
          </w:tcPr>
          <w:p w14:paraId="274FA08A" w14:textId="57F84F27" w:rsidR="005829D5" w:rsidRPr="00713160" w:rsidRDefault="00713160" w:rsidP="005829D5">
            <w:pPr>
              <w:jc w:val="center"/>
              <w:rPr>
                <w:rFonts w:asciiTheme="majorHAnsi" w:hAnsiTheme="majorHAnsi"/>
                <w:b/>
              </w:rPr>
            </w:pPr>
            <w:r w:rsidRPr="00713160">
              <w:rPr>
                <w:rFonts w:asciiTheme="majorHAnsi" w:hAnsiTheme="majorHAnsi" w:cs="Zapf Dingbats"/>
                <w:b/>
              </w:rPr>
              <w:t>x</w:t>
            </w:r>
          </w:p>
        </w:tc>
        <w:tc>
          <w:tcPr>
            <w:tcW w:w="2835" w:type="dxa"/>
            <w:shd w:val="clear" w:color="auto" w:fill="6B6E4B" w:themeFill="accent4" w:themeFillShade="BF"/>
          </w:tcPr>
          <w:p w14:paraId="7EE8DADF" w14:textId="7B55F4CC" w:rsidR="005829D5" w:rsidRPr="00ED3672" w:rsidRDefault="00ED3672" w:rsidP="00ED3672">
            <w:pPr>
              <w:jc w:val="center"/>
              <w:rPr>
                <w:color w:val="FFFFFF" w:themeColor="background1"/>
              </w:rPr>
            </w:pPr>
            <w:r w:rsidRPr="00ED3672">
              <w:rPr>
                <w:color w:val="FFFFFF" w:themeColor="background1"/>
              </w:rPr>
              <w:t>Les deux</w:t>
            </w:r>
          </w:p>
        </w:tc>
      </w:tr>
      <w:tr w:rsidR="005829D5" w14:paraId="5AF67430" w14:textId="46219ECA" w:rsidTr="005A6755">
        <w:tc>
          <w:tcPr>
            <w:tcW w:w="8472" w:type="dxa"/>
            <w:shd w:val="clear" w:color="auto" w:fill="CAF278" w:themeFill="background2"/>
          </w:tcPr>
          <w:p w14:paraId="7A9D495F" w14:textId="4A0540F0" w:rsidR="005A6755" w:rsidRDefault="005829D5" w:rsidP="005A6755">
            <w:pPr>
              <w:jc w:val="both"/>
            </w:pPr>
            <w:r>
              <w:t>Régime de participation différée aux bénéfices (RPDB)</w:t>
            </w:r>
          </w:p>
        </w:tc>
        <w:tc>
          <w:tcPr>
            <w:tcW w:w="1417" w:type="dxa"/>
            <w:shd w:val="clear" w:color="auto" w:fill="FF6700" w:themeFill="accent3"/>
          </w:tcPr>
          <w:p w14:paraId="7F14C5D5" w14:textId="0846FFE0" w:rsidR="005829D5" w:rsidRPr="00713160" w:rsidRDefault="005829D5" w:rsidP="000A1697">
            <w:pPr>
              <w:jc w:val="both"/>
              <w:rPr>
                <w:rFonts w:asciiTheme="majorHAnsi" w:hAnsiTheme="majorHAnsi"/>
                <w:b/>
              </w:rPr>
            </w:pPr>
          </w:p>
        </w:tc>
        <w:tc>
          <w:tcPr>
            <w:tcW w:w="1559" w:type="dxa"/>
            <w:shd w:val="clear" w:color="auto" w:fill="CCFFCC"/>
          </w:tcPr>
          <w:p w14:paraId="75E99A51" w14:textId="0CC08D13" w:rsidR="005829D5" w:rsidRPr="00713160" w:rsidRDefault="00713160" w:rsidP="005829D5">
            <w:pPr>
              <w:jc w:val="center"/>
              <w:rPr>
                <w:rFonts w:asciiTheme="majorHAnsi" w:hAnsiTheme="majorHAnsi"/>
                <w:b/>
              </w:rPr>
            </w:pPr>
            <w:r w:rsidRPr="00713160">
              <w:rPr>
                <w:rFonts w:asciiTheme="majorHAnsi" w:hAnsiTheme="majorHAnsi"/>
                <w:b/>
                <w:color w:val="000000"/>
              </w:rPr>
              <w:t>x</w:t>
            </w:r>
          </w:p>
        </w:tc>
        <w:tc>
          <w:tcPr>
            <w:tcW w:w="2835" w:type="dxa"/>
            <w:shd w:val="clear" w:color="auto" w:fill="6B6E4B" w:themeFill="accent4" w:themeFillShade="BF"/>
          </w:tcPr>
          <w:p w14:paraId="12D575F1" w14:textId="1C6A577E" w:rsidR="005829D5" w:rsidRDefault="00ED3672" w:rsidP="00ED3672">
            <w:pPr>
              <w:jc w:val="center"/>
            </w:pPr>
            <w:r w:rsidRPr="009F707E">
              <w:rPr>
                <w:color w:val="FFFFFF" w:themeColor="background1"/>
              </w:rPr>
              <w:t>PME</w:t>
            </w:r>
          </w:p>
        </w:tc>
      </w:tr>
      <w:tr w:rsidR="005829D5" w14:paraId="01BE0E39" w14:textId="221A47C3" w:rsidTr="005A6755">
        <w:tc>
          <w:tcPr>
            <w:tcW w:w="8472" w:type="dxa"/>
            <w:shd w:val="clear" w:color="auto" w:fill="CAF278" w:themeFill="background2"/>
          </w:tcPr>
          <w:p w14:paraId="58B5EAFA" w14:textId="1DC92E63" w:rsidR="005A6755" w:rsidRDefault="005829D5" w:rsidP="005A6755">
            <w:pPr>
              <w:jc w:val="both"/>
            </w:pPr>
            <w:r>
              <w:t>Régime de participation des employés aux bénéfices (RPEB)</w:t>
            </w:r>
          </w:p>
        </w:tc>
        <w:tc>
          <w:tcPr>
            <w:tcW w:w="1417" w:type="dxa"/>
            <w:shd w:val="clear" w:color="auto" w:fill="FF6700" w:themeFill="accent3"/>
          </w:tcPr>
          <w:p w14:paraId="560465B1" w14:textId="26D2D74B" w:rsidR="005829D5" w:rsidRDefault="005829D5" w:rsidP="000A1697">
            <w:pPr>
              <w:jc w:val="both"/>
            </w:pPr>
          </w:p>
        </w:tc>
        <w:tc>
          <w:tcPr>
            <w:tcW w:w="1559" w:type="dxa"/>
            <w:shd w:val="clear" w:color="auto" w:fill="CCFFCC"/>
          </w:tcPr>
          <w:p w14:paraId="1F4416DC" w14:textId="237870B5" w:rsidR="005829D5" w:rsidRDefault="005829D5" w:rsidP="000A1697">
            <w:pPr>
              <w:jc w:val="both"/>
            </w:pPr>
          </w:p>
        </w:tc>
        <w:tc>
          <w:tcPr>
            <w:tcW w:w="2835" w:type="dxa"/>
            <w:shd w:val="clear" w:color="auto" w:fill="6B6E4B" w:themeFill="accent4" w:themeFillShade="BF"/>
          </w:tcPr>
          <w:p w14:paraId="653FD9EE" w14:textId="646E036D" w:rsidR="005829D5" w:rsidRPr="00AA617E" w:rsidRDefault="00AA617E" w:rsidP="00AA617E">
            <w:pPr>
              <w:jc w:val="center"/>
              <w:rPr>
                <w:color w:val="FFFFFF" w:themeColor="background1"/>
              </w:rPr>
            </w:pPr>
            <w:r w:rsidRPr="00AA617E">
              <w:rPr>
                <w:color w:val="FFFFFF" w:themeColor="background1"/>
              </w:rPr>
              <w:t>Les deux</w:t>
            </w:r>
          </w:p>
        </w:tc>
      </w:tr>
      <w:tr w:rsidR="005829D5" w14:paraId="1CDA51DE" w14:textId="5D987459" w:rsidTr="005A6755">
        <w:tc>
          <w:tcPr>
            <w:tcW w:w="8472" w:type="dxa"/>
            <w:shd w:val="clear" w:color="auto" w:fill="CAF278" w:themeFill="background2"/>
          </w:tcPr>
          <w:p w14:paraId="37D97468" w14:textId="4A865073" w:rsidR="005A6755" w:rsidRDefault="005829D5" w:rsidP="005A6755">
            <w:pPr>
              <w:jc w:val="both"/>
            </w:pPr>
            <w:r>
              <w:t>Régime surcomplémentaire de retraite (RSR)</w:t>
            </w:r>
          </w:p>
        </w:tc>
        <w:tc>
          <w:tcPr>
            <w:tcW w:w="1417" w:type="dxa"/>
            <w:shd w:val="clear" w:color="auto" w:fill="FF6700" w:themeFill="accent3"/>
          </w:tcPr>
          <w:p w14:paraId="2C53907A" w14:textId="019A2474" w:rsidR="005829D5" w:rsidRDefault="005829D5" w:rsidP="000A1697">
            <w:pPr>
              <w:jc w:val="both"/>
            </w:pPr>
          </w:p>
        </w:tc>
        <w:tc>
          <w:tcPr>
            <w:tcW w:w="1559" w:type="dxa"/>
            <w:shd w:val="clear" w:color="auto" w:fill="CCFFCC"/>
          </w:tcPr>
          <w:p w14:paraId="7DCE13F4" w14:textId="77777777" w:rsidR="005829D5" w:rsidRDefault="005829D5" w:rsidP="000A1697">
            <w:pPr>
              <w:jc w:val="both"/>
            </w:pPr>
          </w:p>
        </w:tc>
        <w:tc>
          <w:tcPr>
            <w:tcW w:w="2835" w:type="dxa"/>
            <w:shd w:val="clear" w:color="auto" w:fill="6B6E4B" w:themeFill="accent4" w:themeFillShade="BF"/>
          </w:tcPr>
          <w:p w14:paraId="3CB461F5" w14:textId="1FB51584" w:rsidR="005829D5" w:rsidRDefault="00ED3672" w:rsidP="00ED3672">
            <w:pPr>
              <w:jc w:val="center"/>
            </w:pPr>
            <w:r w:rsidRPr="00ED3672">
              <w:rPr>
                <w:color w:val="FFFFFF" w:themeColor="background1"/>
              </w:rPr>
              <w:t>Les deux</w:t>
            </w:r>
          </w:p>
        </w:tc>
      </w:tr>
      <w:tr w:rsidR="005829D5" w14:paraId="1B7528E1" w14:textId="6F1ED5DC" w:rsidTr="005A6755">
        <w:tc>
          <w:tcPr>
            <w:tcW w:w="8472" w:type="dxa"/>
            <w:shd w:val="clear" w:color="auto" w:fill="CAF278" w:themeFill="background2"/>
          </w:tcPr>
          <w:p w14:paraId="14AB2D31" w14:textId="4409C408" w:rsidR="005829D5" w:rsidRDefault="005829D5" w:rsidP="005A6755">
            <w:pPr>
              <w:jc w:val="both"/>
            </w:pPr>
            <w:r>
              <w:t>Convention de retraite</w:t>
            </w:r>
          </w:p>
        </w:tc>
        <w:tc>
          <w:tcPr>
            <w:tcW w:w="1417" w:type="dxa"/>
            <w:shd w:val="clear" w:color="auto" w:fill="FF6700" w:themeFill="accent3"/>
          </w:tcPr>
          <w:p w14:paraId="05F1772A" w14:textId="77777777" w:rsidR="005829D5" w:rsidRDefault="005829D5" w:rsidP="000A1697">
            <w:pPr>
              <w:jc w:val="both"/>
            </w:pPr>
          </w:p>
        </w:tc>
        <w:tc>
          <w:tcPr>
            <w:tcW w:w="1559" w:type="dxa"/>
            <w:shd w:val="clear" w:color="auto" w:fill="CCFFCC"/>
          </w:tcPr>
          <w:p w14:paraId="709BBD0B" w14:textId="77777777" w:rsidR="005829D5" w:rsidRDefault="005829D5" w:rsidP="000A1697">
            <w:pPr>
              <w:jc w:val="both"/>
            </w:pPr>
          </w:p>
        </w:tc>
        <w:tc>
          <w:tcPr>
            <w:tcW w:w="2835" w:type="dxa"/>
            <w:shd w:val="clear" w:color="auto" w:fill="6B6E4B" w:themeFill="accent4" w:themeFillShade="BF"/>
          </w:tcPr>
          <w:p w14:paraId="0CFF3B4E" w14:textId="6A1531A8" w:rsidR="005829D5" w:rsidRDefault="00ED3672" w:rsidP="00ED3672">
            <w:pPr>
              <w:jc w:val="center"/>
            </w:pPr>
            <w:r w:rsidRPr="00ED3672">
              <w:rPr>
                <w:color w:val="FFFFFF" w:themeColor="background1"/>
              </w:rPr>
              <w:t>Les deux</w:t>
            </w:r>
          </w:p>
        </w:tc>
      </w:tr>
      <w:tr w:rsidR="005829D5" w14:paraId="7473BEA6" w14:textId="3692E5D8" w:rsidTr="005A6755">
        <w:tc>
          <w:tcPr>
            <w:tcW w:w="8472" w:type="dxa"/>
            <w:shd w:val="clear" w:color="auto" w:fill="CAF278" w:themeFill="background2"/>
          </w:tcPr>
          <w:p w14:paraId="78ADF010" w14:textId="657B3E16" w:rsidR="005829D5" w:rsidRDefault="005829D5" w:rsidP="005A6755">
            <w:pPr>
              <w:jc w:val="both"/>
            </w:pPr>
            <w:r>
              <w:t>Régime de retraite individuel (RRI)</w:t>
            </w:r>
          </w:p>
        </w:tc>
        <w:tc>
          <w:tcPr>
            <w:tcW w:w="1417" w:type="dxa"/>
            <w:shd w:val="clear" w:color="auto" w:fill="FF6700" w:themeFill="accent3"/>
          </w:tcPr>
          <w:p w14:paraId="43DF9C16" w14:textId="77777777" w:rsidR="005829D5" w:rsidRDefault="005829D5" w:rsidP="000A1697">
            <w:pPr>
              <w:jc w:val="both"/>
            </w:pPr>
          </w:p>
        </w:tc>
        <w:tc>
          <w:tcPr>
            <w:tcW w:w="1559" w:type="dxa"/>
            <w:shd w:val="clear" w:color="auto" w:fill="CCFFCC"/>
          </w:tcPr>
          <w:p w14:paraId="7FB67911" w14:textId="77777777" w:rsidR="005829D5" w:rsidRDefault="005829D5" w:rsidP="000A1697">
            <w:pPr>
              <w:jc w:val="both"/>
            </w:pPr>
          </w:p>
        </w:tc>
        <w:tc>
          <w:tcPr>
            <w:tcW w:w="2835" w:type="dxa"/>
            <w:shd w:val="clear" w:color="auto" w:fill="6B6E4B" w:themeFill="accent4" w:themeFillShade="BF"/>
          </w:tcPr>
          <w:p w14:paraId="3C886663" w14:textId="4A1EEE9F" w:rsidR="005829D5" w:rsidRDefault="00ED3672" w:rsidP="00ED3672">
            <w:pPr>
              <w:jc w:val="center"/>
            </w:pPr>
            <w:r w:rsidRPr="00ED3672">
              <w:rPr>
                <w:color w:val="FFFFFF" w:themeColor="background1"/>
              </w:rPr>
              <w:t>Les deux</w:t>
            </w:r>
          </w:p>
        </w:tc>
      </w:tr>
    </w:tbl>
    <w:p w14:paraId="10C67431" w14:textId="77777777" w:rsidR="00B333D8" w:rsidRDefault="00B333D8"/>
    <w:p w14:paraId="453D2B5F" w14:textId="2F326265" w:rsidR="00B333D8" w:rsidRDefault="00EF74BD" w:rsidP="00C81ED6">
      <w:pPr>
        <w:jc w:val="both"/>
      </w:pPr>
      <w:r w:rsidRPr="00EF74BD">
        <w:rPr>
          <w:noProof/>
          <w:u w:val="single"/>
          <w:lang w:eastAsia="fr-FR"/>
        </w:rPr>
        <mc:AlternateContent>
          <mc:Choice Requires="wps">
            <w:drawing>
              <wp:anchor distT="0" distB="0" distL="114300" distR="114300" simplePos="0" relativeHeight="252088320" behindDoc="0" locked="0" layoutInCell="1" allowOverlap="1" wp14:anchorId="0FAB1E1F" wp14:editId="145DAB0A">
                <wp:simplePos x="0" y="0"/>
                <wp:positionH relativeFrom="column">
                  <wp:posOffset>-685800</wp:posOffset>
                </wp:positionH>
                <wp:positionV relativeFrom="paragraph">
                  <wp:posOffset>18415</wp:posOffset>
                </wp:positionV>
                <wp:extent cx="457200" cy="457200"/>
                <wp:effectExtent l="0" t="0" r="25400" b="25400"/>
                <wp:wrapNone/>
                <wp:docPr id="175" name="Ellipse 175"/>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68D08C0" w14:textId="77777777" w:rsidR="00573C95" w:rsidRPr="00F42166" w:rsidRDefault="00573C95" w:rsidP="00EF74BD">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5" o:spid="_x0000_s1111" style="position:absolute;left:0;text-align:left;margin-left:-53.95pt;margin-top:1.45pt;width:36pt;height:36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" fillcolor="black [3200]" strokecolor="white [3201]" strokeweight="1.75pt">
                <v:textbox>
                  <w:txbxContent>
                    <w:p w14:paraId="368D08C0" w14:textId="77777777" w:rsidR="001501D6" w:rsidRPr="00F42166" w:rsidRDefault="001501D6" w:rsidP="00EF74BD">
                      <w:pPr>
                        <w:jc w:val="center"/>
                        <w:rPr>
                          <w:sz w:val="20"/>
                          <w:szCs w:val="20"/>
                        </w:rPr>
                      </w:pPr>
                      <w:r>
                        <w:rPr>
                          <w:sz w:val="20"/>
                          <w:szCs w:val="20"/>
                        </w:rPr>
                        <w:t>1</w:t>
                      </w:r>
                      <w:r w:rsidRPr="00F42166">
                        <w:rPr>
                          <w:sz w:val="20"/>
                          <w:szCs w:val="20"/>
                        </w:rPr>
                        <w:t xml:space="preserve"> </w:t>
                      </w:r>
                    </w:p>
                  </w:txbxContent>
                </v:textbox>
              </v:oval>
            </w:pict>
          </mc:Fallback>
        </mc:AlternateContent>
      </w:r>
      <w:r w:rsidRPr="00EF74BD">
        <w:rPr>
          <w:u w:val="single"/>
        </w:rPr>
        <w:t>En</w:t>
      </w:r>
      <w:r w:rsidR="00B333D8" w:rsidRPr="00EF74BD">
        <w:rPr>
          <w:u w:val="single"/>
        </w:rPr>
        <w:t xml:space="preserve"> général</w:t>
      </w:r>
      <w:r w:rsidR="00B333D8">
        <w:t>, les régimes assujettis à la LRCR et la LRREGOP seront plus lourds à administrer, ne permettront pas l'encaissement des fonds accumulés avant la retraite et viseront à protéger la rente du conjoint survivant.</w:t>
      </w:r>
    </w:p>
    <w:p w14:paraId="169E90FA" w14:textId="77777777" w:rsidR="00B333D8" w:rsidRDefault="00B333D8"/>
    <w:p w14:paraId="201841AE" w14:textId="3F2210F2" w:rsidR="00C81ED6" w:rsidRDefault="00EF74BD" w:rsidP="00C81ED6">
      <w:pPr>
        <w:jc w:val="both"/>
      </w:pPr>
      <w:r>
        <w:rPr>
          <w:noProof/>
          <w:lang w:eastAsia="fr-FR"/>
        </w:rPr>
        <mc:AlternateContent>
          <mc:Choice Requires="wps">
            <w:drawing>
              <wp:anchor distT="0" distB="0" distL="114300" distR="114300" simplePos="0" relativeHeight="252090368" behindDoc="0" locked="0" layoutInCell="1" allowOverlap="1" wp14:anchorId="1D45B9C1" wp14:editId="1B66BFE2">
                <wp:simplePos x="0" y="0"/>
                <wp:positionH relativeFrom="column">
                  <wp:posOffset>-685800</wp:posOffset>
                </wp:positionH>
                <wp:positionV relativeFrom="paragraph">
                  <wp:posOffset>71120</wp:posOffset>
                </wp:positionV>
                <wp:extent cx="457200" cy="457200"/>
                <wp:effectExtent l="0" t="0" r="25400" b="25400"/>
                <wp:wrapNone/>
                <wp:docPr id="176" name="Ellipse 176"/>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31582C3" w14:textId="66638C2F" w:rsidR="00573C95" w:rsidRPr="00F42166" w:rsidRDefault="00573C95" w:rsidP="00EF74BD">
                            <w:pPr>
                              <w:jc w:val="cente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6" o:spid="_x0000_s1112" style="position:absolute;left:0;text-align:left;margin-left:-53.95pt;margin-top:5.6pt;width:36pt;height:36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" fillcolor="black [3200]" strokecolor="white [3201]" strokeweight="1.75pt">
                <v:textbox>
                  <w:txbxContent>
                    <w:p w14:paraId="631582C3" w14:textId="66638C2F" w:rsidR="001501D6" w:rsidRPr="00F42166" w:rsidRDefault="001501D6" w:rsidP="00EF74BD">
                      <w:pPr>
                        <w:jc w:val="center"/>
                        <w:rPr>
                          <w:sz w:val="20"/>
                          <w:szCs w:val="20"/>
                        </w:rPr>
                      </w:pPr>
                      <w:r>
                        <w:rPr>
                          <w:sz w:val="20"/>
                          <w:szCs w:val="20"/>
                        </w:rPr>
                        <w:t>2</w:t>
                      </w:r>
                    </w:p>
                  </w:txbxContent>
                </v:textbox>
              </v:oval>
            </w:pict>
          </mc:Fallback>
        </mc:AlternateContent>
      </w:r>
      <w:r w:rsidR="00B333D8">
        <w:t>Les régimes enregistrés</w:t>
      </w:r>
      <w:r w:rsidR="00C81ED6">
        <w:t>,</w:t>
      </w:r>
      <w:r w:rsidR="00B333D8">
        <w:t xml:space="preserve"> au sens fiscal</w:t>
      </w:r>
      <w:r w:rsidR="00C81ED6">
        <w:t>,</w:t>
      </w:r>
      <w:r w:rsidR="00B333D8">
        <w:t xml:space="preserve"> permettront la déduction fiscale des cotisations de l'employé, la </w:t>
      </w:r>
      <w:r w:rsidR="00C929ED">
        <w:t>non-imposition</w:t>
      </w:r>
      <w:r w:rsidR="00B333D8">
        <w:t xml:space="preserve"> des cotisations de l'employeur et l'exempt</w:t>
      </w:r>
      <w:r>
        <w:t xml:space="preserve">ion d'impôt des revenus qui y seront générés. La pleine imposition se matérialisera lors du paiement des rentes de retraite générées par le régime. Le souhait du fisc de maintenir une équité fiscale entre ces régimes l'amènera à se doter de règles </w:t>
      </w:r>
      <w:r w:rsidR="00C81ED6">
        <w:t xml:space="preserve">particulières pour atteindre cet objectif, notamment par l'introduction du </w:t>
      </w:r>
      <w:r w:rsidR="00C81ED6">
        <w:rPr>
          <w:color w:val="FF6700" w:themeColor="accent3"/>
        </w:rPr>
        <w:t>FACTEUR D'ÉQUIVALENCE</w:t>
      </w:r>
      <w:r w:rsidR="00C81ED6">
        <w:t>.</w:t>
      </w:r>
      <w:r>
        <w:t xml:space="preserve"> </w:t>
      </w:r>
    </w:p>
    <w:p w14:paraId="15B1880E" w14:textId="032FE943" w:rsidR="00580371" w:rsidRDefault="00E55578" w:rsidP="006C34CF">
      <w:pPr>
        <w:pStyle w:val="Titre3"/>
        <w:numPr>
          <w:ilvl w:val="2"/>
          <w:numId w:val="22"/>
        </w:numPr>
      </w:pPr>
      <w:bookmarkStart w:id="42" w:name="_Toc314397828"/>
      <w:bookmarkStart w:id="43" w:name="_Toc443569372"/>
      <w:r>
        <w:lastRenderedPageBreak/>
        <w:t xml:space="preserve">Le </w:t>
      </w:r>
      <w:r w:rsidR="00AF2CDA">
        <w:t>r</w:t>
      </w:r>
      <w:r>
        <w:t>égime de pension agréé à cotisation déterminée (RPACD)</w:t>
      </w:r>
      <w:bookmarkEnd w:id="42"/>
      <w:bookmarkEnd w:id="43"/>
    </w:p>
    <w:p w14:paraId="4EF704FB" w14:textId="77777777" w:rsidR="00832A45" w:rsidRDefault="00832A45" w:rsidP="00832A45"/>
    <w:p w14:paraId="29F0AA9A" w14:textId="3DBC0E2E" w:rsidR="00832A45" w:rsidRDefault="00832A45" w:rsidP="00832A45">
      <w:pPr>
        <w:jc w:val="both"/>
      </w:pPr>
      <w:r>
        <w:t xml:space="preserve">Le </w:t>
      </w:r>
      <w:r w:rsidRPr="00832A45">
        <w:rPr>
          <w:color w:val="FF6700" w:themeColor="accent3"/>
        </w:rPr>
        <w:t>RPACD</w:t>
      </w:r>
      <w:r>
        <w:t xml:space="preserve"> constitue un contrat  entre un employeur et un employé dont l’essence est la </w:t>
      </w:r>
      <w:r w:rsidR="00BF4182" w:rsidRPr="00BF4182">
        <w:rPr>
          <w:color w:val="FF6700" w:themeColor="accent3"/>
        </w:rPr>
        <w:t>PROMESSE DE COTISER</w:t>
      </w:r>
      <w:r>
        <w:t xml:space="preserve"> de l’employeur au régime de retraite de l’employé. Ce type de régime</w:t>
      </w:r>
      <w:r w:rsidR="00426CC0">
        <w:t xml:space="preserve"> (Régime complémentaire de retraite)</w:t>
      </w:r>
      <w:r>
        <w:t xml:space="preserve"> comporte de nombreuses conditions à respecter. Nous retrouvons l’ensemble des règles qui régisse</w:t>
      </w:r>
      <w:r w:rsidR="00F50DA5">
        <w:t>nt</w:t>
      </w:r>
      <w:r>
        <w:t xml:space="preserve"> le RPACD dans la Loi sur les régimes complémentaires de retraite </w:t>
      </w:r>
      <w:r w:rsidRPr="00BF4182">
        <w:t>(LRCR).</w:t>
      </w:r>
    </w:p>
    <w:p w14:paraId="3A87CA1A" w14:textId="24776926" w:rsidR="00832A45" w:rsidRDefault="00832A45" w:rsidP="00832A45">
      <w:pPr>
        <w:jc w:val="both"/>
      </w:pPr>
      <w:r>
        <w:rPr>
          <w:noProof/>
          <w:sz w:val="18"/>
          <w:szCs w:val="18"/>
          <w:lang w:eastAsia="fr-FR"/>
        </w:rPr>
        <w:drawing>
          <wp:anchor distT="0" distB="0" distL="114300" distR="114300" simplePos="0" relativeHeight="252096512" behindDoc="0" locked="0" layoutInCell="1" allowOverlap="1" wp14:anchorId="68F8FF2C" wp14:editId="609EF5E2">
            <wp:simplePos x="0" y="0"/>
            <wp:positionH relativeFrom="column">
              <wp:posOffset>2286000</wp:posOffset>
            </wp:positionH>
            <wp:positionV relativeFrom="paragraph">
              <wp:posOffset>118745</wp:posOffset>
            </wp:positionV>
            <wp:extent cx="685800" cy="685800"/>
            <wp:effectExtent l="0" t="0" r="0" b="0"/>
            <wp:wrapNone/>
            <wp:docPr id="173" name="Image 173">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5E584A7" w14:textId="651F9C00" w:rsidR="00832A45" w:rsidRDefault="00832A45" w:rsidP="00832A45">
      <w:pPr>
        <w:ind w:left="709"/>
        <w:jc w:val="both"/>
      </w:pPr>
    </w:p>
    <w:p w14:paraId="1F00D435" w14:textId="7E92A522" w:rsidR="00832A45" w:rsidRDefault="00573C95" w:rsidP="00832A45">
      <w:pPr>
        <w:ind w:left="709"/>
        <w:jc w:val="both"/>
        <w:rPr>
          <w:rStyle w:val="Lienhypertexte"/>
          <w:color w:val="FF6700" w:themeColor="accent3"/>
        </w:rPr>
      </w:pPr>
      <w:hyperlink r:id="rId89" w:history="1">
        <w:r w:rsidR="00832A45">
          <w:rPr>
            <w:rStyle w:val="Lienhypertexte"/>
            <w:color w:val="FF6700" w:themeColor="accent3"/>
          </w:rPr>
          <w:t>Pour consulter la LRCR</w:t>
        </w:r>
      </w:hyperlink>
      <w:r w:rsidR="00832A45">
        <w:rPr>
          <w:rStyle w:val="Lienhypertexte"/>
          <w:color w:val="FF6700" w:themeColor="accent3"/>
        </w:rPr>
        <w:t xml:space="preserve"> </w:t>
      </w:r>
    </w:p>
    <w:p w14:paraId="56A8A64E" w14:textId="2849F99B" w:rsidR="00832A45" w:rsidRDefault="00832A45" w:rsidP="00832A45">
      <w:pPr>
        <w:tabs>
          <w:tab w:val="left" w:pos="10226"/>
        </w:tabs>
        <w:jc w:val="both"/>
      </w:pPr>
      <w:r>
        <w:tab/>
      </w:r>
    </w:p>
    <w:p w14:paraId="75870253" w14:textId="2D84A5D3" w:rsidR="00832A45" w:rsidRDefault="00832A45" w:rsidP="00832A45">
      <w:pPr>
        <w:jc w:val="both"/>
      </w:pPr>
      <w:r>
        <w:t xml:space="preserve"> </w:t>
      </w:r>
    </w:p>
    <w:p w14:paraId="1C97EE8A" w14:textId="77777777" w:rsidR="00E947DE" w:rsidRDefault="00E947DE" w:rsidP="00832A45">
      <w:pPr>
        <w:jc w:val="both"/>
      </w:pPr>
    </w:p>
    <w:p w14:paraId="0BA6F150" w14:textId="77777777" w:rsidR="00E947DE" w:rsidRDefault="00E947DE" w:rsidP="00832A45">
      <w:pPr>
        <w:jc w:val="both"/>
      </w:pPr>
    </w:p>
    <w:p w14:paraId="1E8440FD" w14:textId="77777777" w:rsidR="00E947DE" w:rsidRDefault="00E947DE" w:rsidP="00832A45">
      <w:pPr>
        <w:jc w:val="both"/>
      </w:pPr>
    </w:p>
    <w:p w14:paraId="52BDE2DB" w14:textId="77777777" w:rsidR="00E947DE" w:rsidRDefault="00E947DE" w:rsidP="00832A45">
      <w:pPr>
        <w:jc w:val="both"/>
      </w:pPr>
    </w:p>
    <w:p w14:paraId="59B4C732" w14:textId="77777777" w:rsidR="00E947DE" w:rsidRDefault="00E947DE" w:rsidP="00832A45">
      <w:pPr>
        <w:jc w:val="both"/>
      </w:pPr>
    </w:p>
    <w:p w14:paraId="074AA8A0" w14:textId="77777777" w:rsidR="00E947DE" w:rsidRDefault="00E947DE" w:rsidP="00832A45">
      <w:pPr>
        <w:jc w:val="both"/>
      </w:pPr>
    </w:p>
    <w:p w14:paraId="5633C556" w14:textId="77777777" w:rsidR="00E947DE" w:rsidRDefault="00E947DE" w:rsidP="00832A45">
      <w:pPr>
        <w:jc w:val="both"/>
      </w:pPr>
    </w:p>
    <w:p w14:paraId="1B264B76" w14:textId="77777777" w:rsidR="00E947DE" w:rsidRDefault="00E947DE" w:rsidP="00832A45">
      <w:pPr>
        <w:jc w:val="both"/>
      </w:pPr>
    </w:p>
    <w:p w14:paraId="3AF57D81" w14:textId="77777777" w:rsidR="00F27804" w:rsidRDefault="00F27804" w:rsidP="00832A45">
      <w:pPr>
        <w:jc w:val="both"/>
      </w:pPr>
    </w:p>
    <w:p w14:paraId="2729B1D4" w14:textId="77777777" w:rsidR="00E947DE" w:rsidRDefault="00E947DE" w:rsidP="00832A45">
      <w:pPr>
        <w:jc w:val="both"/>
      </w:pPr>
    </w:p>
    <w:p w14:paraId="0597E231" w14:textId="77777777" w:rsidR="00E947DE" w:rsidRDefault="00E947DE" w:rsidP="00832A45">
      <w:pPr>
        <w:jc w:val="both"/>
      </w:pPr>
    </w:p>
    <w:p w14:paraId="2ECD32EA" w14:textId="77777777" w:rsidR="00E947DE" w:rsidRDefault="00E947DE" w:rsidP="00832A45">
      <w:pPr>
        <w:jc w:val="both"/>
      </w:pPr>
    </w:p>
    <w:p w14:paraId="11270EEE" w14:textId="77777777" w:rsidR="00E947DE" w:rsidRDefault="00E947DE" w:rsidP="00832A45">
      <w:pPr>
        <w:jc w:val="both"/>
      </w:pPr>
    </w:p>
    <w:p w14:paraId="5BCA0EC8" w14:textId="77777777" w:rsidR="006C0577" w:rsidRDefault="006C0577" w:rsidP="00832A45">
      <w:pPr>
        <w:jc w:val="both"/>
      </w:pPr>
    </w:p>
    <w:p w14:paraId="71A5FEE6" w14:textId="77777777" w:rsidR="006C0577" w:rsidRDefault="006C0577" w:rsidP="00832A45">
      <w:pPr>
        <w:jc w:val="both"/>
      </w:pPr>
    </w:p>
    <w:p w14:paraId="227484B9" w14:textId="77777777" w:rsidR="00E947DE" w:rsidRDefault="00E947DE" w:rsidP="00832A45">
      <w:pPr>
        <w:jc w:val="both"/>
      </w:pPr>
    </w:p>
    <w:p w14:paraId="6B1472E3" w14:textId="77777777" w:rsidR="00E947DE" w:rsidRDefault="00E947DE" w:rsidP="00832A45">
      <w:pPr>
        <w:jc w:val="both"/>
      </w:pPr>
    </w:p>
    <w:p w14:paraId="0A886BD3" w14:textId="77777777" w:rsidR="00E947DE" w:rsidRDefault="00E947DE" w:rsidP="00832A45">
      <w:pPr>
        <w:jc w:val="both"/>
      </w:pPr>
    </w:p>
    <w:p w14:paraId="2E9D2CC9" w14:textId="77777777" w:rsidR="00E947DE" w:rsidRPr="00832A45" w:rsidRDefault="00E947DE" w:rsidP="00832A45">
      <w:pPr>
        <w:jc w:val="both"/>
      </w:pPr>
    </w:p>
    <w:p w14:paraId="09B0409F" w14:textId="21128594" w:rsidR="00580371" w:rsidRDefault="00E96AF0" w:rsidP="00E96AF0">
      <w:pPr>
        <w:pStyle w:val="Titre4"/>
      </w:pPr>
      <w:bookmarkStart w:id="44" w:name="_Toc314397829"/>
      <w:bookmarkStart w:id="45" w:name="_Toc443569373"/>
      <w:r>
        <w:lastRenderedPageBreak/>
        <w:t xml:space="preserve">3.2.1.1. </w:t>
      </w:r>
      <w:r w:rsidR="00E55578">
        <w:t>Le fonctionnement</w:t>
      </w:r>
      <w:bookmarkEnd w:id="44"/>
      <w:bookmarkEnd w:id="45"/>
    </w:p>
    <w:p w14:paraId="630FBDF8" w14:textId="789CD559" w:rsidR="00BF4182" w:rsidRDefault="00BF4182" w:rsidP="00BF4182"/>
    <w:p w14:paraId="000218DD" w14:textId="4661958E" w:rsidR="001D07E7" w:rsidRDefault="001D07E7" w:rsidP="00D47C62">
      <w:pPr>
        <w:rPr>
          <w:color w:val="FF6700" w:themeColor="accent3"/>
        </w:rPr>
      </w:pPr>
      <w:r>
        <w:rPr>
          <w:color w:val="FF6700" w:themeColor="accent3"/>
        </w:rPr>
        <w:t>I</w:t>
      </w:r>
      <w:r w:rsidR="006C4C47">
        <w:rPr>
          <w:color w:val="FF6700" w:themeColor="accent3"/>
        </w:rPr>
        <w:t>MAGE</w:t>
      </w:r>
      <w:r w:rsidRPr="00EC2312">
        <w:rPr>
          <w:color w:val="FF6700" w:themeColor="accent3"/>
        </w:rPr>
        <w:t xml:space="preserve"> 7</w:t>
      </w:r>
      <w:r>
        <w:rPr>
          <w:color w:val="FF6700" w:themeColor="accent3"/>
        </w:rPr>
        <w:t>-9</w:t>
      </w:r>
      <w:r w:rsidRPr="00EC2312">
        <w:rPr>
          <w:color w:val="FF6700" w:themeColor="accent3"/>
        </w:rPr>
        <w:tab/>
      </w:r>
      <w:r>
        <w:rPr>
          <w:color w:val="FF6700" w:themeColor="accent3"/>
        </w:rPr>
        <w:t>RPACD</w:t>
      </w:r>
    </w:p>
    <w:p w14:paraId="6E4D4831" w14:textId="2B770B1F" w:rsidR="00426CC0" w:rsidRDefault="00A83342" w:rsidP="00BF4182">
      <w:r>
        <w:rPr>
          <w:noProof/>
          <w:lang w:eastAsia="fr-FR"/>
        </w:rPr>
        <w:drawing>
          <wp:anchor distT="0" distB="0" distL="114300" distR="114300" simplePos="0" relativeHeight="252097536" behindDoc="0" locked="0" layoutInCell="1" allowOverlap="1" wp14:anchorId="7D483AC9" wp14:editId="20B2484E">
            <wp:simplePos x="0" y="0"/>
            <wp:positionH relativeFrom="column">
              <wp:posOffset>0</wp:posOffset>
            </wp:positionH>
            <wp:positionV relativeFrom="paragraph">
              <wp:posOffset>52705</wp:posOffset>
            </wp:positionV>
            <wp:extent cx="4457700" cy="3855720"/>
            <wp:effectExtent l="0" t="0" r="12700" b="5080"/>
            <wp:wrapSquare wrapText="bothSides"/>
            <wp:docPr id="203" name="Image 203" descr="Macintosh HD:Users:marcbachand:Desktop:Capture d’écran 2015-09-04 à 15.3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9-04 à 15.38.3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457700" cy="38557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5D76063" w14:textId="6CA484E1" w:rsidR="00426CC0" w:rsidRDefault="00AB2597" w:rsidP="00AB2597">
      <w:pPr>
        <w:jc w:val="both"/>
      </w:pPr>
      <w:r>
        <w:t xml:space="preserve">Le RPACD est </w:t>
      </w:r>
      <w:r w:rsidRPr="00561D8E">
        <w:rPr>
          <w:color w:val="FF6700" w:themeColor="accent3"/>
        </w:rPr>
        <w:t xml:space="preserve">un </w:t>
      </w:r>
      <w:r w:rsidR="00561D8E" w:rsidRPr="00561D8E">
        <w:rPr>
          <w:color w:val="FF6700" w:themeColor="accent3"/>
        </w:rPr>
        <w:t>RÉGIME COMPLÉMENTAIRE DE RETRAITE (RCR)</w:t>
      </w:r>
      <w:r w:rsidR="00561D8E">
        <w:t xml:space="preserve"> </w:t>
      </w:r>
      <w:r>
        <w:t>qui se c</w:t>
      </w:r>
      <w:r w:rsidR="00B2258A">
        <w:t>onstruit</w:t>
      </w:r>
      <w:r>
        <w:t xml:space="preserve"> à même les cotisations de l’employeur (obligatoires pour un minimum de 50 % des cotisations totales) et les cotisations de l’employé (facultatives sans excéder 50 % des cotisations totales). Le contrat du régime stipule dès le départ les règles quant aux pourcentages des cotisations qui incomberont à l’employeur et à l’employé. Le plus souvent, le</w:t>
      </w:r>
      <w:r w:rsidR="001A22EB">
        <w:t xml:space="preserve"> taux de</w:t>
      </w:r>
      <w:r>
        <w:t xml:space="preserve"> pourcentage des cotisations </w:t>
      </w:r>
      <w:r w:rsidR="001A22EB">
        <w:t xml:space="preserve">est fixé </w:t>
      </w:r>
      <w:r w:rsidR="00C929ED">
        <w:t>à parts égales</w:t>
      </w:r>
      <w:r w:rsidR="001A22EB">
        <w:t xml:space="preserve"> pour l</w:t>
      </w:r>
      <w:r>
        <w:t>’employeur et l’employé.</w:t>
      </w:r>
    </w:p>
    <w:p w14:paraId="52996EAF" w14:textId="0F5E5722" w:rsidR="00426CC0" w:rsidRDefault="00426CC0" w:rsidP="00BF4182"/>
    <w:p w14:paraId="3133D358" w14:textId="50A5790D" w:rsidR="00212FAA" w:rsidRDefault="00212FAA" w:rsidP="00212FAA">
      <w:pPr>
        <w:jc w:val="both"/>
      </w:pPr>
      <w:r>
        <w:t>Globalement, l'ensemble des cotisations (employeur et employé) est soumis à un montant maximum. Ce plafond, dans son essence, est identique à celui qui prévaut dans le cas d'un REÉR (mais son calcul est devancé d'une année).</w:t>
      </w:r>
      <w:r w:rsidR="00A83342">
        <w:t xml:space="preserve"> Cette similarité avec le REÉR est normal</w:t>
      </w:r>
      <w:r w:rsidR="00FD13DF">
        <w:t>e</w:t>
      </w:r>
      <w:r w:rsidR="00A83342">
        <w:t xml:space="preserve"> puisque l'objectif fondamental (fournir une rente de retraite) et la façon de construire cette rente (l'ensemble des cotisations + le rendement du régime) sont les mêmes. </w:t>
      </w:r>
      <w:r>
        <w:t>En 2015, le maximum de l'ensemble des cotisations</w:t>
      </w:r>
      <w:r w:rsidR="004E41A4">
        <w:t xml:space="preserve"> qui sont permises</w:t>
      </w:r>
      <w:r>
        <w:t xml:space="preserve"> correspond</w:t>
      </w:r>
      <w:r w:rsidR="004E41A4">
        <w:t>ent</w:t>
      </w:r>
      <w:r>
        <w:t xml:space="preserve"> au </w:t>
      </w:r>
      <w:r w:rsidR="00A83342">
        <w:t>moindre de:</w:t>
      </w:r>
    </w:p>
    <w:p w14:paraId="6741AB75" w14:textId="77777777" w:rsidR="004E41A4" w:rsidRDefault="004E41A4" w:rsidP="00212FAA">
      <w:pPr>
        <w:jc w:val="both"/>
      </w:pPr>
    </w:p>
    <w:p w14:paraId="2F49A8F4" w14:textId="011AD589" w:rsidR="00A83342" w:rsidRPr="004E41A4" w:rsidRDefault="00A83342" w:rsidP="006C34CF">
      <w:pPr>
        <w:pStyle w:val="Paragraphedeliste"/>
        <w:numPr>
          <w:ilvl w:val="0"/>
          <w:numId w:val="31"/>
        </w:numPr>
        <w:jc w:val="both"/>
        <w:rPr>
          <w:color w:val="FF6700" w:themeColor="accent3"/>
        </w:rPr>
      </w:pPr>
      <w:r w:rsidRPr="004E41A4">
        <w:rPr>
          <w:color w:val="FF6700" w:themeColor="accent3"/>
        </w:rPr>
        <w:t>25 370 $</w:t>
      </w:r>
    </w:p>
    <w:p w14:paraId="19038BD7" w14:textId="77777777" w:rsidR="004E41A4" w:rsidRPr="004E41A4" w:rsidRDefault="00A83342" w:rsidP="00A83342">
      <w:pPr>
        <w:jc w:val="both"/>
        <w:rPr>
          <w:color w:val="008000"/>
        </w:rPr>
      </w:pPr>
      <w:r w:rsidRPr="004E41A4">
        <w:rPr>
          <w:color w:val="FF6700" w:themeColor="accent3"/>
        </w:rPr>
        <w:tab/>
      </w:r>
      <w:r w:rsidR="004E41A4" w:rsidRPr="004E41A4">
        <w:rPr>
          <w:color w:val="FF6700" w:themeColor="accent3"/>
        </w:rPr>
        <w:tab/>
      </w:r>
      <w:r w:rsidR="004E41A4" w:rsidRPr="004E41A4">
        <w:rPr>
          <w:color w:val="FF6700" w:themeColor="accent3"/>
        </w:rPr>
        <w:tab/>
      </w:r>
      <w:proofErr w:type="gramStart"/>
      <w:r w:rsidR="004E41A4" w:rsidRPr="004E41A4">
        <w:rPr>
          <w:color w:val="008000"/>
        </w:rPr>
        <w:t>et</w:t>
      </w:r>
      <w:proofErr w:type="gramEnd"/>
      <w:r w:rsidR="004E41A4" w:rsidRPr="004E41A4">
        <w:rPr>
          <w:color w:val="008000"/>
        </w:rPr>
        <w:tab/>
      </w:r>
    </w:p>
    <w:p w14:paraId="2E95F407" w14:textId="728CA73C" w:rsidR="004E41A4" w:rsidRPr="004E41A4" w:rsidRDefault="004E41A4" w:rsidP="006C34CF">
      <w:pPr>
        <w:pStyle w:val="Paragraphedeliste"/>
        <w:numPr>
          <w:ilvl w:val="0"/>
          <w:numId w:val="31"/>
        </w:numPr>
        <w:jc w:val="both"/>
        <w:rPr>
          <w:color w:val="FF6700" w:themeColor="accent3"/>
        </w:rPr>
      </w:pPr>
      <w:r w:rsidRPr="004E41A4">
        <w:rPr>
          <w:color w:val="FF6700" w:themeColor="accent3"/>
        </w:rPr>
        <w:t>18 % du salaire gagné auprès de l'employeur en 2015</w:t>
      </w:r>
    </w:p>
    <w:p w14:paraId="6BC34F5B" w14:textId="1631ECD3" w:rsidR="004E41A4" w:rsidRPr="00B867DF" w:rsidRDefault="004E41A4" w:rsidP="004E41A4">
      <w:pPr>
        <w:jc w:val="both"/>
      </w:pPr>
      <w:r>
        <w:lastRenderedPageBreak/>
        <w:t xml:space="preserve">C'est donc </w:t>
      </w:r>
      <w:r w:rsidR="00C929ED">
        <w:t>dire</w:t>
      </w:r>
      <w:r>
        <w:t xml:space="preserve"> qu'en 2015, la portion de salaire qui </w:t>
      </w:r>
      <w:r w:rsidRPr="004E41A4">
        <w:rPr>
          <w:u w:val="single"/>
        </w:rPr>
        <w:t>excèderait</w:t>
      </w:r>
      <w:r>
        <w:t xml:space="preserve"> </w:t>
      </w:r>
      <w:r w:rsidRPr="004E41A4">
        <w:rPr>
          <w:color w:val="FF6700" w:themeColor="accent3"/>
        </w:rPr>
        <w:t>140 944 $</w:t>
      </w:r>
      <w:r>
        <w:rPr>
          <w:color w:val="FF6700" w:themeColor="accent3"/>
        </w:rPr>
        <w:t xml:space="preserve"> </w:t>
      </w:r>
      <w:r>
        <w:t>(25 370 $/18 %</w:t>
      </w:r>
      <w:r w:rsidR="00C929ED">
        <w:t>)</w:t>
      </w:r>
      <w:r>
        <w:t xml:space="preserve"> ne </w:t>
      </w:r>
      <w:r w:rsidR="00B867DF">
        <w:t>permettrait pas d'établir de nouvelles cotisations au RPACD. Ce constat et les paramètres qui sont utilisés dans ces calculs sont très important</w:t>
      </w:r>
      <w:r w:rsidR="00DB0863">
        <w:t>s</w:t>
      </w:r>
      <w:r w:rsidR="00B867DF">
        <w:t xml:space="preserve"> puisqu'ils permettent de comprendre les limites dans lesquelles le fisc positionne le coup de pouce qu'il est prêt à donner pour aider les </w:t>
      </w:r>
      <w:r w:rsidR="00C929ED">
        <w:t>Canadiens</w:t>
      </w:r>
      <w:r w:rsidR="00B867DF">
        <w:t xml:space="preserve"> à préparer financièrement leur retraite. Nous réfléchirons davantage sur cet aspect des régimes de retraite dans la </w:t>
      </w:r>
      <w:r w:rsidR="00B867DF">
        <w:rPr>
          <w:color w:val="008000"/>
        </w:rPr>
        <w:t xml:space="preserve">SECTION 3.3. </w:t>
      </w:r>
      <w:r w:rsidR="00B867DF">
        <w:t xml:space="preserve">- </w:t>
      </w:r>
      <w:r w:rsidR="00B867DF" w:rsidRPr="00B867DF">
        <w:rPr>
          <w:i/>
        </w:rPr>
        <w:t>Réflexions sur les régimes de pen</w:t>
      </w:r>
      <w:r w:rsidR="00B867DF">
        <w:t>s</w:t>
      </w:r>
      <w:r w:rsidR="00B867DF" w:rsidRPr="00B867DF">
        <w:rPr>
          <w:i/>
        </w:rPr>
        <w:t>ion</w:t>
      </w:r>
      <w:r w:rsidR="00B867DF">
        <w:t>.</w:t>
      </w:r>
    </w:p>
    <w:p w14:paraId="63381CAB" w14:textId="3DA089E4" w:rsidR="00426CC0" w:rsidRDefault="00426CC0" w:rsidP="00212FAA">
      <w:pPr>
        <w:jc w:val="both"/>
      </w:pPr>
    </w:p>
    <w:p w14:paraId="2114DC6D" w14:textId="7C55733D" w:rsidR="005378ED" w:rsidRDefault="005378ED" w:rsidP="00212FAA">
      <w:pPr>
        <w:jc w:val="both"/>
      </w:pPr>
      <w:r>
        <w:t xml:space="preserve">Dans un RPACD, le traitement fiscal vise à reporter toute imposition au moment </w:t>
      </w:r>
      <w:r w:rsidR="00F75737">
        <w:t xml:space="preserve">où </w:t>
      </w:r>
      <w:r>
        <w:t>les revenus de retraite seront encaissés par le contribuable. C'est-à-dire que l'aide fiscale correspond, en premier lieu, à un report d'impôt qui s'exprime de la façon suivante:</w:t>
      </w:r>
    </w:p>
    <w:p w14:paraId="4C8A145A" w14:textId="77777777" w:rsidR="005378ED" w:rsidRDefault="005378ED" w:rsidP="00212FAA">
      <w:pPr>
        <w:jc w:val="both"/>
      </w:pPr>
    </w:p>
    <w:p w14:paraId="7AB0B7F1" w14:textId="64CC69A8" w:rsidR="00426CC0" w:rsidRDefault="005378ED" w:rsidP="006C34CF">
      <w:pPr>
        <w:pStyle w:val="Paragraphedeliste"/>
        <w:numPr>
          <w:ilvl w:val="0"/>
          <w:numId w:val="31"/>
        </w:numPr>
        <w:jc w:val="both"/>
      </w:pPr>
      <w:r>
        <w:t>Cotisation de l'employeur non imposable (contrairement à la règle générale qui vise à imposer la quasi-totalité des avantages conférés d'un employeur à un employé)</w:t>
      </w:r>
      <w:r w:rsidR="00295977">
        <w:t>;</w:t>
      </w:r>
    </w:p>
    <w:p w14:paraId="6B4F25C5" w14:textId="77777777" w:rsidR="005378ED" w:rsidRDefault="005378ED" w:rsidP="005378ED">
      <w:pPr>
        <w:ind w:left="2472"/>
        <w:jc w:val="both"/>
      </w:pPr>
    </w:p>
    <w:p w14:paraId="0FFB817E" w14:textId="10FE3205" w:rsidR="005378ED" w:rsidRDefault="005378ED" w:rsidP="006C34CF">
      <w:pPr>
        <w:pStyle w:val="Paragraphedeliste"/>
        <w:numPr>
          <w:ilvl w:val="0"/>
          <w:numId w:val="31"/>
        </w:numPr>
        <w:jc w:val="both"/>
      </w:pPr>
      <w:r>
        <w:t>Cotisation de l'employé déductible (pour faire en sorte que l'épargne de l'employé s'effectue avec de l'argent avant impôt)</w:t>
      </w:r>
      <w:r w:rsidR="00295977">
        <w:t>;</w:t>
      </w:r>
      <w:r>
        <w:tab/>
      </w:r>
    </w:p>
    <w:p w14:paraId="1E425955" w14:textId="77777777" w:rsidR="006E4F0E" w:rsidRDefault="006E4F0E" w:rsidP="006E4F0E">
      <w:pPr>
        <w:ind w:left="2472"/>
        <w:jc w:val="both"/>
      </w:pPr>
    </w:p>
    <w:p w14:paraId="7269DDA1" w14:textId="02D19115" w:rsidR="006E4F0E" w:rsidRDefault="006E4F0E" w:rsidP="006C34CF">
      <w:pPr>
        <w:pStyle w:val="Paragraphedeliste"/>
        <w:numPr>
          <w:ilvl w:val="0"/>
          <w:numId w:val="31"/>
        </w:numPr>
        <w:jc w:val="both"/>
      </w:pPr>
      <w:r>
        <w:t>Tous les revenus générés sous l'abri du RPACD ne seront pas imposables (ce qui est contraire aux règles fiscales habituelles qui visent à imposer les enrichissements des contribuables)</w:t>
      </w:r>
      <w:r w:rsidR="00295977">
        <w:t>;</w:t>
      </w:r>
    </w:p>
    <w:p w14:paraId="530A9E35" w14:textId="77777777" w:rsidR="006E4F0E" w:rsidRDefault="006E4F0E" w:rsidP="006E4F0E">
      <w:pPr>
        <w:ind w:left="2472"/>
        <w:jc w:val="both"/>
      </w:pPr>
    </w:p>
    <w:p w14:paraId="749F4D2C" w14:textId="3CB78D00" w:rsidR="006E4F0E" w:rsidRDefault="006E4F0E" w:rsidP="006C34CF">
      <w:pPr>
        <w:pStyle w:val="Paragraphedeliste"/>
        <w:numPr>
          <w:ilvl w:val="0"/>
          <w:numId w:val="31"/>
        </w:numPr>
        <w:jc w:val="both"/>
      </w:pPr>
      <w:r>
        <w:t xml:space="preserve">Le versement des revenus de retraite </w:t>
      </w:r>
      <w:r w:rsidR="00C929ED">
        <w:t>sera</w:t>
      </w:r>
      <w:r>
        <w:t xml:space="preserve"> pleinement </w:t>
      </w:r>
      <w:r w:rsidR="00C929ED">
        <w:t>imposable</w:t>
      </w:r>
      <w:r>
        <w:t xml:space="preserve"> (c'est la fin du report d'impôt)</w:t>
      </w:r>
      <w:r w:rsidR="00295977">
        <w:t>.</w:t>
      </w:r>
    </w:p>
    <w:p w14:paraId="5DDC5008" w14:textId="77777777" w:rsidR="006E4F0E" w:rsidRDefault="006E4F0E" w:rsidP="006E4F0E">
      <w:pPr>
        <w:ind w:left="2472"/>
        <w:jc w:val="both"/>
      </w:pPr>
    </w:p>
    <w:p w14:paraId="0DEB7F00" w14:textId="0CB113CF" w:rsidR="006E4F0E" w:rsidRDefault="006524EE" w:rsidP="006E4F0E">
      <w:pPr>
        <w:jc w:val="both"/>
      </w:pPr>
      <w:r>
        <w:t>Jusqu'ici,</w:t>
      </w:r>
      <w:r w:rsidR="00C15879">
        <w:t xml:space="preserve"> </w:t>
      </w:r>
      <w:r w:rsidR="00C15879" w:rsidRPr="00C15879">
        <w:rPr>
          <w:color w:val="FF6700" w:themeColor="accent3"/>
        </w:rPr>
        <w:t>POUR L'EMPLOYÉ</w:t>
      </w:r>
      <w:r w:rsidR="00C15879">
        <w:t>,</w:t>
      </w:r>
      <w:r>
        <w:t xml:space="preserve"> les modalités de fonctionnement associées au RPACD sont plutôt simples et proche</w:t>
      </w:r>
      <w:r w:rsidR="00C15879">
        <w:t>s</w:t>
      </w:r>
      <w:r>
        <w:t xml:space="preserve"> de ce que la population en général connait puisqu</w:t>
      </w:r>
      <w:r w:rsidR="00304D73">
        <w:t>'elles</w:t>
      </w:r>
      <w:r>
        <w:t xml:space="preserve"> sont très semblables à celles qui s'appliquent au REÉR. L</w:t>
      </w:r>
      <w:r w:rsidR="00C15879">
        <w:t xml:space="preserve">es éléments distinctifs de ces deux types de régimes (RPACD et REÉR) sont surtout présents lors de l'encaissement de ceux-ci. Les modalités du REÉR sont très souples, soumises à aucune règle, sauf fiscales, alors que le RPACD est cadré par la LRCR qui vise à protéger l'objectif de retraite du contribuable et de son conjoint. </w:t>
      </w:r>
      <w:r w:rsidR="00E14E2E" w:rsidRPr="00E14E2E">
        <w:rPr>
          <w:color w:val="FF6700" w:themeColor="accent3"/>
        </w:rPr>
        <w:t>POUR L'EMPLOYEUR</w:t>
      </w:r>
      <w:r w:rsidR="00E14E2E">
        <w:t>, la mise en place d'un RPACD constitue un processus comportant plusieurs règles de conformité, issues de la LRCR,</w:t>
      </w:r>
      <w:r w:rsidR="00B23B27">
        <w:t xml:space="preserve"> à respecter. Ces dispositions </w:t>
      </w:r>
      <w:r w:rsidR="00E14E2E">
        <w:t xml:space="preserve"> vis</w:t>
      </w:r>
      <w:r w:rsidR="00B23B27">
        <w:t>en</w:t>
      </w:r>
      <w:r w:rsidR="00E14E2E">
        <w:t xml:space="preserve">t </w:t>
      </w:r>
      <w:r w:rsidR="00B23B27">
        <w:t>essentiellement à</w:t>
      </w:r>
      <w:r w:rsidR="00E14E2E">
        <w:t xml:space="preserve"> prot</w:t>
      </w:r>
      <w:r w:rsidR="00B23B27">
        <w:t>éger</w:t>
      </w:r>
      <w:r w:rsidR="00E14E2E">
        <w:t xml:space="preserve"> </w:t>
      </w:r>
      <w:r w:rsidR="00B23B27">
        <w:t>l'</w:t>
      </w:r>
      <w:r w:rsidR="00E14E2E">
        <w:t xml:space="preserve">actif de retraite de l'employé. </w:t>
      </w:r>
      <w:r w:rsidR="00B23B27">
        <w:t xml:space="preserve">Contrairement au RPAPD, l'engagement financier de l'employeur se limite à la cotisation </w:t>
      </w:r>
      <w:r w:rsidR="00B23B27">
        <w:lastRenderedPageBreak/>
        <w:t>patronale qu'il se doit de verser pour se conformer au</w:t>
      </w:r>
      <w:r w:rsidR="00E3701F">
        <w:t>x dispositions du</w:t>
      </w:r>
      <w:r w:rsidR="00B23B27">
        <w:t xml:space="preserve"> régime de retraite</w:t>
      </w:r>
      <w:r w:rsidR="00E3701F">
        <w:t>.</w:t>
      </w:r>
      <w:r w:rsidR="00A06080">
        <w:t xml:space="preserve"> Le risque financier est alors entièrement assumé par l'employé.</w:t>
      </w:r>
    </w:p>
    <w:p w14:paraId="38F86BCC" w14:textId="77777777" w:rsidR="00E3701F" w:rsidRDefault="00E3701F" w:rsidP="006E4F0E">
      <w:pPr>
        <w:jc w:val="both"/>
      </w:pPr>
    </w:p>
    <w:p w14:paraId="1F981F17" w14:textId="6345CC0D" w:rsidR="00580371" w:rsidRPr="00580371" w:rsidRDefault="00E96AF0" w:rsidP="00E96AF0">
      <w:pPr>
        <w:pStyle w:val="Titre4"/>
      </w:pPr>
      <w:bookmarkStart w:id="46" w:name="_Toc314397830"/>
      <w:bookmarkStart w:id="47" w:name="_Toc443569374"/>
      <w:r>
        <w:t>3.2.1.2</w:t>
      </w:r>
      <w:r w:rsidR="0047269F">
        <w:t>.</w:t>
      </w:r>
      <w:r>
        <w:t xml:space="preserve"> </w:t>
      </w:r>
      <w:r w:rsidR="00E55578">
        <w:t>Les particularités</w:t>
      </w:r>
      <w:bookmarkEnd w:id="46"/>
      <w:bookmarkEnd w:id="47"/>
    </w:p>
    <w:p w14:paraId="3DB574AB" w14:textId="77777777" w:rsidR="00580371" w:rsidRDefault="00580371" w:rsidP="00580371"/>
    <w:p w14:paraId="2D4C519E" w14:textId="657B0977" w:rsidR="00E3701F" w:rsidRDefault="00E3701F" w:rsidP="00580371">
      <w:r>
        <w:t xml:space="preserve">Nous aborderons maintenant </w:t>
      </w:r>
      <w:r w:rsidR="005C080C">
        <w:t>quelques</w:t>
      </w:r>
      <w:r>
        <w:t xml:space="preserve"> particularités d'un RPACD</w:t>
      </w:r>
      <w:r w:rsidR="005C080C">
        <w:t>.</w:t>
      </w:r>
    </w:p>
    <w:p w14:paraId="3C0554BC" w14:textId="77777777" w:rsidR="005C080C" w:rsidRDefault="005C080C" w:rsidP="00580371"/>
    <w:p w14:paraId="49BD01A6" w14:textId="36BF1599" w:rsidR="005C080C" w:rsidRPr="000F289D" w:rsidRDefault="005C080C" w:rsidP="006C34CF">
      <w:pPr>
        <w:pStyle w:val="Paragraphedeliste"/>
        <w:numPr>
          <w:ilvl w:val="0"/>
          <w:numId w:val="32"/>
        </w:numPr>
        <w:rPr>
          <w:color w:val="FF6700" w:themeColor="accent3"/>
        </w:rPr>
      </w:pPr>
      <w:r w:rsidRPr="000F289D">
        <w:rPr>
          <w:color w:val="FF6700" w:themeColor="accent3"/>
        </w:rPr>
        <w:t>Administration du régime</w:t>
      </w:r>
    </w:p>
    <w:p w14:paraId="5BF999A4" w14:textId="77777777" w:rsidR="00D92A59" w:rsidRDefault="00D92A59" w:rsidP="00D92A59"/>
    <w:p w14:paraId="4D6DFF22" w14:textId="62885B6F" w:rsidR="00D92A59" w:rsidRDefault="00AD4290" w:rsidP="00BC5C4F">
      <w:pPr>
        <w:jc w:val="both"/>
      </w:pPr>
      <w:r>
        <w:t>Il faut tout d'abord comprendre, et c'est le concept de base de protection de l'actif de retraite de l'employé, que le patrimoine du RPACD est une entité juri</w:t>
      </w:r>
      <w:r w:rsidR="00BC5C4F">
        <w:t>dique complètement distincte de celle de l'employeur. Impossible alors de financer les activités commerciales de l'employeur à même ces fonds de retraite. Sous la surveillance de la RRQ, l'employeur se doit de respecter les balises de capitalisation et de solvabilité du régime établies par les actuaires afin de respecter ses obligations financières. Par ailleurs, le RPACD se doit de respecter les règles de gestions suivantes</w:t>
      </w:r>
      <w:r w:rsidR="00317FB3">
        <w:rPr>
          <w:rStyle w:val="Marquenotebasdepage"/>
        </w:rPr>
        <w:footnoteReference w:customMarkFollows="1" w:id="33"/>
        <w:t>30</w:t>
      </w:r>
      <w:r w:rsidR="00BC5C4F">
        <w:t>:</w:t>
      </w:r>
    </w:p>
    <w:p w14:paraId="73DACC47" w14:textId="77777777" w:rsidR="00BC5C4F" w:rsidRDefault="00BC5C4F" w:rsidP="00BC5C4F">
      <w:pPr>
        <w:jc w:val="both"/>
      </w:pPr>
    </w:p>
    <w:p w14:paraId="3C33B427" w14:textId="77777777" w:rsidR="00BC5C4F" w:rsidRDefault="00BC5C4F" w:rsidP="006C34CF">
      <w:pPr>
        <w:pStyle w:val="Paragraphedeliste"/>
        <w:numPr>
          <w:ilvl w:val="1"/>
          <w:numId w:val="32"/>
        </w:numPr>
        <w:jc w:val="both"/>
      </w:pPr>
      <w:r w:rsidRPr="00BC5C4F">
        <w:t>Comité de retraite</w:t>
      </w:r>
    </w:p>
    <w:p w14:paraId="52511EA6" w14:textId="77777777" w:rsidR="00BC5C4F" w:rsidRPr="00BC5C4F" w:rsidRDefault="00BC5C4F" w:rsidP="00BC5C4F">
      <w:pPr>
        <w:jc w:val="both"/>
      </w:pPr>
    </w:p>
    <w:p w14:paraId="26932179" w14:textId="77777777" w:rsidR="00BC5C4F" w:rsidRDefault="00BC5C4F" w:rsidP="00BC5C4F">
      <w:pPr>
        <w:jc w:val="both"/>
      </w:pPr>
      <w:r w:rsidRPr="00BC5C4F">
        <w:t>L'existence d'un comité de retraite est requise par la Loi RCR. Au moins deux représentants des participants et un membre indépendant y siègent. Le comité est responsable d'administrer le régime. Il a le pouvoir de déléguer certaines de ses tâches.</w:t>
      </w:r>
    </w:p>
    <w:p w14:paraId="0D119522" w14:textId="77777777" w:rsidR="00BC5C4F" w:rsidRPr="00BC5C4F" w:rsidRDefault="00BC5C4F" w:rsidP="00BC5C4F">
      <w:pPr>
        <w:jc w:val="both"/>
      </w:pPr>
    </w:p>
    <w:p w14:paraId="7577E89C" w14:textId="77777777" w:rsidR="00BC5C4F" w:rsidRDefault="00BC5C4F" w:rsidP="006C34CF">
      <w:pPr>
        <w:pStyle w:val="Paragraphedeliste"/>
        <w:numPr>
          <w:ilvl w:val="1"/>
          <w:numId w:val="32"/>
        </w:numPr>
        <w:jc w:val="both"/>
      </w:pPr>
      <w:r w:rsidRPr="00BC5C4F">
        <w:t>Information</w:t>
      </w:r>
    </w:p>
    <w:p w14:paraId="7692F01F" w14:textId="77777777" w:rsidR="00BC5C4F" w:rsidRPr="00BC5C4F" w:rsidRDefault="00BC5C4F" w:rsidP="00BC5C4F">
      <w:pPr>
        <w:jc w:val="both"/>
      </w:pPr>
    </w:p>
    <w:p w14:paraId="142397B8" w14:textId="77777777" w:rsidR="00BC5C4F" w:rsidRPr="00BC5C4F" w:rsidRDefault="00BC5C4F" w:rsidP="00BC5C4F">
      <w:pPr>
        <w:jc w:val="both"/>
      </w:pPr>
      <w:r w:rsidRPr="00BC5C4F">
        <w:t>Les informations suivantes doivent être transmises aux participants :</w:t>
      </w:r>
    </w:p>
    <w:p w14:paraId="348028D0" w14:textId="77777777" w:rsidR="00BC5C4F" w:rsidRPr="00BC5C4F" w:rsidRDefault="00BC5C4F" w:rsidP="006C34CF">
      <w:pPr>
        <w:numPr>
          <w:ilvl w:val="0"/>
          <w:numId w:val="33"/>
        </w:numPr>
        <w:jc w:val="both"/>
      </w:pPr>
      <w:r w:rsidRPr="00BC5C4F">
        <w:tab/>
      </w:r>
      <w:r w:rsidRPr="00BC5C4F">
        <w:tab/>
        <w:t>• assemblée annuelle du régime;</w:t>
      </w:r>
    </w:p>
    <w:p w14:paraId="33AA8B88" w14:textId="77777777" w:rsidR="00BC5C4F" w:rsidRPr="00BC5C4F" w:rsidRDefault="00BC5C4F" w:rsidP="006C34CF">
      <w:pPr>
        <w:numPr>
          <w:ilvl w:val="0"/>
          <w:numId w:val="33"/>
        </w:numPr>
        <w:jc w:val="both"/>
      </w:pPr>
      <w:r w:rsidRPr="00BC5C4F">
        <w:tab/>
      </w:r>
      <w:r w:rsidRPr="00BC5C4F">
        <w:tab/>
        <w:t>• brochure décrivant le régime;</w:t>
      </w:r>
    </w:p>
    <w:p w14:paraId="30B79D53" w14:textId="77777777" w:rsidR="00BC5C4F" w:rsidRPr="00BC5C4F" w:rsidRDefault="00BC5C4F" w:rsidP="006C34CF">
      <w:pPr>
        <w:numPr>
          <w:ilvl w:val="0"/>
          <w:numId w:val="33"/>
        </w:numPr>
        <w:jc w:val="both"/>
      </w:pPr>
      <w:r w:rsidRPr="00BC5C4F">
        <w:tab/>
      </w:r>
      <w:r w:rsidRPr="00BC5C4F">
        <w:tab/>
        <w:t>• droit de consulter les documents légaux;</w:t>
      </w:r>
    </w:p>
    <w:p w14:paraId="0F1B467B" w14:textId="77777777" w:rsidR="00BC5C4F" w:rsidRPr="00BC5C4F" w:rsidRDefault="00BC5C4F" w:rsidP="006C34CF">
      <w:pPr>
        <w:numPr>
          <w:ilvl w:val="0"/>
          <w:numId w:val="33"/>
        </w:numPr>
        <w:jc w:val="both"/>
      </w:pPr>
      <w:r w:rsidRPr="00BC5C4F">
        <w:lastRenderedPageBreak/>
        <w:tab/>
      </w:r>
      <w:r w:rsidRPr="00BC5C4F">
        <w:tab/>
        <w:t>• relevé annuel;</w:t>
      </w:r>
    </w:p>
    <w:p w14:paraId="246BA18B" w14:textId="77777777" w:rsidR="00BC5C4F" w:rsidRPr="00BC5C4F" w:rsidRDefault="00BC5C4F" w:rsidP="006C34CF">
      <w:pPr>
        <w:numPr>
          <w:ilvl w:val="0"/>
          <w:numId w:val="33"/>
        </w:numPr>
        <w:jc w:val="both"/>
      </w:pPr>
      <w:r w:rsidRPr="00BC5C4F">
        <w:tab/>
      </w:r>
      <w:r w:rsidRPr="00BC5C4F">
        <w:tab/>
        <w:t>• relevé lors :</w:t>
      </w:r>
    </w:p>
    <w:p w14:paraId="50212890" w14:textId="77777777" w:rsidR="00BC5C4F" w:rsidRPr="00BC5C4F" w:rsidRDefault="00BC5C4F" w:rsidP="006C34CF">
      <w:pPr>
        <w:numPr>
          <w:ilvl w:val="1"/>
          <w:numId w:val="33"/>
        </w:numPr>
        <w:jc w:val="both"/>
      </w:pPr>
      <w:r w:rsidRPr="00BC5C4F">
        <w:tab/>
      </w:r>
      <w:r w:rsidRPr="00BC5C4F">
        <w:tab/>
        <w:t>• de la retraite;</w:t>
      </w:r>
    </w:p>
    <w:p w14:paraId="231DF8B4" w14:textId="77777777" w:rsidR="00BC5C4F" w:rsidRPr="00BC5C4F" w:rsidRDefault="00BC5C4F" w:rsidP="006C34CF">
      <w:pPr>
        <w:numPr>
          <w:ilvl w:val="1"/>
          <w:numId w:val="33"/>
        </w:numPr>
        <w:jc w:val="both"/>
      </w:pPr>
      <w:r w:rsidRPr="00BC5C4F">
        <w:tab/>
      </w:r>
      <w:r w:rsidRPr="00BC5C4F">
        <w:tab/>
        <w:t>• du décès;</w:t>
      </w:r>
    </w:p>
    <w:p w14:paraId="4FDAC371" w14:textId="77777777" w:rsidR="00BC5C4F" w:rsidRPr="00BC5C4F" w:rsidRDefault="00BC5C4F" w:rsidP="006C34CF">
      <w:pPr>
        <w:numPr>
          <w:ilvl w:val="1"/>
          <w:numId w:val="33"/>
        </w:numPr>
        <w:jc w:val="both"/>
      </w:pPr>
      <w:r w:rsidRPr="00BC5C4F">
        <w:tab/>
      </w:r>
      <w:r w:rsidRPr="00BC5C4F">
        <w:tab/>
        <w:t>• de la cessation de service;</w:t>
      </w:r>
    </w:p>
    <w:p w14:paraId="1688ACC8" w14:textId="77777777" w:rsidR="00BC5C4F" w:rsidRPr="00BC5C4F" w:rsidRDefault="00BC5C4F" w:rsidP="006C34CF">
      <w:pPr>
        <w:numPr>
          <w:ilvl w:val="1"/>
          <w:numId w:val="33"/>
        </w:numPr>
        <w:jc w:val="both"/>
      </w:pPr>
      <w:r w:rsidRPr="00BC5C4F">
        <w:tab/>
      </w:r>
      <w:r w:rsidRPr="00BC5C4F">
        <w:tab/>
        <w:t>• du partage (cession de droits);</w:t>
      </w:r>
    </w:p>
    <w:p w14:paraId="23FA9E15" w14:textId="14592942" w:rsidR="00BC5C4F" w:rsidRDefault="00BC5C4F" w:rsidP="00BC5C4F">
      <w:pPr>
        <w:ind w:left="708"/>
        <w:jc w:val="both"/>
      </w:pPr>
      <w:r w:rsidRPr="00BC5C4F">
        <w:tab/>
      </w:r>
      <w:r w:rsidRPr="00BC5C4F">
        <w:tab/>
        <w:t xml:space="preserve">• </w:t>
      </w:r>
      <w:proofErr w:type="gramStart"/>
      <w:r w:rsidRPr="00BC5C4F">
        <w:t>de</w:t>
      </w:r>
      <w:proofErr w:type="gramEnd"/>
      <w:r w:rsidRPr="00BC5C4F">
        <w:t xml:space="preserve"> la terminaison partielle ou totale ou de la scission du régime.</w:t>
      </w:r>
    </w:p>
    <w:p w14:paraId="1188027F" w14:textId="77777777" w:rsidR="00D92A59" w:rsidRDefault="00D92A59" w:rsidP="00BC5C4F">
      <w:pPr>
        <w:jc w:val="both"/>
      </w:pPr>
    </w:p>
    <w:p w14:paraId="0DDA9E9F" w14:textId="422F7122" w:rsidR="005C080C" w:rsidRPr="000F289D" w:rsidRDefault="005C080C" w:rsidP="006C34CF">
      <w:pPr>
        <w:pStyle w:val="Paragraphedeliste"/>
        <w:numPr>
          <w:ilvl w:val="0"/>
          <w:numId w:val="32"/>
        </w:numPr>
        <w:rPr>
          <w:color w:val="FF6700" w:themeColor="accent3"/>
        </w:rPr>
      </w:pPr>
      <w:r w:rsidRPr="000F289D">
        <w:rPr>
          <w:color w:val="FF6700" w:themeColor="accent3"/>
        </w:rPr>
        <w:t xml:space="preserve">Âge de la retraite </w:t>
      </w:r>
    </w:p>
    <w:p w14:paraId="31D1B401" w14:textId="77777777" w:rsidR="00317FB3" w:rsidRDefault="00317FB3" w:rsidP="002641DF"/>
    <w:p w14:paraId="0279AE63" w14:textId="5516BA5F" w:rsidR="003262AE" w:rsidRDefault="00A31D89" w:rsidP="00A31D89">
      <w:pPr>
        <w:jc w:val="both"/>
      </w:pPr>
      <w:r>
        <w:t>Dans le cas des RPACD, l</w:t>
      </w:r>
      <w:r w:rsidR="003262AE">
        <w:t>es modalités entourant</w:t>
      </w:r>
      <w:r w:rsidR="00B01BCC">
        <w:t xml:space="preserve"> l'âge de la retraite </w:t>
      </w:r>
      <w:r>
        <w:t>sont dans les faits, simples. Cela e</w:t>
      </w:r>
      <w:r w:rsidR="00B01BCC">
        <w:t>s</w:t>
      </w:r>
      <w:r>
        <w:t xml:space="preserve">t attribuable à la nature </w:t>
      </w:r>
      <w:r w:rsidR="00F3350B">
        <w:t xml:space="preserve">même </w:t>
      </w:r>
      <w:r>
        <w:t>du régime qui ne garantit pas un montant de rente de retraite. La rente sera essentiellement calculée selon la valeur des cotisations acquises et du rendement du régime sur celles-ci</w:t>
      </w:r>
      <w:r w:rsidR="00F3350B">
        <w:t>, les taux rendement sur les produits viagers et l'âge de la prise de retraite</w:t>
      </w:r>
      <w:r>
        <w:t>.</w:t>
      </w:r>
      <w:r w:rsidR="00F3350B">
        <w:t xml:space="preserve"> L'âge normal de la retraite est fixé à </w:t>
      </w:r>
      <w:r w:rsidR="00F3350B" w:rsidRPr="00F3350B">
        <w:rPr>
          <w:color w:val="FF6700" w:themeColor="accent3"/>
        </w:rPr>
        <w:t>65 ANS</w:t>
      </w:r>
      <w:r w:rsidR="00F3350B">
        <w:t>. La prise de retraite ne peut</w:t>
      </w:r>
      <w:r w:rsidR="00C929ED">
        <w:t xml:space="preserve"> </w:t>
      </w:r>
      <w:r w:rsidR="00F3350B">
        <w:t>être obligatoire, mais peut faire l'objet d'une anticipation pouvant aller jusqu'à dix années.</w:t>
      </w:r>
    </w:p>
    <w:p w14:paraId="598277FA" w14:textId="77777777" w:rsidR="00050541" w:rsidRDefault="00050541" w:rsidP="002641DF"/>
    <w:p w14:paraId="4F0B2CC0" w14:textId="77777777" w:rsidR="00842F32" w:rsidRDefault="00842F32" w:rsidP="002641DF"/>
    <w:p w14:paraId="7AC0A879" w14:textId="77777777" w:rsidR="00842F32" w:rsidRDefault="00842F32" w:rsidP="002641DF"/>
    <w:p w14:paraId="4C0C2B48" w14:textId="77777777" w:rsidR="00842F32" w:rsidRDefault="00842F32" w:rsidP="002641DF"/>
    <w:p w14:paraId="09E556C8" w14:textId="77777777" w:rsidR="00842F32" w:rsidRDefault="00842F32" w:rsidP="002641DF"/>
    <w:p w14:paraId="3E3EE02B" w14:textId="77777777" w:rsidR="00842F32" w:rsidRDefault="00842F32" w:rsidP="002641DF"/>
    <w:p w14:paraId="0D2A9D3A" w14:textId="77777777" w:rsidR="00842F32" w:rsidRDefault="00842F32" w:rsidP="002641DF"/>
    <w:p w14:paraId="36DE781D" w14:textId="77777777" w:rsidR="00842F32" w:rsidRDefault="00842F32" w:rsidP="002641DF"/>
    <w:p w14:paraId="0FB2B34D" w14:textId="77777777" w:rsidR="00842F32" w:rsidRDefault="00842F32" w:rsidP="002641DF"/>
    <w:p w14:paraId="55953E61" w14:textId="77777777" w:rsidR="00842F32" w:rsidRDefault="00842F32" w:rsidP="002641DF"/>
    <w:p w14:paraId="5986EBEC" w14:textId="77777777" w:rsidR="00842F32" w:rsidRDefault="00842F32" w:rsidP="002641DF"/>
    <w:p w14:paraId="2815B106" w14:textId="77777777" w:rsidR="00842F32" w:rsidRDefault="00842F32" w:rsidP="002641DF"/>
    <w:p w14:paraId="6335096C" w14:textId="77777777" w:rsidR="00842F32" w:rsidRDefault="00842F32" w:rsidP="002641DF"/>
    <w:p w14:paraId="04B750B3" w14:textId="77777777" w:rsidR="00842F32" w:rsidRDefault="00842F32" w:rsidP="002641DF"/>
    <w:p w14:paraId="079F9C0D" w14:textId="77777777" w:rsidR="00842F32" w:rsidRDefault="00842F32" w:rsidP="002641DF"/>
    <w:p w14:paraId="3B62BB2B" w14:textId="586EEBAF" w:rsidR="002641DF" w:rsidRDefault="002641DF" w:rsidP="006C34CF">
      <w:pPr>
        <w:pStyle w:val="Paragraphedeliste"/>
        <w:numPr>
          <w:ilvl w:val="0"/>
          <w:numId w:val="32"/>
        </w:numPr>
        <w:rPr>
          <w:color w:val="FF6700" w:themeColor="accent3"/>
        </w:rPr>
      </w:pPr>
      <w:r w:rsidRPr="000F289D">
        <w:rPr>
          <w:color w:val="FF6700" w:themeColor="accent3"/>
        </w:rPr>
        <w:lastRenderedPageBreak/>
        <w:t>Clauses obligatoires</w:t>
      </w:r>
    </w:p>
    <w:p w14:paraId="11325AF8" w14:textId="77777777" w:rsidR="00842F32" w:rsidRDefault="00842F32" w:rsidP="00842F32">
      <w:pPr>
        <w:rPr>
          <w:color w:val="FF6700" w:themeColor="accent3"/>
        </w:rPr>
      </w:pPr>
    </w:p>
    <w:p w14:paraId="50D6566C" w14:textId="7AEE5524" w:rsidR="00842F32" w:rsidRPr="00842F32" w:rsidRDefault="00842F32" w:rsidP="00842F32">
      <w:r>
        <w:t>Les clauses obligatoires visent à établi</w:t>
      </w:r>
      <w:r w:rsidR="00657A9A">
        <w:t>r</w:t>
      </w:r>
      <w:r>
        <w:t xml:space="preserve"> les éléments de protection minimale que l'on doit retrouv</w:t>
      </w:r>
      <w:r w:rsidR="00B42240">
        <w:t>er</w:t>
      </w:r>
      <w:r>
        <w:t xml:space="preserve"> dans le cadre du régime de retraite.</w:t>
      </w:r>
    </w:p>
    <w:p w14:paraId="36422320" w14:textId="0FF6F3B7" w:rsidR="00842F32" w:rsidRPr="00842F32" w:rsidRDefault="00272932" w:rsidP="00842F32">
      <w:pPr>
        <w:rPr>
          <w:color w:val="FF6700" w:themeColor="accent3"/>
        </w:rPr>
      </w:pPr>
      <w:r>
        <w:rPr>
          <w:noProof/>
          <w:lang w:eastAsia="fr-FR"/>
        </w:rPr>
        <mc:AlternateContent>
          <mc:Choice Requires="wps">
            <w:drawing>
              <wp:anchor distT="0" distB="0" distL="114300" distR="114300" simplePos="0" relativeHeight="252098560" behindDoc="0" locked="0" layoutInCell="1" allowOverlap="1" wp14:anchorId="24DFBCF1" wp14:editId="0FF255AB">
                <wp:simplePos x="0" y="0"/>
                <wp:positionH relativeFrom="column">
                  <wp:posOffset>-342900</wp:posOffset>
                </wp:positionH>
                <wp:positionV relativeFrom="paragraph">
                  <wp:posOffset>167005</wp:posOffset>
                </wp:positionV>
                <wp:extent cx="1485900" cy="1485900"/>
                <wp:effectExtent l="76200" t="50800" r="63500" b="63500"/>
                <wp:wrapSquare wrapText="bothSides"/>
                <wp:docPr id="174" name="Ellipse 174"/>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rgbClr val="C188D7"/>
                        </a:solidFill>
                        <a:ln>
                          <a:no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CF85912" w14:textId="29F934E6" w:rsidR="00573C95" w:rsidRDefault="00573C95" w:rsidP="000E652B">
                            <w:pPr>
                              <w:jc w:val="center"/>
                            </w:pPr>
                            <w:r>
                              <w:t>Rente réversible au conjoint à 60 %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4" o:spid="_x0000_s1113" style="position:absolute;margin-left:-26.95pt;margin-top:13.15pt;width:117pt;height:117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" fillcolor="#c188d7" stroked="f">
                <v:textbox>
                  <w:txbxContent>
                    <w:p w14:paraId="3CF85912" w14:textId="29F934E6" w:rsidR="001501D6" w:rsidRDefault="001501D6" w:rsidP="000E652B">
                      <w:pPr>
                        <w:jc w:val="center"/>
                      </w:pPr>
                      <w:r>
                        <w:t>Rente réversible au conjoint à 60 %</w:t>
                      </w:r>
                    </w:p>
                  </w:txbxContent>
                </v:textbox>
                <w10:wrap type="square"/>
              </v:oval>
            </w:pict>
          </mc:Fallback>
        </mc:AlternateContent>
      </w:r>
    </w:p>
    <w:p w14:paraId="55B33E6E" w14:textId="4FD5DC2F" w:rsidR="002641DF" w:rsidRDefault="0093767D" w:rsidP="0093767D">
      <w:pPr>
        <w:jc w:val="both"/>
      </w:pPr>
      <w:r>
        <w:t>La rente de retraite qui sera acquise à même le RPACD devra obligatoirement prévoir une rente de 60 % réversible au conjoint survivant en cas de décès du contribuable. C'est-à-dire qu'une rente correspondant à 60 % de la rente de retraite normale du contribuable décédé sera versée au conjoint survivant jusqu'à son propre décès. Cette protection</w:t>
      </w:r>
      <w:r w:rsidR="00F0021A">
        <w:t xml:space="preserve"> vise le conjoint légal ou de faits et peut faire l'objet d'un renoncement par celui-ci avant l'amorce de la retraite. Ce renoncement aurait pour but d'augmenter la valeur de la rente normale avant le décès.</w:t>
      </w:r>
      <w:r>
        <w:t xml:space="preserve"> </w:t>
      </w:r>
    </w:p>
    <w:p w14:paraId="5F7810AD" w14:textId="36B1FC96" w:rsidR="006F62CF" w:rsidRDefault="00842F32" w:rsidP="002641DF">
      <w:r>
        <w:tab/>
      </w:r>
      <w:r>
        <w:tab/>
      </w:r>
      <w:r>
        <w:tab/>
      </w:r>
      <w:r>
        <w:tab/>
      </w:r>
    </w:p>
    <w:p w14:paraId="1C24B795" w14:textId="24D6077D" w:rsidR="006F62CF" w:rsidRDefault="006F62CF" w:rsidP="002641DF"/>
    <w:p w14:paraId="33526316" w14:textId="340FA1E8" w:rsidR="006F62CF" w:rsidRDefault="00842F32" w:rsidP="002641DF">
      <w:r>
        <w:rPr>
          <w:noProof/>
          <w:lang w:eastAsia="fr-FR"/>
        </w:rPr>
        <mc:AlternateContent>
          <mc:Choice Requires="wps">
            <w:drawing>
              <wp:anchor distT="0" distB="0" distL="114300" distR="114300" simplePos="0" relativeHeight="252100608" behindDoc="0" locked="0" layoutInCell="1" allowOverlap="1" wp14:anchorId="01076730" wp14:editId="404BA8C4">
                <wp:simplePos x="0" y="0"/>
                <wp:positionH relativeFrom="column">
                  <wp:posOffset>-342900</wp:posOffset>
                </wp:positionH>
                <wp:positionV relativeFrom="paragraph">
                  <wp:posOffset>54610</wp:posOffset>
                </wp:positionV>
                <wp:extent cx="1485900" cy="1485900"/>
                <wp:effectExtent l="76200" t="50800" r="63500" b="63500"/>
                <wp:wrapSquare wrapText="bothSides"/>
                <wp:docPr id="179" name="Ellipse 179"/>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rgbClr val="C188D7"/>
                        </a:solidFill>
                        <a:ln>
                          <a:no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64BA80A" w14:textId="6706B2B6" w:rsidR="00573C95" w:rsidRDefault="00573C95" w:rsidP="008A18AF">
                            <w:pPr>
                              <w:jc w:val="center"/>
                            </w:pPr>
                            <w:r>
                              <w:t>Rente garantie de 10 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9" o:spid="_x0000_s1114" style="position:absolute;margin-left:-26.95pt;margin-top:4.3pt;width:117pt;height:117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" fillcolor="#c188d7" stroked="f">
                <v:textbox>
                  <w:txbxContent>
                    <w:p w14:paraId="764BA80A" w14:textId="6706B2B6" w:rsidR="001501D6" w:rsidRDefault="001501D6" w:rsidP="008A18AF">
                      <w:pPr>
                        <w:jc w:val="center"/>
                      </w:pPr>
                      <w:r>
                        <w:t>Rente garantie de 10 ans</w:t>
                      </w:r>
                    </w:p>
                  </w:txbxContent>
                </v:textbox>
                <w10:wrap type="square"/>
              </v:oval>
            </w:pict>
          </mc:Fallback>
        </mc:AlternateContent>
      </w:r>
    </w:p>
    <w:p w14:paraId="4D75742F" w14:textId="0DF9E8B0" w:rsidR="00F0021A" w:rsidRDefault="00F0021A" w:rsidP="00F0021A">
      <w:pPr>
        <w:jc w:val="both"/>
      </w:pPr>
      <w:r>
        <w:t>La rente de retraite qui sera acquise à même le RPACD devra obligatoirement prévoir</w:t>
      </w:r>
      <w:r w:rsidR="005139E1">
        <w:t>, advenant un décès prématuré, que la rente normale de 100</w:t>
      </w:r>
      <w:r w:rsidR="00990883">
        <w:t xml:space="preserve"> % sera versée du vivant au contribuable et, suite à son décès, </w:t>
      </w:r>
      <w:r w:rsidR="00356F14">
        <w:t>au conjoint survivant</w:t>
      </w:r>
      <w:r w:rsidR="00990883">
        <w:t xml:space="preserve"> pour une période minimale </w:t>
      </w:r>
      <w:r w:rsidR="00727E98" w:rsidRPr="00727E98">
        <w:rPr>
          <w:color w:val="FF6700" w:themeColor="accent3"/>
        </w:rPr>
        <w:t>TOTALE</w:t>
      </w:r>
      <w:r w:rsidR="00727E98">
        <w:t xml:space="preserve"> </w:t>
      </w:r>
      <w:r w:rsidR="00990883">
        <w:t>de 10 années.</w:t>
      </w:r>
      <w:r>
        <w:t xml:space="preserve"> </w:t>
      </w:r>
      <w:r w:rsidR="00356F14">
        <w:t>En l'absence de conjoint survivant</w:t>
      </w:r>
      <w:r w:rsidR="00293A28">
        <w:t xml:space="preserve"> (celui a un droit prioritaire)</w:t>
      </w:r>
      <w:r w:rsidR="00356F14">
        <w:t>, cette rente sera versée aux</w:t>
      </w:r>
      <w:r w:rsidR="00DD293F">
        <w:t xml:space="preserve"> héritiers</w:t>
      </w:r>
      <w:r w:rsidR="00356F14">
        <w:t xml:space="preserve">. </w:t>
      </w:r>
      <w:r w:rsidR="006D30A4">
        <w:t>Lorsqu'il y a un conjoint survivant,</w:t>
      </w:r>
      <w:r w:rsidR="00DD293F">
        <w:t xml:space="preserve"> la rente réversible au conjoint</w:t>
      </w:r>
      <w:r w:rsidR="006D30A4">
        <w:t xml:space="preserve"> prendra effet après l'expiration de la rente garantie de 10 ans</w:t>
      </w:r>
      <w:r w:rsidR="00DD293F">
        <w:t xml:space="preserve">. </w:t>
      </w:r>
      <w:r w:rsidR="006D30A4">
        <w:t xml:space="preserve">Cette dernière </w:t>
      </w:r>
      <w:r w:rsidR="005D54AA">
        <w:t xml:space="preserve">peut faire l'objet d'un seul versement ou </w:t>
      </w:r>
      <w:r w:rsidR="00C0108D">
        <w:t xml:space="preserve">d'une </w:t>
      </w:r>
      <w:r w:rsidR="005D54AA">
        <w:t>ventil</w:t>
      </w:r>
      <w:r w:rsidR="00C0108D">
        <w:t xml:space="preserve">ation </w:t>
      </w:r>
      <w:r w:rsidR="005D54AA">
        <w:t>sur la période visée (10 années moins le nombre d'années</w:t>
      </w:r>
      <w:r w:rsidR="00B42240">
        <w:t xml:space="preserve"> de retraite </w:t>
      </w:r>
      <w:r w:rsidR="005D54AA">
        <w:t>avant le décès).</w:t>
      </w:r>
    </w:p>
    <w:p w14:paraId="7AB01A5B" w14:textId="2EDECA9C" w:rsidR="006F62CF" w:rsidRDefault="006F62CF" w:rsidP="002641DF"/>
    <w:p w14:paraId="2B54208F" w14:textId="15B30AC8" w:rsidR="00842F32" w:rsidRDefault="00272932" w:rsidP="002641DF">
      <w:r>
        <w:rPr>
          <w:noProof/>
          <w:lang w:eastAsia="fr-FR"/>
        </w:rPr>
        <mc:AlternateContent>
          <mc:Choice Requires="wps">
            <w:drawing>
              <wp:anchor distT="0" distB="0" distL="114300" distR="114300" simplePos="0" relativeHeight="252102656" behindDoc="0" locked="0" layoutInCell="1" allowOverlap="1" wp14:anchorId="3BA152A8" wp14:editId="4ABAFD18">
                <wp:simplePos x="0" y="0"/>
                <wp:positionH relativeFrom="column">
                  <wp:posOffset>-457200</wp:posOffset>
                </wp:positionH>
                <wp:positionV relativeFrom="paragraph">
                  <wp:posOffset>87630</wp:posOffset>
                </wp:positionV>
                <wp:extent cx="1485900" cy="1485900"/>
                <wp:effectExtent l="76200" t="50800" r="63500" b="63500"/>
                <wp:wrapSquare wrapText="bothSides"/>
                <wp:docPr id="180" name="Ellipse 180"/>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rgbClr val="C188D7"/>
                        </a:solidFill>
                        <a:ln>
                          <a:no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D4E7279" w14:textId="060B0501" w:rsidR="00573C95" w:rsidRDefault="00573C95" w:rsidP="008A18AF">
                            <w:pPr>
                              <w:jc w:val="center"/>
                            </w:pPr>
                            <w:r>
                              <w:t>Rente temporaire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80" o:spid="_x0000_s1115" style="position:absolute;margin-left:-35.95pt;margin-top:6.9pt;width:117pt;height:117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" fillcolor="#c188d7" stroked="f">
                <v:textbox>
                  <w:txbxContent>
                    <w:p w14:paraId="2D4E7279" w14:textId="060B0501" w:rsidR="001501D6" w:rsidRDefault="001501D6" w:rsidP="008A18AF">
                      <w:pPr>
                        <w:jc w:val="center"/>
                      </w:pPr>
                      <w:r>
                        <w:t>Rente temporaire</w:t>
                      </w:r>
                    </w:p>
                  </w:txbxContent>
                </v:textbox>
                <w10:wrap type="square"/>
              </v:oval>
            </w:pict>
          </mc:Fallback>
        </mc:AlternateContent>
      </w:r>
    </w:p>
    <w:p w14:paraId="0D37E92C" w14:textId="27315F52" w:rsidR="00842F32" w:rsidRDefault="00C61EB7" w:rsidP="00C61EB7">
      <w:pPr>
        <w:jc w:val="both"/>
      </w:pPr>
      <w:r>
        <w:t>Lorsque le contribuable</w:t>
      </w:r>
      <w:r w:rsidRPr="00C61EB7">
        <w:t xml:space="preserve"> commence à recevoir sa rente</w:t>
      </w:r>
      <w:r>
        <w:t xml:space="preserve"> de retraite</w:t>
      </w:r>
      <w:r w:rsidRPr="00C61EB7">
        <w:t xml:space="preserve"> dans les</w:t>
      </w:r>
      <w:r>
        <w:t xml:space="preserve"> dix années </w:t>
      </w:r>
      <w:r w:rsidRPr="00C61EB7">
        <w:t xml:space="preserve">précédant l'âge </w:t>
      </w:r>
      <w:r>
        <w:t>de 65 ans</w:t>
      </w:r>
      <w:r w:rsidRPr="00C61EB7">
        <w:t>, il peut demander une rente temporaire</w:t>
      </w:r>
      <w:r>
        <w:t xml:space="preserve"> pour combler le manque à gagner résultant du fait qu'il ne peut pas demander sa PSV et son RRQ (si entre 55 et 6</w:t>
      </w:r>
      <w:r w:rsidR="00EA5A9E">
        <w:t>5</w:t>
      </w:r>
      <w:r>
        <w:t xml:space="preserve"> ans). </w:t>
      </w:r>
      <w:r w:rsidRPr="00C61EB7">
        <w:t>Le montant annuel de la rente temporaire ne peut dépasser 40 % du</w:t>
      </w:r>
      <w:r>
        <w:t xml:space="preserve"> </w:t>
      </w:r>
      <w:r w:rsidRPr="00C61EB7">
        <w:t xml:space="preserve">MGA pour l'année où débute le paiement de la rente. </w:t>
      </w:r>
      <w:r w:rsidR="00EA5A9E">
        <w:t xml:space="preserve">Cette rente temporaire est aussi appelée, </w:t>
      </w:r>
      <w:r w:rsidR="00EA5A9E" w:rsidRPr="00EA5A9E">
        <w:rPr>
          <w:color w:val="FF6700" w:themeColor="accent3"/>
        </w:rPr>
        <w:t>PRESTATION OU RENTE DE RACCORDEMENT</w:t>
      </w:r>
      <w:r w:rsidR="00EA5A9E">
        <w:t>.</w:t>
      </w:r>
    </w:p>
    <w:p w14:paraId="34F8EC7D" w14:textId="77777777" w:rsidR="00842F32" w:rsidRDefault="00842F32" w:rsidP="002641DF"/>
    <w:p w14:paraId="10B1522E" w14:textId="77777777" w:rsidR="00272932" w:rsidRDefault="00272932" w:rsidP="002641DF"/>
    <w:p w14:paraId="2D391998" w14:textId="0297964B" w:rsidR="002641DF" w:rsidRDefault="002641DF" w:rsidP="006C34CF">
      <w:pPr>
        <w:pStyle w:val="Paragraphedeliste"/>
        <w:numPr>
          <w:ilvl w:val="0"/>
          <w:numId w:val="32"/>
        </w:numPr>
        <w:rPr>
          <w:color w:val="FF6700" w:themeColor="accent3"/>
        </w:rPr>
      </w:pPr>
      <w:r w:rsidRPr="000F289D">
        <w:rPr>
          <w:color w:val="FF6700" w:themeColor="accent3"/>
        </w:rPr>
        <w:t>Clauses facultatives</w:t>
      </w:r>
    </w:p>
    <w:p w14:paraId="6D0F00B5" w14:textId="77777777" w:rsidR="007A33DA" w:rsidRDefault="007A33DA" w:rsidP="007A33DA">
      <w:pPr>
        <w:rPr>
          <w:color w:val="FF6700" w:themeColor="accent3"/>
        </w:rPr>
      </w:pPr>
    </w:p>
    <w:p w14:paraId="76CD92AD" w14:textId="6910E15F" w:rsidR="007A33DA" w:rsidRDefault="007A33DA" w:rsidP="007A33DA">
      <w:pPr>
        <w:jc w:val="both"/>
      </w:pPr>
      <w:r>
        <w:t>Il existe d'innombrables formes de clauses facultatives que l'on peut retrouver dans l'achat d'une rente de retraite à même un RPACD. De manière générale, il serait possible de bonifier le</w:t>
      </w:r>
      <w:r w:rsidR="00B42240">
        <w:t xml:space="preserve">s </w:t>
      </w:r>
      <w:r>
        <w:t>clauses obligatoires, en utilisant, par exemple, une réversibilité de la rente au conjoint de 70 % ou en augmentant à 15 ans la rente garantie.</w:t>
      </w:r>
    </w:p>
    <w:p w14:paraId="361B99CD" w14:textId="77777777" w:rsidR="007A33DA" w:rsidRDefault="007A33DA" w:rsidP="007A33DA">
      <w:pPr>
        <w:jc w:val="both"/>
      </w:pPr>
    </w:p>
    <w:p w14:paraId="5BE82729" w14:textId="47A2F61E" w:rsidR="007A33DA" w:rsidRDefault="007A33DA" w:rsidP="007A33DA">
      <w:pPr>
        <w:jc w:val="both"/>
      </w:pPr>
      <w:r>
        <w:t xml:space="preserve">Une clause facultative que nous n'avons pas encore identifiée et qui pourrait être intéressante serait celle de l'indexation </w:t>
      </w:r>
      <w:r w:rsidR="00876DA5">
        <w:t xml:space="preserve">annuelle </w:t>
      </w:r>
      <w:r>
        <w:t>de la rente de retraite pour tenir compte de l'augmentation des prix à la consommation. De cette façon, la capacité à consommer au moment de la retraite ne s'effrite</w:t>
      </w:r>
      <w:r w:rsidR="00B42240">
        <w:t>ra</w:t>
      </w:r>
      <w:r>
        <w:t xml:space="preserve"> pas.</w:t>
      </w:r>
    </w:p>
    <w:p w14:paraId="156EC839" w14:textId="77777777" w:rsidR="007A33DA" w:rsidRDefault="007A33DA" w:rsidP="007A33DA">
      <w:pPr>
        <w:jc w:val="both"/>
      </w:pPr>
    </w:p>
    <w:p w14:paraId="6D6918D7" w14:textId="30D80BCE" w:rsidR="007A33DA" w:rsidRDefault="00876DA5" w:rsidP="007A33DA">
      <w:pPr>
        <w:jc w:val="both"/>
      </w:pPr>
      <w:r>
        <w:t>Pourtant, de toutes les clauses facultatives possibles, il faut en saisir la rationalité financière qui veut que chaque bonification supplémentaire</w:t>
      </w:r>
      <w:r w:rsidR="00363A05">
        <w:t xml:space="preserve"> </w:t>
      </w:r>
      <w:r>
        <w:t xml:space="preserve">s'effectue au détriment du montant de la rente dite "normale". En clair, </w:t>
      </w:r>
      <w:r w:rsidR="00B42240">
        <w:t>tout a un coût! C</w:t>
      </w:r>
      <w:r>
        <w:t>ela signifie que si vous optez pour la bonification de la réversibilité de la rente au conjoint jusqu'à un taux de 70 %, il en découlera que la rente normale versée du vivant sera réduite selon la bonne prescription actuarielle.</w:t>
      </w:r>
      <w:r w:rsidR="00363A05">
        <w:t xml:space="preserve"> Mise en garde - Ne vous imaginez jamais capable de déjouer </w:t>
      </w:r>
      <w:r w:rsidR="00F55039">
        <w:t>le calcul d'</w:t>
      </w:r>
      <w:r w:rsidR="00363A05">
        <w:t>un actuaire</w:t>
      </w:r>
      <w:r w:rsidR="00F55039">
        <w:t>, surtout s'il est à la solde d'une institution financière qui offre des produits financiers viagers.</w:t>
      </w:r>
      <w:r>
        <w:t xml:space="preserve"> </w:t>
      </w:r>
    </w:p>
    <w:p w14:paraId="2DE258AC" w14:textId="77777777" w:rsidR="001C7653" w:rsidRDefault="001C7653" w:rsidP="007A33DA">
      <w:pPr>
        <w:jc w:val="both"/>
      </w:pPr>
    </w:p>
    <w:p w14:paraId="6FB5D988" w14:textId="07B1F035" w:rsidR="00AA29C7" w:rsidRDefault="00E96AF0" w:rsidP="00E96AF0">
      <w:pPr>
        <w:pStyle w:val="Titre4"/>
      </w:pPr>
      <w:bookmarkStart w:id="48" w:name="_Toc314397831"/>
      <w:bookmarkStart w:id="49" w:name="_Toc443569375"/>
      <w:r>
        <w:t>3.2.1.3</w:t>
      </w:r>
      <w:r w:rsidR="0047269F">
        <w:t>.</w:t>
      </w:r>
      <w:r>
        <w:t xml:space="preserve"> </w:t>
      </w:r>
      <w:r w:rsidR="00E55578">
        <w:t>Les rentes à la retraite</w:t>
      </w:r>
      <w:bookmarkEnd w:id="48"/>
      <w:bookmarkEnd w:id="49"/>
    </w:p>
    <w:p w14:paraId="3EBFABF7" w14:textId="77777777" w:rsidR="00F64E86" w:rsidRDefault="00F64E86" w:rsidP="00F64E86"/>
    <w:p w14:paraId="5A34F36D" w14:textId="79C8E50D" w:rsidR="00F64E86" w:rsidRDefault="00F64E86" w:rsidP="0046707F">
      <w:pPr>
        <w:jc w:val="both"/>
      </w:pPr>
      <w:r>
        <w:t>Au moment de la retraite</w:t>
      </w:r>
      <w:r w:rsidR="0046707F">
        <w:t xml:space="preserve"> (entre 55 ans et 65 ans)</w:t>
      </w:r>
      <w:r>
        <w:t>, c'est-à-dire lorsque la participation (Les cotis</w:t>
      </w:r>
      <w:r w:rsidR="0046707F">
        <w:t>a</w:t>
      </w:r>
      <w:r>
        <w:t>tions) au RPACD cesse</w:t>
      </w:r>
      <w:r w:rsidR="0046707F">
        <w:t xml:space="preserve">, plusieurs choix s'offrent au contribuable. Celui-ci pourra opter, selon ses besoins financiers, pour un scénario qui initie immédiatement le </w:t>
      </w:r>
      <w:r w:rsidR="0046707F" w:rsidRPr="0046707F">
        <w:rPr>
          <w:u w:val="single"/>
        </w:rPr>
        <w:t xml:space="preserve">versement </w:t>
      </w:r>
      <w:r w:rsidR="0046707F">
        <w:t xml:space="preserve">des revenus de retraite ou un autre scénario qui </w:t>
      </w:r>
      <w:r w:rsidR="0046707F" w:rsidRPr="0046707F">
        <w:rPr>
          <w:u w:val="single"/>
        </w:rPr>
        <w:t>reportera</w:t>
      </w:r>
      <w:r w:rsidR="0046707F">
        <w:t xml:space="preserve"> le moment où les revenus de retraite seront versés. Compte tenu de la nature d'un régime de pension complémentaire souscrit auprès d'un employeur, peu importe le choix du contribuable, la souplesse de ses actions sera moins grande que dans le cas d'un REÉR. L'objectif de la LRCR étant de protéger les futurs retraités </w:t>
      </w:r>
      <w:r w:rsidR="004C44CD">
        <w:t xml:space="preserve">(parfois d'eux-mêmes) </w:t>
      </w:r>
      <w:r w:rsidR="0046707F">
        <w:t>en leur assurant une source de revenus jusqu'au décès.</w:t>
      </w:r>
      <w:r w:rsidR="004C44CD">
        <w:t xml:space="preserve"> Si </w:t>
      </w:r>
      <w:r w:rsidR="00B42240">
        <w:t xml:space="preserve">la </w:t>
      </w:r>
      <w:r w:rsidR="004C44CD">
        <w:t xml:space="preserve">dilapidation du capital retraite est possible dans le cas des régimes individuels comme le REÉR, il en est tout autre dans le cas des RPACD. Cette précision est importante puisqu'elle teinte le processus et les règles associées au RPACD lorsqu'il y </w:t>
      </w:r>
      <w:r w:rsidR="004C44CD">
        <w:lastRenderedPageBreak/>
        <w:t xml:space="preserve">a fin du régime. </w:t>
      </w:r>
      <w:r w:rsidR="006E2908">
        <w:t>Il est à noter que ce n'est pas la caisse de retraite qui verse les rentes de retraite, mais plutôt le contribuable qui se constitue une rente de retraite, à même différents véhicules, avec le capital</w:t>
      </w:r>
      <w:r w:rsidR="00515988">
        <w:t>-</w:t>
      </w:r>
      <w:r w:rsidR="006E2908">
        <w:t>retraite qui est libéré par le régime.</w:t>
      </w:r>
    </w:p>
    <w:p w14:paraId="465204F6" w14:textId="7467A8BF" w:rsidR="006E2908" w:rsidRDefault="009830E2" w:rsidP="0046707F">
      <w:pPr>
        <w:jc w:val="both"/>
      </w:pPr>
      <w:r>
        <w:rPr>
          <w:noProof/>
          <w:u w:val="single"/>
          <w:lang w:eastAsia="fr-FR"/>
        </w:rPr>
        <mc:AlternateContent>
          <mc:Choice Requires="wps">
            <w:drawing>
              <wp:anchor distT="0" distB="0" distL="114300" distR="114300" simplePos="0" relativeHeight="252144640" behindDoc="0" locked="0" layoutInCell="1" allowOverlap="1" wp14:anchorId="43A535C2" wp14:editId="74F4B722">
                <wp:simplePos x="0" y="0"/>
                <wp:positionH relativeFrom="column">
                  <wp:posOffset>4686300</wp:posOffset>
                </wp:positionH>
                <wp:positionV relativeFrom="paragraph">
                  <wp:posOffset>10795</wp:posOffset>
                </wp:positionV>
                <wp:extent cx="4343400" cy="914400"/>
                <wp:effectExtent l="0" t="0" r="0" b="0"/>
                <wp:wrapSquare wrapText="bothSides"/>
                <wp:docPr id="213" name="Zone de texte 213"/>
                <wp:cNvGraphicFramePr/>
                <a:graphic xmlns:a="http://schemas.openxmlformats.org/drawingml/2006/main">
                  <a:graphicData uri="http://schemas.microsoft.com/office/word/2010/wordprocessingShape">
                    <wps:wsp>
                      <wps:cNvSpPr txBox="1"/>
                      <wps:spPr>
                        <a:xfrm>
                          <a:off x="0" y="0"/>
                          <a:ext cx="43434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029BD6" w14:textId="152DE907" w:rsidR="00573C95" w:rsidRPr="009830E2" w:rsidRDefault="00573C95" w:rsidP="009830E2">
                            <w:pPr>
                              <w:jc w:val="both"/>
                              <w:rPr>
                                <w:sz w:val="20"/>
                                <w:szCs w:val="20"/>
                              </w:rPr>
                            </w:pPr>
                            <w:r w:rsidRPr="009830E2">
                              <w:rPr>
                                <w:sz w:val="20"/>
                                <w:szCs w:val="20"/>
                              </w:rPr>
                              <w:t xml:space="preserve">Au moment de la retraite, les cotisations cessent, la valeur du RPACD est alors déterminée (cotisations de l'employeur + cotisations de l'employé + revenu de la caisse de retraite). C'est ce capital qui sera disponible afin de générer un revenu de retraite </w:t>
                            </w:r>
                            <w:r w:rsidRPr="009830E2">
                              <w:rPr>
                                <w:sz w:val="20"/>
                                <w:szCs w:val="20"/>
                                <w:u w:val="single"/>
                              </w:rPr>
                              <w:t>jusqu'au décès.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3" o:spid="_x0000_s1116" type="#_x0000_t202" style="position:absolute;left:0;text-align:left;margin-left:369pt;margin-top:.85pt;width:342pt;height:1in;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" filled="f" stroked="f">
                <v:textbox>
                  <w:txbxContent>
                    <w:p w14:paraId="1D029BD6" w14:textId="152DE907" w:rsidR="001501D6" w:rsidRPr="009830E2" w:rsidRDefault="001501D6" w:rsidP="009830E2">
                      <w:pPr>
                        <w:jc w:val="both"/>
                        <w:rPr>
                          <w:sz w:val="20"/>
                          <w:szCs w:val="20"/>
                        </w:rPr>
                      </w:pPr>
                      <w:r w:rsidRPr="009830E2">
                        <w:rPr>
                          <w:sz w:val="20"/>
                          <w:szCs w:val="20"/>
                        </w:rPr>
                        <w:t xml:space="preserve">Au moment de la retraite, les cotisations cessent, la valeur du RPACD est alors déterminée (cotisations de l'employeur + cotisations de l'employé + revenu de la caisse de retraite). C'est ce capital qui sera disponible afin de générer un revenu de retraite </w:t>
                      </w:r>
                      <w:r w:rsidRPr="009830E2">
                        <w:rPr>
                          <w:sz w:val="20"/>
                          <w:szCs w:val="20"/>
                          <w:u w:val="single"/>
                        </w:rPr>
                        <w:t>jusqu'au décès.</w:t>
                      </w:r>
                    </w:p>
                  </w:txbxContent>
                </v:textbox>
                <w10:wrap type="square"/>
              </v:shape>
            </w:pict>
          </mc:Fallback>
        </mc:AlternateContent>
      </w:r>
      <w:r w:rsidRPr="00EF74BD">
        <w:rPr>
          <w:noProof/>
          <w:u w:val="single"/>
          <w:lang w:eastAsia="fr-FR"/>
        </w:rPr>
        <mc:AlternateContent>
          <mc:Choice Requires="wps">
            <w:drawing>
              <wp:anchor distT="0" distB="0" distL="114300" distR="114300" simplePos="0" relativeHeight="252135424" behindDoc="0" locked="0" layoutInCell="1" allowOverlap="1" wp14:anchorId="4A167CFF" wp14:editId="47C19CF3">
                <wp:simplePos x="0" y="0"/>
                <wp:positionH relativeFrom="column">
                  <wp:posOffset>4229100</wp:posOffset>
                </wp:positionH>
                <wp:positionV relativeFrom="paragraph">
                  <wp:posOffset>125095</wp:posOffset>
                </wp:positionV>
                <wp:extent cx="457200" cy="457200"/>
                <wp:effectExtent l="0" t="0" r="25400" b="25400"/>
                <wp:wrapSquare wrapText="bothSides"/>
                <wp:docPr id="208" name="Ellipse 208"/>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0C096D1E" w14:textId="77777777" w:rsidR="00573C95" w:rsidRPr="00F42166" w:rsidRDefault="00573C95" w:rsidP="00C76B0E">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08" o:spid="_x0000_s1117" style="position:absolute;left:0;text-align:left;margin-left:333pt;margin-top:9.85pt;width:36pt;height:36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" fillcolor="black [3200]" strokecolor="white [3201]" strokeweight="1.75pt">
                <v:textbox>
                  <w:txbxContent>
                    <w:p w14:paraId="0C096D1E" w14:textId="77777777" w:rsidR="001501D6" w:rsidRPr="00F42166" w:rsidRDefault="001501D6" w:rsidP="00C76B0E">
                      <w:pPr>
                        <w:jc w:val="center"/>
                        <w:rPr>
                          <w:sz w:val="20"/>
                          <w:szCs w:val="20"/>
                        </w:rPr>
                      </w:pPr>
                      <w:r>
                        <w:rPr>
                          <w:sz w:val="20"/>
                          <w:szCs w:val="20"/>
                        </w:rPr>
                        <w:t>1</w:t>
                      </w:r>
                      <w:r w:rsidRPr="00F42166">
                        <w:rPr>
                          <w:sz w:val="20"/>
                          <w:szCs w:val="20"/>
                        </w:rPr>
                        <w:t xml:space="preserve"> </w:t>
                      </w:r>
                    </w:p>
                  </w:txbxContent>
                </v:textbox>
                <w10:wrap type="square"/>
              </v:oval>
            </w:pict>
          </mc:Fallback>
        </mc:AlternateContent>
      </w:r>
    </w:p>
    <w:p w14:paraId="407C71E0" w14:textId="6AAF68B4" w:rsidR="00D47C62" w:rsidRDefault="00D47C62" w:rsidP="00D47C62">
      <w:pPr>
        <w:rPr>
          <w:color w:val="FF6700" w:themeColor="accent3"/>
        </w:rPr>
      </w:pPr>
      <w:r>
        <w:rPr>
          <w:color w:val="FF6700" w:themeColor="accent3"/>
        </w:rPr>
        <w:t>I</w:t>
      </w:r>
      <w:r w:rsidR="006C4C47">
        <w:rPr>
          <w:color w:val="FF6700" w:themeColor="accent3"/>
        </w:rPr>
        <w:t>MAGE</w:t>
      </w:r>
      <w:r w:rsidRPr="00EC2312">
        <w:rPr>
          <w:color w:val="FF6700" w:themeColor="accent3"/>
        </w:rPr>
        <w:t xml:space="preserve"> 7</w:t>
      </w:r>
      <w:r>
        <w:rPr>
          <w:color w:val="FF6700" w:themeColor="accent3"/>
        </w:rPr>
        <w:t>-</w:t>
      </w:r>
      <w:r w:rsidR="00B504DD">
        <w:rPr>
          <w:color w:val="FF6700" w:themeColor="accent3"/>
        </w:rPr>
        <w:t>10</w:t>
      </w:r>
      <w:r w:rsidRPr="00EC2312">
        <w:rPr>
          <w:color w:val="FF6700" w:themeColor="accent3"/>
        </w:rPr>
        <w:tab/>
      </w:r>
      <w:r>
        <w:rPr>
          <w:color w:val="FF6700" w:themeColor="accent3"/>
        </w:rPr>
        <w:t>RPACD - La retraite, l'heure des choix</w:t>
      </w:r>
    </w:p>
    <w:p w14:paraId="53951913" w14:textId="20D57A13" w:rsidR="006E2908" w:rsidRDefault="00F4460D" w:rsidP="0046707F">
      <w:pPr>
        <w:jc w:val="both"/>
      </w:pPr>
      <w:r w:rsidRPr="00EF74BD">
        <w:rPr>
          <w:noProof/>
          <w:u w:val="single"/>
          <w:lang w:eastAsia="fr-FR"/>
        </w:rPr>
        <mc:AlternateContent>
          <mc:Choice Requires="wps">
            <w:drawing>
              <wp:anchor distT="0" distB="0" distL="114300" distR="114300" simplePos="0" relativeHeight="252127232" behindDoc="0" locked="0" layoutInCell="1" allowOverlap="1" wp14:anchorId="6580C290" wp14:editId="293A89C3">
                <wp:simplePos x="0" y="0"/>
                <wp:positionH relativeFrom="column">
                  <wp:posOffset>1828800</wp:posOffset>
                </wp:positionH>
                <wp:positionV relativeFrom="paragraph">
                  <wp:posOffset>94615</wp:posOffset>
                </wp:positionV>
                <wp:extent cx="457200" cy="457200"/>
                <wp:effectExtent l="0" t="0" r="25400" b="25400"/>
                <wp:wrapNone/>
                <wp:docPr id="204" name="Ellipse 204"/>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942BEFD" w14:textId="57B6C2C0" w:rsidR="00573C95" w:rsidRPr="00F42166" w:rsidRDefault="00573C95" w:rsidP="00F4460D">
                            <w:pPr>
                              <w:jc w:val="center"/>
                              <w:rPr>
                                <w:sz w:val="20"/>
                                <w:szCs w:val="20"/>
                              </w:rPr>
                            </w:pPr>
                            <w:r>
                              <w:rPr>
                                <w:sz w:val="20"/>
                                <w:szCs w:val="20"/>
                              </w:rPr>
                              <w:t>2</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04" o:spid="_x0000_s1118" style="position:absolute;left:0;text-align:left;margin-left:2in;margin-top:7.45pt;width:36pt;height:36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" fillcolor="black [3200]" strokecolor="white [3201]" strokeweight="1.75pt">
                <v:textbox>
                  <w:txbxContent>
                    <w:p w14:paraId="6942BEFD" w14:textId="57B6C2C0" w:rsidR="001501D6" w:rsidRPr="00F42166" w:rsidRDefault="001501D6" w:rsidP="00F4460D">
                      <w:pPr>
                        <w:jc w:val="center"/>
                        <w:rPr>
                          <w:sz w:val="20"/>
                          <w:szCs w:val="20"/>
                        </w:rPr>
                      </w:pPr>
                      <w:r>
                        <w:rPr>
                          <w:sz w:val="20"/>
                          <w:szCs w:val="20"/>
                        </w:rPr>
                        <w:t>2</w:t>
                      </w:r>
                      <w:r w:rsidRPr="00F42166">
                        <w:rPr>
                          <w:sz w:val="20"/>
                          <w:szCs w:val="20"/>
                        </w:rPr>
                        <w:t xml:space="preserve"> </w:t>
                      </w:r>
                    </w:p>
                  </w:txbxContent>
                </v:textbox>
              </v:oval>
            </w:pict>
          </mc:Fallback>
        </mc:AlternateContent>
      </w:r>
    </w:p>
    <w:p w14:paraId="19EFC13A" w14:textId="7F7EC58E" w:rsidR="00D47C62" w:rsidRDefault="00CB3029">
      <w:r>
        <w:rPr>
          <w:noProof/>
          <w:lang w:eastAsia="fr-FR"/>
        </w:rPr>
        <mc:AlternateContent>
          <mc:Choice Requires="wps">
            <w:drawing>
              <wp:anchor distT="0" distB="0" distL="114300" distR="114300" simplePos="0" relativeHeight="252121088" behindDoc="0" locked="0" layoutInCell="1" allowOverlap="1" wp14:anchorId="25D112FD" wp14:editId="396D7734">
                <wp:simplePos x="0" y="0"/>
                <wp:positionH relativeFrom="column">
                  <wp:posOffset>748030</wp:posOffset>
                </wp:positionH>
                <wp:positionV relativeFrom="paragraph">
                  <wp:posOffset>922020</wp:posOffset>
                </wp:positionV>
                <wp:extent cx="2514600" cy="914400"/>
                <wp:effectExtent l="25400" t="533400" r="0" b="533400"/>
                <wp:wrapSquare wrapText="bothSides"/>
                <wp:docPr id="200" name="Zone de texte 200"/>
                <wp:cNvGraphicFramePr/>
                <a:graphic xmlns:a="http://schemas.openxmlformats.org/drawingml/2006/main">
                  <a:graphicData uri="http://schemas.microsoft.com/office/word/2010/wordprocessingShape">
                    <wps:wsp>
                      <wps:cNvSpPr txBox="1"/>
                      <wps:spPr>
                        <a:xfrm rot="19837628">
                          <a:off x="0" y="0"/>
                          <a:ext cx="2514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05EA13" w14:textId="77777777" w:rsidR="00573C95" w:rsidRDefault="00573C95" w:rsidP="00740B79">
                            <w:pPr>
                              <w:jc w:val="center"/>
                            </w:pPr>
                          </w:p>
                          <w:p w14:paraId="34F1A741" w14:textId="77777777" w:rsidR="00573C95" w:rsidRDefault="00573C95" w:rsidP="00740B79">
                            <w:pPr>
                              <w:jc w:val="center"/>
                            </w:pPr>
                          </w:p>
                          <w:p w14:paraId="27BEEB47" w14:textId="79509235" w:rsidR="00573C95" w:rsidRPr="000D4727" w:rsidRDefault="00573C95" w:rsidP="00740B79">
                            <w:pPr>
                              <w:jc w:val="center"/>
                              <w:rPr>
                                <w:b/>
                                <w:sz w:val="20"/>
                                <w:szCs w:val="20"/>
                              </w:rPr>
                            </w:pPr>
                            <w:r w:rsidRPr="000D4727">
                              <w:rPr>
                                <w:b/>
                                <w:sz w:val="20"/>
                                <w:szCs w:val="20"/>
                              </w:rPr>
                              <w:t>REPORT DE LA RENTE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00" o:spid="_x0000_s1119" type="#_x0000_t202" style="position:absolute;margin-left:58.9pt;margin-top:72.6pt;width:198pt;height:1in;rotation:-1924980fd;z-index:25212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" filled="f" stroked="f">
                <v:textbox>
                  <w:txbxContent>
                    <w:p w14:paraId="2305EA13" w14:textId="77777777" w:rsidR="001501D6" w:rsidRDefault="001501D6" w:rsidP="00740B79">
                      <w:pPr>
                        <w:jc w:val="center"/>
                      </w:pPr>
                    </w:p>
                    <w:p w14:paraId="34F1A741" w14:textId="77777777" w:rsidR="001501D6" w:rsidRDefault="001501D6" w:rsidP="00740B79">
                      <w:pPr>
                        <w:jc w:val="center"/>
                      </w:pPr>
                    </w:p>
                    <w:p w14:paraId="27BEEB47" w14:textId="79509235" w:rsidR="001501D6" w:rsidRPr="000D4727" w:rsidRDefault="001501D6" w:rsidP="00740B79">
                      <w:pPr>
                        <w:jc w:val="center"/>
                        <w:rPr>
                          <w:b/>
                          <w:sz w:val="20"/>
                          <w:szCs w:val="20"/>
                        </w:rPr>
                      </w:pPr>
                      <w:r w:rsidRPr="000D4727">
                        <w:rPr>
                          <w:b/>
                          <w:sz w:val="20"/>
                          <w:szCs w:val="20"/>
                        </w:rPr>
                        <w:t>REPORT DE LA RENTE</w:t>
                      </w:r>
                    </w:p>
                  </w:txbxContent>
                </v:textbox>
                <w10:wrap type="square"/>
              </v:shape>
            </w:pict>
          </mc:Fallback>
        </mc:AlternateContent>
      </w:r>
      <w:r w:rsidR="00607045">
        <w:rPr>
          <w:noProof/>
          <w:u w:val="single"/>
          <w:lang w:eastAsia="fr-FR"/>
        </w:rPr>
        <mc:AlternateContent>
          <mc:Choice Requires="wps">
            <w:drawing>
              <wp:anchor distT="0" distB="0" distL="114300" distR="114300" simplePos="0" relativeHeight="252157952" behindDoc="0" locked="0" layoutInCell="1" allowOverlap="1" wp14:anchorId="4BD18A34" wp14:editId="5F3B2B1B">
                <wp:simplePos x="0" y="0"/>
                <wp:positionH relativeFrom="column">
                  <wp:posOffset>1371600</wp:posOffset>
                </wp:positionH>
                <wp:positionV relativeFrom="paragraph">
                  <wp:posOffset>1964690</wp:posOffset>
                </wp:positionV>
                <wp:extent cx="914400" cy="800100"/>
                <wp:effectExtent l="0" t="0" r="0" b="12700"/>
                <wp:wrapSquare wrapText="bothSides"/>
                <wp:docPr id="222" name="Zone de texte 222"/>
                <wp:cNvGraphicFramePr/>
                <a:graphic xmlns:a="http://schemas.openxmlformats.org/drawingml/2006/main">
                  <a:graphicData uri="http://schemas.microsoft.com/office/word/2010/wordprocessingShape">
                    <wps:wsp>
                      <wps:cNvSpPr txBox="1"/>
                      <wps:spPr>
                        <a:xfrm>
                          <a:off x="0" y="0"/>
                          <a:ext cx="914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048676" w14:textId="77777777" w:rsidR="00573C95" w:rsidRDefault="00573C95" w:rsidP="00FF1788">
                            <w:pPr>
                              <w:jc w:val="center"/>
                            </w:pPr>
                          </w:p>
                          <w:p w14:paraId="62A73894" w14:textId="77777777" w:rsidR="00573C95" w:rsidRPr="007F7783" w:rsidRDefault="00573C95" w:rsidP="00FF1788">
                            <w:pPr>
                              <w:jc w:val="center"/>
                              <w:rPr>
                                <w:sz w:val="52"/>
                                <w:szCs w:val="52"/>
                              </w:rPr>
                            </w:pPr>
                            <w:proofErr w:type="gramStart"/>
                            <w:r w:rsidRPr="007F7783">
                              <w:rPr>
                                <w:sz w:val="52"/>
                                <w:szCs w:val="52"/>
                              </w:rPr>
                              <w:t>OU</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2" o:spid="_x0000_s1120" type="#_x0000_t202" style="position:absolute;margin-left:108pt;margin-top:154.7pt;width:1in;height:63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" filled="f" stroked="f">
                <v:textbox>
                  <w:txbxContent>
                    <w:p w14:paraId="62048676" w14:textId="77777777" w:rsidR="001501D6" w:rsidRDefault="001501D6" w:rsidP="00FF1788">
                      <w:pPr>
                        <w:jc w:val="center"/>
                      </w:pPr>
                    </w:p>
                    <w:p w14:paraId="62A73894" w14:textId="77777777" w:rsidR="001501D6" w:rsidRPr="007F7783" w:rsidRDefault="001501D6" w:rsidP="00FF1788">
                      <w:pPr>
                        <w:jc w:val="center"/>
                        <w:rPr>
                          <w:sz w:val="52"/>
                          <w:szCs w:val="52"/>
                        </w:rPr>
                      </w:pPr>
                      <w:proofErr w:type="gramStart"/>
                      <w:r w:rsidRPr="007F7783">
                        <w:rPr>
                          <w:sz w:val="52"/>
                          <w:szCs w:val="52"/>
                        </w:rPr>
                        <w:t>OU</w:t>
                      </w:r>
                      <w:proofErr w:type="gramEnd"/>
                    </w:p>
                  </w:txbxContent>
                </v:textbox>
                <w10:wrap type="square"/>
              </v:shape>
            </w:pict>
          </mc:Fallback>
        </mc:AlternateContent>
      </w:r>
      <w:r w:rsidR="00421870">
        <w:rPr>
          <w:noProof/>
          <w:lang w:eastAsia="fr-FR"/>
        </w:rPr>
        <mc:AlternateContent>
          <mc:Choice Requires="wps">
            <w:drawing>
              <wp:anchor distT="0" distB="0" distL="114300" distR="114300" simplePos="0" relativeHeight="252103680" behindDoc="0" locked="0" layoutInCell="1" allowOverlap="1" wp14:anchorId="06EF8C21" wp14:editId="3D6DD411">
                <wp:simplePos x="0" y="0"/>
                <wp:positionH relativeFrom="column">
                  <wp:posOffset>214630</wp:posOffset>
                </wp:positionH>
                <wp:positionV relativeFrom="paragraph">
                  <wp:posOffset>1964055</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181" name="Rectangle à coins arrondis 181"/>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79D8401" w14:textId="4F0FAB6D" w:rsidR="00573C95" w:rsidRPr="00937E48" w:rsidRDefault="00573C95" w:rsidP="00D47C62">
                            <w:pPr>
                              <w:jc w:val="center"/>
                              <w:rPr>
                                <w:sz w:val="20"/>
                                <w:szCs w:val="20"/>
                              </w:rPr>
                            </w:pPr>
                            <w:r w:rsidRPr="00937E48">
                              <w:rPr>
                                <w:sz w:val="20"/>
                                <w:szCs w:val="20"/>
                              </w:rPr>
                              <w:t>Valeur du RPACD au moment de la retraite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81" o:spid="_x0000_s1121" style="position:absolute;margin-left:16.9pt;margin-top:154.65pt;width:81pt;height:81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" fillcolor="#ff6700 [3206]" strokecolor="black [3213]">
                <v:textbox>
                  <w:txbxContent>
                    <w:p w14:paraId="079D8401" w14:textId="4F0FAB6D" w:rsidR="001501D6" w:rsidRPr="00937E48" w:rsidRDefault="001501D6" w:rsidP="00D47C62">
                      <w:pPr>
                        <w:jc w:val="center"/>
                        <w:rPr>
                          <w:sz w:val="20"/>
                          <w:szCs w:val="20"/>
                        </w:rPr>
                      </w:pPr>
                      <w:r w:rsidRPr="00937E48">
                        <w:rPr>
                          <w:sz w:val="20"/>
                          <w:szCs w:val="20"/>
                        </w:rPr>
                        <w:t>Valeur du RPACD au moment de la retraite</w:t>
                      </w:r>
                    </w:p>
                  </w:txbxContent>
                </v:textbox>
                <w10:wrap type="through"/>
              </v:roundrect>
            </w:pict>
          </mc:Fallback>
        </mc:AlternateContent>
      </w:r>
      <w:r w:rsidR="00194DC9">
        <w:rPr>
          <w:noProof/>
          <w:u w:val="single"/>
          <w:lang w:eastAsia="fr-FR"/>
        </w:rPr>
        <mc:AlternateContent>
          <mc:Choice Requires="wps">
            <w:drawing>
              <wp:anchor distT="0" distB="0" distL="114300" distR="114300" simplePos="0" relativeHeight="252152832" behindDoc="0" locked="0" layoutInCell="1" allowOverlap="1" wp14:anchorId="204E5ED7" wp14:editId="6F17C25A">
                <wp:simplePos x="0" y="0"/>
                <wp:positionH relativeFrom="column">
                  <wp:posOffset>4686300</wp:posOffset>
                </wp:positionH>
                <wp:positionV relativeFrom="paragraph">
                  <wp:posOffset>3564890</wp:posOffset>
                </wp:positionV>
                <wp:extent cx="4343400" cy="1028700"/>
                <wp:effectExtent l="0" t="0" r="0" b="12700"/>
                <wp:wrapSquare wrapText="bothSides"/>
                <wp:docPr id="218" name="Zone de texte 218"/>
                <wp:cNvGraphicFramePr/>
                <a:graphic xmlns:a="http://schemas.openxmlformats.org/drawingml/2006/main">
                  <a:graphicData uri="http://schemas.microsoft.com/office/word/2010/wordprocessingShape">
                    <wps:wsp>
                      <wps:cNvSpPr txBox="1"/>
                      <wps:spPr>
                        <a:xfrm>
                          <a:off x="0" y="0"/>
                          <a:ext cx="43434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ED9ED2" w14:textId="440452BB" w:rsidR="00573C95" w:rsidRPr="009830E2" w:rsidRDefault="00573C95" w:rsidP="00291BC2">
                            <w:pPr>
                              <w:jc w:val="both"/>
                              <w:rPr>
                                <w:sz w:val="20"/>
                                <w:szCs w:val="20"/>
                              </w:rPr>
                            </w:pPr>
                            <w:r>
                              <w:rPr>
                                <w:sz w:val="20"/>
                                <w:szCs w:val="20"/>
                              </w:rPr>
                              <w:t xml:space="preserve">La plupart des contribuables qui prennent leur retraite doivent activer le décaissement de leurs actifs de retraite. Au moment de la retraite, le contribuable peut alors utiliser la valeur de son RPACD  afin de faire l'achat d'une rente viagère. Ce geste </w:t>
                            </w:r>
                            <w:r w:rsidRPr="0004248E">
                              <w:rPr>
                                <w:sz w:val="20"/>
                                <w:szCs w:val="20"/>
                                <w:u w:val="single"/>
                              </w:rPr>
                              <w:t>irréversible</w:t>
                            </w:r>
                            <w:r>
                              <w:rPr>
                                <w:sz w:val="20"/>
                                <w:szCs w:val="20"/>
                              </w:rPr>
                              <w:t xml:space="preserve"> dotera le contribuable d'une rente de retraite </w:t>
                            </w:r>
                            <w:r w:rsidRPr="00291BC2">
                              <w:rPr>
                                <w:sz w:val="20"/>
                                <w:szCs w:val="20"/>
                                <w:u w:val="single"/>
                              </w:rPr>
                              <w:t>à vie</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8" o:spid="_x0000_s1122" type="#_x0000_t202" style="position:absolute;margin-left:369pt;margin-top:280.7pt;width:342pt;height:81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" filled="f" stroked="f">
                <v:textbox>
                  <w:txbxContent>
                    <w:p w14:paraId="0CED9ED2" w14:textId="440452BB" w:rsidR="001501D6" w:rsidRPr="009830E2" w:rsidRDefault="001501D6" w:rsidP="00291BC2">
                      <w:pPr>
                        <w:jc w:val="both"/>
                        <w:rPr>
                          <w:sz w:val="20"/>
                          <w:szCs w:val="20"/>
                        </w:rPr>
                      </w:pPr>
                      <w:r>
                        <w:rPr>
                          <w:sz w:val="20"/>
                          <w:szCs w:val="20"/>
                        </w:rPr>
                        <w:t xml:space="preserve">La plupart des contribuables qui prennent leur retraite doivent activer le décaissement de leurs actifs de retraite. Au moment de la retraite, le contribuable peut alors utiliser la valeur de son RPACD  afin de faire l'achat d'une rente viagère. Ce geste </w:t>
                      </w:r>
                      <w:r w:rsidRPr="0004248E">
                        <w:rPr>
                          <w:sz w:val="20"/>
                          <w:szCs w:val="20"/>
                          <w:u w:val="single"/>
                        </w:rPr>
                        <w:t>irréversible</w:t>
                      </w:r>
                      <w:r>
                        <w:rPr>
                          <w:sz w:val="20"/>
                          <w:szCs w:val="20"/>
                        </w:rPr>
                        <w:t xml:space="preserve"> dotera le contribuable d'une rente de retraite </w:t>
                      </w:r>
                      <w:r w:rsidRPr="00291BC2">
                        <w:rPr>
                          <w:sz w:val="20"/>
                          <w:szCs w:val="20"/>
                          <w:u w:val="single"/>
                        </w:rPr>
                        <w:t>à vie</w:t>
                      </w:r>
                      <w:r>
                        <w:rPr>
                          <w:sz w:val="20"/>
                          <w:szCs w:val="20"/>
                        </w:rPr>
                        <w:t>.</w:t>
                      </w:r>
                    </w:p>
                  </w:txbxContent>
                </v:textbox>
                <w10:wrap type="square"/>
              </v:shape>
            </w:pict>
          </mc:Fallback>
        </mc:AlternateContent>
      </w:r>
      <w:r w:rsidR="007F7783">
        <w:rPr>
          <w:noProof/>
          <w:u w:val="single"/>
          <w:lang w:eastAsia="fr-FR"/>
        </w:rPr>
        <mc:AlternateContent>
          <mc:Choice Requires="wps">
            <w:drawing>
              <wp:anchor distT="0" distB="0" distL="114300" distR="114300" simplePos="0" relativeHeight="252155904" behindDoc="0" locked="0" layoutInCell="1" allowOverlap="1" wp14:anchorId="5787A566" wp14:editId="5C4024BD">
                <wp:simplePos x="0" y="0"/>
                <wp:positionH relativeFrom="column">
                  <wp:posOffset>3200400</wp:posOffset>
                </wp:positionH>
                <wp:positionV relativeFrom="paragraph">
                  <wp:posOffset>3679190</wp:posOffset>
                </wp:positionV>
                <wp:extent cx="914400" cy="800100"/>
                <wp:effectExtent l="0" t="0" r="0" b="12700"/>
                <wp:wrapSquare wrapText="bothSides"/>
                <wp:docPr id="221" name="Zone de texte 221"/>
                <wp:cNvGraphicFramePr/>
                <a:graphic xmlns:a="http://schemas.openxmlformats.org/drawingml/2006/main">
                  <a:graphicData uri="http://schemas.microsoft.com/office/word/2010/wordprocessingShape">
                    <wps:wsp>
                      <wps:cNvSpPr txBox="1"/>
                      <wps:spPr>
                        <a:xfrm>
                          <a:off x="0" y="0"/>
                          <a:ext cx="914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CD461A" w14:textId="77777777" w:rsidR="00573C95" w:rsidRDefault="00573C95" w:rsidP="007F7783">
                            <w:pPr>
                              <w:jc w:val="center"/>
                            </w:pPr>
                          </w:p>
                          <w:p w14:paraId="74070F89" w14:textId="77777777" w:rsidR="00573C95" w:rsidRPr="007F7783" w:rsidRDefault="00573C95" w:rsidP="007F7783">
                            <w:pPr>
                              <w:jc w:val="center"/>
                              <w:rPr>
                                <w:sz w:val="52"/>
                                <w:szCs w:val="52"/>
                              </w:rPr>
                            </w:pPr>
                            <w:proofErr w:type="gramStart"/>
                            <w:r w:rsidRPr="007F7783">
                              <w:rPr>
                                <w:sz w:val="52"/>
                                <w:szCs w:val="52"/>
                              </w:rPr>
                              <w:t>OU</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1" o:spid="_x0000_s1123" type="#_x0000_t202" style="position:absolute;margin-left:252pt;margin-top:289.7pt;width:1in;height:63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" filled="f" stroked="f">
                <v:textbox>
                  <w:txbxContent>
                    <w:p w14:paraId="0ECD461A" w14:textId="77777777" w:rsidR="001501D6" w:rsidRDefault="001501D6" w:rsidP="007F7783">
                      <w:pPr>
                        <w:jc w:val="center"/>
                      </w:pPr>
                    </w:p>
                    <w:p w14:paraId="74070F89" w14:textId="77777777" w:rsidR="001501D6" w:rsidRPr="007F7783" w:rsidRDefault="001501D6" w:rsidP="007F7783">
                      <w:pPr>
                        <w:jc w:val="center"/>
                        <w:rPr>
                          <w:sz w:val="52"/>
                          <w:szCs w:val="52"/>
                        </w:rPr>
                      </w:pPr>
                      <w:proofErr w:type="gramStart"/>
                      <w:r w:rsidRPr="007F7783">
                        <w:rPr>
                          <w:sz w:val="52"/>
                          <w:szCs w:val="52"/>
                        </w:rPr>
                        <w:t>OU</w:t>
                      </w:r>
                      <w:proofErr w:type="gramEnd"/>
                    </w:p>
                  </w:txbxContent>
                </v:textbox>
                <w10:wrap type="square"/>
              </v:shape>
            </w:pict>
          </mc:Fallback>
        </mc:AlternateContent>
      </w:r>
      <w:r w:rsidR="007F7783">
        <w:rPr>
          <w:noProof/>
          <w:u w:val="single"/>
          <w:lang w:eastAsia="fr-FR"/>
        </w:rPr>
        <mc:AlternateContent>
          <mc:Choice Requires="wps">
            <w:drawing>
              <wp:anchor distT="0" distB="0" distL="114300" distR="114300" simplePos="0" relativeHeight="252153856" behindDoc="0" locked="0" layoutInCell="1" allowOverlap="1" wp14:anchorId="515FCE9F" wp14:editId="69584177">
                <wp:simplePos x="0" y="0"/>
                <wp:positionH relativeFrom="column">
                  <wp:posOffset>3086100</wp:posOffset>
                </wp:positionH>
                <wp:positionV relativeFrom="paragraph">
                  <wp:posOffset>135890</wp:posOffset>
                </wp:positionV>
                <wp:extent cx="914400" cy="800100"/>
                <wp:effectExtent l="0" t="0" r="0" b="12700"/>
                <wp:wrapSquare wrapText="bothSides"/>
                <wp:docPr id="219" name="Zone de texte 219"/>
                <wp:cNvGraphicFramePr/>
                <a:graphic xmlns:a="http://schemas.openxmlformats.org/drawingml/2006/main">
                  <a:graphicData uri="http://schemas.microsoft.com/office/word/2010/wordprocessingShape">
                    <wps:wsp>
                      <wps:cNvSpPr txBox="1"/>
                      <wps:spPr>
                        <a:xfrm>
                          <a:off x="0" y="0"/>
                          <a:ext cx="914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6CCA8B" w14:textId="77777777" w:rsidR="00573C95" w:rsidRDefault="00573C95" w:rsidP="007F7783">
                            <w:pPr>
                              <w:jc w:val="center"/>
                            </w:pPr>
                          </w:p>
                          <w:p w14:paraId="7CEB026C" w14:textId="72821A98" w:rsidR="00573C95" w:rsidRPr="007F7783" w:rsidRDefault="00573C95" w:rsidP="007F7783">
                            <w:pPr>
                              <w:jc w:val="center"/>
                              <w:rPr>
                                <w:sz w:val="52"/>
                                <w:szCs w:val="52"/>
                              </w:rPr>
                            </w:pPr>
                            <w:proofErr w:type="gramStart"/>
                            <w:r w:rsidRPr="007F7783">
                              <w:rPr>
                                <w:sz w:val="52"/>
                                <w:szCs w:val="52"/>
                              </w:rPr>
                              <w:t>OU</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9" o:spid="_x0000_s1124" type="#_x0000_t202" style="position:absolute;margin-left:243pt;margin-top:10.7pt;width:1in;height:63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" filled="f" stroked="f">
                <v:textbox>
                  <w:txbxContent>
                    <w:p w14:paraId="1D6CCA8B" w14:textId="77777777" w:rsidR="001501D6" w:rsidRDefault="001501D6" w:rsidP="007F7783">
                      <w:pPr>
                        <w:jc w:val="center"/>
                      </w:pPr>
                    </w:p>
                    <w:p w14:paraId="7CEB026C" w14:textId="72821A98" w:rsidR="001501D6" w:rsidRPr="007F7783" w:rsidRDefault="001501D6" w:rsidP="007F7783">
                      <w:pPr>
                        <w:jc w:val="center"/>
                        <w:rPr>
                          <w:sz w:val="52"/>
                          <w:szCs w:val="52"/>
                        </w:rPr>
                      </w:pPr>
                      <w:proofErr w:type="gramStart"/>
                      <w:r w:rsidRPr="007F7783">
                        <w:rPr>
                          <w:sz w:val="52"/>
                          <w:szCs w:val="52"/>
                        </w:rPr>
                        <w:t>OU</w:t>
                      </w:r>
                      <w:proofErr w:type="gramEnd"/>
                    </w:p>
                  </w:txbxContent>
                </v:textbox>
                <w10:wrap type="square"/>
              </v:shape>
            </w:pict>
          </mc:Fallback>
        </mc:AlternateContent>
      </w:r>
      <w:r w:rsidR="00663A37">
        <w:rPr>
          <w:noProof/>
          <w:u w:val="single"/>
          <w:lang w:eastAsia="fr-FR"/>
        </w:rPr>
        <mc:AlternateContent>
          <mc:Choice Requires="wps">
            <w:drawing>
              <wp:anchor distT="0" distB="0" distL="114300" distR="114300" simplePos="0" relativeHeight="252150784" behindDoc="0" locked="0" layoutInCell="1" allowOverlap="1" wp14:anchorId="51779ADB" wp14:editId="07D8094A">
                <wp:simplePos x="0" y="0"/>
                <wp:positionH relativeFrom="column">
                  <wp:posOffset>4686300</wp:posOffset>
                </wp:positionH>
                <wp:positionV relativeFrom="paragraph">
                  <wp:posOffset>2536190</wp:posOffset>
                </wp:positionV>
                <wp:extent cx="4343400" cy="1028700"/>
                <wp:effectExtent l="0" t="0" r="0" b="12700"/>
                <wp:wrapSquare wrapText="bothSides"/>
                <wp:docPr id="216" name="Zone de texte 216"/>
                <wp:cNvGraphicFramePr/>
                <a:graphic xmlns:a="http://schemas.openxmlformats.org/drawingml/2006/main">
                  <a:graphicData uri="http://schemas.microsoft.com/office/word/2010/wordprocessingShape">
                    <wps:wsp>
                      <wps:cNvSpPr txBox="1"/>
                      <wps:spPr>
                        <a:xfrm>
                          <a:off x="0" y="0"/>
                          <a:ext cx="43434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2B6E19" w14:textId="1783AB43" w:rsidR="00573C95" w:rsidRPr="009830E2" w:rsidRDefault="00573C95" w:rsidP="00663A37">
                            <w:pPr>
                              <w:jc w:val="both"/>
                              <w:rPr>
                                <w:sz w:val="20"/>
                                <w:szCs w:val="20"/>
                              </w:rPr>
                            </w:pPr>
                            <w:r>
                              <w:rPr>
                                <w:sz w:val="20"/>
                                <w:szCs w:val="20"/>
                              </w:rPr>
                              <w:t xml:space="preserve">La plupart des contribuables qui prennent leur retraite doivent activer le décaissement de leurs actifs de retraite. Au moment de la retraite, le contribuable peut alors transférer la valeur de son RPACD à un fonds de revenu viager. C'est à même ce FRV que s'effectuera le versement </w:t>
                            </w:r>
                            <w:r w:rsidRPr="004047D0">
                              <w:rPr>
                                <w:sz w:val="20"/>
                                <w:szCs w:val="20"/>
                                <w:u w:val="single"/>
                              </w:rPr>
                              <w:t>à vie</w:t>
                            </w:r>
                            <w:r>
                              <w:rPr>
                                <w:sz w:val="20"/>
                                <w:szCs w:val="20"/>
                              </w:rPr>
                              <w:t xml:space="preserve"> de la rente de retraite.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6" o:spid="_x0000_s1125" type="#_x0000_t202" style="position:absolute;margin-left:369pt;margin-top:199.7pt;width:342pt;height:81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" filled="f" stroked="f">
                <v:textbox>
                  <w:txbxContent>
                    <w:p w14:paraId="4F2B6E19" w14:textId="1783AB43" w:rsidR="001501D6" w:rsidRPr="009830E2" w:rsidRDefault="001501D6" w:rsidP="00663A37">
                      <w:pPr>
                        <w:jc w:val="both"/>
                        <w:rPr>
                          <w:sz w:val="20"/>
                          <w:szCs w:val="20"/>
                        </w:rPr>
                      </w:pPr>
                      <w:r>
                        <w:rPr>
                          <w:sz w:val="20"/>
                          <w:szCs w:val="20"/>
                        </w:rPr>
                        <w:t xml:space="preserve">La plupart des contribuables qui prennent leur retraite doivent activer le décaissement de leurs actifs de retraite. Au moment de la retraite, le contribuable peut alors transférer la valeur de son RPACD à un fonds de revenu viager. C'est à même ce FRV que s'effectuera le versement </w:t>
                      </w:r>
                      <w:r w:rsidRPr="004047D0">
                        <w:rPr>
                          <w:sz w:val="20"/>
                          <w:szCs w:val="20"/>
                          <w:u w:val="single"/>
                        </w:rPr>
                        <w:t>à vie</w:t>
                      </w:r>
                      <w:r>
                        <w:rPr>
                          <w:sz w:val="20"/>
                          <w:szCs w:val="20"/>
                        </w:rPr>
                        <w:t xml:space="preserve"> de la rente de retraite.</w:t>
                      </w:r>
                    </w:p>
                  </w:txbxContent>
                </v:textbox>
                <w10:wrap type="square"/>
              </v:shape>
            </w:pict>
          </mc:Fallback>
        </mc:AlternateContent>
      </w:r>
      <w:r w:rsidR="00663A37">
        <w:rPr>
          <w:noProof/>
          <w:u w:val="single"/>
          <w:lang w:eastAsia="fr-FR"/>
        </w:rPr>
        <mc:AlternateContent>
          <mc:Choice Requires="wps">
            <w:drawing>
              <wp:anchor distT="0" distB="0" distL="114300" distR="114300" simplePos="0" relativeHeight="252148736" behindDoc="0" locked="0" layoutInCell="1" allowOverlap="1" wp14:anchorId="1001F872" wp14:editId="175FB05E">
                <wp:simplePos x="0" y="0"/>
                <wp:positionH relativeFrom="column">
                  <wp:posOffset>4686300</wp:posOffset>
                </wp:positionH>
                <wp:positionV relativeFrom="paragraph">
                  <wp:posOffset>1621790</wp:posOffset>
                </wp:positionV>
                <wp:extent cx="4343400" cy="914400"/>
                <wp:effectExtent l="0" t="0" r="0" b="0"/>
                <wp:wrapSquare wrapText="bothSides"/>
                <wp:docPr id="215" name="Zone de texte 215"/>
                <wp:cNvGraphicFramePr/>
                <a:graphic xmlns:a="http://schemas.openxmlformats.org/drawingml/2006/main">
                  <a:graphicData uri="http://schemas.microsoft.com/office/word/2010/wordprocessingShape">
                    <wps:wsp>
                      <wps:cNvSpPr txBox="1"/>
                      <wps:spPr>
                        <a:xfrm>
                          <a:off x="0" y="0"/>
                          <a:ext cx="43434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3A1A05" w14:textId="6A6D3967" w:rsidR="00573C95" w:rsidRPr="009830E2" w:rsidRDefault="00573C95" w:rsidP="009D718B">
                            <w:pPr>
                              <w:jc w:val="both"/>
                              <w:rPr>
                                <w:sz w:val="20"/>
                                <w:szCs w:val="20"/>
                              </w:rPr>
                            </w:pPr>
                            <w:r>
                              <w:rPr>
                                <w:sz w:val="20"/>
                                <w:szCs w:val="20"/>
                              </w:rPr>
                              <w:t>Le contribuable qui a pris sa retraite et qui perçoit d'autres sources de revenus peut reporter l'encaissement de ses rentes de retraite. Il peut alors immobiliser son capital dans un CRI pour le faire fructifier et ainsi majorer ses futures rentes de retraite.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5" o:spid="_x0000_s1126" type="#_x0000_t202" style="position:absolute;margin-left:369pt;margin-top:127.7pt;width:342pt;height:1in;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" filled="f" stroked="f">
                <v:textbox>
                  <w:txbxContent>
                    <w:p w14:paraId="0B3A1A05" w14:textId="6A6D3967" w:rsidR="001501D6" w:rsidRPr="009830E2" w:rsidRDefault="001501D6" w:rsidP="009D718B">
                      <w:pPr>
                        <w:jc w:val="both"/>
                        <w:rPr>
                          <w:sz w:val="20"/>
                          <w:szCs w:val="20"/>
                        </w:rPr>
                      </w:pPr>
                      <w:r>
                        <w:rPr>
                          <w:sz w:val="20"/>
                          <w:szCs w:val="20"/>
                        </w:rPr>
                        <w:t>Le contribuable qui a pris sa retraite et qui perçoit d'autres sources de revenus peut reporter l'encaissement de ses rentes de retraite. Il peut alors immobiliser son capital dans un CRI pour le faire fructifier et ainsi majorer ses futures rentes de retraite.</w:t>
                      </w:r>
                    </w:p>
                  </w:txbxContent>
                </v:textbox>
                <w10:wrap type="square"/>
              </v:shape>
            </w:pict>
          </mc:Fallback>
        </mc:AlternateContent>
      </w:r>
      <w:r w:rsidR="00663A37">
        <w:rPr>
          <w:noProof/>
          <w:u w:val="single"/>
          <w:lang w:eastAsia="fr-FR"/>
        </w:rPr>
        <mc:AlternateContent>
          <mc:Choice Requires="wps">
            <w:drawing>
              <wp:anchor distT="0" distB="0" distL="114300" distR="114300" simplePos="0" relativeHeight="252146688" behindDoc="0" locked="0" layoutInCell="1" allowOverlap="1" wp14:anchorId="04E7C686" wp14:editId="36E18254">
                <wp:simplePos x="0" y="0"/>
                <wp:positionH relativeFrom="column">
                  <wp:posOffset>4686300</wp:posOffset>
                </wp:positionH>
                <wp:positionV relativeFrom="paragraph">
                  <wp:posOffset>593090</wp:posOffset>
                </wp:positionV>
                <wp:extent cx="4343400" cy="800100"/>
                <wp:effectExtent l="0" t="0" r="0" b="12700"/>
                <wp:wrapSquare wrapText="bothSides"/>
                <wp:docPr id="214" name="Zone de texte 214"/>
                <wp:cNvGraphicFramePr/>
                <a:graphic xmlns:a="http://schemas.openxmlformats.org/drawingml/2006/main">
                  <a:graphicData uri="http://schemas.microsoft.com/office/word/2010/wordprocessingShape">
                    <wps:wsp>
                      <wps:cNvSpPr txBox="1"/>
                      <wps:spPr>
                        <a:xfrm>
                          <a:off x="0" y="0"/>
                          <a:ext cx="4343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B4051C" w14:textId="089FAB22" w:rsidR="00573C95" w:rsidRPr="009830E2" w:rsidRDefault="00573C95" w:rsidP="009830E2">
                            <w:pPr>
                              <w:jc w:val="both"/>
                              <w:rPr>
                                <w:sz w:val="20"/>
                                <w:szCs w:val="20"/>
                              </w:rPr>
                            </w:pPr>
                            <w:r>
                              <w:rPr>
                                <w:sz w:val="20"/>
                                <w:szCs w:val="20"/>
                              </w:rPr>
                              <w:t>Le contribuable qui a pris sa retraite et qui perçoit d'autres sources de revenus peut reporter l'encaissement de ses rentes de retraite. Il peut alors immobiliser son capital dans le RPACD afin de le faire fructifier et ainsi majorer ses futures rentes de retraite.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4" o:spid="_x0000_s1127" type="#_x0000_t202" style="position:absolute;margin-left:369pt;margin-top:46.7pt;width:342pt;height:63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" filled="f" stroked="f">
                <v:textbox>
                  <w:txbxContent>
                    <w:p w14:paraId="57B4051C" w14:textId="089FAB22" w:rsidR="001501D6" w:rsidRPr="009830E2" w:rsidRDefault="001501D6" w:rsidP="009830E2">
                      <w:pPr>
                        <w:jc w:val="both"/>
                        <w:rPr>
                          <w:sz w:val="20"/>
                          <w:szCs w:val="20"/>
                        </w:rPr>
                      </w:pPr>
                      <w:r>
                        <w:rPr>
                          <w:sz w:val="20"/>
                          <w:szCs w:val="20"/>
                        </w:rPr>
                        <w:t>Le contribuable qui a pris sa retraite et qui perçoit d'autres sources de revenus peut reporter l'encaissement de ses rentes de retraite. Il peut alors immobiliser son capital dans le RPACD afin de le faire fructifier et ainsi majorer ses futures rentes de retraite.</w:t>
                      </w:r>
                    </w:p>
                  </w:txbxContent>
                </v:textbox>
                <w10:wrap type="square"/>
              </v:shape>
            </w:pict>
          </mc:Fallback>
        </mc:AlternateContent>
      </w:r>
      <w:r w:rsidR="009D718B" w:rsidRPr="00EF74BD">
        <w:rPr>
          <w:noProof/>
          <w:u w:val="single"/>
          <w:lang w:eastAsia="fr-FR"/>
        </w:rPr>
        <mc:AlternateContent>
          <mc:Choice Requires="wps">
            <w:drawing>
              <wp:anchor distT="0" distB="0" distL="114300" distR="114300" simplePos="0" relativeHeight="252131328" behindDoc="0" locked="0" layoutInCell="1" allowOverlap="1" wp14:anchorId="5B016D29" wp14:editId="451A273A">
                <wp:simplePos x="0" y="0"/>
                <wp:positionH relativeFrom="column">
                  <wp:posOffset>2514600</wp:posOffset>
                </wp:positionH>
                <wp:positionV relativeFrom="paragraph">
                  <wp:posOffset>2421890</wp:posOffset>
                </wp:positionV>
                <wp:extent cx="457200" cy="457200"/>
                <wp:effectExtent l="0" t="0" r="25400" b="25400"/>
                <wp:wrapNone/>
                <wp:docPr id="206" name="Ellipse 206"/>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33852F8" w14:textId="102AAF2D" w:rsidR="00573C95" w:rsidRPr="00F42166" w:rsidRDefault="00573C95" w:rsidP="00F4460D">
                            <w:pPr>
                              <w:jc w:val="center"/>
                              <w:rPr>
                                <w:sz w:val="20"/>
                                <w:szCs w:val="20"/>
                              </w:rPr>
                            </w:pPr>
                            <w:r>
                              <w:rPr>
                                <w:sz w:val="20"/>
                                <w:szCs w:val="20"/>
                              </w:rPr>
                              <w:t>4</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06" o:spid="_x0000_s1128" style="position:absolute;margin-left:198pt;margin-top:190.7pt;width:36pt;height:36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" fillcolor="black [3200]" strokecolor="white [3201]" strokeweight="1.75pt">
                <v:textbox>
                  <w:txbxContent>
                    <w:p w14:paraId="233852F8" w14:textId="102AAF2D" w:rsidR="001501D6" w:rsidRPr="00F42166" w:rsidRDefault="001501D6" w:rsidP="00F4460D">
                      <w:pPr>
                        <w:jc w:val="center"/>
                        <w:rPr>
                          <w:sz w:val="20"/>
                          <w:szCs w:val="20"/>
                        </w:rPr>
                      </w:pPr>
                      <w:r>
                        <w:rPr>
                          <w:sz w:val="20"/>
                          <w:szCs w:val="20"/>
                        </w:rPr>
                        <w:t>4</w:t>
                      </w:r>
                      <w:r w:rsidRPr="00F42166">
                        <w:rPr>
                          <w:sz w:val="20"/>
                          <w:szCs w:val="20"/>
                        </w:rPr>
                        <w:t xml:space="preserve"> </w:t>
                      </w:r>
                    </w:p>
                  </w:txbxContent>
                </v:textbox>
              </v:oval>
            </w:pict>
          </mc:Fallback>
        </mc:AlternateContent>
      </w:r>
      <w:r w:rsidR="009830E2" w:rsidRPr="00EF74BD">
        <w:rPr>
          <w:noProof/>
          <w:u w:val="single"/>
          <w:lang w:eastAsia="fr-FR"/>
        </w:rPr>
        <mc:AlternateContent>
          <mc:Choice Requires="wps">
            <w:drawing>
              <wp:anchor distT="0" distB="0" distL="114300" distR="114300" simplePos="0" relativeHeight="252143616" behindDoc="0" locked="0" layoutInCell="1" allowOverlap="1" wp14:anchorId="641C959D" wp14:editId="328146B4">
                <wp:simplePos x="0" y="0"/>
                <wp:positionH relativeFrom="column">
                  <wp:posOffset>4229100</wp:posOffset>
                </wp:positionH>
                <wp:positionV relativeFrom="paragraph">
                  <wp:posOffset>3679190</wp:posOffset>
                </wp:positionV>
                <wp:extent cx="457200" cy="457200"/>
                <wp:effectExtent l="0" t="0" r="25400" b="25400"/>
                <wp:wrapNone/>
                <wp:docPr id="212" name="Ellipse 212"/>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A94D2CB" w14:textId="77777777" w:rsidR="00573C95" w:rsidRPr="00F42166" w:rsidRDefault="00573C95" w:rsidP="00C76B0E">
                            <w:pPr>
                              <w:jc w:val="center"/>
                              <w:rPr>
                                <w:sz w:val="20"/>
                                <w:szCs w:val="20"/>
                              </w:rPr>
                            </w:pPr>
                            <w:r>
                              <w:rPr>
                                <w:sz w:val="20"/>
                                <w:szCs w:val="20"/>
                              </w:rPr>
                              <w:t>5</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12" o:spid="_x0000_s1129" style="position:absolute;margin-left:333pt;margin-top:289.7pt;width:36pt;height:36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" fillcolor="black [3200]" strokecolor="white [3201]" strokeweight="1.75pt">
                <v:textbox>
                  <w:txbxContent>
                    <w:p w14:paraId="2A94D2CB" w14:textId="77777777" w:rsidR="001501D6" w:rsidRPr="00F42166" w:rsidRDefault="001501D6" w:rsidP="00C76B0E">
                      <w:pPr>
                        <w:jc w:val="center"/>
                        <w:rPr>
                          <w:sz w:val="20"/>
                          <w:szCs w:val="20"/>
                        </w:rPr>
                      </w:pPr>
                      <w:r>
                        <w:rPr>
                          <w:sz w:val="20"/>
                          <w:szCs w:val="20"/>
                        </w:rPr>
                        <w:t>5</w:t>
                      </w:r>
                      <w:r w:rsidRPr="00F42166">
                        <w:rPr>
                          <w:sz w:val="20"/>
                          <w:szCs w:val="20"/>
                        </w:rPr>
                        <w:t xml:space="preserve"> </w:t>
                      </w:r>
                    </w:p>
                  </w:txbxContent>
                </v:textbox>
              </v:oval>
            </w:pict>
          </mc:Fallback>
        </mc:AlternateContent>
      </w:r>
      <w:r w:rsidR="009830E2" w:rsidRPr="00EF74BD">
        <w:rPr>
          <w:noProof/>
          <w:u w:val="single"/>
          <w:lang w:eastAsia="fr-FR"/>
        </w:rPr>
        <mc:AlternateContent>
          <mc:Choice Requires="wps">
            <w:drawing>
              <wp:anchor distT="0" distB="0" distL="114300" distR="114300" simplePos="0" relativeHeight="252141568" behindDoc="0" locked="0" layoutInCell="1" allowOverlap="1" wp14:anchorId="2D2BEF63" wp14:editId="14CCFC2F">
                <wp:simplePos x="0" y="0"/>
                <wp:positionH relativeFrom="column">
                  <wp:posOffset>4229100</wp:posOffset>
                </wp:positionH>
                <wp:positionV relativeFrom="paragraph">
                  <wp:posOffset>2650490</wp:posOffset>
                </wp:positionV>
                <wp:extent cx="457200" cy="457200"/>
                <wp:effectExtent l="0" t="0" r="25400" b="25400"/>
                <wp:wrapNone/>
                <wp:docPr id="211" name="Ellipse 211"/>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7EEC5869" w14:textId="77777777" w:rsidR="00573C95" w:rsidRPr="00F42166" w:rsidRDefault="00573C95" w:rsidP="00C76B0E">
                            <w:pPr>
                              <w:jc w:val="center"/>
                              <w:rPr>
                                <w:sz w:val="20"/>
                                <w:szCs w:val="20"/>
                              </w:rPr>
                            </w:pPr>
                            <w:r>
                              <w:rPr>
                                <w:sz w:val="20"/>
                                <w:szCs w:val="20"/>
                              </w:rPr>
                              <w:t>4</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11" o:spid="_x0000_s1130" style="position:absolute;margin-left:333pt;margin-top:208.7pt;width:36pt;height:36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" fillcolor="black [3200]" strokecolor="white [3201]" strokeweight="1.75pt">
                <v:textbox>
                  <w:txbxContent>
                    <w:p w14:paraId="7EEC5869" w14:textId="77777777" w:rsidR="001501D6" w:rsidRPr="00F42166" w:rsidRDefault="001501D6" w:rsidP="00C76B0E">
                      <w:pPr>
                        <w:jc w:val="center"/>
                        <w:rPr>
                          <w:sz w:val="20"/>
                          <w:szCs w:val="20"/>
                        </w:rPr>
                      </w:pPr>
                      <w:r>
                        <w:rPr>
                          <w:sz w:val="20"/>
                          <w:szCs w:val="20"/>
                        </w:rPr>
                        <w:t>4</w:t>
                      </w:r>
                      <w:r w:rsidRPr="00F42166">
                        <w:rPr>
                          <w:sz w:val="20"/>
                          <w:szCs w:val="20"/>
                        </w:rPr>
                        <w:t xml:space="preserve"> </w:t>
                      </w:r>
                    </w:p>
                  </w:txbxContent>
                </v:textbox>
              </v:oval>
            </w:pict>
          </mc:Fallback>
        </mc:AlternateContent>
      </w:r>
      <w:r w:rsidR="009830E2" w:rsidRPr="00EF74BD">
        <w:rPr>
          <w:noProof/>
          <w:u w:val="single"/>
          <w:lang w:eastAsia="fr-FR"/>
        </w:rPr>
        <mc:AlternateContent>
          <mc:Choice Requires="wps">
            <w:drawing>
              <wp:anchor distT="0" distB="0" distL="114300" distR="114300" simplePos="0" relativeHeight="252139520" behindDoc="0" locked="0" layoutInCell="1" allowOverlap="1" wp14:anchorId="10516272" wp14:editId="5EF9DC32">
                <wp:simplePos x="0" y="0"/>
                <wp:positionH relativeFrom="column">
                  <wp:posOffset>4229100</wp:posOffset>
                </wp:positionH>
                <wp:positionV relativeFrom="paragraph">
                  <wp:posOffset>1736090</wp:posOffset>
                </wp:positionV>
                <wp:extent cx="457200" cy="457200"/>
                <wp:effectExtent l="0" t="0" r="25400" b="25400"/>
                <wp:wrapNone/>
                <wp:docPr id="210" name="Ellipse 210"/>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F723D63" w14:textId="77777777" w:rsidR="00573C95" w:rsidRPr="00F42166" w:rsidRDefault="00573C95" w:rsidP="00C76B0E">
                            <w:pPr>
                              <w:jc w:val="center"/>
                              <w:rPr>
                                <w:sz w:val="20"/>
                                <w:szCs w:val="20"/>
                              </w:rPr>
                            </w:pPr>
                            <w:r>
                              <w:rPr>
                                <w:sz w:val="20"/>
                                <w:szCs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10" o:spid="_x0000_s1131" style="position:absolute;margin-left:333pt;margin-top:136.7pt;width:36pt;height:36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" fillcolor="black [3200]" strokecolor="white [3201]" strokeweight="1.75pt">
                <v:textbox>
                  <w:txbxContent>
                    <w:p w14:paraId="5F723D63" w14:textId="77777777" w:rsidR="001501D6" w:rsidRPr="00F42166" w:rsidRDefault="001501D6" w:rsidP="00C76B0E">
                      <w:pPr>
                        <w:jc w:val="center"/>
                        <w:rPr>
                          <w:sz w:val="20"/>
                          <w:szCs w:val="20"/>
                        </w:rPr>
                      </w:pPr>
                      <w:r>
                        <w:rPr>
                          <w:sz w:val="20"/>
                          <w:szCs w:val="20"/>
                        </w:rPr>
                        <w:t>3</w:t>
                      </w:r>
                    </w:p>
                  </w:txbxContent>
                </v:textbox>
              </v:oval>
            </w:pict>
          </mc:Fallback>
        </mc:AlternateContent>
      </w:r>
      <w:r w:rsidR="009830E2" w:rsidRPr="00EF74BD">
        <w:rPr>
          <w:noProof/>
          <w:u w:val="single"/>
          <w:lang w:eastAsia="fr-FR"/>
        </w:rPr>
        <mc:AlternateContent>
          <mc:Choice Requires="wps">
            <w:drawing>
              <wp:anchor distT="0" distB="0" distL="114300" distR="114300" simplePos="0" relativeHeight="252137472" behindDoc="0" locked="0" layoutInCell="1" allowOverlap="1" wp14:anchorId="62208C8B" wp14:editId="3153AD7C">
                <wp:simplePos x="0" y="0"/>
                <wp:positionH relativeFrom="column">
                  <wp:posOffset>4229100</wp:posOffset>
                </wp:positionH>
                <wp:positionV relativeFrom="paragraph">
                  <wp:posOffset>707390</wp:posOffset>
                </wp:positionV>
                <wp:extent cx="457200" cy="457200"/>
                <wp:effectExtent l="0" t="0" r="25400" b="25400"/>
                <wp:wrapNone/>
                <wp:docPr id="209" name="Ellipse 209"/>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3655563" w14:textId="77777777" w:rsidR="00573C95" w:rsidRPr="00F42166" w:rsidRDefault="00573C95" w:rsidP="00C76B0E">
                            <w:pPr>
                              <w:jc w:val="center"/>
                              <w:rPr>
                                <w:sz w:val="20"/>
                                <w:szCs w:val="20"/>
                              </w:rPr>
                            </w:pPr>
                            <w:r>
                              <w:rPr>
                                <w:sz w:val="20"/>
                                <w:szCs w:val="20"/>
                              </w:rPr>
                              <w:t>2</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09" o:spid="_x0000_s1132" style="position:absolute;margin-left:333pt;margin-top:55.7pt;width:36pt;height:36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" fillcolor="black [3200]" strokecolor="white [3201]" strokeweight="1.75pt">
                <v:textbox>
                  <w:txbxContent>
                    <w:p w14:paraId="23655563" w14:textId="77777777" w:rsidR="001501D6" w:rsidRPr="00F42166" w:rsidRDefault="001501D6" w:rsidP="00C76B0E">
                      <w:pPr>
                        <w:jc w:val="center"/>
                        <w:rPr>
                          <w:sz w:val="20"/>
                          <w:szCs w:val="20"/>
                        </w:rPr>
                      </w:pPr>
                      <w:r>
                        <w:rPr>
                          <w:sz w:val="20"/>
                          <w:szCs w:val="20"/>
                        </w:rPr>
                        <w:t>2</w:t>
                      </w:r>
                      <w:r w:rsidRPr="00F42166">
                        <w:rPr>
                          <w:sz w:val="20"/>
                          <w:szCs w:val="20"/>
                        </w:rPr>
                        <w:t xml:space="preserve"> </w:t>
                      </w:r>
                    </w:p>
                  </w:txbxContent>
                </v:textbox>
              </v:oval>
            </w:pict>
          </mc:Fallback>
        </mc:AlternateContent>
      </w:r>
      <w:r w:rsidR="009830E2" w:rsidRPr="00EF74BD">
        <w:rPr>
          <w:noProof/>
          <w:u w:val="single"/>
          <w:lang w:eastAsia="fr-FR"/>
        </w:rPr>
        <mc:AlternateContent>
          <mc:Choice Requires="wps">
            <w:drawing>
              <wp:anchor distT="0" distB="0" distL="114300" distR="114300" simplePos="0" relativeHeight="252133376" behindDoc="0" locked="0" layoutInCell="1" allowOverlap="1" wp14:anchorId="266E7F50" wp14:editId="7F90B6A2">
                <wp:simplePos x="0" y="0"/>
                <wp:positionH relativeFrom="column">
                  <wp:posOffset>1943100</wp:posOffset>
                </wp:positionH>
                <wp:positionV relativeFrom="paragraph">
                  <wp:posOffset>4364990</wp:posOffset>
                </wp:positionV>
                <wp:extent cx="457200" cy="457200"/>
                <wp:effectExtent l="0" t="0" r="25400" b="25400"/>
                <wp:wrapNone/>
                <wp:docPr id="207" name="Ellipse 207"/>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EDAD887" w14:textId="0812D556" w:rsidR="00573C95" w:rsidRPr="00F42166" w:rsidRDefault="00573C95" w:rsidP="00F4460D">
                            <w:pPr>
                              <w:jc w:val="center"/>
                              <w:rPr>
                                <w:sz w:val="20"/>
                                <w:szCs w:val="20"/>
                              </w:rPr>
                            </w:pPr>
                            <w:r>
                              <w:rPr>
                                <w:sz w:val="20"/>
                                <w:szCs w:val="20"/>
                              </w:rPr>
                              <w:t>5</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07" o:spid="_x0000_s1133" style="position:absolute;margin-left:153pt;margin-top:343.7pt;width:36pt;height:36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" fillcolor="black [3200]" strokecolor="white [3201]" strokeweight="1.75pt">
                <v:textbox>
                  <w:txbxContent>
                    <w:p w14:paraId="6EDAD887" w14:textId="0812D556" w:rsidR="001501D6" w:rsidRPr="00F42166" w:rsidRDefault="001501D6" w:rsidP="00F4460D">
                      <w:pPr>
                        <w:jc w:val="center"/>
                        <w:rPr>
                          <w:sz w:val="20"/>
                          <w:szCs w:val="20"/>
                        </w:rPr>
                      </w:pPr>
                      <w:r>
                        <w:rPr>
                          <w:sz w:val="20"/>
                          <w:szCs w:val="20"/>
                        </w:rPr>
                        <w:t>5</w:t>
                      </w:r>
                      <w:r w:rsidRPr="00F42166">
                        <w:rPr>
                          <w:sz w:val="20"/>
                          <w:szCs w:val="20"/>
                        </w:rPr>
                        <w:t xml:space="preserve"> </w:t>
                      </w:r>
                    </w:p>
                  </w:txbxContent>
                </v:textbox>
              </v:oval>
            </w:pict>
          </mc:Fallback>
        </mc:AlternateContent>
      </w:r>
      <w:r w:rsidR="009830E2" w:rsidRPr="00EF74BD">
        <w:rPr>
          <w:noProof/>
          <w:u w:val="single"/>
          <w:lang w:eastAsia="fr-FR"/>
        </w:rPr>
        <mc:AlternateContent>
          <mc:Choice Requires="wps">
            <w:drawing>
              <wp:anchor distT="0" distB="0" distL="114300" distR="114300" simplePos="0" relativeHeight="252129280" behindDoc="0" locked="0" layoutInCell="1" allowOverlap="1" wp14:anchorId="11944712" wp14:editId="0E9FC1B2">
                <wp:simplePos x="0" y="0"/>
                <wp:positionH relativeFrom="column">
                  <wp:posOffset>2514600</wp:posOffset>
                </wp:positionH>
                <wp:positionV relativeFrom="paragraph">
                  <wp:posOffset>1850390</wp:posOffset>
                </wp:positionV>
                <wp:extent cx="457200" cy="457200"/>
                <wp:effectExtent l="0" t="0" r="25400" b="25400"/>
                <wp:wrapNone/>
                <wp:docPr id="205" name="Ellipse 205"/>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092BBC7A" w14:textId="62A77DAB" w:rsidR="00573C95" w:rsidRPr="00F42166" w:rsidRDefault="00573C95" w:rsidP="00F4460D">
                            <w:pPr>
                              <w:jc w:val="center"/>
                              <w:rPr>
                                <w:sz w:val="20"/>
                                <w:szCs w:val="20"/>
                              </w:rPr>
                            </w:pPr>
                            <w:r>
                              <w:rPr>
                                <w:sz w:val="20"/>
                                <w:szCs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05" o:spid="_x0000_s1134" style="position:absolute;margin-left:198pt;margin-top:145.7pt;width:36pt;height:36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" fillcolor="black [3200]" strokecolor="white [3201]" strokeweight="1.75pt">
                <v:textbox>
                  <w:txbxContent>
                    <w:p w14:paraId="092BBC7A" w14:textId="62A77DAB" w:rsidR="001501D6" w:rsidRPr="00F42166" w:rsidRDefault="001501D6" w:rsidP="00F4460D">
                      <w:pPr>
                        <w:jc w:val="center"/>
                        <w:rPr>
                          <w:sz w:val="20"/>
                          <w:szCs w:val="20"/>
                        </w:rPr>
                      </w:pPr>
                      <w:r>
                        <w:rPr>
                          <w:sz w:val="20"/>
                          <w:szCs w:val="20"/>
                        </w:rPr>
                        <w:t>3</w:t>
                      </w:r>
                    </w:p>
                  </w:txbxContent>
                </v:textbox>
              </v:oval>
            </w:pict>
          </mc:Fallback>
        </mc:AlternateContent>
      </w:r>
      <w:r w:rsidR="00F4460D" w:rsidRPr="00EF74BD">
        <w:rPr>
          <w:noProof/>
          <w:u w:val="single"/>
          <w:lang w:eastAsia="fr-FR"/>
        </w:rPr>
        <mc:AlternateContent>
          <mc:Choice Requires="wps">
            <w:drawing>
              <wp:anchor distT="0" distB="0" distL="114300" distR="114300" simplePos="0" relativeHeight="252125184" behindDoc="0" locked="0" layoutInCell="1" allowOverlap="1" wp14:anchorId="10F37D6E" wp14:editId="5849ACBE">
                <wp:simplePos x="0" y="0"/>
                <wp:positionH relativeFrom="column">
                  <wp:posOffset>-342900</wp:posOffset>
                </wp:positionH>
                <wp:positionV relativeFrom="paragraph">
                  <wp:posOffset>1621790</wp:posOffset>
                </wp:positionV>
                <wp:extent cx="457200" cy="457200"/>
                <wp:effectExtent l="0" t="0" r="25400" b="25400"/>
                <wp:wrapNone/>
                <wp:docPr id="202" name="Ellipse 202"/>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2D74BEE" w14:textId="77777777" w:rsidR="00573C95" w:rsidRPr="00F42166" w:rsidRDefault="00573C95" w:rsidP="00F4460D">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02" o:spid="_x0000_s1135" style="position:absolute;margin-left:-26.95pt;margin-top:127.7pt;width:36pt;height:36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" fillcolor="black [3200]" strokecolor="white [3201]" strokeweight="1.75pt">
                <v:textbox>
                  <w:txbxContent>
                    <w:p w14:paraId="22D74BEE" w14:textId="77777777" w:rsidR="001501D6" w:rsidRPr="00F42166" w:rsidRDefault="001501D6" w:rsidP="00F4460D">
                      <w:pPr>
                        <w:jc w:val="center"/>
                        <w:rPr>
                          <w:sz w:val="20"/>
                          <w:szCs w:val="20"/>
                        </w:rPr>
                      </w:pPr>
                      <w:r>
                        <w:rPr>
                          <w:sz w:val="20"/>
                          <w:szCs w:val="20"/>
                        </w:rPr>
                        <w:t>1</w:t>
                      </w:r>
                      <w:r w:rsidRPr="00F42166">
                        <w:rPr>
                          <w:sz w:val="20"/>
                          <w:szCs w:val="20"/>
                        </w:rPr>
                        <w:t xml:space="preserve"> </w:t>
                      </w:r>
                    </w:p>
                  </w:txbxContent>
                </v:textbox>
              </v:oval>
            </w:pict>
          </mc:Fallback>
        </mc:AlternateContent>
      </w:r>
      <w:r w:rsidR="000D4727">
        <w:rPr>
          <w:noProof/>
          <w:lang w:eastAsia="fr-FR"/>
        </w:rPr>
        <mc:AlternateContent>
          <mc:Choice Requires="wps">
            <w:drawing>
              <wp:anchor distT="0" distB="0" distL="114300" distR="114300" simplePos="0" relativeHeight="252123136" behindDoc="0" locked="0" layoutInCell="1" allowOverlap="1" wp14:anchorId="74D6EDE4" wp14:editId="1D74DFA6">
                <wp:simplePos x="0" y="0"/>
                <wp:positionH relativeFrom="column">
                  <wp:posOffset>536575</wp:posOffset>
                </wp:positionH>
                <wp:positionV relativeFrom="paragraph">
                  <wp:posOffset>3009265</wp:posOffset>
                </wp:positionV>
                <wp:extent cx="2514600" cy="914400"/>
                <wp:effectExtent l="50800" t="355600" r="76200" b="355600"/>
                <wp:wrapSquare wrapText="bothSides"/>
                <wp:docPr id="201" name="Zone de texte 201"/>
                <wp:cNvGraphicFramePr/>
                <a:graphic xmlns:a="http://schemas.openxmlformats.org/drawingml/2006/main">
                  <a:graphicData uri="http://schemas.microsoft.com/office/word/2010/wordprocessingShape">
                    <wps:wsp>
                      <wps:cNvSpPr txBox="1"/>
                      <wps:spPr>
                        <a:xfrm rot="1057037">
                          <a:off x="0" y="0"/>
                          <a:ext cx="2514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4A2C4E" w14:textId="77777777" w:rsidR="00573C95" w:rsidRDefault="00573C95" w:rsidP="00740B79">
                            <w:pPr>
                              <w:jc w:val="center"/>
                            </w:pPr>
                          </w:p>
                          <w:p w14:paraId="150C31AA" w14:textId="65F28BE7" w:rsidR="00573C95" w:rsidRPr="000D4727" w:rsidRDefault="00573C95" w:rsidP="00740B79">
                            <w:pPr>
                              <w:jc w:val="center"/>
                              <w:rPr>
                                <w:b/>
                                <w:sz w:val="20"/>
                                <w:szCs w:val="20"/>
                              </w:rPr>
                            </w:pPr>
                            <w:r w:rsidRPr="000D4727">
                              <w:rPr>
                                <w:b/>
                                <w:sz w:val="20"/>
                                <w:szCs w:val="20"/>
                              </w:rPr>
                              <w:t>ENCAISSEMENT DE LA RENTE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01" o:spid="_x0000_s1136" type="#_x0000_t202" style="position:absolute;margin-left:42.25pt;margin-top:236.95pt;width:198pt;height:1in;rotation:1154566fd;z-index:252123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" filled="f" stroked="f">
                <v:textbox>
                  <w:txbxContent>
                    <w:p w14:paraId="614A2C4E" w14:textId="77777777" w:rsidR="001501D6" w:rsidRDefault="001501D6" w:rsidP="00740B79">
                      <w:pPr>
                        <w:jc w:val="center"/>
                      </w:pPr>
                    </w:p>
                    <w:p w14:paraId="150C31AA" w14:textId="65F28BE7" w:rsidR="001501D6" w:rsidRPr="000D4727" w:rsidRDefault="001501D6" w:rsidP="00740B79">
                      <w:pPr>
                        <w:jc w:val="center"/>
                        <w:rPr>
                          <w:b/>
                          <w:sz w:val="20"/>
                          <w:szCs w:val="20"/>
                        </w:rPr>
                      </w:pPr>
                      <w:r w:rsidRPr="000D4727">
                        <w:rPr>
                          <w:b/>
                          <w:sz w:val="20"/>
                          <w:szCs w:val="20"/>
                        </w:rPr>
                        <w:t>ENCAISSEMENT DE LA RENTE</w:t>
                      </w:r>
                    </w:p>
                  </w:txbxContent>
                </v:textbox>
                <w10:wrap type="square"/>
              </v:shape>
            </w:pict>
          </mc:Fallback>
        </mc:AlternateContent>
      </w:r>
      <w:r w:rsidR="003B3B1D">
        <w:rPr>
          <w:noProof/>
          <w:lang w:eastAsia="fr-FR"/>
        </w:rPr>
        <mc:AlternateContent>
          <mc:Choice Requires="wps">
            <w:drawing>
              <wp:anchor distT="0" distB="0" distL="114300" distR="114300" simplePos="0" relativeHeight="252120064" behindDoc="0" locked="0" layoutInCell="1" allowOverlap="1" wp14:anchorId="296DA625" wp14:editId="27B4A8FD">
                <wp:simplePos x="0" y="0"/>
                <wp:positionH relativeFrom="column">
                  <wp:posOffset>685800</wp:posOffset>
                </wp:positionH>
                <wp:positionV relativeFrom="paragraph">
                  <wp:posOffset>2993390</wp:posOffset>
                </wp:positionV>
                <wp:extent cx="2171700" cy="228600"/>
                <wp:effectExtent l="0" t="0" r="88900" b="127000"/>
                <wp:wrapNone/>
                <wp:docPr id="199" name="Connecteur droit 199"/>
                <wp:cNvGraphicFramePr/>
                <a:graphic xmlns:a="http://schemas.openxmlformats.org/drawingml/2006/main">
                  <a:graphicData uri="http://schemas.microsoft.com/office/word/2010/wordprocessingShape">
                    <wps:wsp>
                      <wps:cNvCnPr/>
                      <wps:spPr>
                        <a:xfrm>
                          <a:off x="0" y="0"/>
                          <a:ext cx="2171700" cy="228600"/>
                        </a:xfrm>
                        <a:prstGeom prst="line">
                          <a:avLst/>
                        </a:prstGeom>
                        <a:ln>
                          <a:solidFill>
                            <a:srgbClr val="0000FF"/>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199" o:spid="_x0000_s1026" style="position:absolute;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235.7pt" to="225pt,253.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" strokecolor="blue" strokeweight="1.25pt">
                <v:stroke endarrow="block" endarrowwidth="wide"/>
              </v:line>
            </w:pict>
          </mc:Fallback>
        </mc:AlternateContent>
      </w:r>
      <w:r w:rsidR="003B3B1D">
        <w:rPr>
          <w:noProof/>
          <w:lang w:eastAsia="fr-FR"/>
        </w:rPr>
        <mc:AlternateContent>
          <mc:Choice Requires="wps">
            <w:drawing>
              <wp:anchor distT="0" distB="0" distL="114300" distR="114300" simplePos="0" relativeHeight="252118016" behindDoc="0" locked="0" layoutInCell="1" allowOverlap="1" wp14:anchorId="053204BD" wp14:editId="58C3C8E7">
                <wp:simplePos x="0" y="0"/>
                <wp:positionH relativeFrom="column">
                  <wp:posOffset>685800</wp:posOffset>
                </wp:positionH>
                <wp:positionV relativeFrom="paragraph">
                  <wp:posOffset>2993390</wp:posOffset>
                </wp:positionV>
                <wp:extent cx="1485900" cy="800100"/>
                <wp:effectExtent l="0" t="0" r="114300" b="88900"/>
                <wp:wrapNone/>
                <wp:docPr id="198" name="Connecteur droit 198"/>
                <wp:cNvGraphicFramePr/>
                <a:graphic xmlns:a="http://schemas.openxmlformats.org/drawingml/2006/main">
                  <a:graphicData uri="http://schemas.microsoft.com/office/word/2010/wordprocessingShape">
                    <wps:wsp>
                      <wps:cNvCnPr/>
                      <wps:spPr>
                        <a:xfrm>
                          <a:off x="0" y="0"/>
                          <a:ext cx="1485900" cy="800100"/>
                        </a:xfrm>
                        <a:prstGeom prst="line">
                          <a:avLst/>
                        </a:prstGeom>
                        <a:ln>
                          <a:solidFill>
                            <a:srgbClr val="0000FF"/>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198" o:spid="_x0000_s1026" style="position:absolute;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235.7pt" to="171pt,298.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" strokecolor="blue" strokeweight="1.25pt">
                <v:stroke endarrow="block" endarrowwidth="wide"/>
              </v:line>
            </w:pict>
          </mc:Fallback>
        </mc:AlternateContent>
      </w:r>
      <w:r w:rsidR="003B3B1D">
        <w:rPr>
          <w:noProof/>
          <w:lang w:eastAsia="fr-FR"/>
        </w:rPr>
        <mc:AlternateContent>
          <mc:Choice Requires="wps">
            <w:drawing>
              <wp:anchor distT="0" distB="0" distL="114300" distR="114300" simplePos="0" relativeHeight="252113920" behindDoc="0" locked="0" layoutInCell="1" allowOverlap="1" wp14:anchorId="58E6AA1C" wp14:editId="69FF1B56">
                <wp:simplePos x="0" y="0"/>
                <wp:positionH relativeFrom="column">
                  <wp:posOffset>685800</wp:posOffset>
                </wp:positionH>
                <wp:positionV relativeFrom="paragraph">
                  <wp:posOffset>1050290</wp:posOffset>
                </wp:positionV>
                <wp:extent cx="1485900" cy="914400"/>
                <wp:effectExtent l="0" t="76200" r="0" b="25400"/>
                <wp:wrapNone/>
                <wp:docPr id="196" name="Connecteur droit 196"/>
                <wp:cNvGraphicFramePr/>
                <a:graphic xmlns:a="http://schemas.openxmlformats.org/drawingml/2006/main">
                  <a:graphicData uri="http://schemas.microsoft.com/office/word/2010/wordprocessingShape">
                    <wps:wsp>
                      <wps:cNvCnPr/>
                      <wps:spPr>
                        <a:xfrm flipV="1">
                          <a:off x="0" y="0"/>
                          <a:ext cx="1485900" cy="914400"/>
                        </a:xfrm>
                        <a:prstGeom prst="line">
                          <a:avLst/>
                        </a:prstGeom>
                        <a:ln>
                          <a:solidFill>
                            <a:srgbClr val="008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196" o:spid="_x0000_s1026" style="position:absolute;flip:y;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82.7pt" to="171pt,154.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" strokecolor="green" strokeweight="1.25pt">
                <v:stroke endarrow="block" endarrowwidth="wide"/>
              </v:line>
            </w:pict>
          </mc:Fallback>
        </mc:AlternateContent>
      </w:r>
      <w:r w:rsidR="003B3B1D">
        <w:rPr>
          <w:noProof/>
          <w:lang w:eastAsia="fr-FR"/>
        </w:rPr>
        <mc:AlternateContent>
          <mc:Choice Requires="wps">
            <w:drawing>
              <wp:anchor distT="0" distB="0" distL="114300" distR="114300" simplePos="0" relativeHeight="252115968" behindDoc="0" locked="0" layoutInCell="1" allowOverlap="1" wp14:anchorId="0B8EFDF7" wp14:editId="7AC88EC6">
                <wp:simplePos x="0" y="0"/>
                <wp:positionH relativeFrom="column">
                  <wp:posOffset>685800</wp:posOffset>
                </wp:positionH>
                <wp:positionV relativeFrom="paragraph">
                  <wp:posOffset>1621790</wp:posOffset>
                </wp:positionV>
                <wp:extent cx="2057400" cy="342900"/>
                <wp:effectExtent l="0" t="101600" r="0" b="38100"/>
                <wp:wrapNone/>
                <wp:docPr id="197" name="Connecteur droit 197"/>
                <wp:cNvGraphicFramePr/>
                <a:graphic xmlns:a="http://schemas.openxmlformats.org/drawingml/2006/main">
                  <a:graphicData uri="http://schemas.microsoft.com/office/word/2010/wordprocessingShape">
                    <wps:wsp>
                      <wps:cNvCnPr/>
                      <wps:spPr>
                        <a:xfrm flipV="1">
                          <a:off x="0" y="0"/>
                          <a:ext cx="2057400" cy="342900"/>
                        </a:xfrm>
                        <a:prstGeom prst="line">
                          <a:avLst/>
                        </a:prstGeom>
                        <a:ln>
                          <a:solidFill>
                            <a:srgbClr val="008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197" o:spid="_x0000_s1026" style="position:absolute;flip:y;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127.7pt" to="3in,154.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" strokecolor="green" strokeweight="1.25pt">
                <v:stroke endarrow="block" endarrowwidth="wide"/>
              </v:line>
            </w:pict>
          </mc:Fallback>
        </mc:AlternateContent>
      </w:r>
      <w:r w:rsidR="00393954">
        <w:rPr>
          <w:noProof/>
          <w:lang w:eastAsia="fr-FR"/>
        </w:rPr>
        <mc:AlternateContent>
          <mc:Choice Requires="wps">
            <w:drawing>
              <wp:anchor distT="0" distB="0" distL="114300" distR="114300" simplePos="0" relativeHeight="252109824" behindDoc="0" locked="0" layoutInCell="1" allowOverlap="1" wp14:anchorId="6C80C929" wp14:editId="26C205AD">
                <wp:simplePos x="0" y="0"/>
                <wp:positionH relativeFrom="column">
                  <wp:posOffset>2857500</wp:posOffset>
                </wp:positionH>
                <wp:positionV relativeFrom="paragraph">
                  <wp:posOffset>2650490</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194" name="Rectangle à coins arrondis 194"/>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660066"/>
                        </a:solidFill>
                        <a:ln>
                          <a:solidFill>
                            <a:srgbClr val="0000FF"/>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A7DD636" w14:textId="1FB6115D" w:rsidR="00573C95" w:rsidRPr="00937E48" w:rsidRDefault="00573C95" w:rsidP="00485845">
                            <w:pPr>
                              <w:jc w:val="center"/>
                              <w:rPr>
                                <w:sz w:val="20"/>
                                <w:szCs w:val="20"/>
                              </w:rPr>
                            </w:pPr>
                            <w:r w:rsidRPr="00937E48">
                              <w:rPr>
                                <w:sz w:val="20"/>
                                <w:szCs w:val="20"/>
                              </w:rPr>
                              <w:t>Fonds de revenu viager (FRV)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94" o:spid="_x0000_s1137" style="position:absolute;margin-left:225pt;margin-top:208.7pt;width:81pt;height:81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" fillcolor="#606" strokecolor="blue">
                <v:textbox>
                  <w:txbxContent>
                    <w:p w14:paraId="5A7DD636" w14:textId="1FB6115D" w:rsidR="001501D6" w:rsidRPr="00937E48" w:rsidRDefault="001501D6" w:rsidP="00485845">
                      <w:pPr>
                        <w:jc w:val="center"/>
                        <w:rPr>
                          <w:sz w:val="20"/>
                          <w:szCs w:val="20"/>
                        </w:rPr>
                      </w:pPr>
                      <w:r w:rsidRPr="00937E48">
                        <w:rPr>
                          <w:sz w:val="20"/>
                          <w:szCs w:val="20"/>
                        </w:rPr>
                        <w:t>Fonds de revenu viager (FRV)</w:t>
                      </w:r>
                    </w:p>
                  </w:txbxContent>
                </v:textbox>
                <w10:wrap type="through"/>
              </v:roundrect>
            </w:pict>
          </mc:Fallback>
        </mc:AlternateContent>
      </w:r>
      <w:r w:rsidR="00393954">
        <w:rPr>
          <w:noProof/>
          <w:lang w:eastAsia="fr-FR"/>
        </w:rPr>
        <mc:AlternateContent>
          <mc:Choice Requires="wps">
            <w:drawing>
              <wp:anchor distT="0" distB="0" distL="114300" distR="114300" simplePos="0" relativeHeight="252111872" behindDoc="0" locked="0" layoutInCell="1" allowOverlap="1" wp14:anchorId="6B89AC78" wp14:editId="7C607BF6">
                <wp:simplePos x="0" y="0"/>
                <wp:positionH relativeFrom="column">
                  <wp:posOffset>2171700</wp:posOffset>
                </wp:positionH>
                <wp:positionV relativeFrom="paragraph">
                  <wp:posOffset>3679190</wp:posOffset>
                </wp:positionV>
                <wp:extent cx="1028700" cy="914400"/>
                <wp:effectExtent l="76200" t="76200" r="63500" b="76200"/>
                <wp:wrapThrough wrapText="bothSides">
                  <wp:wrapPolygon edited="0">
                    <wp:start x="-533" y="-1800"/>
                    <wp:lineTo x="-1600" y="-600"/>
                    <wp:lineTo x="-1600" y="18600"/>
                    <wp:lineTo x="-533" y="22800"/>
                    <wp:lineTo x="21333" y="22800"/>
                    <wp:lineTo x="22400" y="18600"/>
                    <wp:lineTo x="22400" y="9000"/>
                    <wp:lineTo x="21333" y="0"/>
                    <wp:lineTo x="21333" y="-1800"/>
                    <wp:lineTo x="-533" y="-1800"/>
                  </wp:wrapPolygon>
                </wp:wrapThrough>
                <wp:docPr id="195" name="Rectangle à coins arrondis 195"/>
                <wp:cNvGraphicFramePr/>
                <a:graphic xmlns:a="http://schemas.openxmlformats.org/drawingml/2006/main">
                  <a:graphicData uri="http://schemas.microsoft.com/office/word/2010/wordprocessingShape">
                    <wps:wsp>
                      <wps:cNvSpPr/>
                      <wps:spPr>
                        <a:xfrm>
                          <a:off x="0" y="0"/>
                          <a:ext cx="1028700" cy="914400"/>
                        </a:xfrm>
                        <a:prstGeom prst="roundRect">
                          <a:avLst/>
                        </a:prstGeom>
                        <a:solidFill>
                          <a:srgbClr val="660066"/>
                        </a:solidFill>
                        <a:ln>
                          <a:solidFill>
                            <a:srgbClr val="0000FF"/>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05CED72" w14:textId="7006B420" w:rsidR="00573C95" w:rsidRPr="00937E48" w:rsidRDefault="00573C95" w:rsidP="00485845">
                            <w:pPr>
                              <w:jc w:val="center"/>
                              <w:rPr>
                                <w:sz w:val="20"/>
                                <w:szCs w:val="20"/>
                              </w:rPr>
                            </w:pPr>
                            <w:r w:rsidRPr="00937E48">
                              <w:rPr>
                                <w:sz w:val="20"/>
                                <w:szCs w:val="20"/>
                              </w:rPr>
                              <w:t>Achat d'une rente viagère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95" o:spid="_x0000_s1138" style="position:absolute;margin-left:171pt;margin-top:289.7pt;width:81pt;height:1in;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" fillcolor="#606" strokecolor="blue">
                <v:textbox>
                  <w:txbxContent>
                    <w:p w14:paraId="405CED72" w14:textId="7006B420" w:rsidR="001501D6" w:rsidRPr="00937E48" w:rsidRDefault="001501D6" w:rsidP="00485845">
                      <w:pPr>
                        <w:jc w:val="center"/>
                        <w:rPr>
                          <w:sz w:val="20"/>
                          <w:szCs w:val="20"/>
                        </w:rPr>
                      </w:pPr>
                      <w:r w:rsidRPr="00937E48">
                        <w:rPr>
                          <w:sz w:val="20"/>
                          <w:szCs w:val="20"/>
                        </w:rPr>
                        <w:t>Achat d'une rente viagère</w:t>
                      </w:r>
                    </w:p>
                  </w:txbxContent>
                </v:textbox>
                <w10:wrap type="through"/>
              </v:roundrect>
            </w:pict>
          </mc:Fallback>
        </mc:AlternateContent>
      </w:r>
      <w:r w:rsidR="00393954">
        <w:rPr>
          <w:noProof/>
          <w:lang w:eastAsia="fr-FR"/>
        </w:rPr>
        <mc:AlternateContent>
          <mc:Choice Requires="wps">
            <w:drawing>
              <wp:anchor distT="0" distB="0" distL="114300" distR="114300" simplePos="0" relativeHeight="252107776" behindDoc="0" locked="0" layoutInCell="1" allowOverlap="1" wp14:anchorId="0CE51D6D" wp14:editId="438BAF1F">
                <wp:simplePos x="0" y="0"/>
                <wp:positionH relativeFrom="column">
                  <wp:posOffset>2743200</wp:posOffset>
                </wp:positionH>
                <wp:positionV relativeFrom="paragraph">
                  <wp:posOffset>1050290</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193" name="Rectangle à coins arrondis 193"/>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6EB88BB" w14:textId="4E32619B" w:rsidR="00573C95" w:rsidRPr="00393954" w:rsidRDefault="00573C95" w:rsidP="00D47C62">
                            <w:pPr>
                              <w:jc w:val="center"/>
                              <w:rPr>
                                <w:color w:val="000000"/>
                                <w:sz w:val="20"/>
                                <w:szCs w:val="20"/>
                              </w:rPr>
                            </w:pPr>
                            <w:r w:rsidRPr="00393954">
                              <w:rPr>
                                <w:color w:val="000000"/>
                                <w:sz w:val="20"/>
                                <w:szCs w:val="20"/>
                              </w:rPr>
                              <w:t>Compte de retraite immobilisé</w:t>
                            </w:r>
                          </w:p>
                          <w:p w14:paraId="6F124AEA" w14:textId="05384808" w:rsidR="00573C95" w:rsidRPr="00393954" w:rsidRDefault="00573C95" w:rsidP="00D47C62">
                            <w:pPr>
                              <w:jc w:val="center"/>
                              <w:rPr>
                                <w:color w:val="000000"/>
                                <w:sz w:val="20"/>
                                <w:szCs w:val="20"/>
                              </w:rPr>
                            </w:pPr>
                            <w:r w:rsidRPr="00393954">
                              <w:rPr>
                                <w:color w:val="000000"/>
                                <w:sz w:val="20"/>
                                <w:szCs w:val="20"/>
                              </w:rPr>
                              <w:t>(CRI)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93" o:spid="_x0000_s1139" style="position:absolute;margin-left:3in;margin-top:82.7pt;width:81pt;height:81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" fillcolor="#cfc" strokecolor="green">
                <v:textbox>
                  <w:txbxContent>
                    <w:p w14:paraId="56EB88BB" w14:textId="4E32619B" w:rsidR="001501D6" w:rsidRPr="00393954" w:rsidRDefault="001501D6" w:rsidP="00D47C62">
                      <w:pPr>
                        <w:jc w:val="center"/>
                        <w:rPr>
                          <w:color w:val="000000"/>
                          <w:sz w:val="20"/>
                          <w:szCs w:val="20"/>
                        </w:rPr>
                      </w:pPr>
                      <w:r w:rsidRPr="00393954">
                        <w:rPr>
                          <w:color w:val="000000"/>
                          <w:sz w:val="20"/>
                          <w:szCs w:val="20"/>
                        </w:rPr>
                        <w:t>Compte de retraite immobilisé</w:t>
                      </w:r>
                    </w:p>
                    <w:p w14:paraId="6F124AEA" w14:textId="05384808" w:rsidR="001501D6" w:rsidRPr="00393954" w:rsidRDefault="001501D6" w:rsidP="00D47C62">
                      <w:pPr>
                        <w:jc w:val="center"/>
                        <w:rPr>
                          <w:color w:val="000000"/>
                          <w:sz w:val="20"/>
                          <w:szCs w:val="20"/>
                        </w:rPr>
                      </w:pPr>
                      <w:r w:rsidRPr="00393954">
                        <w:rPr>
                          <w:color w:val="000000"/>
                          <w:sz w:val="20"/>
                          <w:szCs w:val="20"/>
                        </w:rPr>
                        <w:t>(CRI)</w:t>
                      </w:r>
                    </w:p>
                  </w:txbxContent>
                </v:textbox>
                <w10:wrap type="through"/>
              </v:roundrect>
            </w:pict>
          </mc:Fallback>
        </mc:AlternateContent>
      </w:r>
      <w:r w:rsidR="00393954">
        <w:rPr>
          <w:noProof/>
          <w:lang w:eastAsia="fr-FR"/>
        </w:rPr>
        <mc:AlternateContent>
          <mc:Choice Requires="wps">
            <w:drawing>
              <wp:anchor distT="0" distB="0" distL="114300" distR="114300" simplePos="0" relativeHeight="252105728" behindDoc="0" locked="0" layoutInCell="1" allowOverlap="1" wp14:anchorId="54000D1B" wp14:editId="61A3BB13">
                <wp:simplePos x="0" y="0"/>
                <wp:positionH relativeFrom="column">
                  <wp:posOffset>2057400</wp:posOffset>
                </wp:positionH>
                <wp:positionV relativeFrom="paragraph">
                  <wp:posOffset>21590</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192" name="Rectangle à coins arrondis 192"/>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6E45362" w14:textId="07EBEBC6" w:rsidR="00573C95" w:rsidRPr="00393954" w:rsidRDefault="00573C95" w:rsidP="00D47C62">
                            <w:pPr>
                              <w:jc w:val="center"/>
                              <w:rPr>
                                <w:color w:val="000000"/>
                                <w:sz w:val="20"/>
                                <w:szCs w:val="20"/>
                              </w:rPr>
                            </w:pPr>
                            <w:r w:rsidRPr="00393954">
                              <w:rPr>
                                <w:color w:val="000000"/>
                                <w:sz w:val="20"/>
                                <w:szCs w:val="20"/>
                              </w:rPr>
                              <w:t>Maintien d</w:t>
                            </w:r>
                            <w:r>
                              <w:rPr>
                                <w:color w:val="000000"/>
                                <w:sz w:val="20"/>
                                <w:szCs w:val="20"/>
                              </w:rPr>
                              <w:t>ans le</w:t>
                            </w:r>
                            <w:r w:rsidRPr="00393954">
                              <w:rPr>
                                <w:color w:val="000000"/>
                                <w:sz w:val="20"/>
                                <w:szCs w:val="20"/>
                              </w:rPr>
                              <w:t xml:space="preserve"> RPACD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92" o:spid="_x0000_s1140" style="position:absolute;margin-left:162pt;margin-top:1.7pt;width:81pt;height:81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" fillcolor="#cfc" strokecolor="green">
                <v:textbox>
                  <w:txbxContent>
                    <w:p w14:paraId="46E45362" w14:textId="07EBEBC6" w:rsidR="001501D6" w:rsidRPr="00393954" w:rsidRDefault="001501D6" w:rsidP="00D47C62">
                      <w:pPr>
                        <w:jc w:val="center"/>
                        <w:rPr>
                          <w:color w:val="000000"/>
                          <w:sz w:val="20"/>
                          <w:szCs w:val="20"/>
                        </w:rPr>
                      </w:pPr>
                      <w:r w:rsidRPr="00393954">
                        <w:rPr>
                          <w:color w:val="000000"/>
                          <w:sz w:val="20"/>
                          <w:szCs w:val="20"/>
                        </w:rPr>
                        <w:t>Maintien d</w:t>
                      </w:r>
                      <w:r>
                        <w:rPr>
                          <w:color w:val="000000"/>
                          <w:sz w:val="20"/>
                          <w:szCs w:val="20"/>
                        </w:rPr>
                        <w:t>ans le</w:t>
                      </w:r>
                      <w:r w:rsidRPr="00393954">
                        <w:rPr>
                          <w:color w:val="000000"/>
                          <w:sz w:val="20"/>
                          <w:szCs w:val="20"/>
                        </w:rPr>
                        <w:t xml:space="preserve"> RPACD</w:t>
                      </w:r>
                    </w:p>
                  </w:txbxContent>
                </v:textbox>
                <w10:wrap type="through"/>
              </v:roundrect>
            </w:pict>
          </mc:Fallback>
        </mc:AlternateContent>
      </w:r>
      <w:r w:rsidR="00D47C62">
        <w:br w:type="page"/>
      </w:r>
    </w:p>
    <w:p w14:paraId="07CB515D" w14:textId="5B48A1C6" w:rsidR="009D718B" w:rsidRDefault="009D718B" w:rsidP="006C34CF">
      <w:pPr>
        <w:pStyle w:val="Paragraphedeliste"/>
        <w:numPr>
          <w:ilvl w:val="0"/>
          <w:numId w:val="32"/>
        </w:numPr>
        <w:rPr>
          <w:color w:val="FF6700" w:themeColor="accent3"/>
        </w:rPr>
      </w:pPr>
      <w:r>
        <w:rPr>
          <w:color w:val="FF6700" w:themeColor="accent3"/>
        </w:rPr>
        <w:lastRenderedPageBreak/>
        <w:t>Le CRI</w:t>
      </w:r>
    </w:p>
    <w:p w14:paraId="2C8AA1CA" w14:textId="77777777" w:rsidR="006E2908" w:rsidRDefault="006E2908" w:rsidP="0046707F">
      <w:pPr>
        <w:jc w:val="both"/>
      </w:pPr>
    </w:p>
    <w:p w14:paraId="305AA9D9" w14:textId="5F5DA25A" w:rsidR="001D325F" w:rsidRDefault="001D325F" w:rsidP="0046707F">
      <w:pPr>
        <w:jc w:val="both"/>
      </w:pPr>
      <w:r>
        <w:t xml:space="preserve">Dans sa plus simple </w:t>
      </w:r>
      <w:r w:rsidR="00F756F9">
        <w:t>expression,</w:t>
      </w:r>
      <w:r w:rsidR="00727E98">
        <w:t xml:space="preserve"> le compte de retraite immobilis</w:t>
      </w:r>
      <w:r>
        <w:t>é s’apparente  à un REÉR ayant des caractéristiques particulières. Tout comme le REÉR, le CRI est un abri fiscal qui permet de générer des revenus de placements sans être importunité par l’impôt. Aussi, le détenteur d’un CRI doit y mettre terme, au plus tard, dans l’année de son 71</w:t>
      </w:r>
      <w:r w:rsidRPr="001D325F">
        <w:rPr>
          <w:vertAlign w:val="superscript"/>
        </w:rPr>
        <w:t>e</w:t>
      </w:r>
      <w:r>
        <w:t xml:space="preserve"> anniversaire. L’opération s’effectue par le transfert du CRI dans un FRV ou en effectuant l’achat d’une rente viagère auprès d’une institution financière. Cette mécanique est identique à celle du REÉR qui se doit, dans les mêmes délais, d’être converti en FERR ou être utilisé pour faire l’achat d’une rente viagère. Le type de gestion et les placements admissibles sont similaires</w:t>
      </w:r>
      <w:r w:rsidR="006B4589" w:rsidRPr="006B4589">
        <w:t xml:space="preserve"> </w:t>
      </w:r>
      <w:r w:rsidR="006B4589">
        <w:t>pour les deux véhicules de retraite (CRI et REÉR)</w:t>
      </w:r>
      <w:r>
        <w:t>.</w:t>
      </w:r>
    </w:p>
    <w:p w14:paraId="5612967B" w14:textId="77777777" w:rsidR="001D325F" w:rsidRDefault="001D325F" w:rsidP="0046707F">
      <w:pPr>
        <w:jc w:val="both"/>
      </w:pPr>
    </w:p>
    <w:p w14:paraId="6973AE4F" w14:textId="5CA01A71" w:rsidR="006020D8" w:rsidRDefault="001D325F" w:rsidP="0046707F">
      <w:pPr>
        <w:jc w:val="both"/>
      </w:pPr>
      <w:r>
        <w:t xml:space="preserve">Cependant, </w:t>
      </w:r>
      <w:r w:rsidR="006020D8">
        <w:t>contraire</w:t>
      </w:r>
      <w:r w:rsidR="002112A8">
        <w:t>ment</w:t>
      </w:r>
      <w:r w:rsidR="006020D8">
        <w:t xml:space="preserve"> au REÉR qui est un véhicule de retraite souple, le CRI, comme le nom l’indique, est de nature </w:t>
      </w:r>
      <w:r w:rsidR="006020D8" w:rsidRPr="006020D8">
        <w:rPr>
          <w:color w:val="FF6700" w:themeColor="accent3"/>
        </w:rPr>
        <w:t>IMMOBILISÉE</w:t>
      </w:r>
      <w:r w:rsidR="006020D8">
        <w:t>. Alors que le REÉR peut être bonifié par des cotisations (sujet à des limita</w:t>
      </w:r>
      <w:r w:rsidR="005B0E91">
        <w:t>t</w:t>
      </w:r>
      <w:r w:rsidR="006020D8">
        <w:t>ions) ou réduit par des décaissements (sans aucune limite), le CRI demeure figé, sans aucune possibilité d’y cotiser ou d’y retirer des montants. Sa croissance est exclusivement réservée au rendement généré par le capital initialement immobilisé.</w:t>
      </w:r>
    </w:p>
    <w:p w14:paraId="2223D609" w14:textId="15F2E977" w:rsidR="001D325F" w:rsidRDefault="006020D8" w:rsidP="0046707F">
      <w:pPr>
        <w:jc w:val="both"/>
      </w:pPr>
      <w:r>
        <w:t xml:space="preserve"> </w:t>
      </w:r>
    </w:p>
    <w:p w14:paraId="53D6D995" w14:textId="1254F5F7" w:rsidR="001D325F" w:rsidRDefault="006020D8" w:rsidP="0046707F">
      <w:pPr>
        <w:jc w:val="both"/>
      </w:pPr>
      <w:r>
        <w:t>C’est donc dire que le CRI ne peut, en soi, générer de rentes de retraite. C’est un compte qui sert d</w:t>
      </w:r>
      <w:r w:rsidR="00697106">
        <w:t>e halte</w:t>
      </w:r>
      <w:r>
        <w:t xml:space="preserve"> entre la fin de l’adhésion à un RPACD et le début du paiement des rentes de retraite à même le FRV ou l’achat d’une rente viagère.</w:t>
      </w:r>
      <w:r w:rsidR="00AA3943">
        <w:t xml:space="preserve"> Nous verrons un peu plus tard, que le CRI est surtout utilis</w:t>
      </w:r>
      <w:r w:rsidR="00A46649">
        <w:t>é</w:t>
      </w:r>
      <w:r w:rsidR="00AA3943">
        <w:t xml:space="preserve"> lors du départ, avant la retraite, d’un employé qui bénéficiait d’un RPACD.</w:t>
      </w:r>
      <w:r w:rsidR="008F6727">
        <w:t xml:space="preserve"> </w:t>
      </w:r>
      <w:r w:rsidR="008F6727" w:rsidRPr="008F6727">
        <w:rPr>
          <w:color w:val="008000"/>
        </w:rPr>
        <w:t xml:space="preserve">En cas de décès, afin de préserver la protection requise par la LRCR pour le conjoint survivant, le solde du </w:t>
      </w:r>
      <w:r w:rsidR="002112A8">
        <w:rPr>
          <w:color w:val="008000"/>
        </w:rPr>
        <w:t>CRI</w:t>
      </w:r>
      <w:r w:rsidR="008F6727" w:rsidRPr="008F6727">
        <w:rPr>
          <w:color w:val="008000"/>
        </w:rPr>
        <w:t xml:space="preserve"> doit faire l'objet d'un legs à ce dernier</w:t>
      </w:r>
      <w:r w:rsidR="002112A8">
        <w:rPr>
          <w:color w:val="008000"/>
        </w:rPr>
        <w:t>.</w:t>
      </w:r>
    </w:p>
    <w:p w14:paraId="1DFD1595" w14:textId="77777777" w:rsidR="009D718B" w:rsidRDefault="009D718B" w:rsidP="0046707F">
      <w:pPr>
        <w:jc w:val="both"/>
      </w:pPr>
    </w:p>
    <w:p w14:paraId="3D0C26B8" w14:textId="3B1C007D" w:rsidR="009D718B" w:rsidRDefault="009D718B" w:rsidP="006C34CF">
      <w:pPr>
        <w:pStyle w:val="Paragraphedeliste"/>
        <w:numPr>
          <w:ilvl w:val="0"/>
          <w:numId w:val="32"/>
        </w:numPr>
        <w:rPr>
          <w:color w:val="FF6700" w:themeColor="accent3"/>
        </w:rPr>
      </w:pPr>
      <w:r>
        <w:rPr>
          <w:color w:val="FF6700" w:themeColor="accent3"/>
        </w:rPr>
        <w:t>Le FRV</w:t>
      </w:r>
    </w:p>
    <w:p w14:paraId="1131C2D5" w14:textId="77777777" w:rsidR="009D718B" w:rsidRDefault="009D718B" w:rsidP="0046707F">
      <w:pPr>
        <w:jc w:val="both"/>
      </w:pPr>
    </w:p>
    <w:p w14:paraId="4D8A81F1" w14:textId="77777777" w:rsidR="00C14214" w:rsidRDefault="00A46649" w:rsidP="0046707F">
      <w:pPr>
        <w:jc w:val="both"/>
      </w:pPr>
      <w:r>
        <w:t xml:space="preserve">Dans les faits, le fonds de revenu viager est semblable au FERR. Tout comme ce dernier, le FRV permet au retraité de générer des rentes de retraite tout en préservant un capital qui continue à générer des revenus de placements à l’abri de l’impôt. </w:t>
      </w:r>
    </w:p>
    <w:p w14:paraId="24889B1C" w14:textId="77777777" w:rsidR="00C14214" w:rsidRDefault="00C14214" w:rsidP="0046707F">
      <w:pPr>
        <w:jc w:val="both"/>
      </w:pPr>
    </w:p>
    <w:p w14:paraId="15C3F311" w14:textId="3A2C94C8" w:rsidR="00C14214" w:rsidRDefault="00C14214" w:rsidP="0046707F">
      <w:pPr>
        <w:jc w:val="both"/>
      </w:pPr>
      <w:r>
        <w:t xml:space="preserve">Les deux véhicules de retraite font l’objet de la même mécanique de </w:t>
      </w:r>
      <w:r w:rsidRPr="00C14214">
        <w:rPr>
          <w:color w:val="FF6700" w:themeColor="accent3"/>
        </w:rPr>
        <w:t>RETRAIT MINIMUM</w:t>
      </w:r>
      <w:r>
        <w:t xml:space="preserve">  annuel prédéfini par le fisc en fonction de l’âge du retraité. Cette table de retrait mi</w:t>
      </w:r>
      <w:r w:rsidR="005B0E91">
        <w:t>n</w:t>
      </w:r>
      <w:r>
        <w:t>imum est identique pour le FERR et le FRV.</w:t>
      </w:r>
    </w:p>
    <w:p w14:paraId="31EFD102" w14:textId="77777777" w:rsidR="00C14214" w:rsidRDefault="00C14214" w:rsidP="0046707F">
      <w:pPr>
        <w:jc w:val="both"/>
      </w:pPr>
    </w:p>
    <w:p w14:paraId="151128BF" w14:textId="48DFF8B5" w:rsidR="00C14214" w:rsidRDefault="00AB150D" w:rsidP="0046707F">
      <w:pPr>
        <w:jc w:val="both"/>
      </w:pPr>
      <w:r>
        <w:rPr>
          <w:noProof/>
          <w:lang w:eastAsia="fr-FR"/>
        </w:rPr>
        <mc:AlternateContent>
          <mc:Choice Requires="wps">
            <w:drawing>
              <wp:anchor distT="0" distB="0" distL="114300" distR="114300" simplePos="0" relativeHeight="252162048" behindDoc="0" locked="0" layoutInCell="1" allowOverlap="1" wp14:anchorId="2CFB8BA8" wp14:editId="61F9F501">
                <wp:simplePos x="0" y="0"/>
                <wp:positionH relativeFrom="column">
                  <wp:posOffset>4735830</wp:posOffset>
                </wp:positionH>
                <wp:positionV relativeFrom="paragraph">
                  <wp:posOffset>-113030</wp:posOffset>
                </wp:positionV>
                <wp:extent cx="1482090" cy="551815"/>
                <wp:effectExtent l="25400" t="177800" r="0" b="235585"/>
                <wp:wrapThrough wrapText="bothSides">
                  <wp:wrapPolygon edited="0">
                    <wp:start x="20614" y="1233"/>
                    <wp:lineTo x="3254" y="-13032"/>
                    <wp:lineTo x="121" y="1927"/>
                    <wp:lineTo x="2123" y="19622"/>
                    <wp:lineTo x="2454" y="23095"/>
                    <wp:lineTo x="4200" y="24742"/>
                    <wp:lineTo x="4918" y="22257"/>
                    <wp:lineTo x="18057" y="17789"/>
                    <wp:lineTo x="22341" y="6023"/>
                    <wp:lineTo x="22709" y="3209"/>
                    <wp:lineTo x="20614" y="1233"/>
                  </wp:wrapPolygon>
                </wp:wrapThrough>
                <wp:docPr id="225" name="Flèche vers la gauche 225"/>
                <wp:cNvGraphicFramePr/>
                <a:graphic xmlns:a="http://schemas.openxmlformats.org/drawingml/2006/main">
                  <a:graphicData uri="http://schemas.microsoft.com/office/word/2010/wordprocessingShape">
                    <wps:wsp>
                      <wps:cNvSpPr/>
                      <wps:spPr>
                        <a:xfrm rot="20439079">
                          <a:off x="0" y="0"/>
                          <a:ext cx="1482090" cy="551815"/>
                        </a:xfrm>
                        <a:prstGeom prst="lef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0307B62" w14:textId="109635C0" w:rsidR="00573C95" w:rsidRDefault="00573C95" w:rsidP="00AB150D">
                            <w:pPr>
                              <w:jc w:val="center"/>
                            </w:pPr>
                            <w:r>
                              <w:t>Depuis 2015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225" o:spid="_x0000_s1141" type="#_x0000_t66" style="position:absolute;left:0;text-align:left;margin-left:372.9pt;margin-top:-8.85pt;width:116.7pt;height:43.45pt;rotation:-1268035fd;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" adj="4021" fillcolor="#94c600 [3204]" strokecolor="black [3213]">
                <v:fill color2="#84b100 [2884]" rotate="t" focus="100%" type="gradient">
                  <o:fill v:ext="view" type="gradientUnscaled"/>
                </v:fill>
                <v:textbox>
                  <w:txbxContent>
                    <w:p w14:paraId="50307B62" w14:textId="109635C0" w:rsidR="001501D6" w:rsidRDefault="001501D6" w:rsidP="00AB150D">
                      <w:pPr>
                        <w:jc w:val="center"/>
                      </w:pPr>
                      <w:r>
                        <w:t>Depuis 2015</w:t>
                      </w:r>
                    </w:p>
                  </w:txbxContent>
                </v:textbox>
                <w10:wrap type="through"/>
              </v:shape>
            </w:pict>
          </mc:Fallback>
        </mc:AlternateContent>
      </w:r>
      <w:r w:rsidR="00626E60">
        <w:rPr>
          <w:color w:val="FF6700" w:themeColor="accent3"/>
        </w:rPr>
        <w:t>I</w:t>
      </w:r>
      <w:r w:rsidR="006C4C47">
        <w:rPr>
          <w:color w:val="FF6700" w:themeColor="accent3"/>
        </w:rPr>
        <w:t>MAGE</w:t>
      </w:r>
      <w:r w:rsidR="00626E60" w:rsidRPr="00EC2312">
        <w:rPr>
          <w:color w:val="FF6700" w:themeColor="accent3"/>
        </w:rPr>
        <w:t xml:space="preserve"> 7</w:t>
      </w:r>
      <w:r w:rsidR="00626E60">
        <w:rPr>
          <w:color w:val="FF6700" w:themeColor="accent3"/>
        </w:rPr>
        <w:t>-1</w:t>
      </w:r>
      <w:r w:rsidR="00B504DD">
        <w:rPr>
          <w:color w:val="FF6700" w:themeColor="accent3"/>
        </w:rPr>
        <w:t>1</w:t>
      </w:r>
      <w:r w:rsidR="00626E60" w:rsidRPr="00EC2312">
        <w:rPr>
          <w:color w:val="FF6700" w:themeColor="accent3"/>
        </w:rPr>
        <w:tab/>
      </w:r>
      <w:r w:rsidR="00626E60">
        <w:rPr>
          <w:color w:val="FF6700" w:themeColor="accent3"/>
        </w:rPr>
        <w:t>Table des retraits minimums FRV et FERR</w:t>
      </w:r>
      <w:r w:rsidR="00626E60">
        <w:rPr>
          <w:rStyle w:val="Marquenotebasdepage"/>
          <w:color w:val="FF6700" w:themeColor="accent3"/>
        </w:rPr>
        <w:footnoteReference w:customMarkFollows="1" w:id="34"/>
        <w:t>31</w:t>
      </w:r>
    </w:p>
    <w:p w14:paraId="4E54E1C1" w14:textId="6CED38AB" w:rsidR="00C14214" w:rsidRDefault="00C14214" w:rsidP="0046707F">
      <w:pPr>
        <w:jc w:val="both"/>
      </w:pPr>
    </w:p>
    <w:p w14:paraId="29659610" w14:textId="7F7A6906" w:rsidR="00C14214" w:rsidRDefault="00AB150D" w:rsidP="0046707F">
      <w:pPr>
        <w:jc w:val="both"/>
      </w:pPr>
      <w:r>
        <w:rPr>
          <w:noProof/>
          <w:lang w:eastAsia="fr-FR"/>
        </w:rPr>
        <w:drawing>
          <wp:anchor distT="0" distB="0" distL="114300" distR="114300" simplePos="0" relativeHeight="252160000" behindDoc="0" locked="0" layoutInCell="1" allowOverlap="1" wp14:anchorId="20738359" wp14:editId="3970C30F">
            <wp:simplePos x="0" y="0"/>
            <wp:positionH relativeFrom="column">
              <wp:posOffset>2514600</wp:posOffset>
            </wp:positionH>
            <wp:positionV relativeFrom="paragraph">
              <wp:posOffset>83185</wp:posOffset>
            </wp:positionV>
            <wp:extent cx="2057400" cy="4914900"/>
            <wp:effectExtent l="0" t="0" r="0" b="12700"/>
            <wp:wrapSquare wrapText="bothSides"/>
            <wp:docPr id="224" name="Image 224" descr="Macintosh HD:Users:marcbachand:Desktop:Capture d’écran 2015-09-10 à 09.2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9-10 à 09.27.47.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57400" cy="49149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2158976" behindDoc="0" locked="0" layoutInCell="1" allowOverlap="1" wp14:anchorId="68968175" wp14:editId="161BFA9A">
            <wp:simplePos x="0" y="0"/>
            <wp:positionH relativeFrom="column">
              <wp:posOffset>114300</wp:posOffset>
            </wp:positionH>
            <wp:positionV relativeFrom="paragraph">
              <wp:posOffset>83185</wp:posOffset>
            </wp:positionV>
            <wp:extent cx="2057400" cy="4914900"/>
            <wp:effectExtent l="0" t="0" r="0" b="12700"/>
            <wp:wrapSquare wrapText="bothSides"/>
            <wp:docPr id="223" name="Image 223" descr="Macintosh HD:Users:marcbachand:Desktop:Capture d’écran 2015-09-10 à 09.2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9-10 à 09.28.14.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57400" cy="49149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93A9B56" w14:textId="66E9691B" w:rsidR="00C14214" w:rsidRDefault="00C14214" w:rsidP="0046707F">
      <w:pPr>
        <w:jc w:val="both"/>
      </w:pPr>
    </w:p>
    <w:p w14:paraId="7F9099C2" w14:textId="105DAE85" w:rsidR="00197758" w:rsidRDefault="00197758" w:rsidP="006C34CF">
      <w:pPr>
        <w:pStyle w:val="Paragraphedeliste"/>
        <w:numPr>
          <w:ilvl w:val="0"/>
          <w:numId w:val="32"/>
        </w:numPr>
      </w:pPr>
      <w:r>
        <w:t xml:space="preserve">Avant l’âge de 71 ans, le retrait minimum </w:t>
      </w:r>
      <w:r>
        <w:tab/>
        <w:t xml:space="preserve">se calcule à l’aide de la formule </w:t>
      </w:r>
      <w:r>
        <w:tab/>
        <w:t>suivante :</w:t>
      </w:r>
    </w:p>
    <w:p w14:paraId="49A1040F" w14:textId="77777777" w:rsidR="00197758" w:rsidRDefault="00197758"/>
    <w:p w14:paraId="610971E2" w14:textId="77777777" w:rsidR="007025E6" w:rsidRDefault="00197758">
      <w:r>
        <w:tab/>
        <w:t xml:space="preserve">1 / (90 </w:t>
      </w:r>
      <w:r w:rsidR="007025E6">
        <w:t>–</w:t>
      </w:r>
      <w:r>
        <w:t xml:space="preserve"> </w:t>
      </w:r>
      <w:r w:rsidR="007025E6">
        <w:t>l’âge)</w:t>
      </w:r>
    </w:p>
    <w:p w14:paraId="39E6F1A0" w14:textId="77777777" w:rsidR="007025E6" w:rsidRDefault="007025E6"/>
    <w:p w14:paraId="1636234F" w14:textId="74FCEDF8" w:rsidR="009A5035" w:rsidRDefault="007025E6" w:rsidP="006C34CF">
      <w:pPr>
        <w:pStyle w:val="Paragraphedeliste"/>
        <w:numPr>
          <w:ilvl w:val="0"/>
          <w:numId w:val="32"/>
        </w:numPr>
      </w:pPr>
      <w:r>
        <w:t xml:space="preserve">Le calcul du retrait minimum s’effectue en </w:t>
      </w:r>
      <w:r>
        <w:tab/>
        <w:t xml:space="preserve">multipliant le facteur au solde du FRV, en </w:t>
      </w:r>
      <w:r>
        <w:tab/>
        <w:t xml:space="preserve">début d’année. </w:t>
      </w:r>
      <w:r>
        <w:tab/>
      </w:r>
      <w:r w:rsidR="009A5035">
        <w:br w:type="page"/>
      </w:r>
    </w:p>
    <w:p w14:paraId="654A76D0" w14:textId="4E0B5ACB" w:rsidR="009D718B" w:rsidRDefault="009F6CD6" w:rsidP="0046707F">
      <w:pPr>
        <w:jc w:val="both"/>
      </w:pPr>
      <w:r>
        <w:lastRenderedPageBreak/>
        <w:t>La distinction fondamentale entre le FRV et le FERR réside dans les modalités re</w:t>
      </w:r>
      <w:r w:rsidR="007025E6">
        <w:t>lativement au retrait maximum</w:t>
      </w:r>
      <w:r>
        <w:t xml:space="preserve"> pouvant être effectué à même les deux véhicules de retraite. Pour le FERR, </w:t>
      </w:r>
      <w:r w:rsidR="00F756F9">
        <w:t>il</w:t>
      </w:r>
      <w:r>
        <w:t xml:space="preserve"> n’existe pas de limite maximale quant aux retraits permis. En toute logique et conséquence des règles de la LRCR qui régissent les RPACD, le caractère viager des rentes de retraite</w:t>
      </w:r>
      <w:r w:rsidR="00470F19">
        <w:t>,</w:t>
      </w:r>
      <w:r>
        <w:t xml:space="preserve"> qui ont été </w:t>
      </w:r>
      <w:r w:rsidR="00F756F9">
        <w:t>initiées</w:t>
      </w:r>
      <w:r>
        <w:t xml:space="preserve"> à même</w:t>
      </w:r>
      <w:r w:rsidR="00470F19">
        <w:t xml:space="preserve"> un RCR, se doit d’être préservé. Pour y arriver, le législateur à intégrer la notion de retrait maximum dans le cadre des FRV. Augmentant ainsi les probabilités d’éviter l’effritement total du capital retraite du contribuable avant son décès. </w:t>
      </w:r>
      <w:r w:rsidR="003F43D7">
        <w:t>Le type de gestion et les placements admissibles sont similaires pour les deux véhicules de retraite.</w:t>
      </w:r>
    </w:p>
    <w:p w14:paraId="4D390805" w14:textId="77777777" w:rsidR="00AB150D" w:rsidRDefault="00AB150D" w:rsidP="0046707F">
      <w:pPr>
        <w:jc w:val="both"/>
      </w:pPr>
    </w:p>
    <w:p w14:paraId="7D6FBC50" w14:textId="19C6A644" w:rsidR="007025E6" w:rsidRDefault="007025E6" w:rsidP="007025E6">
      <w:pPr>
        <w:jc w:val="both"/>
      </w:pPr>
      <w:r>
        <w:rPr>
          <w:color w:val="FF6700" w:themeColor="accent3"/>
        </w:rPr>
        <w:t>I</w:t>
      </w:r>
      <w:r w:rsidR="006C4C47">
        <w:rPr>
          <w:color w:val="FF6700" w:themeColor="accent3"/>
        </w:rPr>
        <w:t>MAGE</w:t>
      </w:r>
      <w:r w:rsidRPr="00EC2312">
        <w:rPr>
          <w:color w:val="FF6700" w:themeColor="accent3"/>
        </w:rPr>
        <w:t xml:space="preserve"> 7</w:t>
      </w:r>
      <w:r>
        <w:rPr>
          <w:color w:val="FF6700" w:themeColor="accent3"/>
        </w:rPr>
        <w:t>-1</w:t>
      </w:r>
      <w:r w:rsidR="00B504DD">
        <w:rPr>
          <w:color w:val="FF6700" w:themeColor="accent3"/>
        </w:rPr>
        <w:t>2</w:t>
      </w:r>
      <w:r w:rsidR="006C4C47">
        <w:rPr>
          <w:color w:val="FF6700" w:themeColor="accent3"/>
        </w:rPr>
        <w:tab/>
      </w:r>
      <w:r>
        <w:rPr>
          <w:color w:val="FF6700" w:themeColor="accent3"/>
        </w:rPr>
        <w:t>Table des retraits maximums FRV</w:t>
      </w:r>
      <w:r w:rsidR="002B08ED">
        <w:rPr>
          <w:rStyle w:val="Marquenotebasdepage"/>
          <w:color w:val="FF6700" w:themeColor="accent3"/>
        </w:rPr>
        <w:footnoteReference w:customMarkFollows="1" w:id="35"/>
        <w:t>32</w:t>
      </w:r>
    </w:p>
    <w:p w14:paraId="141FE38C" w14:textId="77777777" w:rsidR="007025E6" w:rsidRDefault="007025E6"/>
    <w:p w14:paraId="42D92C28" w14:textId="77777777" w:rsidR="00015113" w:rsidRDefault="00015113">
      <w:r>
        <w:rPr>
          <w:noProof/>
          <w:lang w:eastAsia="fr-FR"/>
        </w:rPr>
        <w:drawing>
          <wp:anchor distT="0" distB="0" distL="114300" distR="114300" simplePos="0" relativeHeight="252163072" behindDoc="0" locked="0" layoutInCell="1" allowOverlap="1" wp14:anchorId="167E5F8D" wp14:editId="115E0AAF">
            <wp:simplePos x="0" y="0"/>
            <wp:positionH relativeFrom="column">
              <wp:posOffset>0</wp:posOffset>
            </wp:positionH>
            <wp:positionV relativeFrom="paragraph">
              <wp:posOffset>0</wp:posOffset>
            </wp:positionV>
            <wp:extent cx="4457700" cy="2302076"/>
            <wp:effectExtent l="0" t="0" r="0" b="9525"/>
            <wp:wrapSquare wrapText="bothSides"/>
            <wp:docPr id="226" name="Image 226" descr="Macintosh HD:Users:marcbachand:Desktop:Capture d’écran 2015-09-10 à 11.3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9-10 à 11.37.53.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57700" cy="2302076"/>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45922CB" w14:textId="77777777" w:rsidR="00015113" w:rsidRDefault="00015113"/>
    <w:p w14:paraId="4A98A774" w14:textId="77777777" w:rsidR="00015113" w:rsidRDefault="00015113"/>
    <w:p w14:paraId="5D5CE195" w14:textId="77777777" w:rsidR="00015113" w:rsidRDefault="00015113"/>
    <w:p w14:paraId="4F47062B" w14:textId="77777777" w:rsidR="00015113" w:rsidRDefault="00015113"/>
    <w:p w14:paraId="72C46ED1" w14:textId="77777777" w:rsidR="00015113" w:rsidRDefault="00015113"/>
    <w:p w14:paraId="74DC47E7" w14:textId="77777777" w:rsidR="00015113" w:rsidRDefault="00015113"/>
    <w:p w14:paraId="41BF4C0C" w14:textId="77777777" w:rsidR="00015113" w:rsidRDefault="00015113"/>
    <w:p w14:paraId="62D54E2F" w14:textId="77777777" w:rsidR="00015113" w:rsidRDefault="00015113"/>
    <w:p w14:paraId="2C255B82" w14:textId="77777777" w:rsidR="00015113" w:rsidRDefault="00015113"/>
    <w:p w14:paraId="30345C6D" w14:textId="77777777" w:rsidR="00015113" w:rsidRDefault="00015113"/>
    <w:p w14:paraId="63CA7F09" w14:textId="77777777" w:rsidR="00015113" w:rsidRDefault="00015113"/>
    <w:p w14:paraId="6A787A5F" w14:textId="77777777" w:rsidR="00015113" w:rsidRDefault="00015113"/>
    <w:p w14:paraId="1FF58DCC" w14:textId="33A3309B" w:rsidR="007025E6" w:rsidRDefault="00015113" w:rsidP="00015113">
      <w:pPr>
        <w:jc w:val="both"/>
      </w:pPr>
      <w:r>
        <w:t>Le FRV permet donc au retraité de recevoir un revenu de retraite tout en préservant un certain contrôle sur la capacité du fonds à générer un rendement intéressant sur le capital. Cette option est particulièrement intéressante lorsque les taux d’</w:t>
      </w:r>
      <w:r w:rsidR="00F756F9">
        <w:t>intérêt</w:t>
      </w:r>
      <w:r>
        <w:t xml:space="preserve"> sont faibles et que ceux-ci influent défavorablement sur le montant offert par le marché pour une rente viagère.</w:t>
      </w:r>
      <w:r w:rsidR="00727E98">
        <w:t xml:space="preserve"> </w:t>
      </w:r>
      <w:r w:rsidR="00727E98" w:rsidRPr="008F6727">
        <w:rPr>
          <w:color w:val="008000"/>
        </w:rPr>
        <w:t xml:space="preserve">En cas de décès, afin de préserver la protection requise par la LRCR pour le conjoint survivant, le </w:t>
      </w:r>
      <w:r w:rsidR="00B74106" w:rsidRPr="008F6727">
        <w:rPr>
          <w:color w:val="008000"/>
        </w:rPr>
        <w:t xml:space="preserve">solde du </w:t>
      </w:r>
      <w:r w:rsidR="00727E98" w:rsidRPr="008F6727">
        <w:rPr>
          <w:color w:val="008000"/>
        </w:rPr>
        <w:t>FRV doit faire l'objet d'un legs à ce dernier.</w:t>
      </w:r>
      <w:r w:rsidR="007025E6">
        <w:br w:type="page"/>
      </w:r>
    </w:p>
    <w:p w14:paraId="1D7BC564" w14:textId="6161C2CD" w:rsidR="009D718B" w:rsidRDefault="009D718B" w:rsidP="006C34CF">
      <w:pPr>
        <w:pStyle w:val="Paragraphedeliste"/>
        <w:numPr>
          <w:ilvl w:val="0"/>
          <w:numId w:val="32"/>
        </w:numPr>
        <w:rPr>
          <w:color w:val="FF6700" w:themeColor="accent3"/>
        </w:rPr>
      </w:pPr>
      <w:r>
        <w:rPr>
          <w:color w:val="FF6700" w:themeColor="accent3"/>
        </w:rPr>
        <w:lastRenderedPageBreak/>
        <w:t>La rente viagère</w:t>
      </w:r>
    </w:p>
    <w:p w14:paraId="35F54599" w14:textId="77777777" w:rsidR="009D718B" w:rsidRPr="00F64E86" w:rsidRDefault="009D718B" w:rsidP="0046707F">
      <w:pPr>
        <w:jc w:val="both"/>
      </w:pPr>
    </w:p>
    <w:p w14:paraId="5ECD3D49" w14:textId="2768E1F0" w:rsidR="00272932" w:rsidRDefault="005B0E91" w:rsidP="005B0E91">
      <w:pPr>
        <w:jc w:val="both"/>
      </w:pPr>
      <w:r>
        <w:t xml:space="preserve">L'autre façon de générer une rente de retraite à même le RPACD est d'en prendre le capital accumulé au moment  de la prise de retraite et de faire l'acquisition d'une rente viagère. Comme l'expression </w:t>
      </w:r>
      <w:r w:rsidRPr="005B0E91">
        <w:rPr>
          <w:color w:val="FF6700" w:themeColor="accent3"/>
        </w:rPr>
        <w:t>VIAGER</w:t>
      </w:r>
      <w:r>
        <w:rPr>
          <w:color w:val="FF6700" w:themeColor="accent3"/>
        </w:rPr>
        <w:t xml:space="preserve"> </w:t>
      </w:r>
      <w:r>
        <w:t>l'indique, la caractéristique première d'une telle rente est la promesse de voir celle-ci versée tant que son participant sera vivant. C'est donc un échange de capital contre la promesse de versement à vie d'un montant de rente.</w:t>
      </w:r>
    </w:p>
    <w:p w14:paraId="0067C122" w14:textId="77777777" w:rsidR="005B0E91" w:rsidRDefault="005B0E91" w:rsidP="005B0E91">
      <w:pPr>
        <w:jc w:val="both"/>
      </w:pPr>
    </w:p>
    <w:p w14:paraId="7DB06A95" w14:textId="734881FA" w:rsidR="005B0E91" w:rsidRDefault="005B0E91" w:rsidP="00203061">
      <w:pPr>
        <w:jc w:val="both"/>
      </w:pPr>
      <w:r>
        <w:t>Tel que nous en avons discuté précédemment, une rente viagère qui se veut le prolongement d'un RPACD doit comporter certaines clauses. Certaines sont obligatoires</w:t>
      </w:r>
      <w:r w:rsidR="00203061">
        <w:t xml:space="preserve"> (Rente réversible au conjoint à 60 %, Rente garantie de 10 ans, rente temporaire au besoin)</w:t>
      </w:r>
      <w:r>
        <w:t>, d'autres sont facultatives</w:t>
      </w:r>
      <w:r w:rsidR="00203061">
        <w:t xml:space="preserve"> (Rente réversible au conjoint à plus de 60 %, Rente garantie de plus de 10 ans, </w:t>
      </w:r>
      <w:r w:rsidR="00293A28">
        <w:t>l'</w:t>
      </w:r>
      <w:r w:rsidR="00203061">
        <w:t>indexation de la rente</w:t>
      </w:r>
      <w:r w:rsidR="00293A28">
        <w:t xml:space="preserve"> selon l'IPC</w:t>
      </w:r>
      <w:r w:rsidR="00203061">
        <w:t>)</w:t>
      </w:r>
      <w:r>
        <w:t>.</w:t>
      </w:r>
      <w:r w:rsidR="00203061">
        <w:t xml:space="preserve"> Chacune de ses clauses </w:t>
      </w:r>
      <w:r w:rsidR="00F756F9">
        <w:t>ajoute</w:t>
      </w:r>
      <w:r w:rsidR="00203061">
        <w:t xml:space="preserve"> au coût de la rente (c'est-à-dire que celle-ci diminue pour un même </w:t>
      </w:r>
      <w:r w:rsidR="00F756F9">
        <w:t>capital</w:t>
      </w:r>
      <w:r w:rsidR="00515988">
        <w:t>-</w:t>
      </w:r>
      <w:r w:rsidR="00F756F9">
        <w:t>retraite</w:t>
      </w:r>
      <w:r w:rsidR="00203061">
        <w:t>).</w:t>
      </w:r>
    </w:p>
    <w:p w14:paraId="423FBEAF" w14:textId="77777777" w:rsidR="00203061" w:rsidRPr="005B0E91" w:rsidRDefault="00203061" w:rsidP="00203061">
      <w:pPr>
        <w:jc w:val="both"/>
      </w:pPr>
    </w:p>
    <w:p w14:paraId="02B51442" w14:textId="16D3875A" w:rsidR="00272932" w:rsidRDefault="00125F18" w:rsidP="00203061">
      <w:pPr>
        <w:jc w:val="both"/>
      </w:pPr>
      <w:r>
        <w:t>La valeur de la rente viagère dépendra des variables suivantes:</w:t>
      </w:r>
    </w:p>
    <w:p w14:paraId="6FFB9487" w14:textId="77777777" w:rsidR="00125F18" w:rsidRDefault="00125F18" w:rsidP="00203061">
      <w:pPr>
        <w:jc w:val="both"/>
      </w:pPr>
    </w:p>
    <w:p w14:paraId="79BBA55F" w14:textId="68A8FF95" w:rsidR="00125F18" w:rsidRDefault="00125F18" w:rsidP="006C34CF">
      <w:pPr>
        <w:pStyle w:val="Paragraphedeliste"/>
        <w:numPr>
          <w:ilvl w:val="1"/>
          <w:numId w:val="32"/>
        </w:numPr>
        <w:jc w:val="both"/>
      </w:pPr>
      <w:r>
        <w:t>Le capital accumulé dans le RPACD</w:t>
      </w:r>
      <w:r w:rsidR="00295977">
        <w:t>;</w:t>
      </w:r>
    </w:p>
    <w:p w14:paraId="263ADD30" w14:textId="3661EC05" w:rsidR="00125F18" w:rsidRDefault="00125F18" w:rsidP="006C34CF">
      <w:pPr>
        <w:pStyle w:val="Paragraphedeliste"/>
        <w:numPr>
          <w:ilvl w:val="1"/>
          <w:numId w:val="32"/>
        </w:numPr>
        <w:jc w:val="both"/>
      </w:pPr>
      <w:r>
        <w:t>L'âge du contribuable au moment de l'achat de la rente</w:t>
      </w:r>
      <w:r w:rsidR="00295977">
        <w:t>;</w:t>
      </w:r>
    </w:p>
    <w:p w14:paraId="69B48580" w14:textId="65A83D14" w:rsidR="00125F18" w:rsidRDefault="00125F18" w:rsidP="006C34CF">
      <w:pPr>
        <w:pStyle w:val="Paragraphedeliste"/>
        <w:numPr>
          <w:ilvl w:val="1"/>
          <w:numId w:val="32"/>
        </w:numPr>
        <w:jc w:val="both"/>
      </w:pPr>
      <w:r>
        <w:t>Le rendement offert au moment de l'achat de la rente (les taux d'</w:t>
      </w:r>
      <w:r w:rsidR="00F756F9">
        <w:t>intérêt</w:t>
      </w:r>
      <w:r>
        <w:t xml:space="preserve"> en vigueur)</w:t>
      </w:r>
      <w:r w:rsidR="00295977">
        <w:t>;</w:t>
      </w:r>
    </w:p>
    <w:p w14:paraId="7F55CAAF" w14:textId="023C0A20" w:rsidR="00125F18" w:rsidRDefault="00125F18" w:rsidP="006C34CF">
      <w:pPr>
        <w:pStyle w:val="Paragraphedeliste"/>
        <w:numPr>
          <w:ilvl w:val="1"/>
          <w:numId w:val="32"/>
        </w:numPr>
        <w:jc w:val="both"/>
      </w:pPr>
      <w:r>
        <w:t>Le nombre et les caractéristiques des clauses de protection inclus à la rente</w:t>
      </w:r>
      <w:r w:rsidR="00295977">
        <w:t>.</w:t>
      </w:r>
    </w:p>
    <w:p w14:paraId="5091DC25" w14:textId="77777777" w:rsidR="00125F18" w:rsidRDefault="00125F18" w:rsidP="00125F18">
      <w:pPr>
        <w:ind w:left="1080"/>
        <w:jc w:val="both"/>
      </w:pPr>
    </w:p>
    <w:p w14:paraId="3021D1F7" w14:textId="32ED3E13" w:rsidR="00125F18" w:rsidRDefault="0061102C" w:rsidP="005D5740">
      <w:pPr>
        <w:jc w:val="both"/>
      </w:pPr>
      <w:r>
        <w:t>Ultimement, la différence la plus marquante entre une rente de retraite qui sera le fruit d'une rente viagère comparativement à celle qui sera versée à même le FRV réside dans l'évolution et la souplesse des rentes futures. Il faut bien comprendre que tout est fixé et figé dans le cas de la rente viagère. Le contribuable achète une rente qui comporte un taux de rendement qui est fixé aux conditions du marché au moment de l'achat. Ce taux sera à tout jamais associé à cette rente. On peut alors facilement s'imaginer que les rentes viagères ne sont p</w:t>
      </w:r>
      <w:r w:rsidR="005D5740">
        <w:t>a</w:t>
      </w:r>
      <w:r>
        <w:t>s très populaire</w:t>
      </w:r>
      <w:r w:rsidR="005D5740">
        <w:t>s</w:t>
      </w:r>
      <w:r>
        <w:t xml:space="preserve"> lor</w:t>
      </w:r>
      <w:r w:rsidR="005D5740">
        <w:t>sque les taux</w:t>
      </w:r>
      <w:r>
        <w:t xml:space="preserve"> </w:t>
      </w:r>
      <w:r w:rsidR="005D5740">
        <w:t>d'intérêt atteignent des niveaux historiquement bas. Dans le cas des FRV, l'évolution des marchés et des rendements f</w:t>
      </w:r>
      <w:r w:rsidR="00983A27">
        <w:t>ait</w:t>
      </w:r>
      <w:r w:rsidR="005D5740">
        <w:t xml:space="preserve"> fructifier le capital qui génère mensuellement une rente de retraite. L'autre point important à constater est que la rente issue d'un FRV peut être fixée annuellement à l'intérieur d'une fourchette qui se situe entre les retraits minimums et maximums alors que la rente viagère ne bouge pas</w:t>
      </w:r>
      <w:r w:rsidR="00F756F9">
        <w:t xml:space="preserve">. </w:t>
      </w:r>
      <w:r w:rsidR="005D5740">
        <w:t>Ces facteurs amèneront la rente à fluctuer dans le cas des FRV</w:t>
      </w:r>
      <w:r w:rsidR="003E6541">
        <w:t xml:space="preserve">, respectant ainsi les besoins </w:t>
      </w:r>
      <w:r w:rsidR="00983A27">
        <w:lastRenderedPageBreak/>
        <w:t>financiers du retraité qui ne sont pas toujours linéaires,</w:t>
      </w:r>
      <w:r w:rsidR="005D5740">
        <w:t xml:space="preserve"> alors qu'elle sera constamment stable dans le cas des rentes viagères.</w:t>
      </w:r>
    </w:p>
    <w:p w14:paraId="7D9F81E0" w14:textId="77777777" w:rsidR="005D5740" w:rsidRDefault="005D5740" w:rsidP="005D5740">
      <w:pPr>
        <w:jc w:val="both"/>
      </w:pPr>
    </w:p>
    <w:p w14:paraId="5634357C" w14:textId="1D56FF8E" w:rsidR="00487CD2" w:rsidRDefault="00487CD2" w:rsidP="005D5740">
      <w:pPr>
        <w:jc w:val="both"/>
      </w:pPr>
      <w:r>
        <w:rPr>
          <w:noProof/>
          <w:lang w:eastAsia="fr-FR"/>
        </w:rPr>
        <w:drawing>
          <wp:anchor distT="0" distB="0" distL="114300" distR="114300" simplePos="0" relativeHeight="252165120" behindDoc="0" locked="0" layoutInCell="1" allowOverlap="1" wp14:anchorId="03790377" wp14:editId="0AFD66A7">
            <wp:simplePos x="0" y="0"/>
            <wp:positionH relativeFrom="column">
              <wp:posOffset>2628900</wp:posOffset>
            </wp:positionH>
            <wp:positionV relativeFrom="paragraph">
              <wp:posOffset>10795</wp:posOffset>
            </wp:positionV>
            <wp:extent cx="579120" cy="571500"/>
            <wp:effectExtent l="0" t="0" r="5080" b="12700"/>
            <wp:wrapNone/>
            <wp:docPr id="227" name="Image 227">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BF4C7F0" w14:textId="32A0CBED" w:rsidR="00487CD2" w:rsidRPr="00487CD2" w:rsidRDefault="00573C95" w:rsidP="005D5740">
      <w:pPr>
        <w:jc w:val="both"/>
        <w:rPr>
          <w:color w:val="AF0013"/>
        </w:rPr>
      </w:pPr>
      <w:hyperlink r:id="rId95" w:history="1">
        <w:r w:rsidR="00487CD2" w:rsidRPr="00487CD2">
          <w:rPr>
            <w:rStyle w:val="Lienhypertexte"/>
            <w:color w:val="AF0013"/>
          </w:rPr>
          <w:t>Capsule 7-4 La rente viagère</w:t>
        </w:r>
      </w:hyperlink>
    </w:p>
    <w:p w14:paraId="68A71F9F" w14:textId="77777777" w:rsidR="00487CD2" w:rsidRDefault="00487CD2" w:rsidP="005D5740">
      <w:pPr>
        <w:jc w:val="both"/>
      </w:pPr>
    </w:p>
    <w:p w14:paraId="788CA53B" w14:textId="709E71C6" w:rsidR="00487CD2" w:rsidRDefault="00487CD2" w:rsidP="005D5740">
      <w:pPr>
        <w:jc w:val="both"/>
      </w:pPr>
      <w:r>
        <w:rPr>
          <w:noProof/>
          <w:lang w:eastAsia="fr-FR"/>
        </w:rPr>
        <w:drawing>
          <wp:anchor distT="0" distB="0" distL="114300" distR="114300" simplePos="0" relativeHeight="252167168" behindDoc="0" locked="0" layoutInCell="1" allowOverlap="1" wp14:anchorId="73DFA32B" wp14:editId="4740FFC4">
            <wp:simplePos x="0" y="0"/>
            <wp:positionH relativeFrom="column">
              <wp:posOffset>2628900</wp:posOffset>
            </wp:positionH>
            <wp:positionV relativeFrom="paragraph">
              <wp:posOffset>105410</wp:posOffset>
            </wp:positionV>
            <wp:extent cx="508000" cy="685800"/>
            <wp:effectExtent l="0" t="0" r="0" b="0"/>
            <wp:wrapNone/>
            <wp:docPr id="228" name="Image 228" descr="Macintosh HD:Users:marcbachand:Desktop:Capture d’écran 2015-06-08 à 17.18.41.pn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6ABD1D1" w14:textId="77777777" w:rsidR="00487CD2" w:rsidRDefault="00487CD2" w:rsidP="005D5740">
      <w:pPr>
        <w:jc w:val="both"/>
      </w:pPr>
    </w:p>
    <w:p w14:paraId="3657D914" w14:textId="03DBD39E" w:rsidR="00487CD2" w:rsidRPr="00487CD2" w:rsidRDefault="00573C95" w:rsidP="005D5740">
      <w:pPr>
        <w:jc w:val="both"/>
        <w:rPr>
          <w:color w:val="FF6700" w:themeColor="accent3"/>
        </w:rPr>
      </w:pPr>
      <w:hyperlink r:id="rId97" w:history="1">
        <w:r w:rsidR="00487CD2" w:rsidRPr="00487CD2">
          <w:rPr>
            <w:rStyle w:val="Lienhypertexte"/>
            <w:color w:val="FF6700" w:themeColor="accent3"/>
          </w:rPr>
          <w:t>Pour calculer une rente viagère</w:t>
        </w:r>
      </w:hyperlink>
    </w:p>
    <w:p w14:paraId="1C80C1E1" w14:textId="69C0841F" w:rsidR="00125F18" w:rsidRDefault="00125F18" w:rsidP="00125F18">
      <w:pPr>
        <w:ind w:left="1080"/>
        <w:jc w:val="both"/>
      </w:pPr>
    </w:p>
    <w:p w14:paraId="79C81491" w14:textId="77777777" w:rsidR="00487CD2" w:rsidRDefault="00487CD2" w:rsidP="00EF6F1F">
      <w:pPr>
        <w:jc w:val="both"/>
      </w:pPr>
    </w:p>
    <w:p w14:paraId="23A0EE07" w14:textId="7C64809A" w:rsidR="00EF6F1F" w:rsidRDefault="002B2421" w:rsidP="00EF6F1F">
      <w:pPr>
        <w:jc w:val="both"/>
      </w:pPr>
      <w:r>
        <w:rPr>
          <w:noProof/>
          <w:lang w:eastAsia="fr-FR"/>
        </w:rPr>
        <mc:AlternateContent>
          <mc:Choice Requires="wps">
            <w:drawing>
              <wp:anchor distT="0" distB="0" distL="114300" distR="114300" simplePos="0" relativeHeight="252168192" behindDoc="0" locked="0" layoutInCell="1" allowOverlap="1" wp14:anchorId="24F3AC99" wp14:editId="36A6951F">
                <wp:simplePos x="0" y="0"/>
                <wp:positionH relativeFrom="column">
                  <wp:posOffset>5486400</wp:posOffset>
                </wp:positionH>
                <wp:positionV relativeFrom="paragraph">
                  <wp:posOffset>344805</wp:posOffset>
                </wp:positionV>
                <wp:extent cx="1485900" cy="1288415"/>
                <wp:effectExtent l="76200" t="76200" r="63500" b="57785"/>
                <wp:wrapThrough wrapText="bothSides">
                  <wp:wrapPolygon edited="0">
                    <wp:start x="18462" y="-1277"/>
                    <wp:lineTo x="-1108" y="-426"/>
                    <wp:lineTo x="-1108" y="22143"/>
                    <wp:lineTo x="2585" y="22143"/>
                    <wp:lineTo x="2954" y="20014"/>
                    <wp:lineTo x="14031" y="20014"/>
                    <wp:lineTo x="22154" y="17033"/>
                    <wp:lineTo x="22154" y="-1277"/>
                    <wp:lineTo x="18462" y="-1277"/>
                  </wp:wrapPolygon>
                </wp:wrapThrough>
                <wp:docPr id="229" name="Parchemin horizontal 229"/>
                <wp:cNvGraphicFramePr/>
                <a:graphic xmlns:a="http://schemas.openxmlformats.org/drawingml/2006/main">
                  <a:graphicData uri="http://schemas.microsoft.com/office/word/2010/wordprocessingShape">
                    <wps:wsp>
                      <wps:cNvSpPr/>
                      <wps:spPr>
                        <a:xfrm>
                          <a:off x="0" y="0"/>
                          <a:ext cx="1485900" cy="1288415"/>
                        </a:xfrm>
                        <a:prstGeom prst="horizontalScroll">
                          <a:avLst/>
                        </a:prstGeom>
                        <a:solidFill>
                          <a:schemeClr val="accent4">
                            <a:lumMod val="75000"/>
                          </a:scheme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2B808BE" w14:textId="21BCA775" w:rsidR="00573C95" w:rsidRDefault="00573C95" w:rsidP="00751A12">
                            <w:pPr>
                              <w:jc w:val="center"/>
                            </w:pPr>
                            <w:r>
                              <w:t>Rente viagère annuelle de 22 875 $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archemin horizontal 229" o:spid="_x0000_s1142" type="#_x0000_t98" style="position:absolute;left:0;text-align:left;margin-left:6in;margin-top:27.15pt;width:117pt;height:101.4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" fillcolor="#6b6e4b [2407]" strokecolor="black [3213]">
                <v:textbox>
                  <w:txbxContent>
                    <w:p w14:paraId="22B808BE" w14:textId="21BCA775" w:rsidR="001501D6" w:rsidRDefault="001501D6" w:rsidP="00751A12">
                      <w:pPr>
                        <w:jc w:val="center"/>
                      </w:pPr>
                      <w:r>
                        <w:t>Rente viagère annuelle de 22 875 $</w:t>
                      </w:r>
                    </w:p>
                  </w:txbxContent>
                </v:textbox>
                <w10:wrap type="through"/>
              </v:shape>
            </w:pict>
          </mc:Fallback>
        </mc:AlternateContent>
      </w:r>
      <w:r w:rsidR="00EF6F1F">
        <w:t>En utilisant cette calculette, nous avons effectué une simulation pour établir une rente viagère en fonction des hypothèses suivantes:</w:t>
      </w:r>
    </w:p>
    <w:p w14:paraId="1E5AABB7" w14:textId="341A9F78" w:rsidR="00EF6F1F" w:rsidRDefault="00751A12" w:rsidP="00EF6F1F">
      <w:pPr>
        <w:jc w:val="both"/>
      </w:pPr>
      <w:r>
        <w:rPr>
          <w:noProof/>
          <w:lang w:eastAsia="fr-FR"/>
        </w:rPr>
        <mc:AlternateContent>
          <mc:Choice Requires="wps">
            <w:drawing>
              <wp:anchor distT="0" distB="0" distL="114300" distR="114300" simplePos="0" relativeHeight="252169216" behindDoc="0" locked="0" layoutInCell="1" allowOverlap="1" wp14:anchorId="471BE3F0" wp14:editId="35846192">
                <wp:simplePos x="0" y="0"/>
                <wp:positionH relativeFrom="column">
                  <wp:posOffset>4229100</wp:posOffset>
                </wp:positionH>
                <wp:positionV relativeFrom="paragraph">
                  <wp:posOffset>168910</wp:posOffset>
                </wp:positionV>
                <wp:extent cx="914400" cy="914400"/>
                <wp:effectExtent l="0" t="0" r="0" b="0"/>
                <wp:wrapThrough wrapText="bothSides">
                  <wp:wrapPolygon edited="0">
                    <wp:start x="1200" y="3000"/>
                    <wp:lineTo x="1200" y="18000"/>
                    <wp:lineTo x="19800" y="18000"/>
                    <wp:lineTo x="19800" y="3000"/>
                    <wp:lineTo x="1200" y="3000"/>
                  </wp:wrapPolygon>
                </wp:wrapThrough>
                <wp:docPr id="230" name="Égal 230"/>
                <wp:cNvGraphicFramePr/>
                <a:graphic xmlns:a="http://schemas.openxmlformats.org/drawingml/2006/main">
                  <a:graphicData uri="http://schemas.microsoft.com/office/word/2010/wordprocessingShape">
                    <wps:wsp>
                      <wps:cNvSpPr/>
                      <wps:spPr>
                        <a:xfrm>
                          <a:off x="0" y="0"/>
                          <a:ext cx="914400" cy="914400"/>
                        </a:xfrm>
                        <a:prstGeom prst="mathEqual">
                          <a:avLst/>
                        </a:prstGeom>
                        <a:solidFill>
                          <a:schemeClr val="tx2">
                            <a:lumMod val="40000"/>
                            <a:lumOff val="60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id="Égal 230" o:spid="_x0000_s1026" style="position:absolute;margin-left:333pt;margin-top:13.3pt;width:1in;height:1in;z-index:252169216;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" path="m121204,188366l793196,188366,793196,403433,121204,403433,121204,188366xm121204,510967l793196,510967,793196,726034,121204,726034,121204,510967xe" fillcolor="#bbb9a1 [1311]">
                <v:path arrowok="t" o:connecttype="custom" o:connectlocs="121204,188366;793196,188366;793196,403433;121204,403433;121204,188366;121204,510967;793196,510967;793196,726034;121204,726034;121204,510967" o:connectangles="0,0,0,0,0,0,0,0,0,0"/>
                <w10:wrap type="through"/>
              </v:shape>
            </w:pict>
          </mc:Fallback>
        </mc:AlternateContent>
      </w:r>
    </w:p>
    <w:p w14:paraId="177A5969" w14:textId="31E45BAB" w:rsidR="00EF6F1F" w:rsidRDefault="00EF6F1F" w:rsidP="006C34CF">
      <w:pPr>
        <w:pStyle w:val="Paragraphedeliste"/>
        <w:numPr>
          <w:ilvl w:val="1"/>
          <w:numId w:val="32"/>
        </w:numPr>
        <w:jc w:val="both"/>
      </w:pPr>
      <w:r>
        <w:t xml:space="preserve">Âge à l'achat de la rente </w:t>
      </w:r>
      <w:r>
        <w:tab/>
        <w:t>60 ans</w:t>
      </w:r>
    </w:p>
    <w:p w14:paraId="4D1F1EED" w14:textId="12503DEC" w:rsidR="00EF6F1F" w:rsidRDefault="00EF6F1F" w:rsidP="006C34CF">
      <w:pPr>
        <w:pStyle w:val="Paragraphedeliste"/>
        <w:numPr>
          <w:ilvl w:val="1"/>
          <w:numId w:val="32"/>
        </w:numPr>
        <w:jc w:val="both"/>
      </w:pPr>
      <w:r>
        <w:t>Capital dans le RPACD</w:t>
      </w:r>
      <w:r>
        <w:tab/>
      </w:r>
      <w:r>
        <w:tab/>
        <w:t>450 000 $</w:t>
      </w:r>
    </w:p>
    <w:p w14:paraId="3DF24510" w14:textId="05DFF42D" w:rsidR="00EF6F1F" w:rsidRDefault="00EF6F1F" w:rsidP="006C34CF">
      <w:pPr>
        <w:pStyle w:val="Paragraphedeliste"/>
        <w:numPr>
          <w:ilvl w:val="1"/>
          <w:numId w:val="32"/>
        </w:numPr>
        <w:jc w:val="both"/>
      </w:pPr>
      <w:r>
        <w:t>Âge du conjoint</w:t>
      </w:r>
      <w:r>
        <w:tab/>
      </w:r>
      <w:r>
        <w:tab/>
      </w:r>
      <w:r>
        <w:tab/>
        <w:t>65 ans</w:t>
      </w:r>
    </w:p>
    <w:p w14:paraId="4144C254" w14:textId="4E8B4D92" w:rsidR="00EF6F1F" w:rsidRDefault="00EF6F1F" w:rsidP="006C34CF">
      <w:pPr>
        <w:pStyle w:val="Paragraphedeliste"/>
        <w:numPr>
          <w:ilvl w:val="1"/>
          <w:numId w:val="32"/>
        </w:numPr>
        <w:jc w:val="both"/>
      </w:pPr>
      <w:r>
        <w:t xml:space="preserve">Rente réversible </w:t>
      </w:r>
      <w:r>
        <w:tab/>
      </w:r>
      <w:r>
        <w:tab/>
      </w:r>
      <w:r>
        <w:tab/>
        <w:t xml:space="preserve">à </w:t>
      </w:r>
      <w:r w:rsidR="001A33BB">
        <w:t>100</w:t>
      </w:r>
      <w:r>
        <w:t xml:space="preserve"> %</w:t>
      </w:r>
    </w:p>
    <w:p w14:paraId="3E593DA1" w14:textId="3592ECBD" w:rsidR="00EF6F1F" w:rsidRDefault="00EF6F1F" w:rsidP="006C34CF">
      <w:pPr>
        <w:pStyle w:val="Paragraphedeliste"/>
        <w:numPr>
          <w:ilvl w:val="1"/>
          <w:numId w:val="32"/>
        </w:numPr>
        <w:jc w:val="both"/>
      </w:pPr>
      <w:r>
        <w:t>Rente garantie</w:t>
      </w:r>
      <w:r>
        <w:tab/>
      </w:r>
      <w:r>
        <w:tab/>
      </w:r>
      <w:r>
        <w:tab/>
        <w:t>10 ans</w:t>
      </w:r>
    </w:p>
    <w:p w14:paraId="017DBED8" w14:textId="44DF4817" w:rsidR="00EF6F1F" w:rsidRDefault="00EF6F1F" w:rsidP="00EF6F1F">
      <w:pPr>
        <w:jc w:val="both"/>
      </w:pPr>
    </w:p>
    <w:p w14:paraId="62AAEA29" w14:textId="0C5BB4E0" w:rsidR="00751A12" w:rsidRDefault="001A33BB" w:rsidP="00EF6F1F">
      <w:pPr>
        <w:jc w:val="both"/>
      </w:pPr>
      <w:r>
        <w:rPr>
          <w:noProof/>
          <w:lang w:eastAsia="fr-FR"/>
        </w:rPr>
        <mc:AlternateContent>
          <mc:Choice Requires="wps">
            <w:drawing>
              <wp:anchor distT="0" distB="0" distL="114300" distR="114300" simplePos="0" relativeHeight="252170240" behindDoc="0" locked="0" layoutInCell="1" allowOverlap="1" wp14:anchorId="0121A883" wp14:editId="5167449F">
                <wp:simplePos x="0" y="0"/>
                <wp:positionH relativeFrom="column">
                  <wp:posOffset>3314700</wp:posOffset>
                </wp:positionH>
                <wp:positionV relativeFrom="paragraph">
                  <wp:posOffset>118110</wp:posOffset>
                </wp:positionV>
                <wp:extent cx="1143000" cy="1028700"/>
                <wp:effectExtent l="76200" t="76200" r="76200" b="63500"/>
                <wp:wrapNone/>
                <wp:docPr id="231" name="Ellipse 231"/>
                <wp:cNvGraphicFramePr/>
                <a:graphic xmlns:a="http://schemas.openxmlformats.org/drawingml/2006/main">
                  <a:graphicData uri="http://schemas.microsoft.com/office/word/2010/wordprocessingShape">
                    <wps:wsp>
                      <wps:cNvSpPr/>
                      <wps:spPr>
                        <a:xfrm>
                          <a:off x="0" y="0"/>
                          <a:ext cx="1143000" cy="10287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C8A8530" w14:textId="195DE2FB" w:rsidR="00573C95" w:rsidRDefault="00573C95" w:rsidP="001A33BB">
                            <w:pPr>
                              <w:jc w:val="center"/>
                            </w:pPr>
                            <w:r>
                              <w:t>- 3,21 %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31" o:spid="_x0000_s1143" style="position:absolute;left:0;text-align:left;margin-left:261pt;margin-top:9.3pt;width:90pt;height:81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" fillcolor="maroon">
                <v:textbox>
                  <w:txbxContent>
                    <w:p w14:paraId="3C8A8530" w14:textId="195DE2FB" w:rsidR="001501D6" w:rsidRDefault="001501D6" w:rsidP="001A33BB">
                      <w:pPr>
                        <w:jc w:val="center"/>
                      </w:pPr>
                      <w:r>
                        <w:t>- 3,21 %</w:t>
                      </w:r>
                    </w:p>
                  </w:txbxContent>
                </v:textbox>
              </v:oval>
            </w:pict>
          </mc:Fallback>
        </mc:AlternateContent>
      </w:r>
      <w:r w:rsidR="00751A12">
        <w:t>Est-ce une bonne proposition</w:t>
      </w:r>
      <w:r w:rsidR="00751A12" w:rsidRPr="00751A12">
        <w:rPr>
          <w:rFonts w:ascii="Avenir Book" w:hAnsi="Avenir Book"/>
        </w:rPr>
        <w:t>?</w:t>
      </w:r>
      <w:r w:rsidR="00751A12">
        <w:t xml:space="preserve"> </w:t>
      </w:r>
    </w:p>
    <w:p w14:paraId="01F5E41C" w14:textId="4BAECF83" w:rsidR="00751A12" w:rsidRDefault="00751A12" w:rsidP="00EF6F1F">
      <w:pPr>
        <w:jc w:val="both"/>
      </w:pPr>
    </w:p>
    <w:p w14:paraId="22B3DA7B" w14:textId="77777777" w:rsidR="00751A12" w:rsidRDefault="00751A12" w:rsidP="00EF6F1F">
      <w:pPr>
        <w:jc w:val="both"/>
      </w:pPr>
    </w:p>
    <w:p w14:paraId="382D6487" w14:textId="343F5474" w:rsidR="00EF6F1F" w:rsidRDefault="00751A12" w:rsidP="00EF6F1F">
      <w:pPr>
        <w:jc w:val="both"/>
      </w:pPr>
      <w:r>
        <w:t>Si les conjoints décèdent dans 15 ans, NON</w:t>
      </w:r>
    </w:p>
    <w:p w14:paraId="513CA69D" w14:textId="05C295FD" w:rsidR="00751A12" w:rsidRDefault="001A33BB" w:rsidP="00EF6F1F">
      <w:pPr>
        <w:jc w:val="both"/>
      </w:pPr>
      <w:r>
        <w:rPr>
          <w:noProof/>
          <w:lang w:eastAsia="fr-FR"/>
        </w:rPr>
        <mc:AlternateContent>
          <mc:Choice Requires="wps">
            <w:drawing>
              <wp:anchor distT="0" distB="0" distL="114300" distR="114300" simplePos="0" relativeHeight="252172288" behindDoc="0" locked="0" layoutInCell="1" allowOverlap="1" wp14:anchorId="221FA016" wp14:editId="01C058C3">
                <wp:simplePos x="0" y="0"/>
                <wp:positionH relativeFrom="column">
                  <wp:posOffset>5257800</wp:posOffset>
                </wp:positionH>
                <wp:positionV relativeFrom="paragraph">
                  <wp:posOffset>34290</wp:posOffset>
                </wp:positionV>
                <wp:extent cx="1143000" cy="1143000"/>
                <wp:effectExtent l="76200" t="76200" r="76200" b="76200"/>
                <wp:wrapNone/>
                <wp:docPr id="232" name="Ellipse 232"/>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73B7269" w14:textId="39F18459" w:rsidR="00573C95" w:rsidRPr="001A33BB" w:rsidRDefault="00573C95" w:rsidP="001A33BB">
                            <w:pPr>
                              <w:jc w:val="center"/>
                              <w:rPr>
                                <w:color w:val="000000"/>
                              </w:rPr>
                            </w:pPr>
                            <w:r>
                              <w:rPr>
                                <w:color w:val="000000"/>
                              </w:rPr>
                              <w:t>4</w:t>
                            </w:r>
                            <w:r w:rsidRPr="001A33BB">
                              <w:rPr>
                                <w:color w:val="000000"/>
                              </w:rPr>
                              <w:t>,</w:t>
                            </w:r>
                            <w:r>
                              <w:rPr>
                                <w:color w:val="000000"/>
                              </w:rPr>
                              <w:t xml:space="preserve">04 </w:t>
                            </w:r>
                            <w:r w:rsidRPr="001A33BB">
                              <w:rPr>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32" o:spid="_x0000_s1144" style="position:absolute;left:0;text-align:left;margin-left:414pt;margin-top:2.7pt;width:90pt;height:90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" fillcolor="#94c600 [3204]">
                <v:fill color2="#84b100 [2884]" rotate="t" focus="100%" type="gradient">
                  <o:fill v:ext="view" type="gradientUnscaled"/>
                </v:fill>
                <v:textbox>
                  <w:txbxContent>
                    <w:p w14:paraId="173B7269" w14:textId="39F18459" w:rsidR="001501D6" w:rsidRPr="001A33BB" w:rsidRDefault="001501D6" w:rsidP="001A33BB">
                      <w:pPr>
                        <w:jc w:val="center"/>
                        <w:rPr>
                          <w:color w:val="000000"/>
                        </w:rPr>
                      </w:pPr>
                      <w:r>
                        <w:rPr>
                          <w:color w:val="000000"/>
                        </w:rPr>
                        <w:t>4</w:t>
                      </w:r>
                      <w:r w:rsidRPr="001A33BB">
                        <w:rPr>
                          <w:color w:val="000000"/>
                        </w:rPr>
                        <w:t>,</w:t>
                      </w:r>
                      <w:r>
                        <w:rPr>
                          <w:color w:val="000000"/>
                        </w:rPr>
                        <w:t xml:space="preserve">04 </w:t>
                      </w:r>
                      <w:r w:rsidRPr="001A33BB">
                        <w:rPr>
                          <w:color w:val="000000"/>
                        </w:rPr>
                        <w:t>%</w:t>
                      </w:r>
                    </w:p>
                  </w:txbxContent>
                </v:textbox>
              </v:oval>
            </w:pict>
          </mc:Fallback>
        </mc:AlternateContent>
      </w:r>
    </w:p>
    <w:p w14:paraId="6A7F85EC" w14:textId="3334A59F" w:rsidR="00751A12" w:rsidRDefault="00751A12" w:rsidP="00EF6F1F">
      <w:pPr>
        <w:jc w:val="both"/>
      </w:pPr>
    </w:p>
    <w:p w14:paraId="39418C65" w14:textId="090B76C9" w:rsidR="00751A12" w:rsidRDefault="00751A12" w:rsidP="00EF6F1F">
      <w:pPr>
        <w:jc w:val="both"/>
      </w:pPr>
    </w:p>
    <w:p w14:paraId="1ED0C7D4" w14:textId="51CB2869" w:rsidR="00751A12" w:rsidRDefault="00751A12" w:rsidP="00EF6F1F">
      <w:pPr>
        <w:jc w:val="both"/>
      </w:pPr>
      <w:r>
        <w:t>Si le dernier conjoint décède dans 40 ans (à 105 ou 100 ans!!!), OUI</w:t>
      </w:r>
    </w:p>
    <w:p w14:paraId="4A8EE4FC" w14:textId="7FB4838F" w:rsidR="00751A12" w:rsidRDefault="00751A12" w:rsidP="00EF6F1F">
      <w:pPr>
        <w:jc w:val="both"/>
      </w:pPr>
    </w:p>
    <w:p w14:paraId="009E2820" w14:textId="1F01D494" w:rsidR="00EF6F1F" w:rsidRDefault="00EF6F1F" w:rsidP="00EF6F1F">
      <w:pPr>
        <w:ind w:left="360"/>
        <w:jc w:val="both"/>
      </w:pPr>
    </w:p>
    <w:p w14:paraId="4E7616E9" w14:textId="77777777" w:rsidR="00EF6F1F" w:rsidRDefault="00EF6F1F" w:rsidP="00EF6F1F">
      <w:pPr>
        <w:ind w:left="1080"/>
        <w:jc w:val="both"/>
      </w:pPr>
    </w:p>
    <w:p w14:paraId="1497DE5E" w14:textId="38C75714" w:rsidR="00E55578" w:rsidRDefault="00E96AF0" w:rsidP="00E96AF0">
      <w:pPr>
        <w:pStyle w:val="Titre4"/>
      </w:pPr>
      <w:bookmarkStart w:id="50" w:name="_Toc314397832"/>
      <w:bookmarkStart w:id="51" w:name="_Toc443569376"/>
      <w:r>
        <w:lastRenderedPageBreak/>
        <w:t xml:space="preserve">3.2.1.4. </w:t>
      </w:r>
      <w:r w:rsidR="00E55578">
        <w:t>Le transfert avant la retraite</w:t>
      </w:r>
      <w:bookmarkEnd w:id="50"/>
      <w:bookmarkEnd w:id="51"/>
      <w:r w:rsidR="00E55578">
        <w:t xml:space="preserve"> </w:t>
      </w:r>
    </w:p>
    <w:p w14:paraId="539929AE" w14:textId="77777777" w:rsidR="00E3701F" w:rsidRDefault="00E3701F" w:rsidP="00E3701F"/>
    <w:p w14:paraId="19588516" w14:textId="6C22C158" w:rsidR="00C15006" w:rsidRDefault="00DB154F" w:rsidP="00622AC6">
      <w:pPr>
        <w:jc w:val="both"/>
      </w:pPr>
      <w:r>
        <w:t>Essentiellement</w:t>
      </w:r>
      <w:r w:rsidR="00622AC6">
        <w:t>,</w:t>
      </w:r>
      <w:r>
        <w:t xml:space="preserve"> le transfert</w:t>
      </w:r>
      <w:r w:rsidR="00622AC6">
        <w:t xml:space="preserve"> anticipé</w:t>
      </w:r>
      <w:r>
        <w:t xml:space="preserve"> de</w:t>
      </w:r>
      <w:r w:rsidR="00622AC6">
        <w:t>s</w:t>
      </w:r>
      <w:r>
        <w:t xml:space="preserve"> sommes</w:t>
      </w:r>
      <w:r w:rsidR="00622AC6">
        <w:t xml:space="preserve"> incluses dans un RPACD peut être </w:t>
      </w:r>
      <w:r w:rsidR="0019230B">
        <w:t>causé par t</w:t>
      </w:r>
      <w:r w:rsidR="00622AC6">
        <w:t xml:space="preserve">rois évènements, soit la cessation d'emploi, le divorce ou le décès. Puisque nous sommes dans une période se situant avant la retraite, nous présumons que le contribuable est âgé de moins de 55 ans. De manière générale, les choix qui s'offrent au contribuable ont tous la même nature </w:t>
      </w:r>
      <w:r w:rsidR="00622AC6" w:rsidRPr="00622AC6">
        <w:rPr>
          <w:color w:val="FF6700" w:themeColor="accent3"/>
        </w:rPr>
        <w:t>IMMOBILISÉE</w:t>
      </w:r>
      <w:r w:rsidR="00622AC6" w:rsidRPr="00622AC6">
        <w:t>.</w:t>
      </w:r>
      <w:r w:rsidR="00622AC6">
        <w:t xml:space="preserve"> C'est-à-dire qu'il est impossible de toucher à des montants d'argent, et ce de manière directe (retrait du RPACD) ou indirecte (Transfert dans un REÉR). Il existe </w:t>
      </w:r>
      <w:r w:rsidR="00C15006">
        <w:t xml:space="preserve">quelques </w:t>
      </w:r>
      <w:r w:rsidR="00622AC6">
        <w:t>exception</w:t>
      </w:r>
      <w:r w:rsidR="00C15006">
        <w:t>s</w:t>
      </w:r>
      <w:r w:rsidR="00622AC6">
        <w:t xml:space="preserve"> à cette règle</w:t>
      </w:r>
      <w:r w:rsidR="0019230B">
        <w:t xml:space="preserve"> de restriction à l'encaissement</w:t>
      </w:r>
      <w:r w:rsidR="00C15006">
        <w:t>, les plus courantes sont</w:t>
      </w:r>
      <w:r w:rsidR="00A81AC1">
        <w:rPr>
          <w:rStyle w:val="Marquenotebasdepage"/>
        </w:rPr>
        <w:footnoteReference w:customMarkFollows="1" w:id="36"/>
        <w:t>33</w:t>
      </w:r>
      <w:r w:rsidR="00C15006">
        <w:t>:</w:t>
      </w:r>
      <w:r w:rsidR="00622AC6">
        <w:t xml:space="preserve"> </w:t>
      </w:r>
    </w:p>
    <w:p w14:paraId="0B8F058A" w14:textId="77777777" w:rsidR="00C15006" w:rsidRDefault="00C15006" w:rsidP="00622AC6">
      <w:pPr>
        <w:jc w:val="both"/>
      </w:pPr>
    </w:p>
    <w:p w14:paraId="5439644B" w14:textId="02B72519" w:rsidR="00C15006" w:rsidRDefault="00C15006" w:rsidP="006C34CF">
      <w:pPr>
        <w:pStyle w:val="Paragraphedeliste"/>
        <w:widowControl w:val="0"/>
        <w:numPr>
          <w:ilvl w:val="1"/>
          <w:numId w:val="32"/>
        </w:numPr>
        <w:autoSpaceDE w:val="0"/>
        <w:autoSpaceDN w:val="0"/>
        <w:adjustRightInd w:val="0"/>
        <w:rPr>
          <w:rFonts w:asciiTheme="majorHAnsi" w:hAnsiTheme="majorHAnsi" w:cs="Arial"/>
          <w:color w:val="262626"/>
        </w:rPr>
      </w:pPr>
      <w:r>
        <w:rPr>
          <w:rFonts w:asciiTheme="majorHAnsi" w:hAnsiTheme="majorHAnsi" w:cs="Arial"/>
          <w:color w:val="262626"/>
        </w:rPr>
        <w:t>Lorsque les c</w:t>
      </w:r>
      <w:r w:rsidRPr="00C15006">
        <w:rPr>
          <w:rFonts w:asciiTheme="majorHAnsi" w:hAnsiTheme="majorHAnsi" w:cs="Arial"/>
          <w:color w:val="262626"/>
        </w:rPr>
        <w:t xml:space="preserve">otisations salariales et patronales </w:t>
      </w:r>
      <w:r>
        <w:rPr>
          <w:rFonts w:asciiTheme="majorHAnsi" w:hAnsiTheme="majorHAnsi" w:cs="Arial"/>
          <w:color w:val="262626"/>
        </w:rPr>
        <w:t xml:space="preserve">du régime sont </w:t>
      </w:r>
      <w:r w:rsidRPr="00C15006">
        <w:rPr>
          <w:rFonts w:asciiTheme="majorHAnsi" w:hAnsiTheme="majorHAnsi" w:cs="Arial"/>
          <w:color w:val="262626"/>
        </w:rPr>
        <w:t>inférieures à 20 % du maximum des gains admissibles (MGA), soit 10 720 $ en 2015</w:t>
      </w:r>
    </w:p>
    <w:p w14:paraId="23E56EE9" w14:textId="77777777" w:rsidR="00C15006" w:rsidRPr="00C15006" w:rsidRDefault="00C15006" w:rsidP="00C15006">
      <w:pPr>
        <w:widowControl w:val="0"/>
        <w:autoSpaceDE w:val="0"/>
        <w:autoSpaceDN w:val="0"/>
        <w:adjustRightInd w:val="0"/>
        <w:ind w:left="1080"/>
        <w:rPr>
          <w:rFonts w:asciiTheme="majorHAnsi" w:hAnsiTheme="majorHAnsi" w:cs="Arial"/>
          <w:color w:val="262626"/>
        </w:rPr>
      </w:pPr>
    </w:p>
    <w:p w14:paraId="33DCA2A8" w14:textId="776DDBE8" w:rsidR="00C15006" w:rsidRPr="00C15006" w:rsidRDefault="00C15006" w:rsidP="006C34CF">
      <w:pPr>
        <w:pStyle w:val="Paragraphedeliste"/>
        <w:widowControl w:val="0"/>
        <w:numPr>
          <w:ilvl w:val="1"/>
          <w:numId w:val="32"/>
        </w:numPr>
        <w:autoSpaceDE w:val="0"/>
        <w:autoSpaceDN w:val="0"/>
        <w:adjustRightInd w:val="0"/>
        <w:rPr>
          <w:rFonts w:asciiTheme="majorHAnsi" w:hAnsiTheme="majorHAnsi" w:cs="Arial"/>
          <w:color w:val="262626"/>
        </w:rPr>
      </w:pPr>
      <w:r>
        <w:rPr>
          <w:rFonts w:asciiTheme="majorHAnsi" w:hAnsiTheme="majorHAnsi" w:cs="Arial"/>
          <w:color w:val="262626"/>
        </w:rPr>
        <w:t xml:space="preserve">Le total </w:t>
      </w:r>
      <w:r w:rsidR="00F756F9">
        <w:rPr>
          <w:rFonts w:asciiTheme="majorHAnsi" w:hAnsiTheme="majorHAnsi" w:cs="Arial"/>
          <w:color w:val="262626"/>
        </w:rPr>
        <w:t>de</w:t>
      </w:r>
      <w:r>
        <w:rPr>
          <w:rFonts w:asciiTheme="majorHAnsi" w:hAnsiTheme="majorHAnsi" w:cs="Arial"/>
          <w:color w:val="262626"/>
        </w:rPr>
        <w:t xml:space="preserve"> l'é</w:t>
      </w:r>
      <w:r w:rsidRPr="00C15006">
        <w:rPr>
          <w:rFonts w:asciiTheme="majorHAnsi" w:hAnsiTheme="majorHAnsi" w:cs="Arial"/>
          <w:color w:val="262626"/>
        </w:rPr>
        <w:t xml:space="preserve">pargne-retraite </w:t>
      </w:r>
      <w:r>
        <w:rPr>
          <w:rFonts w:asciiTheme="majorHAnsi" w:hAnsiTheme="majorHAnsi" w:cs="Arial"/>
          <w:color w:val="262626"/>
        </w:rPr>
        <w:t xml:space="preserve">immobilisé est </w:t>
      </w:r>
      <w:r w:rsidR="00F756F9">
        <w:rPr>
          <w:rFonts w:asciiTheme="majorHAnsi" w:hAnsiTheme="majorHAnsi" w:cs="Arial"/>
          <w:color w:val="262626"/>
        </w:rPr>
        <w:t>inférieur</w:t>
      </w:r>
      <w:r w:rsidRPr="00C15006">
        <w:rPr>
          <w:rFonts w:asciiTheme="majorHAnsi" w:hAnsiTheme="majorHAnsi" w:cs="Arial"/>
          <w:color w:val="262626"/>
        </w:rPr>
        <w:t xml:space="preserve"> ou </w:t>
      </w:r>
      <w:r w:rsidR="00F756F9">
        <w:rPr>
          <w:rFonts w:asciiTheme="majorHAnsi" w:hAnsiTheme="majorHAnsi" w:cs="Arial"/>
          <w:color w:val="262626"/>
        </w:rPr>
        <w:t>égal</w:t>
      </w:r>
      <w:r w:rsidRPr="00C15006">
        <w:rPr>
          <w:rFonts w:asciiTheme="majorHAnsi" w:hAnsiTheme="majorHAnsi" w:cs="Arial"/>
          <w:color w:val="262626"/>
        </w:rPr>
        <w:t xml:space="preserve"> à 40 % du maximum des gains admissibles (MGA), soit 21 440 $ en 2015</w:t>
      </w:r>
    </w:p>
    <w:p w14:paraId="08D42B6B" w14:textId="77777777" w:rsidR="00C15006" w:rsidRDefault="00C15006" w:rsidP="00C15006">
      <w:pPr>
        <w:ind w:left="1800"/>
        <w:jc w:val="both"/>
      </w:pPr>
    </w:p>
    <w:p w14:paraId="73F65C74" w14:textId="355BFAE1" w:rsidR="00C15006" w:rsidRDefault="00A81AC1" w:rsidP="00622AC6">
      <w:pPr>
        <w:jc w:val="both"/>
      </w:pPr>
      <w:r>
        <w:t>Sinon, les choix emprunte</w:t>
      </w:r>
      <w:r w:rsidR="0019113D">
        <w:t xml:space="preserve">ront une voie qui aboutira dans un véhicule de placement qui visera à immobiliser le </w:t>
      </w:r>
      <w:r w:rsidR="00F756F9">
        <w:t>capital</w:t>
      </w:r>
      <w:r w:rsidR="00310A3F">
        <w:t>-</w:t>
      </w:r>
      <w:r w:rsidR="00F756F9">
        <w:t>retraite</w:t>
      </w:r>
      <w:r w:rsidR="0019113D">
        <w:t>.</w:t>
      </w:r>
    </w:p>
    <w:p w14:paraId="4D45C893" w14:textId="77777777" w:rsidR="00C15006" w:rsidRDefault="00C15006" w:rsidP="00622AC6">
      <w:pPr>
        <w:jc w:val="both"/>
      </w:pPr>
    </w:p>
    <w:p w14:paraId="767C86A1" w14:textId="6E7975EF" w:rsidR="0019113D" w:rsidRPr="0019113D" w:rsidRDefault="0019113D" w:rsidP="006C34CF">
      <w:pPr>
        <w:pStyle w:val="Paragraphedeliste"/>
        <w:numPr>
          <w:ilvl w:val="0"/>
          <w:numId w:val="32"/>
        </w:numPr>
        <w:jc w:val="both"/>
        <w:rPr>
          <w:color w:val="FF6700" w:themeColor="accent3"/>
        </w:rPr>
      </w:pPr>
      <w:r w:rsidRPr="0019113D">
        <w:rPr>
          <w:color w:val="FF6700" w:themeColor="accent3"/>
        </w:rPr>
        <w:t>La cessation d'emploi</w:t>
      </w:r>
    </w:p>
    <w:p w14:paraId="114E73F1" w14:textId="77777777" w:rsidR="0019113D" w:rsidRDefault="0019113D"/>
    <w:p w14:paraId="09C29ACD" w14:textId="7F8EF8F8" w:rsidR="0019113D" w:rsidRDefault="0019113D" w:rsidP="0019113D">
      <w:pPr>
        <w:jc w:val="both"/>
      </w:pPr>
      <w:r>
        <w:t xml:space="preserve">Dans le cas où il y a cessation d'emploi, le service actuariel du régime établira la valeur de transfert du RPACD du contribuable. Cette valeur sera fonction des cotisations de l'employeur et de l'employé ainsi que des rendements obtenus sur ces cotisations. </w:t>
      </w:r>
    </w:p>
    <w:p w14:paraId="6409D550" w14:textId="77777777" w:rsidR="0019113D" w:rsidRDefault="0019113D"/>
    <w:p w14:paraId="5669E12A" w14:textId="77777777" w:rsidR="004A4E49" w:rsidRDefault="004A4E49"/>
    <w:p w14:paraId="36EFE000" w14:textId="77777777" w:rsidR="004A4E49" w:rsidRDefault="004A4E49"/>
    <w:p w14:paraId="2B712E60" w14:textId="77777777" w:rsidR="004A4E49" w:rsidRDefault="004A4E49"/>
    <w:p w14:paraId="300CF291" w14:textId="77777777" w:rsidR="004A4E49" w:rsidRDefault="004A4E49"/>
    <w:p w14:paraId="4C5DCABE" w14:textId="77777777" w:rsidR="00421870" w:rsidRDefault="0019113D">
      <w:r>
        <w:lastRenderedPageBreak/>
        <w:t xml:space="preserve">Les choix qui s'offrent </w:t>
      </w:r>
      <w:r w:rsidR="004A4E49">
        <w:t xml:space="preserve">alors </w:t>
      </w:r>
      <w:r>
        <w:t>au contribuable</w:t>
      </w:r>
      <w:r w:rsidR="004A4E49">
        <w:t xml:space="preserve"> peuvent s'illustrer de la façon suivante:</w:t>
      </w:r>
    </w:p>
    <w:p w14:paraId="0852AF3B" w14:textId="4F34ACB4" w:rsidR="00421870" w:rsidRDefault="00421870"/>
    <w:p w14:paraId="67193057" w14:textId="592CC529" w:rsidR="00421870" w:rsidRDefault="00EA5F54">
      <w:r>
        <w:rPr>
          <w:noProof/>
          <w:lang w:eastAsia="fr-FR"/>
        </w:rPr>
        <mc:AlternateContent>
          <mc:Choice Requires="wps">
            <w:drawing>
              <wp:anchor distT="0" distB="0" distL="114300" distR="114300" simplePos="0" relativeHeight="252216320" behindDoc="0" locked="0" layoutInCell="1" allowOverlap="1" wp14:anchorId="132424E3" wp14:editId="2594A9CF">
                <wp:simplePos x="0" y="0"/>
                <wp:positionH relativeFrom="column">
                  <wp:posOffset>3657600</wp:posOffset>
                </wp:positionH>
                <wp:positionV relativeFrom="paragraph">
                  <wp:posOffset>83185</wp:posOffset>
                </wp:positionV>
                <wp:extent cx="304800" cy="3657600"/>
                <wp:effectExtent l="0" t="0" r="25400" b="25400"/>
                <wp:wrapThrough wrapText="bothSides">
                  <wp:wrapPolygon edited="0">
                    <wp:start x="0" y="0"/>
                    <wp:lineTo x="0" y="150"/>
                    <wp:lineTo x="18000" y="2400"/>
                    <wp:lineTo x="18000" y="19200"/>
                    <wp:lineTo x="0" y="21450"/>
                    <wp:lineTo x="0" y="21600"/>
                    <wp:lineTo x="21600" y="21600"/>
                    <wp:lineTo x="21600" y="0"/>
                    <wp:lineTo x="0" y="0"/>
                  </wp:wrapPolygon>
                </wp:wrapThrough>
                <wp:docPr id="260" name="Parenthèse fermante 260"/>
                <wp:cNvGraphicFramePr/>
                <a:graphic xmlns:a="http://schemas.openxmlformats.org/drawingml/2006/main">
                  <a:graphicData uri="http://schemas.microsoft.com/office/word/2010/wordprocessingShape">
                    <wps:wsp>
                      <wps:cNvSpPr/>
                      <wps:spPr>
                        <a:xfrm>
                          <a:off x="0" y="0"/>
                          <a:ext cx="304800" cy="3657600"/>
                        </a:xfrm>
                        <a:prstGeom prst="rightBracket">
                          <a:avLst/>
                        </a:prstGeom>
                        <a:ln>
                          <a:solidFill>
                            <a:srgbClr val="3E3D2D"/>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shapetype id="_x0000_t86" coordsize="21600,21600" o:spt="86" adj="1800" path="m0,0qx21600@0l21600@1qy0,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Parenthèse fermante 260" o:spid="_x0000_s1026" type="#_x0000_t86" style="position:absolute;margin-left:4in;margin-top:6.55pt;width:24pt;height:4in;z-index:252216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" adj="150" strokecolor="#3e3d2d" strokeweight="1.25pt">
                <w10:wrap type="through"/>
              </v:shape>
            </w:pict>
          </mc:Fallback>
        </mc:AlternateContent>
      </w:r>
      <w:r w:rsidR="00421870" w:rsidRPr="00421870">
        <w:rPr>
          <w:noProof/>
          <w:lang w:eastAsia="fr-FR"/>
        </w:rPr>
        <mc:AlternateContent>
          <mc:Choice Requires="wps">
            <w:drawing>
              <wp:anchor distT="0" distB="0" distL="114300" distR="114300" simplePos="0" relativeHeight="252175360" behindDoc="0" locked="0" layoutInCell="1" allowOverlap="1" wp14:anchorId="79D0A053" wp14:editId="64B6A712">
                <wp:simplePos x="0" y="0"/>
                <wp:positionH relativeFrom="column">
                  <wp:posOffset>2171700</wp:posOffset>
                </wp:positionH>
                <wp:positionV relativeFrom="paragraph">
                  <wp:posOffset>83185</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255" name="Rectangle à coins arrondis 255"/>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768EB08" w14:textId="77777777" w:rsidR="00573C95" w:rsidRPr="00393954" w:rsidRDefault="00573C95" w:rsidP="00421870">
                            <w:pPr>
                              <w:jc w:val="center"/>
                              <w:rPr>
                                <w:color w:val="000000"/>
                                <w:sz w:val="20"/>
                                <w:szCs w:val="20"/>
                              </w:rPr>
                            </w:pPr>
                            <w:r w:rsidRPr="00393954">
                              <w:rPr>
                                <w:color w:val="000000"/>
                                <w:sz w:val="20"/>
                                <w:szCs w:val="20"/>
                              </w:rPr>
                              <w:t>Maintien d</w:t>
                            </w:r>
                            <w:r>
                              <w:rPr>
                                <w:color w:val="000000"/>
                                <w:sz w:val="20"/>
                                <w:szCs w:val="20"/>
                              </w:rPr>
                              <w:t>ans le</w:t>
                            </w:r>
                            <w:r w:rsidRPr="00393954">
                              <w:rPr>
                                <w:color w:val="000000"/>
                                <w:sz w:val="20"/>
                                <w:szCs w:val="20"/>
                              </w:rPr>
                              <w:t xml:space="preserve"> RPACD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55" o:spid="_x0000_s1145" style="position:absolute;margin-left:171pt;margin-top:6.55pt;width:81pt;height:81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" fillcolor="#cfc" strokecolor="green">
                <v:textbox>
                  <w:txbxContent>
                    <w:p w14:paraId="3768EB08" w14:textId="77777777" w:rsidR="001501D6" w:rsidRPr="00393954" w:rsidRDefault="001501D6" w:rsidP="00421870">
                      <w:pPr>
                        <w:jc w:val="center"/>
                        <w:rPr>
                          <w:color w:val="000000"/>
                          <w:sz w:val="20"/>
                          <w:szCs w:val="20"/>
                        </w:rPr>
                      </w:pPr>
                      <w:r w:rsidRPr="00393954">
                        <w:rPr>
                          <w:color w:val="000000"/>
                          <w:sz w:val="20"/>
                          <w:szCs w:val="20"/>
                        </w:rPr>
                        <w:t>Maintien d</w:t>
                      </w:r>
                      <w:r>
                        <w:rPr>
                          <w:color w:val="000000"/>
                          <w:sz w:val="20"/>
                          <w:szCs w:val="20"/>
                        </w:rPr>
                        <w:t>ans le</w:t>
                      </w:r>
                      <w:r w:rsidRPr="00393954">
                        <w:rPr>
                          <w:color w:val="000000"/>
                          <w:sz w:val="20"/>
                          <w:szCs w:val="20"/>
                        </w:rPr>
                        <w:t xml:space="preserve"> RPACD</w:t>
                      </w:r>
                    </w:p>
                  </w:txbxContent>
                </v:textbox>
                <w10:wrap type="through"/>
              </v:roundrect>
            </w:pict>
          </mc:Fallback>
        </mc:AlternateContent>
      </w:r>
    </w:p>
    <w:p w14:paraId="4C606580" w14:textId="77777777" w:rsidR="00421870" w:rsidRDefault="00421870"/>
    <w:p w14:paraId="092C81C1" w14:textId="5669D47C" w:rsidR="0019113D" w:rsidRDefault="00EA5F54">
      <w:r>
        <w:rPr>
          <w:noProof/>
          <w:lang w:eastAsia="fr-FR"/>
        </w:rPr>
        <mc:AlternateContent>
          <mc:Choice Requires="wps">
            <w:drawing>
              <wp:anchor distT="0" distB="0" distL="114300" distR="114300" simplePos="0" relativeHeight="252218368" behindDoc="0" locked="0" layoutInCell="1" allowOverlap="1" wp14:anchorId="44642B4E" wp14:editId="35097309">
                <wp:simplePos x="0" y="0"/>
                <wp:positionH relativeFrom="column">
                  <wp:posOffset>4229100</wp:posOffset>
                </wp:positionH>
                <wp:positionV relativeFrom="paragraph">
                  <wp:posOffset>967105</wp:posOffset>
                </wp:positionV>
                <wp:extent cx="2706370" cy="999490"/>
                <wp:effectExtent l="0" t="0" r="36830" b="16510"/>
                <wp:wrapThrough wrapText="bothSides">
                  <wp:wrapPolygon edited="0">
                    <wp:start x="3244" y="0"/>
                    <wp:lineTo x="0" y="8783"/>
                    <wp:lineTo x="0" y="12076"/>
                    <wp:lineTo x="3041" y="21408"/>
                    <wp:lineTo x="3244" y="21408"/>
                    <wp:lineTo x="4663" y="21408"/>
                    <wp:lineTo x="4460" y="17565"/>
                    <wp:lineTo x="21691" y="17017"/>
                    <wp:lineTo x="21691" y="4391"/>
                    <wp:lineTo x="4663" y="0"/>
                    <wp:lineTo x="3244" y="0"/>
                  </wp:wrapPolygon>
                </wp:wrapThrough>
                <wp:docPr id="261" name="Flèche vers la gauche 261"/>
                <wp:cNvGraphicFramePr/>
                <a:graphic xmlns:a="http://schemas.openxmlformats.org/drawingml/2006/main">
                  <a:graphicData uri="http://schemas.microsoft.com/office/word/2010/wordprocessingShape">
                    <wps:wsp>
                      <wps:cNvSpPr/>
                      <wps:spPr>
                        <a:xfrm>
                          <a:off x="0" y="0"/>
                          <a:ext cx="2706370" cy="999490"/>
                        </a:xfrm>
                        <a:prstGeom prst="leftArrow">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58FF075B" w14:textId="77777777" w:rsidR="00573C95" w:rsidRDefault="00573C95" w:rsidP="00EA5F54">
                            <w:pPr>
                              <w:jc w:val="center"/>
                            </w:pPr>
                            <w:r>
                              <w:t>OPÉRATIONS NON IMPOSABLES</w:t>
                            </w:r>
                          </w:p>
                        </w:txbxContent>
                      </wps:txbx>
                      <wps:bodyPr/>
                    </wps:wsp>
                  </a:graphicData>
                </a:graphic>
                <wp14:sizeRelH relativeFrom="margin">
                  <wp14:pctWidth>0</wp14:pctWidth>
                </wp14:sizeRelH>
                <wp14:sizeRelV relativeFrom="margin">
                  <wp14:pctHeight>0</wp14:pctHeight>
                </wp14:sizeRelV>
              </wp:anchor>
            </w:drawing>
          </mc:Choice>
          <mc:Fallback>
            <w:pict>
              <v:shape id="Flèche vers la gauche 261" o:spid="_x0000_s1146" type="#_x0000_t66" style="position:absolute;margin-left:333pt;margin-top:76.15pt;width:213.1pt;height:78.7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" adj="3989" fillcolor="#71685a [3205]" strokecolor="#38332c [1605]" strokeweight="1.25pt">
                <v:textbox>
                  <w:txbxContent>
                    <w:p w14:paraId="58FF075B" w14:textId="77777777" w:rsidR="001501D6" w:rsidRDefault="001501D6" w:rsidP="00EA5F54">
                      <w:pPr>
                        <w:jc w:val="center"/>
                      </w:pPr>
                      <w:r>
                        <w:t>OPÉRATIONS NON IMPOSABLES</w:t>
                      </w:r>
                    </w:p>
                  </w:txbxContent>
                </v:textbox>
                <w10:wrap type="through"/>
              </v:shape>
            </w:pict>
          </mc:Fallback>
        </mc:AlternateContent>
      </w:r>
      <w:r w:rsidR="00421870">
        <w:rPr>
          <w:noProof/>
          <w:lang w:eastAsia="fr-FR"/>
        </w:rPr>
        <mc:AlternateContent>
          <mc:Choice Requires="wps">
            <w:drawing>
              <wp:anchor distT="0" distB="0" distL="114300" distR="114300" simplePos="0" relativeHeight="252184576" behindDoc="0" locked="0" layoutInCell="1" allowOverlap="1" wp14:anchorId="0CFC1033" wp14:editId="3FC2658B">
                <wp:simplePos x="0" y="0"/>
                <wp:positionH relativeFrom="column">
                  <wp:posOffset>1371600</wp:posOffset>
                </wp:positionH>
                <wp:positionV relativeFrom="paragraph">
                  <wp:posOffset>1995805</wp:posOffset>
                </wp:positionV>
                <wp:extent cx="800100" cy="571500"/>
                <wp:effectExtent l="0" t="0" r="88900" b="88900"/>
                <wp:wrapNone/>
                <wp:docPr id="259" name="Connecteur droit 259"/>
                <wp:cNvGraphicFramePr/>
                <a:graphic xmlns:a="http://schemas.openxmlformats.org/drawingml/2006/main">
                  <a:graphicData uri="http://schemas.microsoft.com/office/word/2010/wordprocessingShape">
                    <wps:wsp>
                      <wps:cNvCnPr/>
                      <wps:spPr>
                        <a:xfrm>
                          <a:off x="0" y="0"/>
                          <a:ext cx="800100" cy="57150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259" o:spid="_x0000_s1026" style="position:absolute;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157.15pt" to="171pt,20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" strokecolor="#3e3d2d [3215]" strokeweight="1.25pt">
                <v:stroke endarrow="block" endarrowwidth="wide"/>
              </v:line>
            </w:pict>
          </mc:Fallback>
        </mc:AlternateContent>
      </w:r>
      <w:r w:rsidR="00421870">
        <w:rPr>
          <w:noProof/>
          <w:lang w:eastAsia="fr-FR"/>
        </w:rPr>
        <mc:AlternateContent>
          <mc:Choice Requires="wps">
            <w:drawing>
              <wp:anchor distT="0" distB="0" distL="114300" distR="114300" simplePos="0" relativeHeight="252182528" behindDoc="0" locked="0" layoutInCell="1" allowOverlap="1" wp14:anchorId="4EA8D1F9" wp14:editId="32024402">
                <wp:simplePos x="0" y="0"/>
                <wp:positionH relativeFrom="column">
                  <wp:posOffset>1371600</wp:posOffset>
                </wp:positionH>
                <wp:positionV relativeFrom="paragraph">
                  <wp:posOffset>1538605</wp:posOffset>
                </wp:positionV>
                <wp:extent cx="800100" cy="0"/>
                <wp:effectExtent l="0" t="101600" r="38100" b="127000"/>
                <wp:wrapNone/>
                <wp:docPr id="258" name="Connecteur droit 258"/>
                <wp:cNvGraphicFramePr/>
                <a:graphic xmlns:a="http://schemas.openxmlformats.org/drawingml/2006/main">
                  <a:graphicData uri="http://schemas.microsoft.com/office/word/2010/wordprocessingShape">
                    <wps:wsp>
                      <wps:cNvCnPr/>
                      <wps:spPr>
                        <a:xfrm>
                          <a:off x="0" y="0"/>
                          <a:ext cx="800100" cy="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258" o:spid="_x0000_s1026" style="position:absolute;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121.15pt" to="171pt,121.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" strokecolor="#3e3d2d [3215]" strokeweight="1.25pt">
                <v:stroke endarrow="block" endarrowwidth="wide"/>
              </v:line>
            </w:pict>
          </mc:Fallback>
        </mc:AlternateContent>
      </w:r>
      <w:r w:rsidR="00421870">
        <w:rPr>
          <w:noProof/>
          <w:lang w:eastAsia="fr-FR"/>
        </w:rPr>
        <mc:AlternateContent>
          <mc:Choice Requires="wps">
            <w:drawing>
              <wp:anchor distT="0" distB="0" distL="114300" distR="114300" simplePos="0" relativeHeight="252180480" behindDoc="0" locked="0" layoutInCell="1" allowOverlap="1" wp14:anchorId="2DB3ABBE" wp14:editId="0FFC99AF">
                <wp:simplePos x="0" y="0"/>
                <wp:positionH relativeFrom="column">
                  <wp:posOffset>1371600</wp:posOffset>
                </wp:positionH>
                <wp:positionV relativeFrom="paragraph">
                  <wp:posOffset>624205</wp:posOffset>
                </wp:positionV>
                <wp:extent cx="795655" cy="571500"/>
                <wp:effectExtent l="0" t="50800" r="67945" b="38100"/>
                <wp:wrapNone/>
                <wp:docPr id="257" name="Connecteur droit 257"/>
                <wp:cNvGraphicFramePr/>
                <a:graphic xmlns:a="http://schemas.openxmlformats.org/drawingml/2006/main">
                  <a:graphicData uri="http://schemas.microsoft.com/office/word/2010/wordprocessingShape">
                    <wps:wsp>
                      <wps:cNvCnPr/>
                      <wps:spPr>
                        <a:xfrm flipV="1">
                          <a:off x="0" y="0"/>
                          <a:ext cx="795655" cy="57150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257" o:spid="_x0000_s1026" style="position:absolute;flip:y;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49.15pt" to="170.65pt,94.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" strokecolor="#3e3d2d [3215]" strokeweight="1.25pt">
                <v:stroke endarrow="block" endarrowwidth="wide"/>
              </v:line>
            </w:pict>
          </mc:Fallback>
        </mc:AlternateContent>
      </w:r>
      <w:r w:rsidR="00421870" w:rsidRPr="00421870">
        <w:rPr>
          <w:noProof/>
          <w:lang w:eastAsia="fr-FR"/>
        </w:rPr>
        <mc:AlternateContent>
          <mc:Choice Requires="wps">
            <w:drawing>
              <wp:anchor distT="0" distB="0" distL="114300" distR="114300" simplePos="0" relativeHeight="252178432" behindDoc="0" locked="0" layoutInCell="1" allowOverlap="1" wp14:anchorId="4555628C" wp14:editId="00BEA73F">
                <wp:simplePos x="0" y="0"/>
                <wp:positionH relativeFrom="column">
                  <wp:posOffset>2171700</wp:posOffset>
                </wp:positionH>
                <wp:positionV relativeFrom="paragraph">
                  <wp:posOffset>2453005</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256" name="Rectangle à coins arrondis 256"/>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819272" w14:textId="41F9385B" w:rsidR="00573C95" w:rsidRPr="00393954" w:rsidRDefault="00573C95" w:rsidP="00421870">
                            <w:pPr>
                              <w:jc w:val="center"/>
                              <w:rPr>
                                <w:color w:val="000000"/>
                                <w:sz w:val="20"/>
                                <w:szCs w:val="20"/>
                              </w:rPr>
                            </w:pPr>
                            <w:r>
                              <w:rPr>
                                <w:color w:val="000000"/>
                                <w:sz w:val="20"/>
                                <w:szCs w:val="20"/>
                              </w:rPr>
                              <w:t>Transfert dans le régime du nouvel employeur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56" o:spid="_x0000_s1147" style="position:absolute;margin-left:171pt;margin-top:193.15pt;width:81pt;height:81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" fillcolor="#cfc" strokecolor="green">
                <v:textbox>
                  <w:txbxContent>
                    <w:p w14:paraId="3D819272" w14:textId="41F9385B" w:rsidR="001501D6" w:rsidRPr="00393954" w:rsidRDefault="001501D6" w:rsidP="00421870">
                      <w:pPr>
                        <w:jc w:val="center"/>
                        <w:rPr>
                          <w:color w:val="000000"/>
                          <w:sz w:val="20"/>
                          <w:szCs w:val="20"/>
                        </w:rPr>
                      </w:pPr>
                      <w:r>
                        <w:rPr>
                          <w:color w:val="000000"/>
                          <w:sz w:val="20"/>
                          <w:szCs w:val="20"/>
                        </w:rPr>
                        <w:t>Transfert dans le régime du nouvel employeur</w:t>
                      </w:r>
                    </w:p>
                  </w:txbxContent>
                </v:textbox>
                <w10:wrap type="through"/>
              </v:roundrect>
            </w:pict>
          </mc:Fallback>
        </mc:AlternateContent>
      </w:r>
      <w:r w:rsidR="00421870" w:rsidRPr="00421870">
        <w:rPr>
          <w:noProof/>
          <w:lang w:eastAsia="fr-FR"/>
        </w:rPr>
        <mc:AlternateContent>
          <mc:Choice Requires="wps">
            <w:drawing>
              <wp:anchor distT="0" distB="0" distL="114300" distR="114300" simplePos="0" relativeHeight="252176384" behindDoc="0" locked="0" layoutInCell="1" allowOverlap="1" wp14:anchorId="44A687A7" wp14:editId="4B9797CE">
                <wp:simplePos x="0" y="0"/>
                <wp:positionH relativeFrom="column">
                  <wp:posOffset>2171700</wp:posOffset>
                </wp:positionH>
                <wp:positionV relativeFrom="paragraph">
                  <wp:posOffset>1081405</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217" name="Rectangle à coins arrondis 217"/>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F0D6DB1" w14:textId="77777777" w:rsidR="00573C95" w:rsidRPr="00393954" w:rsidRDefault="00573C95" w:rsidP="00421870">
                            <w:pPr>
                              <w:jc w:val="center"/>
                              <w:rPr>
                                <w:color w:val="000000"/>
                                <w:sz w:val="20"/>
                                <w:szCs w:val="20"/>
                              </w:rPr>
                            </w:pPr>
                            <w:r w:rsidRPr="00393954">
                              <w:rPr>
                                <w:color w:val="000000"/>
                                <w:sz w:val="20"/>
                                <w:szCs w:val="20"/>
                              </w:rPr>
                              <w:t>Compte de retraite immobilisé</w:t>
                            </w:r>
                          </w:p>
                          <w:p w14:paraId="51360CB2" w14:textId="77777777" w:rsidR="00573C95" w:rsidRPr="00393954" w:rsidRDefault="00573C95" w:rsidP="00421870">
                            <w:pPr>
                              <w:jc w:val="center"/>
                              <w:rPr>
                                <w:color w:val="000000"/>
                                <w:sz w:val="20"/>
                                <w:szCs w:val="20"/>
                              </w:rPr>
                            </w:pPr>
                            <w:r w:rsidRPr="00393954">
                              <w:rPr>
                                <w:color w:val="000000"/>
                                <w:sz w:val="20"/>
                                <w:szCs w:val="20"/>
                              </w:rPr>
                              <w:t>(CRI)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17" o:spid="_x0000_s1148" style="position:absolute;margin-left:171pt;margin-top:85.15pt;width:81pt;height:81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" fillcolor="#cfc" strokecolor="green">
                <v:textbox>
                  <w:txbxContent>
                    <w:p w14:paraId="4F0D6DB1" w14:textId="77777777" w:rsidR="001501D6" w:rsidRPr="00393954" w:rsidRDefault="001501D6" w:rsidP="00421870">
                      <w:pPr>
                        <w:jc w:val="center"/>
                        <w:rPr>
                          <w:color w:val="000000"/>
                          <w:sz w:val="20"/>
                          <w:szCs w:val="20"/>
                        </w:rPr>
                      </w:pPr>
                      <w:r w:rsidRPr="00393954">
                        <w:rPr>
                          <w:color w:val="000000"/>
                          <w:sz w:val="20"/>
                          <w:szCs w:val="20"/>
                        </w:rPr>
                        <w:t>Compte de retraite immobilisé</w:t>
                      </w:r>
                    </w:p>
                    <w:p w14:paraId="51360CB2" w14:textId="77777777" w:rsidR="001501D6" w:rsidRPr="00393954" w:rsidRDefault="001501D6" w:rsidP="00421870">
                      <w:pPr>
                        <w:jc w:val="center"/>
                        <w:rPr>
                          <w:color w:val="000000"/>
                          <w:sz w:val="20"/>
                          <w:szCs w:val="20"/>
                        </w:rPr>
                      </w:pPr>
                      <w:r w:rsidRPr="00393954">
                        <w:rPr>
                          <w:color w:val="000000"/>
                          <w:sz w:val="20"/>
                          <w:szCs w:val="20"/>
                        </w:rPr>
                        <w:t>(CRI)</w:t>
                      </w:r>
                    </w:p>
                  </w:txbxContent>
                </v:textbox>
                <w10:wrap type="through"/>
              </v:roundrect>
            </w:pict>
          </mc:Fallback>
        </mc:AlternateContent>
      </w:r>
      <w:r w:rsidR="00421870" w:rsidRPr="00421870">
        <w:rPr>
          <w:noProof/>
          <w:lang w:eastAsia="fr-FR"/>
        </w:rPr>
        <mc:AlternateContent>
          <mc:Choice Requires="wps">
            <w:drawing>
              <wp:anchor distT="0" distB="0" distL="114300" distR="114300" simplePos="0" relativeHeight="252174336" behindDoc="0" locked="0" layoutInCell="1" allowOverlap="1" wp14:anchorId="7A0721DB" wp14:editId="18C152F1">
                <wp:simplePos x="0" y="0"/>
                <wp:positionH relativeFrom="column">
                  <wp:posOffset>342900</wp:posOffset>
                </wp:positionH>
                <wp:positionV relativeFrom="paragraph">
                  <wp:posOffset>1081405</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254" name="Rectangle à coins arrondis 254"/>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922CEEC" w14:textId="0EDF9F02" w:rsidR="00573C95" w:rsidRPr="00937E48" w:rsidRDefault="00573C95" w:rsidP="00421870">
                            <w:pPr>
                              <w:jc w:val="center"/>
                              <w:rPr>
                                <w:sz w:val="20"/>
                                <w:szCs w:val="20"/>
                              </w:rPr>
                            </w:pPr>
                            <w:r w:rsidRPr="00937E48">
                              <w:rPr>
                                <w:sz w:val="20"/>
                                <w:szCs w:val="20"/>
                              </w:rPr>
                              <w:t>Valeur du RPACD au moment d</w:t>
                            </w:r>
                            <w:r>
                              <w:rPr>
                                <w:sz w:val="20"/>
                                <w:szCs w:val="20"/>
                              </w:rPr>
                              <w:t>u départ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54" o:spid="_x0000_s1149" style="position:absolute;margin-left:27pt;margin-top:85.15pt;width:81pt;height:81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" fillcolor="#ff6700 [3206]" strokecolor="black [3213]">
                <v:textbox>
                  <w:txbxContent>
                    <w:p w14:paraId="2922CEEC" w14:textId="0EDF9F02" w:rsidR="001501D6" w:rsidRPr="00937E48" w:rsidRDefault="001501D6" w:rsidP="00421870">
                      <w:pPr>
                        <w:jc w:val="center"/>
                        <w:rPr>
                          <w:sz w:val="20"/>
                          <w:szCs w:val="20"/>
                        </w:rPr>
                      </w:pPr>
                      <w:r w:rsidRPr="00937E48">
                        <w:rPr>
                          <w:sz w:val="20"/>
                          <w:szCs w:val="20"/>
                        </w:rPr>
                        <w:t>Valeur du RPACD au moment d</w:t>
                      </w:r>
                      <w:r>
                        <w:rPr>
                          <w:sz w:val="20"/>
                          <w:szCs w:val="20"/>
                        </w:rPr>
                        <w:t>u départ</w:t>
                      </w:r>
                    </w:p>
                  </w:txbxContent>
                </v:textbox>
                <w10:wrap type="through"/>
              </v:roundrect>
            </w:pict>
          </mc:Fallback>
        </mc:AlternateContent>
      </w:r>
      <w:r w:rsidR="0019113D">
        <w:br w:type="page"/>
      </w:r>
    </w:p>
    <w:p w14:paraId="21CA8E6E" w14:textId="0AD59728" w:rsidR="00E17A5E" w:rsidRPr="0019113D" w:rsidRDefault="00E17A5E" w:rsidP="006C34CF">
      <w:pPr>
        <w:pStyle w:val="Paragraphedeliste"/>
        <w:numPr>
          <w:ilvl w:val="0"/>
          <w:numId w:val="32"/>
        </w:numPr>
        <w:jc w:val="both"/>
        <w:rPr>
          <w:color w:val="FF6700" w:themeColor="accent3"/>
        </w:rPr>
      </w:pPr>
      <w:r w:rsidRPr="0019113D">
        <w:rPr>
          <w:color w:val="FF6700" w:themeColor="accent3"/>
        </w:rPr>
        <w:lastRenderedPageBreak/>
        <w:t>L</w:t>
      </w:r>
      <w:r>
        <w:rPr>
          <w:color w:val="FF6700" w:themeColor="accent3"/>
        </w:rPr>
        <w:t>e divorce</w:t>
      </w:r>
    </w:p>
    <w:p w14:paraId="72C6D47F" w14:textId="77777777" w:rsidR="00E17A5E" w:rsidRDefault="00E17A5E" w:rsidP="00E17A5E"/>
    <w:p w14:paraId="50D2F15D" w14:textId="671BE008" w:rsidR="00E17A5E" w:rsidRDefault="00E17A5E" w:rsidP="00E17A5E">
      <w:pPr>
        <w:jc w:val="both"/>
      </w:pPr>
      <w:r>
        <w:t xml:space="preserve">Dans le cas </w:t>
      </w:r>
      <w:r w:rsidR="0064076F">
        <w:t>d'un divorce</w:t>
      </w:r>
      <w:r w:rsidR="007F076B">
        <w:t xml:space="preserve">, il faut tout d'abord démêler les subtilités qui émanent principalement des visées règlementaires différentes qui prévalent dans le </w:t>
      </w:r>
      <w:r w:rsidR="00F756F9">
        <w:t>Code</w:t>
      </w:r>
      <w:r w:rsidR="007F076B">
        <w:t xml:space="preserve"> civil du Québec (CCQ) et la LRCR. Dans un premier temps, le CCQ ne protège, via l'application des règles portant sur le patrimoine familial, que les conjoints mariés ou unis civilement. Dans un deuxième temps, la LRCR protège tous les conjoints, de fait ou mariés, cette protection prend la forme, notamment, de la clause obligatoire réversible à 60 % de la rente en cas de décès. C'est ici qu'il faut démêler le tout, alors que la règle du patrimoine familial (dont fait partie les régimes de retraite)</w:t>
      </w:r>
      <w:r w:rsidR="00F43973">
        <w:t>, s'applique dès le jour</w:t>
      </w:r>
      <w:r w:rsidR="00F756F9">
        <w:t xml:space="preserve"> 1</w:t>
      </w:r>
      <w:r w:rsidR="00F43973">
        <w:t xml:space="preserve"> de l'union, la protection en vertu de la LRCR ne s'applique qu'au conjoint faisant vie commune au </w:t>
      </w:r>
      <w:r w:rsidR="00F43973" w:rsidRPr="00F43973">
        <w:rPr>
          <w:color w:val="FF6700" w:themeColor="accent3"/>
        </w:rPr>
        <w:t>MOMENT DE SA RETRAITE</w:t>
      </w:r>
      <w:r w:rsidR="00F43973">
        <w:t xml:space="preserve"> (dans la plupart des cas) ou au moment du décès (dans d'autres cas). Bref, avant la retraite, la protection est </w:t>
      </w:r>
      <w:r w:rsidR="00265DF9">
        <w:t>précaire</w:t>
      </w:r>
      <w:r w:rsidR="00F43973">
        <w:t xml:space="preserve"> dans le cas des conjoints de </w:t>
      </w:r>
      <w:r w:rsidR="00F756F9">
        <w:t>fait</w:t>
      </w:r>
      <w:r w:rsidR="00F43973">
        <w:t xml:space="preserve"> et sous l'abri du patrimoine familial pour les conjoints mariés ou </w:t>
      </w:r>
      <w:r w:rsidR="00F756F9">
        <w:t>unis</w:t>
      </w:r>
      <w:r w:rsidR="00F43973">
        <w:t xml:space="preserve"> civilement.</w:t>
      </w:r>
      <w:r>
        <w:t xml:space="preserve"> </w:t>
      </w:r>
    </w:p>
    <w:p w14:paraId="5EC5E678" w14:textId="77777777" w:rsidR="00E17A5E" w:rsidRDefault="00E17A5E" w:rsidP="00E17A5E"/>
    <w:p w14:paraId="692761EF" w14:textId="4275DA01" w:rsidR="00E17A5E" w:rsidRDefault="00E17A5E" w:rsidP="00E17A5E">
      <w:r>
        <w:t xml:space="preserve">Les choix qui s'offrent alors </w:t>
      </w:r>
      <w:r w:rsidR="00F43973">
        <w:t>à l'ex-conjoint</w:t>
      </w:r>
      <w:r>
        <w:t xml:space="preserve"> </w:t>
      </w:r>
      <w:r w:rsidR="00F43973">
        <w:t>ayant droit à une valeur du RPACD suite à l'application du patrimoine familial</w:t>
      </w:r>
      <w:r>
        <w:t>:</w:t>
      </w:r>
    </w:p>
    <w:p w14:paraId="1027A0B7" w14:textId="6AD66F47" w:rsidR="00E17A5E" w:rsidRDefault="00EA5F54" w:rsidP="00E17A5E">
      <w:r>
        <w:rPr>
          <w:noProof/>
          <w:lang w:eastAsia="fr-FR"/>
        </w:rPr>
        <mc:AlternateContent>
          <mc:Choice Requires="wps">
            <w:drawing>
              <wp:anchor distT="0" distB="0" distL="114300" distR="114300" simplePos="0" relativeHeight="252220416" behindDoc="0" locked="0" layoutInCell="1" allowOverlap="1" wp14:anchorId="6DBD0480" wp14:editId="3F77F9D8">
                <wp:simplePos x="0" y="0"/>
                <wp:positionH relativeFrom="column">
                  <wp:posOffset>2857500</wp:posOffset>
                </wp:positionH>
                <wp:positionV relativeFrom="paragraph">
                  <wp:posOffset>168910</wp:posOffset>
                </wp:positionV>
                <wp:extent cx="304800" cy="3657600"/>
                <wp:effectExtent l="0" t="0" r="25400" b="25400"/>
                <wp:wrapThrough wrapText="bothSides">
                  <wp:wrapPolygon edited="0">
                    <wp:start x="0" y="0"/>
                    <wp:lineTo x="0" y="150"/>
                    <wp:lineTo x="18000" y="2400"/>
                    <wp:lineTo x="18000" y="19200"/>
                    <wp:lineTo x="0" y="21450"/>
                    <wp:lineTo x="0" y="21600"/>
                    <wp:lineTo x="21600" y="21600"/>
                    <wp:lineTo x="21600" y="0"/>
                    <wp:lineTo x="0" y="0"/>
                  </wp:wrapPolygon>
                </wp:wrapThrough>
                <wp:docPr id="262" name="Parenthèse fermante 262"/>
                <wp:cNvGraphicFramePr/>
                <a:graphic xmlns:a="http://schemas.openxmlformats.org/drawingml/2006/main">
                  <a:graphicData uri="http://schemas.microsoft.com/office/word/2010/wordprocessingShape">
                    <wps:wsp>
                      <wps:cNvSpPr/>
                      <wps:spPr>
                        <a:xfrm>
                          <a:off x="0" y="0"/>
                          <a:ext cx="304800" cy="3657600"/>
                        </a:xfrm>
                        <a:prstGeom prst="rightBracket">
                          <a:avLst/>
                        </a:prstGeom>
                        <a:ln>
                          <a:solidFill>
                            <a:srgbClr val="3E3D2D"/>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shape id="Parenthèse fermante 262" o:spid="_x0000_s1026" type="#_x0000_t86" style="position:absolute;margin-left:225pt;margin-top:13.3pt;width:24pt;height:4in;z-index:252220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" adj="150" strokecolor="#3e3d2d" strokeweight="1.25pt">
                <w10:wrap type="through"/>
              </v:shape>
            </w:pict>
          </mc:Fallback>
        </mc:AlternateContent>
      </w:r>
      <w:r w:rsidR="008E0C28">
        <w:rPr>
          <w:noProof/>
          <w:lang w:eastAsia="fr-FR"/>
        </w:rPr>
        <w:drawing>
          <wp:anchor distT="0" distB="0" distL="114300" distR="114300" simplePos="0" relativeHeight="252201984" behindDoc="0" locked="0" layoutInCell="1" allowOverlap="1" wp14:anchorId="0CBD8FEC" wp14:editId="30D522C2">
            <wp:simplePos x="0" y="0"/>
            <wp:positionH relativeFrom="column">
              <wp:posOffset>-114300</wp:posOffset>
            </wp:positionH>
            <wp:positionV relativeFrom="paragraph">
              <wp:posOffset>168910</wp:posOffset>
            </wp:positionV>
            <wp:extent cx="3086100" cy="3678555"/>
            <wp:effectExtent l="0" t="0" r="12700" b="4445"/>
            <wp:wrapSquare wrapText="bothSides"/>
            <wp:docPr id="247" name="Image 247" descr="Macintosh HD:Users:marcbachand:Desktop:Capture d’écran 2015-09-15 à 12.27.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9-15 à 12.27.36.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86100" cy="36785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B4D51F0" w14:textId="084A01E1" w:rsidR="00E17A5E" w:rsidRDefault="00EA5F54" w:rsidP="008E0C28">
      <w:pPr>
        <w:jc w:val="both"/>
      </w:pPr>
      <w:r>
        <w:rPr>
          <w:noProof/>
          <w:lang w:eastAsia="fr-FR"/>
        </w:rPr>
        <mc:AlternateContent>
          <mc:Choice Requires="wps">
            <w:drawing>
              <wp:anchor distT="0" distB="0" distL="114300" distR="114300" simplePos="0" relativeHeight="252222464" behindDoc="0" locked="0" layoutInCell="1" allowOverlap="1" wp14:anchorId="7647AC7B" wp14:editId="504B6811">
                <wp:simplePos x="0" y="0"/>
                <wp:positionH relativeFrom="column">
                  <wp:posOffset>266700</wp:posOffset>
                </wp:positionH>
                <wp:positionV relativeFrom="paragraph">
                  <wp:posOffset>1353820</wp:posOffset>
                </wp:positionV>
                <wp:extent cx="2706370" cy="999490"/>
                <wp:effectExtent l="0" t="0" r="36830" b="16510"/>
                <wp:wrapThrough wrapText="bothSides">
                  <wp:wrapPolygon edited="0">
                    <wp:start x="3244" y="0"/>
                    <wp:lineTo x="0" y="8783"/>
                    <wp:lineTo x="0" y="12076"/>
                    <wp:lineTo x="3041" y="21408"/>
                    <wp:lineTo x="3244" y="21408"/>
                    <wp:lineTo x="4663" y="21408"/>
                    <wp:lineTo x="4460" y="17565"/>
                    <wp:lineTo x="21691" y="17017"/>
                    <wp:lineTo x="21691" y="4391"/>
                    <wp:lineTo x="4663" y="0"/>
                    <wp:lineTo x="3244" y="0"/>
                  </wp:wrapPolygon>
                </wp:wrapThrough>
                <wp:docPr id="263" name="Flèche vers la gauche 263"/>
                <wp:cNvGraphicFramePr/>
                <a:graphic xmlns:a="http://schemas.openxmlformats.org/drawingml/2006/main">
                  <a:graphicData uri="http://schemas.microsoft.com/office/word/2010/wordprocessingShape">
                    <wps:wsp>
                      <wps:cNvSpPr/>
                      <wps:spPr>
                        <a:xfrm>
                          <a:off x="0" y="0"/>
                          <a:ext cx="2706370" cy="999490"/>
                        </a:xfrm>
                        <a:prstGeom prst="leftArrow">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2381B140" w14:textId="77777777" w:rsidR="00573C95" w:rsidRDefault="00573C95" w:rsidP="00EA5F54">
                            <w:pPr>
                              <w:jc w:val="center"/>
                            </w:pPr>
                            <w:r>
                              <w:t>OPÉRATIONS NON IMPOSABLES</w:t>
                            </w:r>
                          </w:p>
                        </w:txbxContent>
                      </wps:txbx>
                      <wps:bodyPr/>
                    </wps:wsp>
                  </a:graphicData>
                </a:graphic>
                <wp14:sizeRelH relativeFrom="margin">
                  <wp14:pctWidth>0</wp14:pctWidth>
                </wp14:sizeRelH>
                <wp14:sizeRelV relativeFrom="margin">
                  <wp14:pctHeight>0</wp14:pctHeight>
                </wp14:sizeRelV>
              </wp:anchor>
            </w:drawing>
          </mc:Choice>
          <mc:Fallback>
            <w:pict>
              <v:shape id="Flèche vers la gauche 263" o:spid="_x0000_s1150" type="#_x0000_t66" style="position:absolute;left:0;text-align:left;margin-left:21pt;margin-top:106.6pt;width:213.1pt;height:78.7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" adj="3989" fillcolor="#71685a [3205]" strokecolor="#38332c [1605]" strokeweight="1.25pt">
                <v:textbox>
                  <w:txbxContent>
                    <w:p w14:paraId="2381B140" w14:textId="77777777" w:rsidR="001501D6" w:rsidRDefault="001501D6" w:rsidP="00EA5F54">
                      <w:pPr>
                        <w:jc w:val="center"/>
                      </w:pPr>
                      <w:r>
                        <w:t>OPÉRATIONS NON IMPOSABLES</w:t>
                      </w:r>
                    </w:p>
                  </w:txbxContent>
                </v:textbox>
                <w10:wrap type="through"/>
              </v:shape>
            </w:pict>
          </mc:Fallback>
        </mc:AlternateContent>
      </w:r>
      <w:r>
        <w:tab/>
      </w:r>
      <w:r w:rsidR="00F50DA5">
        <w:t xml:space="preserve">Alors </w:t>
      </w:r>
      <w:r w:rsidR="00400681">
        <w:t xml:space="preserve">que le principe de base visant à partager entre </w:t>
      </w:r>
      <w:r>
        <w:tab/>
      </w:r>
      <w:r w:rsidR="00400681">
        <w:t>conjoint</w:t>
      </w:r>
      <w:r w:rsidR="003A3B90">
        <w:t xml:space="preserve">s, selon un rapport de </w:t>
      </w:r>
      <w:r w:rsidR="00400681">
        <w:t xml:space="preserve"> 50/50</w:t>
      </w:r>
      <w:r w:rsidR="003A3B90">
        <w:t>,</w:t>
      </w:r>
      <w:r w:rsidR="00400681">
        <w:t xml:space="preserve"> les biens faisant parti du </w:t>
      </w:r>
      <w:r>
        <w:tab/>
      </w:r>
      <w:r w:rsidR="00400681">
        <w:t>patrimoine familial</w:t>
      </w:r>
      <w:r w:rsidR="003A3B90">
        <w:t xml:space="preserve"> </w:t>
      </w:r>
      <w:r w:rsidR="00F50DA5">
        <w:t>sont</w:t>
      </w:r>
      <w:r w:rsidR="003A3B90">
        <w:t xml:space="preserve"> simple</w:t>
      </w:r>
      <w:r w:rsidR="00F50DA5">
        <w:t>s</w:t>
      </w:r>
      <w:r w:rsidR="003A3B90">
        <w:t xml:space="preserve"> à comprendre, les nuances </w:t>
      </w:r>
      <w:r w:rsidR="00F50DA5">
        <w:tab/>
      </w:r>
      <w:r w:rsidR="008E0C28">
        <w:t xml:space="preserve">de son application </w:t>
      </w:r>
      <w:r w:rsidR="003A3B90">
        <w:t>deviennent rapidement complexe</w:t>
      </w:r>
      <w:r w:rsidR="008E0C28">
        <w:t>s</w:t>
      </w:r>
      <w:r w:rsidR="003A3B90">
        <w:t xml:space="preserve">. </w:t>
      </w:r>
      <w:r w:rsidR="008E0C28">
        <w:t xml:space="preserve">C'est </w:t>
      </w:r>
      <w:r w:rsidR="00F50DA5">
        <w:tab/>
      </w:r>
      <w:r w:rsidR="008E0C28">
        <w:t xml:space="preserve">au </w:t>
      </w:r>
      <w:r w:rsidR="008E0C28" w:rsidRPr="008E0C28">
        <w:rPr>
          <w:color w:val="008000"/>
        </w:rPr>
        <w:t>SUJET 10</w:t>
      </w:r>
      <w:r w:rsidR="008E0C28">
        <w:t xml:space="preserve"> que nous </w:t>
      </w:r>
      <w:r w:rsidR="003A3B90">
        <w:t>étud</w:t>
      </w:r>
      <w:r w:rsidR="008E0C28">
        <w:t>ierons</w:t>
      </w:r>
      <w:r w:rsidR="003A3B90">
        <w:t xml:space="preserve"> plus à fond</w:t>
      </w:r>
      <w:r w:rsidR="008E0C28">
        <w:t xml:space="preserve"> </w:t>
      </w:r>
      <w:r w:rsidR="003A3B90">
        <w:t>ce concept</w:t>
      </w:r>
      <w:r w:rsidR="008E0C28">
        <w:t>.</w:t>
      </w:r>
      <w:r w:rsidR="003A3B90">
        <w:t xml:space="preserve"> </w:t>
      </w:r>
      <w:r w:rsidR="00400681">
        <w:t xml:space="preserve"> </w:t>
      </w:r>
      <w:r w:rsidR="00E17A5E">
        <w:br w:type="page"/>
      </w:r>
    </w:p>
    <w:p w14:paraId="3A99DD62" w14:textId="6673E761" w:rsidR="002B6F8B" w:rsidRPr="0019113D" w:rsidRDefault="002B6F8B" w:rsidP="006C34CF">
      <w:pPr>
        <w:pStyle w:val="Paragraphedeliste"/>
        <w:numPr>
          <w:ilvl w:val="0"/>
          <w:numId w:val="32"/>
        </w:numPr>
        <w:jc w:val="both"/>
        <w:rPr>
          <w:color w:val="FF6700" w:themeColor="accent3"/>
        </w:rPr>
      </w:pPr>
      <w:r w:rsidRPr="0019113D">
        <w:rPr>
          <w:color w:val="FF6700" w:themeColor="accent3"/>
        </w:rPr>
        <w:lastRenderedPageBreak/>
        <w:t>L</w:t>
      </w:r>
      <w:r>
        <w:rPr>
          <w:color w:val="FF6700" w:themeColor="accent3"/>
        </w:rPr>
        <w:t>e décès</w:t>
      </w:r>
    </w:p>
    <w:p w14:paraId="3BCEBF42" w14:textId="77777777" w:rsidR="002B6F8B" w:rsidRDefault="002B6F8B" w:rsidP="002B6F8B"/>
    <w:p w14:paraId="7152A357" w14:textId="2EE14677" w:rsidR="006A44D2" w:rsidRDefault="0097610D" w:rsidP="006A44D2">
      <w:pPr>
        <w:jc w:val="both"/>
      </w:pPr>
      <w:r>
        <w:t>Dans le cas de décès, avant l'âge de la retraite, l</w:t>
      </w:r>
      <w:r w:rsidR="007F4CB0">
        <w:t xml:space="preserve">a valeur du RPACD du contribuable doit être </w:t>
      </w:r>
      <w:r w:rsidR="00F756F9">
        <w:t>transférée</w:t>
      </w:r>
      <w:r w:rsidR="007F4CB0">
        <w:t xml:space="preserve"> prioritairement au conjoint survivant (marié, uni civilement ou de fait). En l'absence d'un conjoint, les bénéficiaires désignés ou les héritiers seront les récipiendaires du régime.</w:t>
      </w:r>
      <w:r w:rsidR="006A44D2">
        <w:t xml:space="preserve"> La valeur actuarielle du régime sera alors établie afin d'</w:t>
      </w:r>
      <w:r w:rsidR="00D10D42">
        <w:t>établir le montant forfaitaire qui sera versé au conjoint survivant ou à la succession.</w:t>
      </w:r>
      <w:r w:rsidR="006A44D2">
        <w:t xml:space="preserve"> </w:t>
      </w:r>
    </w:p>
    <w:p w14:paraId="0563C7E4" w14:textId="63CB3FF7" w:rsidR="0097610D" w:rsidRDefault="006D23C0" w:rsidP="006D23C0">
      <w:pPr>
        <w:jc w:val="both"/>
      </w:pPr>
      <w:r>
        <w:t xml:space="preserve"> </w:t>
      </w:r>
    </w:p>
    <w:p w14:paraId="5FF8203C" w14:textId="7F36F936" w:rsidR="0097610D" w:rsidRDefault="00AD6DF8" w:rsidP="007D3ED3">
      <w:pPr>
        <w:jc w:val="both"/>
      </w:pPr>
      <w:r>
        <w:rPr>
          <w:noProof/>
          <w:lang w:eastAsia="fr-FR"/>
        </w:rPr>
        <mc:AlternateContent>
          <mc:Choice Requires="wps">
            <w:drawing>
              <wp:anchor distT="0" distB="0" distL="114300" distR="114300" simplePos="0" relativeHeight="252208128" behindDoc="0" locked="0" layoutInCell="1" allowOverlap="1" wp14:anchorId="5CF5A23A" wp14:editId="35926216">
                <wp:simplePos x="0" y="0"/>
                <wp:positionH relativeFrom="column">
                  <wp:posOffset>5143500</wp:posOffset>
                </wp:positionH>
                <wp:positionV relativeFrom="paragraph">
                  <wp:posOffset>520700</wp:posOffset>
                </wp:positionV>
                <wp:extent cx="304800" cy="3657600"/>
                <wp:effectExtent l="0" t="0" r="25400" b="25400"/>
                <wp:wrapThrough wrapText="bothSides">
                  <wp:wrapPolygon edited="0">
                    <wp:start x="0" y="0"/>
                    <wp:lineTo x="0" y="150"/>
                    <wp:lineTo x="18000" y="2400"/>
                    <wp:lineTo x="18000" y="19200"/>
                    <wp:lineTo x="0" y="21450"/>
                    <wp:lineTo x="0" y="21600"/>
                    <wp:lineTo x="21600" y="21600"/>
                    <wp:lineTo x="21600" y="0"/>
                    <wp:lineTo x="0" y="0"/>
                  </wp:wrapPolygon>
                </wp:wrapThrough>
                <wp:docPr id="250" name="Parenthèse fermante 250"/>
                <wp:cNvGraphicFramePr/>
                <a:graphic xmlns:a="http://schemas.openxmlformats.org/drawingml/2006/main">
                  <a:graphicData uri="http://schemas.microsoft.com/office/word/2010/wordprocessingShape">
                    <wps:wsp>
                      <wps:cNvSpPr/>
                      <wps:spPr>
                        <a:xfrm>
                          <a:off x="0" y="0"/>
                          <a:ext cx="304800" cy="3657600"/>
                        </a:xfrm>
                        <a:prstGeom prst="rightBracket">
                          <a:avLst/>
                        </a:prstGeom>
                        <a:ln>
                          <a:solidFill>
                            <a:srgbClr val="3E3D2D"/>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shape id="Parenthèse fermante 250" o:spid="_x0000_s1026" type="#_x0000_t86" style="position:absolute;margin-left:405pt;margin-top:41pt;width:24pt;height:4in;z-index:25220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" adj="150" strokecolor="#3e3d2d" strokeweight="1.25pt">
                <w10:wrap type="through"/>
              </v:shape>
            </w:pict>
          </mc:Fallback>
        </mc:AlternateContent>
      </w:r>
      <w:r w:rsidR="00D10D42">
        <w:t>Ce montant forfaitaire pourra faire l'objet de différents</w:t>
      </w:r>
      <w:r w:rsidR="0097610D">
        <w:t xml:space="preserve"> choix </w:t>
      </w:r>
      <w:r w:rsidR="00D10D42">
        <w:t>si le bénéficiaire est le conjoint survivant. En l'absence d'un conjoint le montant forfaitaire sera simplement remis aux héritiers et ce montant sera alors</w:t>
      </w:r>
      <w:r w:rsidR="00E501BE">
        <w:t xml:space="preserve"> 100 %</w:t>
      </w:r>
      <w:r w:rsidR="00D10D42">
        <w:t xml:space="preserve"> imposable pour ceux-ci.</w:t>
      </w:r>
    </w:p>
    <w:p w14:paraId="56AB636F" w14:textId="7B2F9A82" w:rsidR="002B6F8B" w:rsidRDefault="00C5341B" w:rsidP="007D3ED3">
      <w:pPr>
        <w:jc w:val="both"/>
      </w:pPr>
      <w:r w:rsidRPr="00421870">
        <w:rPr>
          <w:noProof/>
          <w:lang w:eastAsia="fr-FR"/>
        </w:rPr>
        <mc:AlternateContent>
          <mc:Choice Requires="wps">
            <w:drawing>
              <wp:anchor distT="0" distB="0" distL="114300" distR="114300" simplePos="0" relativeHeight="252195840" behindDoc="0" locked="0" layoutInCell="1" allowOverlap="1" wp14:anchorId="2410B91B" wp14:editId="077DD1E8">
                <wp:simplePos x="0" y="0"/>
                <wp:positionH relativeFrom="column">
                  <wp:posOffset>2857500</wp:posOffset>
                </wp:positionH>
                <wp:positionV relativeFrom="paragraph">
                  <wp:posOffset>74295</wp:posOffset>
                </wp:positionV>
                <wp:extent cx="1257300" cy="1257300"/>
                <wp:effectExtent l="76200" t="76200" r="63500" b="63500"/>
                <wp:wrapThrough wrapText="bothSides">
                  <wp:wrapPolygon edited="0">
                    <wp:start x="0" y="-1309"/>
                    <wp:lineTo x="-1309" y="-436"/>
                    <wp:lineTo x="-873" y="20945"/>
                    <wp:lineTo x="0" y="22255"/>
                    <wp:lineTo x="20945" y="22255"/>
                    <wp:lineTo x="21818" y="20509"/>
                    <wp:lineTo x="22255" y="6545"/>
                    <wp:lineTo x="20945" y="0"/>
                    <wp:lineTo x="20945" y="-1309"/>
                    <wp:lineTo x="0" y="-1309"/>
                  </wp:wrapPolygon>
                </wp:wrapThrough>
                <wp:docPr id="267" name="Rectangle à coins arrondis 267"/>
                <wp:cNvGraphicFramePr/>
                <a:graphic xmlns:a="http://schemas.openxmlformats.org/drawingml/2006/main">
                  <a:graphicData uri="http://schemas.microsoft.com/office/word/2010/wordprocessingShape">
                    <wps:wsp>
                      <wps:cNvSpPr/>
                      <wps:spPr>
                        <a:xfrm>
                          <a:off x="0" y="0"/>
                          <a:ext cx="1257300" cy="12573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5CC270D" w14:textId="0047597C" w:rsidR="00573C95" w:rsidRPr="00393954" w:rsidRDefault="00573C95" w:rsidP="002B6F8B">
                            <w:pPr>
                              <w:jc w:val="center"/>
                              <w:rPr>
                                <w:color w:val="000000"/>
                                <w:sz w:val="20"/>
                                <w:szCs w:val="20"/>
                              </w:rPr>
                            </w:pPr>
                            <w:r>
                              <w:rPr>
                                <w:color w:val="000000"/>
                                <w:sz w:val="20"/>
                                <w:szCs w:val="20"/>
                              </w:rPr>
                              <w:t>Transfert au REÉR/FERR du conjoint survivant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67" o:spid="_x0000_s1151" style="position:absolute;left:0;text-align:left;margin-left:225pt;margin-top:5.85pt;width:99pt;height:99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" fillcolor="#cfc" strokecolor="green">
                <v:textbox>
                  <w:txbxContent>
                    <w:p w14:paraId="65CC270D" w14:textId="0047597C" w:rsidR="001501D6" w:rsidRPr="00393954" w:rsidRDefault="001501D6" w:rsidP="002B6F8B">
                      <w:pPr>
                        <w:jc w:val="center"/>
                        <w:rPr>
                          <w:color w:val="000000"/>
                          <w:sz w:val="20"/>
                          <w:szCs w:val="20"/>
                        </w:rPr>
                      </w:pPr>
                      <w:r>
                        <w:rPr>
                          <w:color w:val="000000"/>
                          <w:sz w:val="20"/>
                          <w:szCs w:val="20"/>
                        </w:rPr>
                        <w:t>Transfert au REÉR/FERR du conjoint survivant</w:t>
                      </w:r>
                    </w:p>
                  </w:txbxContent>
                </v:textbox>
                <w10:wrap type="through"/>
              </v:roundrect>
            </w:pict>
          </mc:Fallback>
        </mc:AlternateContent>
      </w:r>
    </w:p>
    <w:p w14:paraId="4A231E09" w14:textId="614E9486" w:rsidR="002B6F8B" w:rsidRDefault="002B6F8B" w:rsidP="002B6F8B"/>
    <w:p w14:paraId="40442CD1" w14:textId="77777777" w:rsidR="002B6F8B" w:rsidRDefault="002B6F8B" w:rsidP="002B6F8B"/>
    <w:p w14:paraId="0B7A6E22" w14:textId="36C65064" w:rsidR="00C15006" w:rsidRDefault="0064419B" w:rsidP="008B5960">
      <w:r>
        <w:rPr>
          <w:noProof/>
          <w:lang w:eastAsia="fr-FR"/>
        </w:rPr>
        <mc:AlternateContent>
          <mc:Choice Requires="wps">
            <w:drawing>
              <wp:anchor distT="0" distB="0" distL="114300" distR="114300" simplePos="0" relativeHeight="252214272" behindDoc="0" locked="0" layoutInCell="1" allowOverlap="1" wp14:anchorId="5E0E48A4" wp14:editId="6CFDDBBA">
                <wp:simplePos x="0" y="0"/>
                <wp:positionH relativeFrom="column">
                  <wp:posOffset>2628900</wp:posOffset>
                </wp:positionH>
                <wp:positionV relativeFrom="paragraph">
                  <wp:posOffset>3057525</wp:posOffset>
                </wp:positionV>
                <wp:extent cx="2706370" cy="999490"/>
                <wp:effectExtent l="0" t="0" r="36830" b="16510"/>
                <wp:wrapThrough wrapText="bothSides">
                  <wp:wrapPolygon edited="0">
                    <wp:start x="3244" y="0"/>
                    <wp:lineTo x="0" y="8783"/>
                    <wp:lineTo x="0" y="12076"/>
                    <wp:lineTo x="3041" y="21408"/>
                    <wp:lineTo x="3244" y="21408"/>
                    <wp:lineTo x="4663" y="21408"/>
                    <wp:lineTo x="4460" y="17565"/>
                    <wp:lineTo x="21691" y="17017"/>
                    <wp:lineTo x="21691" y="4391"/>
                    <wp:lineTo x="4663" y="0"/>
                    <wp:lineTo x="3244" y="0"/>
                  </wp:wrapPolygon>
                </wp:wrapThrough>
                <wp:docPr id="253" name="Flèche vers la gauche 253"/>
                <wp:cNvGraphicFramePr/>
                <a:graphic xmlns:a="http://schemas.openxmlformats.org/drawingml/2006/main">
                  <a:graphicData uri="http://schemas.microsoft.com/office/word/2010/wordprocessingShape">
                    <wps:wsp>
                      <wps:cNvSpPr/>
                      <wps:spPr>
                        <a:xfrm>
                          <a:off x="0" y="0"/>
                          <a:ext cx="2706370" cy="999490"/>
                        </a:xfrm>
                        <a:prstGeom prst="leftArrow">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7C9E0A70" w14:textId="37C192D1" w:rsidR="00573C95" w:rsidRDefault="00573C95" w:rsidP="0064419B">
                            <w:pPr>
                              <w:jc w:val="center"/>
                            </w:pPr>
                            <w:r>
                              <w:t>100 % IMPOSABLE pour le conjoint survivant</w:t>
                            </w:r>
                          </w:p>
                        </w:txbxContent>
                      </wps:txbx>
                      <wps:bodyPr/>
                    </wps:wsp>
                  </a:graphicData>
                </a:graphic>
                <wp14:sizeRelH relativeFrom="margin">
                  <wp14:pctWidth>0</wp14:pctWidth>
                </wp14:sizeRelH>
                <wp14:sizeRelV relativeFrom="margin">
                  <wp14:pctHeight>0</wp14:pctHeight>
                </wp14:sizeRelV>
              </wp:anchor>
            </w:drawing>
          </mc:Choice>
          <mc:Fallback>
            <w:pict>
              <v:shape id="Flèche vers la gauche 253" o:spid="_x0000_s1152" type="#_x0000_t66" style="position:absolute;margin-left:207pt;margin-top:240.75pt;width:213.1pt;height:78.7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" adj="3989" fillcolor="#71685a [3205]" strokecolor="#38332c [1605]" strokeweight="1.25pt">
                <v:textbox>
                  <w:txbxContent>
                    <w:p w14:paraId="7C9E0A70" w14:textId="37C192D1" w:rsidR="001501D6" w:rsidRDefault="001501D6" w:rsidP="0064419B">
                      <w:pPr>
                        <w:jc w:val="center"/>
                      </w:pPr>
                      <w:r>
                        <w:t>100 % IMPOSABLE pour le conjoint survivant</w:t>
                      </w:r>
                    </w:p>
                  </w:txbxContent>
                </v:textbox>
                <w10:wrap type="through"/>
              </v:shape>
            </w:pict>
          </mc:Fallback>
        </mc:AlternateContent>
      </w:r>
      <w:r w:rsidR="00AD6DF8">
        <w:rPr>
          <w:noProof/>
          <w:lang w:eastAsia="fr-FR"/>
        </w:rPr>
        <mc:AlternateContent>
          <mc:Choice Requires="wps">
            <w:drawing>
              <wp:anchor distT="0" distB="0" distL="114300" distR="114300" simplePos="0" relativeHeight="252212224" behindDoc="0" locked="0" layoutInCell="1" allowOverlap="1" wp14:anchorId="67AFD468" wp14:editId="6D136417">
                <wp:simplePos x="0" y="0"/>
                <wp:positionH relativeFrom="column">
                  <wp:posOffset>5980430</wp:posOffset>
                </wp:positionH>
                <wp:positionV relativeFrom="paragraph">
                  <wp:posOffset>800735</wp:posOffset>
                </wp:positionV>
                <wp:extent cx="2706370" cy="999490"/>
                <wp:effectExtent l="0" t="0" r="36830" b="16510"/>
                <wp:wrapThrough wrapText="bothSides">
                  <wp:wrapPolygon edited="0">
                    <wp:start x="3244" y="0"/>
                    <wp:lineTo x="0" y="8783"/>
                    <wp:lineTo x="0" y="12076"/>
                    <wp:lineTo x="3041" y="21408"/>
                    <wp:lineTo x="3244" y="21408"/>
                    <wp:lineTo x="4663" y="21408"/>
                    <wp:lineTo x="4460" y="17565"/>
                    <wp:lineTo x="21691" y="17017"/>
                    <wp:lineTo x="21691" y="4391"/>
                    <wp:lineTo x="4663" y="0"/>
                    <wp:lineTo x="3244" y="0"/>
                  </wp:wrapPolygon>
                </wp:wrapThrough>
                <wp:docPr id="252" name="Flèche vers la gauche 252"/>
                <wp:cNvGraphicFramePr/>
                <a:graphic xmlns:a="http://schemas.openxmlformats.org/drawingml/2006/main">
                  <a:graphicData uri="http://schemas.microsoft.com/office/word/2010/wordprocessingShape">
                    <wps:wsp>
                      <wps:cNvSpPr/>
                      <wps:spPr>
                        <a:xfrm>
                          <a:off x="0" y="0"/>
                          <a:ext cx="2706370" cy="999490"/>
                        </a:xfrm>
                        <a:prstGeom prst="leftArrow">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191A25A7" w14:textId="2FF5D3B5" w:rsidR="00573C95" w:rsidRDefault="00573C95" w:rsidP="0064419B">
                            <w:pPr>
                              <w:jc w:val="center"/>
                            </w:pPr>
                            <w:r>
                              <w:t>OPÉRATIONS NON IMPOSABLES</w:t>
                            </w:r>
                          </w:p>
                        </w:txbxContent>
                      </wps:txbx>
                      <wps:bodyPr/>
                    </wps:wsp>
                  </a:graphicData>
                </a:graphic>
                <wp14:sizeRelH relativeFrom="margin">
                  <wp14:pctWidth>0</wp14:pctWidth>
                </wp14:sizeRelH>
                <wp14:sizeRelV relativeFrom="margin">
                  <wp14:pctHeight>0</wp14:pctHeight>
                </wp14:sizeRelV>
              </wp:anchor>
            </w:drawing>
          </mc:Choice>
          <mc:Fallback>
            <w:pict>
              <v:shape id="Flèche vers la gauche 252" o:spid="_x0000_s1153" type="#_x0000_t66" style="position:absolute;margin-left:470.9pt;margin-top:63.05pt;width:213.1pt;height:78.7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" adj="3989" fillcolor="#71685a [3205]" strokecolor="#38332c [1605]" strokeweight="1.25pt">
                <v:textbox>
                  <w:txbxContent>
                    <w:p w14:paraId="191A25A7" w14:textId="2FF5D3B5" w:rsidR="001501D6" w:rsidRDefault="001501D6" w:rsidP="0064419B">
                      <w:pPr>
                        <w:jc w:val="center"/>
                      </w:pPr>
                      <w:r>
                        <w:t>OPÉRATIONS NON IMPOSABLES</w:t>
                      </w:r>
                    </w:p>
                  </w:txbxContent>
                </v:textbox>
                <w10:wrap type="through"/>
              </v:shape>
            </w:pict>
          </mc:Fallback>
        </mc:AlternateContent>
      </w:r>
      <w:r w:rsidR="00AD6DF8">
        <w:rPr>
          <w:noProof/>
          <w:lang w:eastAsia="fr-FR"/>
        </w:rPr>
        <mc:AlternateContent>
          <mc:Choice Requires="wps">
            <w:drawing>
              <wp:anchor distT="0" distB="0" distL="114300" distR="114300" simplePos="0" relativeHeight="252210176" behindDoc="0" locked="0" layoutInCell="1" allowOverlap="1" wp14:anchorId="27F55723" wp14:editId="27876A8F">
                <wp:simplePos x="0" y="0"/>
                <wp:positionH relativeFrom="column">
                  <wp:posOffset>2057400</wp:posOffset>
                </wp:positionH>
                <wp:positionV relativeFrom="paragraph">
                  <wp:posOffset>2828925</wp:posOffset>
                </wp:positionV>
                <wp:extent cx="304800" cy="1219200"/>
                <wp:effectExtent l="0" t="0" r="25400" b="25400"/>
                <wp:wrapThrough wrapText="bothSides">
                  <wp:wrapPolygon edited="0">
                    <wp:start x="0" y="0"/>
                    <wp:lineTo x="0" y="450"/>
                    <wp:lineTo x="18000" y="7200"/>
                    <wp:lineTo x="18000" y="14400"/>
                    <wp:lineTo x="0" y="21150"/>
                    <wp:lineTo x="0" y="21600"/>
                    <wp:lineTo x="21600" y="21600"/>
                    <wp:lineTo x="21600" y="0"/>
                    <wp:lineTo x="0" y="0"/>
                  </wp:wrapPolygon>
                </wp:wrapThrough>
                <wp:docPr id="251" name="Parenthèse fermante 251"/>
                <wp:cNvGraphicFramePr/>
                <a:graphic xmlns:a="http://schemas.openxmlformats.org/drawingml/2006/main">
                  <a:graphicData uri="http://schemas.microsoft.com/office/word/2010/wordprocessingShape">
                    <wps:wsp>
                      <wps:cNvSpPr/>
                      <wps:spPr>
                        <a:xfrm>
                          <a:off x="0" y="0"/>
                          <a:ext cx="304800" cy="1219200"/>
                        </a:xfrm>
                        <a:prstGeom prst="rightBracket">
                          <a:avLst/>
                        </a:prstGeom>
                        <a:ln>
                          <a:solidFill>
                            <a:srgbClr val="3E3D2D"/>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shape id="Parenthèse fermante 251" o:spid="_x0000_s1026" type="#_x0000_t86" style="position:absolute;margin-left:162pt;margin-top:222.75pt;width:24pt;height:96pt;z-index:252210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" adj="450" strokecolor="#3e3d2d" strokeweight="1.25pt">
                <w10:wrap type="through"/>
              </v:shape>
            </w:pict>
          </mc:Fallback>
        </mc:AlternateContent>
      </w:r>
      <w:r w:rsidR="00C5341B">
        <w:rPr>
          <w:noProof/>
          <w:lang w:eastAsia="fr-FR"/>
        </w:rPr>
        <mc:AlternateContent>
          <mc:Choice Requires="wps">
            <w:drawing>
              <wp:anchor distT="0" distB="0" distL="114300" distR="114300" simplePos="0" relativeHeight="252206080" behindDoc="0" locked="0" layoutInCell="1" allowOverlap="1" wp14:anchorId="3F1BB485" wp14:editId="6D74AB7D">
                <wp:simplePos x="0" y="0"/>
                <wp:positionH relativeFrom="column">
                  <wp:posOffset>114300</wp:posOffset>
                </wp:positionH>
                <wp:positionV relativeFrom="paragraph">
                  <wp:posOffset>1800225</wp:posOffset>
                </wp:positionV>
                <wp:extent cx="1143000" cy="1028700"/>
                <wp:effectExtent l="0" t="0" r="101600" b="88900"/>
                <wp:wrapNone/>
                <wp:docPr id="249" name="Connecteur droit 249"/>
                <wp:cNvGraphicFramePr/>
                <a:graphic xmlns:a="http://schemas.openxmlformats.org/drawingml/2006/main">
                  <a:graphicData uri="http://schemas.microsoft.com/office/word/2010/wordprocessingShape">
                    <wps:wsp>
                      <wps:cNvCnPr/>
                      <wps:spPr>
                        <a:xfrm>
                          <a:off x="0" y="0"/>
                          <a:ext cx="1143000" cy="102870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249" o:spid="_x0000_s1026" style="position:absolute;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41.75pt" to="99pt,222.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" strokecolor="#3e3d2d [3215]" strokeweight="1.25pt">
                <v:stroke endarrow="block" endarrowwidth="wide"/>
              </v:line>
            </w:pict>
          </mc:Fallback>
        </mc:AlternateContent>
      </w:r>
      <w:r w:rsidR="00C5341B">
        <w:rPr>
          <w:noProof/>
          <w:lang w:eastAsia="fr-FR"/>
        </w:rPr>
        <mc:AlternateContent>
          <mc:Choice Requires="wps">
            <w:drawing>
              <wp:anchor distT="0" distB="0" distL="114300" distR="114300" simplePos="0" relativeHeight="252199936" behindDoc="0" locked="0" layoutInCell="1" allowOverlap="1" wp14:anchorId="14BDA49B" wp14:editId="1B140F4C">
                <wp:simplePos x="0" y="0"/>
                <wp:positionH relativeFrom="column">
                  <wp:posOffset>685800</wp:posOffset>
                </wp:positionH>
                <wp:positionV relativeFrom="paragraph">
                  <wp:posOffset>1228725</wp:posOffset>
                </wp:positionV>
                <wp:extent cx="3314700" cy="0"/>
                <wp:effectExtent l="0" t="101600" r="38100" b="127000"/>
                <wp:wrapNone/>
                <wp:docPr id="269" name="Connecteur droit 269"/>
                <wp:cNvGraphicFramePr/>
                <a:graphic xmlns:a="http://schemas.openxmlformats.org/drawingml/2006/main">
                  <a:graphicData uri="http://schemas.microsoft.com/office/word/2010/wordprocessingShape">
                    <wps:wsp>
                      <wps:cNvCnPr/>
                      <wps:spPr>
                        <a:xfrm>
                          <a:off x="0" y="0"/>
                          <a:ext cx="3314700" cy="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269" o:spid="_x0000_s1026" style="position:absolute;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96.75pt" to="315pt,96.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" strokecolor="#3e3d2d [3215]" strokeweight="1.25pt">
                <v:stroke endarrow="block" endarrowwidth="wide"/>
              </v:line>
            </w:pict>
          </mc:Fallback>
        </mc:AlternateContent>
      </w:r>
      <w:r w:rsidR="00C5341B">
        <w:rPr>
          <w:noProof/>
          <w:lang w:eastAsia="fr-FR"/>
        </w:rPr>
        <mc:AlternateContent>
          <mc:Choice Requires="wps">
            <w:drawing>
              <wp:anchor distT="0" distB="0" distL="114300" distR="114300" simplePos="0" relativeHeight="252198912" behindDoc="0" locked="0" layoutInCell="1" allowOverlap="1" wp14:anchorId="743A43DC" wp14:editId="06B0CD0D">
                <wp:simplePos x="0" y="0"/>
                <wp:positionH relativeFrom="column">
                  <wp:posOffset>685800</wp:posOffset>
                </wp:positionH>
                <wp:positionV relativeFrom="paragraph">
                  <wp:posOffset>85725</wp:posOffset>
                </wp:positionV>
                <wp:extent cx="2171700" cy="571500"/>
                <wp:effectExtent l="0" t="101600" r="0" b="38100"/>
                <wp:wrapNone/>
                <wp:docPr id="270" name="Connecteur droit 270"/>
                <wp:cNvGraphicFramePr/>
                <a:graphic xmlns:a="http://schemas.openxmlformats.org/drawingml/2006/main">
                  <a:graphicData uri="http://schemas.microsoft.com/office/word/2010/wordprocessingShape">
                    <wps:wsp>
                      <wps:cNvCnPr/>
                      <wps:spPr>
                        <a:xfrm flipV="1">
                          <a:off x="0" y="0"/>
                          <a:ext cx="2171700" cy="57150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270" o:spid="_x0000_s1026" style="position:absolute;flip:y;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6.75pt" to="225pt,51.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" strokecolor="#3e3d2d [3215]" strokeweight="1.25pt">
                <v:stroke endarrow="block" endarrowwidth="wide"/>
              </v:line>
            </w:pict>
          </mc:Fallback>
        </mc:AlternateContent>
      </w:r>
      <w:r w:rsidR="00C5341B">
        <w:rPr>
          <w:noProof/>
          <w:lang w:eastAsia="fr-FR"/>
        </w:rPr>
        <mc:AlternateContent>
          <mc:Choice Requires="wps">
            <w:drawing>
              <wp:anchor distT="0" distB="0" distL="114300" distR="114300" simplePos="0" relativeHeight="252200960" behindDoc="0" locked="0" layoutInCell="1" allowOverlap="1" wp14:anchorId="1EC4549B" wp14:editId="29071AFC">
                <wp:simplePos x="0" y="0"/>
                <wp:positionH relativeFrom="column">
                  <wp:posOffset>685800</wp:posOffset>
                </wp:positionH>
                <wp:positionV relativeFrom="paragraph">
                  <wp:posOffset>1685925</wp:posOffset>
                </wp:positionV>
                <wp:extent cx="2171700" cy="685800"/>
                <wp:effectExtent l="0" t="0" r="88900" b="101600"/>
                <wp:wrapNone/>
                <wp:docPr id="268" name="Connecteur droit 268"/>
                <wp:cNvGraphicFramePr/>
                <a:graphic xmlns:a="http://schemas.openxmlformats.org/drawingml/2006/main">
                  <a:graphicData uri="http://schemas.microsoft.com/office/word/2010/wordprocessingShape">
                    <wps:wsp>
                      <wps:cNvCnPr/>
                      <wps:spPr>
                        <a:xfrm>
                          <a:off x="0" y="0"/>
                          <a:ext cx="2171700" cy="68580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268" o:spid="_x0000_s1026" style="position:absolute;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132.75pt" to="225pt,186.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" strokecolor="#3e3d2d [3215]" strokeweight="1.25pt">
                <v:stroke endarrow="block" endarrowwidth="wide"/>
              </v:line>
            </w:pict>
          </mc:Fallback>
        </mc:AlternateContent>
      </w:r>
      <w:r w:rsidR="00C5341B" w:rsidRPr="00421870">
        <w:rPr>
          <w:noProof/>
          <w:lang w:eastAsia="fr-FR"/>
        </w:rPr>
        <mc:AlternateContent>
          <mc:Choice Requires="wps">
            <w:drawing>
              <wp:anchor distT="0" distB="0" distL="114300" distR="114300" simplePos="0" relativeHeight="252204032" behindDoc="0" locked="0" layoutInCell="1" allowOverlap="1" wp14:anchorId="6CF1608A" wp14:editId="2FE3D059">
                <wp:simplePos x="0" y="0"/>
                <wp:positionH relativeFrom="column">
                  <wp:posOffset>571500</wp:posOffset>
                </wp:positionH>
                <wp:positionV relativeFrom="paragraph">
                  <wp:posOffset>2828925</wp:posOffset>
                </wp:positionV>
                <wp:extent cx="1257300" cy="1257300"/>
                <wp:effectExtent l="76200" t="76200" r="63500" b="63500"/>
                <wp:wrapThrough wrapText="bothSides">
                  <wp:wrapPolygon edited="0">
                    <wp:start x="0" y="-1309"/>
                    <wp:lineTo x="-1309" y="-436"/>
                    <wp:lineTo x="-873" y="20945"/>
                    <wp:lineTo x="0" y="22255"/>
                    <wp:lineTo x="20945" y="22255"/>
                    <wp:lineTo x="21818" y="20509"/>
                    <wp:lineTo x="22255" y="6545"/>
                    <wp:lineTo x="20945" y="0"/>
                    <wp:lineTo x="20945" y="-1309"/>
                    <wp:lineTo x="0" y="-1309"/>
                  </wp:wrapPolygon>
                </wp:wrapThrough>
                <wp:docPr id="248" name="Rectangle à coins arrondis 248"/>
                <wp:cNvGraphicFramePr/>
                <a:graphic xmlns:a="http://schemas.openxmlformats.org/drawingml/2006/main">
                  <a:graphicData uri="http://schemas.microsoft.com/office/word/2010/wordprocessingShape">
                    <wps:wsp>
                      <wps:cNvSpPr/>
                      <wps:spPr>
                        <a:xfrm>
                          <a:off x="0" y="0"/>
                          <a:ext cx="1257300" cy="1257300"/>
                        </a:xfrm>
                        <a:prstGeom prst="roundRect">
                          <a:avLst/>
                        </a:prstGeom>
                        <a:solidFill>
                          <a:srgbClr val="800000"/>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4A3CD7" w14:textId="12FFC7C8" w:rsidR="00573C95" w:rsidRPr="00AD6DF8" w:rsidRDefault="00573C95" w:rsidP="00772B56">
                            <w:pPr>
                              <w:jc w:val="center"/>
                              <w:rPr>
                                <w:color w:val="FFFFFF" w:themeColor="background1"/>
                                <w:sz w:val="20"/>
                                <w:szCs w:val="20"/>
                              </w:rPr>
                            </w:pPr>
                            <w:r w:rsidRPr="00AD6DF8">
                              <w:rPr>
                                <w:color w:val="FFFFFF" w:themeColor="background1"/>
                                <w:sz w:val="20"/>
                                <w:szCs w:val="20"/>
                              </w:rPr>
                              <w:t>Montant encaissé directement par le conjoint survivant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48" o:spid="_x0000_s1154" style="position:absolute;margin-left:45pt;margin-top:222.75pt;width:99pt;height:99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" fillcolor="maroon" strokecolor="green">
                <v:textbox>
                  <w:txbxContent>
                    <w:p w14:paraId="234A3CD7" w14:textId="12FFC7C8" w:rsidR="001501D6" w:rsidRPr="00AD6DF8" w:rsidRDefault="001501D6" w:rsidP="00772B56">
                      <w:pPr>
                        <w:jc w:val="center"/>
                        <w:rPr>
                          <w:color w:val="FFFFFF" w:themeColor="background1"/>
                          <w:sz w:val="20"/>
                          <w:szCs w:val="20"/>
                        </w:rPr>
                      </w:pPr>
                      <w:r w:rsidRPr="00AD6DF8">
                        <w:rPr>
                          <w:color w:val="FFFFFF" w:themeColor="background1"/>
                          <w:sz w:val="20"/>
                          <w:szCs w:val="20"/>
                        </w:rPr>
                        <w:t>Montant encaissé directement par le conjoint survivant</w:t>
                      </w:r>
                    </w:p>
                  </w:txbxContent>
                </v:textbox>
                <w10:wrap type="through"/>
              </v:roundrect>
            </w:pict>
          </mc:Fallback>
        </mc:AlternateContent>
      </w:r>
      <w:r w:rsidR="00C5341B" w:rsidRPr="00421870">
        <w:rPr>
          <w:noProof/>
          <w:lang w:eastAsia="fr-FR"/>
        </w:rPr>
        <mc:AlternateContent>
          <mc:Choice Requires="wps">
            <w:drawing>
              <wp:anchor distT="0" distB="0" distL="114300" distR="114300" simplePos="0" relativeHeight="252197888" behindDoc="0" locked="0" layoutInCell="1" allowOverlap="1" wp14:anchorId="0EC79C04" wp14:editId="2AFCB3AC">
                <wp:simplePos x="0" y="0"/>
                <wp:positionH relativeFrom="column">
                  <wp:posOffset>2857500</wp:posOffset>
                </wp:positionH>
                <wp:positionV relativeFrom="paragraph">
                  <wp:posOffset>1800225</wp:posOffset>
                </wp:positionV>
                <wp:extent cx="1257300" cy="1257300"/>
                <wp:effectExtent l="76200" t="76200" r="63500" b="63500"/>
                <wp:wrapThrough wrapText="bothSides">
                  <wp:wrapPolygon edited="0">
                    <wp:start x="0" y="-1309"/>
                    <wp:lineTo x="-1309" y="-436"/>
                    <wp:lineTo x="-873" y="20945"/>
                    <wp:lineTo x="0" y="22255"/>
                    <wp:lineTo x="20945" y="22255"/>
                    <wp:lineTo x="21818" y="20509"/>
                    <wp:lineTo x="22255" y="6545"/>
                    <wp:lineTo x="20945" y="0"/>
                    <wp:lineTo x="20945" y="-1309"/>
                    <wp:lineTo x="0" y="-1309"/>
                  </wp:wrapPolygon>
                </wp:wrapThrough>
                <wp:docPr id="271" name="Rectangle à coins arrondis 271"/>
                <wp:cNvGraphicFramePr/>
                <a:graphic xmlns:a="http://schemas.openxmlformats.org/drawingml/2006/main">
                  <a:graphicData uri="http://schemas.microsoft.com/office/word/2010/wordprocessingShape">
                    <wps:wsp>
                      <wps:cNvSpPr/>
                      <wps:spPr>
                        <a:xfrm>
                          <a:off x="0" y="0"/>
                          <a:ext cx="1257300" cy="12573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0EBA077" w14:textId="7A32A6A4" w:rsidR="00573C95" w:rsidRPr="00393954" w:rsidRDefault="00573C95" w:rsidP="002B6F8B">
                            <w:pPr>
                              <w:jc w:val="center"/>
                              <w:rPr>
                                <w:color w:val="000000"/>
                                <w:sz w:val="20"/>
                                <w:szCs w:val="20"/>
                              </w:rPr>
                            </w:pPr>
                            <w:r>
                              <w:rPr>
                                <w:color w:val="000000"/>
                                <w:sz w:val="20"/>
                                <w:szCs w:val="20"/>
                              </w:rPr>
                              <w:t>Achat d'une rente viagère par le conjoint survivant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71" o:spid="_x0000_s1155" style="position:absolute;margin-left:225pt;margin-top:141.75pt;width:99pt;height:99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" fillcolor="#cfc" strokecolor="green">
                <v:textbox>
                  <w:txbxContent>
                    <w:p w14:paraId="60EBA077" w14:textId="7A32A6A4" w:rsidR="001501D6" w:rsidRPr="00393954" w:rsidRDefault="001501D6" w:rsidP="002B6F8B">
                      <w:pPr>
                        <w:jc w:val="center"/>
                        <w:rPr>
                          <w:color w:val="000000"/>
                          <w:sz w:val="20"/>
                          <w:szCs w:val="20"/>
                        </w:rPr>
                      </w:pPr>
                      <w:r>
                        <w:rPr>
                          <w:color w:val="000000"/>
                          <w:sz w:val="20"/>
                          <w:szCs w:val="20"/>
                        </w:rPr>
                        <w:t>Achat d'une rente viagère par le conjoint survivant</w:t>
                      </w:r>
                    </w:p>
                  </w:txbxContent>
                </v:textbox>
                <w10:wrap type="through"/>
              </v:roundrect>
            </w:pict>
          </mc:Fallback>
        </mc:AlternateContent>
      </w:r>
      <w:r w:rsidR="00C5341B" w:rsidRPr="00421870">
        <w:rPr>
          <w:noProof/>
          <w:lang w:eastAsia="fr-FR"/>
        </w:rPr>
        <mc:AlternateContent>
          <mc:Choice Requires="wps">
            <w:drawing>
              <wp:anchor distT="0" distB="0" distL="114300" distR="114300" simplePos="0" relativeHeight="252196864" behindDoc="0" locked="0" layoutInCell="1" allowOverlap="1" wp14:anchorId="4446DEBD" wp14:editId="2163AB46">
                <wp:simplePos x="0" y="0"/>
                <wp:positionH relativeFrom="column">
                  <wp:posOffset>4000500</wp:posOffset>
                </wp:positionH>
                <wp:positionV relativeFrom="paragraph">
                  <wp:posOffset>657225</wp:posOffset>
                </wp:positionV>
                <wp:extent cx="1257300" cy="1257300"/>
                <wp:effectExtent l="76200" t="76200" r="63500" b="63500"/>
                <wp:wrapThrough wrapText="bothSides">
                  <wp:wrapPolygon edited="0">
                    <wp:start x="0" y="-1309"/>
                    <wp:lineTo x="-1309" y="-436"/>
                    <wp:lineTo x="-873" y="20945"/>
                    <wp:lineTo x="0" y="22255"/>
                    <wp:lineTo x="20945" y="22255"/>
                    <wp:lineTo x="21818" y="20509"/>
                    <wp:lineTo x="22255" y="6545"/>
                    <wp:lineTo x="20945" y="0"/>
                    <wp:lineTo x="20945" y="-1309"/>
                    <wp:lineTo x="0" y="-1309"/>
                  </wp:wrapPolygon>
                </wp:wrapThrough>
                <wp:docPr id="272" name="Rectangle à coins arrondis 272"/>
                <wp:cNvGraphicFramePr/>
                <a:graphic xmlns:a="http://schemas.openxmlformats.org/drawingml/2006/main">
                  <a:graphicData uri="http://schemas.microsoft.com/office/word/2010/wordprocessingShape">
                    <wps:wsp>
                      <wps:cNvSpPr/>
                      <wps:spPr>
                        <a:xfrm>
                          <a:off x="0" y="0"/>
                          <a:ext cx="1257300" cy="12573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CDEB8BC" w14:textId="5352D917" w:rsidR="00573C95" w:rsidRPr="00393954" w:rsidRDefault="00573C95" w:rsidP="002B6F8B">
                            <w:pPr>
                              <w:jc w:val="center"/>
                              <w:rPr>
                                <w:color w:val="000000"/>
                                <w:sz w:val="20"/>
                                <w:szCs w:val="20"/>
                              </w:rPr>
                            </w:pPr>
                            <w:r>
                              <w:rPr>
                                <w:color w:val="000000"/>
                                <w:sz w:val="20"/>
                                <w:szCs w:val="20"/>
                              </w:rPr>
                              <w:t>Transfert au RCR du conjoint survivant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72" o:spid="_x0000_s1156" style="position:absolute;margin-left:315pt;margin-top:51.75pt;width:99pt;height:99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" fillcolor="#cfc" strokecolor="green">
                <v:textbox>
                  <w:txbxContent>
                    <w:p w14:paraId="4CDEB8BC" w14:textId="5352D917" w:rsidR="001501D6" w:rsidRPr="00393954" w:rsidRDefault="001501D6" w:rsidP="002B6F8B">
                      <w:pPr>
                        <w:jc w:val="center"/>
                        <w:rPr>
                          <w:color w:val="000000"/>
                          <w:sz w:val="20"/>
                          <w:szCs w:val="20"/>
                        </w:rPr>
                      </w:pPr>
                      <w:r>
                        <w:rPr>
                          <w:color w:val="000000"/>
                          <w:sz w:val="20"/>
                          <w:szCs w:val="20"/>
                        </w:rPr>
                        <w:t>Transfert au RCR du conjoint survivant</w:t>
                      </w:r>
                    </w:p>
                  </w:txbxContent>
                </v:textbox>
                <w10:wrap type="through"/>
              </v:roundrect>
            </w:pict>
          </mc:Fallback>
        </mc:AlternateContent>
      </w:r>
      <w:r w:rsidR="00C5341B" w:rsidRPr="00421870">
        <w:rPr>
          <w:noProof/>
          <w:lang w:eastAsia="fr-FR"/>
        </w:rPr>
        <mc:AlternateContent>
          <mc:Choice Requires="wps">
            <w:drawing>
              <wp:anchor distT="0" distB="0" distL="114300" distR="114300" simplePos="0" relativeHeight="252194816" behindDoc="0" locked="0" layoutInCell="1" allowOverlap="1" wp14:anchorId="23FC57A0" wp14:editId="04E8D8F3">
                <wp:simplePos x="0" y="0"/>
                <wp:positionH relativeFrom="column">
                  <wp:posOffset>-571500</wp:posOffset>
                </wp:positionH>
                <wp:positionV relativeFrom="paragraph">
                  <wp:posOffset>542925</wp:posOffset>
                </wp:positionV>
                <wp:extent cx="1257300" cy="1257300"/>
                <wp:effectExtent l="76200" t="76200" r="63500" b="63500"/>
                <wp:wrapThrough wrapText="bothSides">
                  <wp:wrapPolygon edited="0">
                    <wp:start x="0" y="-1309"/>
                    <wp:lineTo x="-1309" y="-436"/>
                    <wp:lineTo x="-873" y="20945"/>
                    <wp:lineTo x="0" y="22255"/>
                    <wp:lineTo x="20945" y="22255"/>
                    <wp:lineTo x="21818" y="20509"/>
                    <wp:lineTo x="22255" y="6545"/>
                    <wp:lineTo x="20945" y="0"/>
                    <wp:lineTo x="20945" y="-1309"/>
                    <wp:lineTo x="0" y="-1309"/>
                  </wp:wrapPolygon>
                </wp:wrapThrough>
                <wp:docPr id="273" name="Rectangle à coins arrondis 273"/>
                <wp:cNvGraphicFramePr/>
                <a:graphic xmlns:a="http://schemas.openxmlformats.org/drawingml/2006/main">
                  <a:graphicData uri="http://schemas.microsoft.com/office/word/2010/wordprocessingShape">
                    <wps:wsp>
                      <wps:cNvSpPr/>
                      <wps:spPr>
                        <a:xfrm>
                          <a:off x="0" y="0"/>
                          <a:ext cx="1257300" cy="1257300"/>
                        </a:xfrm>
                        <a:prstGeom prst="roundRect">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6815CC" w14:textId="2BB5834E" w:rsidR="00573C95" w:rsidRPr="00937E48" w:rsidRDefault="00573C95" w:rsidP="002B6F8B">
                            <w:pPr>
                              <w:jc w:val="center"/>
                              <w:rPr>
                                <w:sz w:val="20"/>
                                <w:szCs w:val="20"/>
                              </w:rPr>
                            </w:pPr>
                            <w:r w:rsidRPr="00937E48">
                              <w:rPr>
                                <w:sz w:val="20"/>
                                <w:szCs w:val="20"/>
                              </w:rPr>
                              <w:t>Valeur du RPACD au moment d</w:t>
                            </w:r>
                            <w:r>
                              <w:rPr>
                                <w:sz w:val="20"/>
                                <w:szCs w:val="20"/>
                              </w:rPr>
                              <w:t>u décès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73" o:spid="_x0000_s1157" style="position:absolute;margin-left:-44.95pt;margin-top:42.75pt;width:99pt;height:99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" fillcolor="#ff6700 [3206]" strokecolor="black [3213]">
                <v:textbox>
                  <w:txbxContent>
                    <w:p w14:paraId="236815CC" w14:textId="2BB5834E" w:rsidR="001501D6" w:rsidRPr="00937E48" w:rsidRDefault="001501D6" w:rsidP="002B6F8B">
                      <w:pPr>
                        <w:jc w:val="center"/>
                        <w:rPr>
                          <w:sz w:val="20"/>
                          <w:szCs w:val="20"/>
                        </w:rPr>
                      </w:pPr>
                      <w:r w:rsidRPr="00937E48">
                        <w:rPr>
                          <w:sz w:val="20"/>
                          <w:szCs w:val="20"/>
                        </w:rPr>
                        <w:t>Valeur du RPACD au moment d</w:t>
                      </w:r>
                      <w:r>
                        <w:rPr>
                          <w:sz w:val="20"/>
                          <w:szCs w:val="20"/>
                        </w:rPr>
                        <w:t>u décès</w:t>
                      </w:r>
                    </w:p>
                  </w:txbxContent>
                </v:textbox>
                <w10:wrap type="through"/>
              </v:roundrect>
            </w:pict>
          </mc:Fallback>
        </mc:AlternateContent>
      </w:r>
      <w:r w:rsidR="002B6F8B">
        <w:br w:type="page"/>
      </w:r>
    </w:p>
    <w:p w14:paraId="4FA1BAF3" w14:textId="5058E0CB" w:rsidR="005C080C" w:rsidRDefault="00E96AF0" w:rsidP="00E96AF0">
      <w:pPr>
        <w:pStyle w:val="Titre4"/>
      </w:pPr>
      <w:bookmarkStart w:id="52" w:name="_Toc314397833"/>
      <w:bookmarkStart w:id="53" w:name="_Toc443569377"/>
      <w:r>
        <w:lastRenderedPageBreak/>
        <w:t>3.2.1.5</w:t>
      </w:r>
      <w:r w:rsidR="0047269F">
        <w:t>.</w:t>
      </w:r>
      <w:r>
        <w:t xml:space="preserve"> </w:t>
      </w:r>
      <w:r w:rsidR="005C080C">
        <w:t>Exemple</w:t>
      </w:r>
      <w:bookmarkEnd w:id="52"/>
      <w:bookmarkEnd w:id="53"/>
      <w:r w:rsidR="005C080C">
        <w:t xml:space="preserve"> </w:t>
      </w:r>
    </w:p>
    <w:p w14:paraId="0569C58C" w14:textId="77777777" w:rsidR="00A205CF" w:rsidRDefault="00A205CF" w:rsidP="00A205CF"/>
    <w:p w14:paraId="45CC3B70" w14:textId="737E634E" w:rsidR="00A205CF" w:rsidRPr="00A205CF" w:rsidRDefault="00A205CF" w:rsidP="00A205CF">
      <w:r>
        <w:t xml:space="preserve">Afin d'illustrer </w:t>
      </w:r>
      <w:r w:rsidR="0067479B">
        <w:t>différent</w:t>
      </w:r>
      <w:r w:rsidR="00F756F9">
        <w:t xml:space="preserve">s </w:t>
      </w:r>
      <w:r>
        <w:t xml:space="preserve">concepts présentés dans le cadre de l'étude du </w:t>
      </w:r>
      <w:r w:rsidRPr="00A205CF">
        <w:rPr>
          <w:color w:val="FF6700" w:themeColor="accent3"/>
        </w:rPr>
        <w:t>RPACD</w:t>
      </w:r>
      <w:r>
        <w:t xml:space="preserve">, nous vous suggérons de tenter de </w:t>
      </w:r>
      <w:r w:rsidR="00F756F9">
        <w:t>résoudre</w:t>
      </w:r>
      <w:r>
        <w:t xml:space="preserve"> le prochain exemple sans, dans un premier temps, </w:t>
      </w:r>
      <w:r w:rsidR="00606261">
        <w:t>vous référe</w:t>
      </w:r>
      <w:r w:rsidR="00770A9D">
        <w:t>r</w:t>
      </w:r>
      <w:r w:rsidR="00606261">
        <w:t xml:space="preserve"> à</w:t>
      </w:r>
      <w:r>
        <w:t xml:space="preserve"> la solution.</w:t>
      </w:r>
    </w:p>
    <w:p w14:paraId="0AD50932" w14:textId="77777777" w:rsidR="000D15C0" w:rsidRDefault="000D15C0" w:rsidP="000D15C0"/>
    <w:p w14:paraId="7FB37DDE" w14:textId="0C315766" w:rsidR="00A205CF" w:rsidRPr="000F289D" w:rsidRDefault="00A205CF" w:rsidP="007A697E">
      <w:pPr>
        <w:pStyle w:val="Paragraphedeliste"/>
        <w:numPr>
          <w:ilvl w:val="0"/>
          <w:numId w:val="131"/>
        </w:numPr>
        <w:jc w:val="both"/>
        <w:rPr>
          <w:color w:val="FF6700" w:themeColor="accent3"/>
        </w:rPr>
      </w:pPr>
      <w:r w:rsidRPr="000F289D">
        <w:rPr>
          <w:color w:val="FF6700" w:themeColor="accent3"/>
        </w:rPr>
        <w:t>EXEMPLE 7-</w:t>
      </w:r>
      <w:r>
        <w:rPr>
          <w:color w:val="FF6700" w:themeColor="accent3"/>
        </w:rPr>
        <w:t>8</w:t>
      </w:r>
    </w:p>
    <w:p w14:paraId="23F0A2D7" w14:textId="5BF29C79" w:rsidR="00A205CF" w:rsidRDefault="00A205CF" w:rsidP="00A205CF"/>
    <w:p w14:paraId="77ACE5E7" w14:textId="36A74C0D" w:rsidR="00B14D0D" w:rsidRDefault="00B14D0D" w:rsidP="00A205CF">
      <w:pPr>
        <w:jc w:val="both"/>
      </w:pPr>
      <w:r>
        <w:t>Vous</w:t>
      </w:r>
      <w:r w:rsidR="00E63C6A">
        <w:t xml:space="preserve"> </w:t>
      </w:r>
      <w:r>
        <w:t>vous retrouvez devant un nombre intimidant de chiffres à partir desquels nous vous demandons de répondre à la question suivante:</w:t>
      </w:r>
    </w:p>
    <w:p w14:paraId="008C2D81" w14:textId="77777777" w:rsidR="00B14D0D" w:rsidRDefault="00B14D0D" w:rsidP="00A205CF">
      <w:pPr>
        <w:jc w:val="both"/>
      </w:pPr>
    </w:p>
    <w:p w14:paraId="635E311C" w14:textId="4C2B6BD6" w:rsidR="00A205CF" w:rsidRDefault="00B14D0D" w:rsidP="00A205CF">
      <w:pPr>
        <w:jc w:val="both"/>
      </w:pPr>
      <w:r>
        <w:t>Quel sera le solde approximatif du FRV que vous lèguerez à votre conjointe au moment de votre décès</w:t>
      </w:r>
      <w:r w:rsidRPr="00B14D0D">
        <w:rPr>
          <w:rFonts w:ascii="Avenir Book" w:hAnsi="Avenir Book"/>
        </w:rPr>
        <w:t>?</w:t>
      </w:r>
    </w:p>
    <w:p w14:paraId="17A9486F" w14:textId="77777777" w:rsidR="00A205CF" w:rsidRDefault="00A205CF" w:rsidP="00A205CF">
      <w:pPr>
        <w:jc w:val="both"/>
      </w:pPr>
    </w:p>
    <w:p w14:paraId="065FE662" w14:textId="77777777" w:rsidR="002C5B51" w:rsidRDefault="002C5B51" w:rsidP="00A205CF">
      <w:pPr>
        <w:jc w:val="both"/>
      </w:pPr>
    </w:p>
    <w:tbl>
      <w:tblPr>
        <w:tblStyle w:val="Grille"/>
        <w:tblW w:w="0" w:type="auto"/>
        <w:tblLook w:val="04A0" w:firstRow="1" w:lastRow="0" w:firstColumn="1" w:lastColumn="0" w:noHBand="0" w:noVBand="1"/>
      </w:tblPr>
      <w:tblGrid>
        <w:gridCol w:w="5495"/>
        <w:gridCol w:w="3402"/>
      </w:tblGrid>
      <w:tr w:rsidR="002C5B51" w14:paraId="4F546A98" w14:textId="57E7F909" w:rsidTr="002C5B51">
        <w:tc>
          <w:tcPr>
            <w:tcW w:w="8897" w:type="dxa"/>
            <w:gridSpan w:val="2"/>
            <w:shd w:val="clear" w:color="auto" w:fill="BFBFBF" w:themeFill="background1" w:themeFillShade="BF"/>
          </w:tcPr>
          <w:p w14:paraId="544C9494" w14:textId="556413B3" w:rsidR="002C5B51" w:rsidRDefault="002C5B51" w:rsidP="00A205CF">
            <w:pPr>
              <w:jc w:val="both"/>
            </w:pPr>
            <w:r>
              <w:t>Les données</w:t>
            </w:r>
          </w:p>
        </w:tc>
      </w:tr>
      <w:tr w:rsidR="002C5B51" w14:paraId="4BC25CA3" w14:textId="1DE4DC41" w:rsidTr="002C5B51">
        <w:tc>
          <w:tcPr>
            <w:tcW w:w="5495" w:type="dxa"/>
            <w:shd w:val="clear" w:color="auto" w:fill="BBB9A1" w:themeFill="text2" w:themeFillTint="66"/>
          </w:tcPr>
          <w:p w14:paraId="70843E3C" w14:textId="094BB03C" w:rsidR="002C5B51" w:rsidRDefault="002C5B51" w:rsidP="00B14D0D">
            <w:pPr>
              <w:jc w:val="both"/>
            </w:pPr>
            <w:r>
              <w:t>Âge début - RPACD</w:t>
            </w:r>
          </w:p>
        </w:tc>
        <w:tc>
          <w:tcPr>
            <w:tcW w:w="3402" w:type="dxa"/>
            <w:shd w:val="clear" w:color="auto" w:fill="BBB9A1" w:themeFill="text2" w:themeFillTint="66"/>
          </w:tcPr>
          <w:p w14:paraId="6DA9F02A" w14:textId="054A2739" w:rsidR="002C5B51" w:rsidRDefault="002C5B51" w:rsidP="00B14D0D">
            <w:pPr>
              <w:jc w:val="both"/>
            </w:pPr>
            <w:r>
              <w:t>40 ans</w:t>
            </w:r>
          </w:p>
        </w:tc>
      </w:tr>
      <w:tr w:rsidR="002C5B51" w14:paraId="1654B51D" w14:textId="5CC06E81" w:rsidTr="002C5B51">
        <w:tc>
          <w:tcPr>
            <w:tcW w:w="5495" w:type="dxa"/>
            <w:shd w:val="clear" w:color="auto" w:fill="BBB9A1" w:themeFill="text2" w:themeFillTint="66"/>
          </w:tcPr>
          <w:p w14:paraId="6D02A3C4" w14:textId="70339820" w:rsidR="002C5B51" w:rsidRPr="002C5B51" w:rsidRDefault="002C5B51" w:rsidP="002C5B51">
            <w:pPr>
              <w:jc w:val="both"/>
            </w:pPr>
            <w:r>
              <w:t>Âge fin - RPACD</w:t>
            </w:r>
          </w:p>
        </w:tc>
        <w:tc>
          <w:tcPr>
            <w:tcW w:w="3402" w:type="dxa"/>
            <w:shd w:val="clear" w:color="auto" w:fill="BBB9A1" w:themeFill="text2" w:themeFillTint="66"/>
          </w:tcPr>
          <w:p w14:paraId="1E003958" w14:textId="614D4C57" w:rsidR="002C5B51" w:rsidRDefault="002C5B51" w:rsidP="00B14D0D">
            <w:pPr>
              <w:jc w:val="both"/>
            </w:pPr>
            <w:r>
              <w:t>59 ans</w:t>
            </w:r>
          </w:p>
        </w:tc>
      </w:tr>
      <w:tr w:rsidR="002C5B51" w14:paraId="0D642F28" w14:textId="36A7B4A5" w:rsidTr="002C5B51">
        <w:tc>
          <w:tcPr>
            <w:tcW w:w="5495" w:type="dxa"/>
            <w:shd w:val="clear" w:color="auto" w:fill="BBB9A1" w:themeFill="text2" w:themeFillTint="66"/>
          </w:tcPr>
          <w:p w14:paraId="5BCBE8A6" w14:textId="126C397A" w:rsidR="002C5B51" w:rsidRDefault="002C5B51" w:rsidP="00235233">
            <w:pPr>
              <w:jc w:val="both"/>
            </w:pPr>
            <w:r>
              <w:t>Âge de votre décès</w:t>
            </w:r>
            <w:r w:rsidR="00A6726B">
              <w:rPr>
                <w:rStyle w:val="Marquenotebasdepage"/>
              </w:rPr>
              <w:footnoteReference w:customMarkFollows="1" w:id="37"/>
              <w:t>34</w:t>
            </w:r>
          </w:p>
        </w:tc>
        <w:tc>
          <w:tcPr>
            <w:tcW w:w="3402" w:type="dxa"/>
            <w:shd w:val="clear" w:color="auto" w:fill="BBB9A1" w:themeFill="text2" w:themeFillTint="66"/>
          </w:tcPr>
          <w:p w14:paraId="38A9085D" w14:textId="5AFCF9F8" w:rsidR="002C5B51" w:rsidRDefault="002C5B51" w:rsidP="00235233">
            <w:pPr>
              <w:jc w:val="both"/>
            </w:pPr>
            <w:r>
              <w:t>76 ans</w:t>
            </w:r>
          </w:p>
        </w:tc>
      </w:tr>
      <w:tr w:rsidR="002C5B51" w14:paraId="4A1FD6EA" w14:textId="0FC955A0" w:rsidTr="002C5B51">
        <w:tc>
          <w:tcPr>
            <w:tcW w:w="5495" w:type="dxa"/>
            <w:shd w:val="clear" w:color="auto" w:fill="BBB9A1" w:themeFill="text2" w:themeFillTint="66"/>
          </w:tcPr>
          <w:p w14:paraId="5771C588" w14:textId="2EC3D7B4" w:rsidR="002C5B51" w:rsidRDefault="002C5B51" w:rsidP="00235233">
            <w:pPr>
              <w:jc w:val="both"/>
            </w:pPr>
            <w:r>
              <w:t>Salaire à 40 ans</w:t>
            </w:r>
          </w:p>
        </w:tc>
        <w:tc>
          <w:tcPr>
            <w:tcW w:w="3402" w:type="dxa"/>
            <w:shd w:val="clear" w:color="auto" w:fill="BBB9A1" w:themeFill="text2" w:themeFillTint="66"/>
          </w:tcPr>
          <w:p w14:paraId="42B3CE7E" w14:textId="17052EA1" w:rsidR="002C5B51" w:rsidRDefault="002C5B51" w:rsidP="00235233">
            <w:pPr>
              <w:jc w:val="both"/>
            </w:pPr>
            <w:r>
              <w:t>75 000 $</w:t>
            </w:r>
          </w:p>
        </w:tc>
      </w:tr>
      <w:tr w:rsidR="002C5B51" w14:paraId="05C7778D" w14:textId="5FFBD8F5" w:rsidTr="002C5B51">
        <w:tc>
          <w:tcPr>
            <w:tcW w:w="5495" w:type="dxa"/>
            <w:shd w:val="clear" w:color="auto" w:fill="BBB9A1" w:themeFill="text2" w:themeFillTint="66"/>
          </w:tcPr>
          <w:p w14:paraId="3024AF58" w14:textId="0A677D31" w:rsidR="002C5B51" w:rsidRDefault="002C5B51" w:rsidP="00235233">
            <w:pPr>
              <w:jc w:val="both"/>
            </w:pPr>
            <w:r>
              <w:t>Augmentation annuelle</w:t>
            </w:r>
          </w:p>
          <w:p w14:paraId="03AD297B" w14:textId="3F3A7972" w:rsidR="002C5B51" w:rsidRDefault="002C5B51" w:rsidP="00235233">
            <w:pPr>
              <w:jc w:val="both"/>
            </w:pPr>
            <w:r>
              <w:t>de votre salaire</w:t>
            </w:r>
          </w:p>
        </w:tc>
        <w:tc>
          <w:tcPr>
            <w:tcW w:w="3402" w:type="dxa"/>
            <w:shd w:val="clear" w:color="auto" w:fill="BBB9A1" w:themeFill="text2" w:themeFillTint="66"/>
          </w:tcPr>
          <w:p w14:paraId="251CF57A" w14:textId="6021DD3F" w:rsidR="002C5B51" w:rsidRDefault="002C5B51" w:rsidP="00235233">
            <w:pPr>
              <w:jc w:val="both"/>
            </w:pPr>
            <w:r>
              <w:t>3 %</w:t>
            </w:r>
          </w:p>
        </w:tc>
      </w:tr>
      <w:tr w:rsidR="002C5B51" w14:paraId="3E391D45" w14:textId="4BE84AF3" w:rsidTr="002C5B51">
        <w:tc>
          <w:tcPr>
            <w:tcW w:w="5495" w:type="dxa"/>
            <w:shd w:val="clear" w:color="auto" w:fill="BBB9A1" w:themeFill="text2" w:themeFillTint="66"/>
          </w:tcPr>
          <w:p w14:paraId="41F404EC" w14:textId="47096630" w:rsidR="002C5B51" w:rsidRDefault="002C5B51" w:rsidP="00235233">
            <w:pPr>
              <w:jc w:val="both"/>
            </w:pPr>
            <w:r>
              <w:t>Cotisations employeur</w:t>
            </w:r>
          </w:p>
        </w:tc>
        <w:tc>
          <w:tcPr>
            <w:tcW w:w="3402" w:type="dxa"/>
            <w:shd w:val="clear" w:color="auto" w:fill="BBB9A1" w:themeFill="text2" w:themeFillTint="66"/>
          </w:tcPr>
          <w:p w14:paraId="496DAB80" w14:textId="4EA21A06" w:rsidR="002C5B51" w:rsidRDefault="002C5B51" w:rsidP="00235233">
            <w:pPr>
              <w:jc w:val="both"/>
            </w:pPr>
            <w:r>
              <w:t>9 %</w:t>
            </w:r>
          </w:p>
        </w:tc>
      </w:tr>
      <w:tr w:rsidR="002C5B51" w14:paraId="419526DA" w14:textId="1A411C81" w:rsidTr="002C5B51">
        <w:tc>
          <w:tcPr>
            <w:tcW w:w="5495" w:type="dxa"/>
            <w:shd w:val="clear" w:color="auto" w:fill="BBB9A1" w:themeFill="text2" w:themeFillTint="66"/>
          </w:tcPr>
          <w:p w14:paraId="4CB6D758" w14:textId="48BDB88D" w:rsidR="002C5B51" w:rsidRDefault="002C5B51" w:rsidP="00235233">
            <w:pPr>
              <w:jc w:val="both"/>
            </w:pPr>
            <w:r>
              <w:t>Cotisations employé</w:t>
            </w:r>
          </w:p>
        </w:tc>
        <w:tc>
          <w:tcPr>
            <w:tcW w:w="3402" w:type="dxa"/>
            <w:shd w:val="clear" w:color="auto" w:fill="BBB9A1" w:themeFill="text2" w:themeFillTint="66"/>
          </w:tcPr>
          <w:p w14:paraId="1D702303" w14:textId="0959CA80" w:rsidR="002C5B51" w:rsidRDefault="002C5B51" w:rsidP="00235233">
            <w:pPr>
              <w:jc w:val="both"/>
            </w:pPr>
            <w:r>
              <w:t>9 %</w:t>
            </w:r>
          </w:p>
        </w:tc>
      </w:tr>
      <w:tr w:rsidR="002C5B51" w14:paraId="1D6F08A6" w14:textId="77777777" w:rsidTr="002C5B51">
        <w:tc>
          <w:tcPr>
            <w:tcW w:w="5495" w:type="dxa"/>
            <w:shd w:val="clear" w:color="auto" w:fill="BBB9A1" w:themeFill="text2" w:themeFillTint="66"/>
          </w:tcPr>
          <w:p w14:paraId="5D2CA2D5" w14:textId="2191B4BF" w:rsidR="002C5B51" w:rsidRDefault="002C5B51" w:rsidP="00235233">
            <w:pPr>
              <w:jc w:val="both"/>
            </w:pPr>
            <w:r>
              <w:t>Rendement de votre RPACD</w:t>
            </w:r>
          </w:p>
        </w:tc>
        <w:tc>
          <w:tcPr>
            <w:tcW w:w="3402" w:type="dxa"/>
            <w:shd w:val="clear" w:color="auto" w:fill="BBB9A1" w:themeFill="text2" w:themeFillTint="66"/>
          </w:tcPr>
          <w:p w14:paraId="146FBB3E" w14:textId="6DCFC698" w:rsidR="002C5B51" w:rsidRDefault="002C5B51" w:rsidP="00235233">
            <w:pPr>
              <w:jc w:val="both"/>
            </w:pPr>
            <w:r>
              <w:t>5 %</w:t>
            </w:r>
          </w:p>
        </w:tc>
      </w:tr>
      <w:tr w:rsidR="002C5B51" w14:paraId="047FCE7C" w14:textId="77777777" w:rsidTr="002C5B51">
        <w:tc>
          <w:tcPr>
            <w:tcW w:w="5495" w:type="dxa"/>
            <w:shd w:val="clear" w:color="auto" w:fill="BBB9A1" w:themeFill="text2" w:themeFillTint="66"/>
          </w:tcPr>
          <w:p w14:paraId="2A7F776C" w14:textId="11A53183" w:rsidR="002C5B51" w:rsidRDefault="002C5B51" w:rsidP="002C5B51">
            <w:pPr>
              <w:tabs>
                <w:tab w:val="left" w:pos="1489"/>
              </w:tabs>
              <w:jc w:val="both"/>
            </w:pPr>
            <w:r>
              <w:t>Âge du transfert dans votre FRV</w:t>
            </w:r>
          </w:p>
        </w:tc>
        <w:tc>
          <w:tcPr>
            <w:tcW w:w="3402" w:type="dxa"/>
            <w:shd w:val="clear" w:color="auto" w:fill="BBB9A1" w:themeFill="text2" w:themeFillTint="66"/>
          </w:tcPr>
          <w:p w14:paraId="77153ADB" w14:textId="44BBCE4B" w:rsidR="002C5B51" w:rsidRDefault="002C5B51" w:rsidP="00235233">
            <w:pPr>
              <w:jc w:val="both"/>
            </w:pPr>
            <w:r>
              <w:t>59 ans</w:t>
            </w:r>
          </w:p>
        </w:tc>
      </w:tr>
      <w:tr w:rsidR="002C5B51" w14:paraId="79BDA278" w14:textId="77777777" w:rsidTr="002C5B51">
        <w:tc>
          <w:tcPr>
            <w:tcW w:w="5495" w:type="dxa"/>
            <w:shd w:val="clear" w:color="auto" w:fill="BBB9A1" w:themeFill="text2" w:themeFillTint="66"/>
          </w:tcPr>
          <w:p w14:paraId="79F376B6" w14:textId="5702B2CC" w:rsidR="002C5B51" w:rsidRDefault="002C5B51" w:rsidP="00235233">
            <w:pPr>
              <w:jc w:val="both"/>
            </w:pPr>
            <w:r>
              <w:t>Rendement de votre FRV</w:t>
            </w:r>
          </w:p>
        </w:tc>
        <w:tc>
          <w:tcPr>
            <w:tcW w:w="3402" w:type="dxa"/>
            <w:shd w:val="clear" w:color="auto" w:fill="BBB9A1" w:themeFill="text2" w:themeFillTint="66"/>
          </w:tcPr>
          <w:p w14:paraId="0C1E194F" w14:textId="3BF0C638" w:rsidR="002C5B51" w:rsidRDefault="002C5B51" w:rsidP="00235233">
            <w:pPr>
              <w:jc w:val="both"/>
            </w:pPr>
            <w:r>
              <w:t>3,5 %</w:t>
            </w:r>
          </w:p>
        </w:tc>
      </w:tr>
      <w:tr w:rsidR="002C5B51" w14:paraId="56D5FED9" w14:textId="77777777" w:rsidTr="002C5B51">
        <w:tc>
          <w:tcPr>
            <w:tcW w:w="5495" w:type="dxa"/>
            <w:shd w:val="clear" w:color="auto" w:fill="BBB9A1" w:themeFill="text2" w:themeFillTint="66"/>
          </w:tcPr>
          <w:p w14:paraId="3A770838" w14:textId="4B8C2F9D" w:rsidR="002C5B51" w:rsidRDefault="002C5B51" w:rsidP="00235233">
            <w:pPr>
              <w:jc w:val="both"/>
            </w:pPr>
            <w:r>
              <w:t>Rythme des retraits de votre FRV</w:t>
            </w:r>
          </w:p>
        </w:tc>
        <w:tc>
          <w:tcPr>
            <w:tcW w:w="3402" w:type="dxa"/>
            <w:shd w:val="clear" w:color="auto" w:fill="BBB9A1" w:themeFill="text2" w:themeFillTint="66"/>
          </w:tcPr>
          <w:p w14:paraId="03831555" w14:textId="0920D6C9" w:rsidR="002C5B51" w:rsidRDefault="002C5B51" w:rsidP="00235233">
            <w:pPr>
              <w:jc w:val="both"/>
            </w:pPr>
            <w:r>
              <w:t>Le montant maximum</w:t>
            </w:r>
          </w:p>
        </w:tc>
      </w:tr>
    </w:tbl>
    <w:p w14:paraId="4284A45A" w14:textId="4BDC94FE" w:rsidR="00A205CF" w:rsidRDefault="003D1225" w:rsidP="00A205CF">
      <w:pPr>
        <w:jc w:val="both"/>
      </w:pPr>
      <w:r>
        <w:rPr>
          <w:noProof/>
          <w:lang w:eastAsia="fr-FR"/>
        </w:rPr>
        <mc:AlternateContent>
          <mc:Choice Requires="wps">
            <w:drawing>
              <wp:anchor distT="0" distB="0" distL="114300" distR="114300" simplePos="0" relativeHeight="252237824" behindDoc="0" locked="0" layoutInCell="1" allowOverlap="1" wp14:anchorId="301FF529" wp14:editId="74EF123E">
                <wp:simplePos x="0" y="0"/>
                <wp:positionH relativeFrom="column">
                  <wp:posOffset>-800100</wp:posOffset>
                </wp:positionH>
                <wp:positionV relativeFrom="paragraph">
                  <wp:posOffset>66040</wp:posOffset>
                </wp:positionV>
                <wp:extent cx="685800" cy="685800"/>
                <wp:effectExtent l="76200" t="76200" r="76200" b="76200"/>
                <wp:wrapNone/>
                <wp:docPr id="235" name="Interdiction 235"/>
                <wp:cNvGraphicFramePr/>
                <a:graphic xmlns:a="http://schemas.openxmlformats.org/drawingml/2006/main">
                  <a:graphicData uri="http://schemas.microsoft.com/office/word/2010/wordprocessingShape">
                    <wps:wsp>
                      <wps:cNvSpPr/>
                      <wps:spPr>
                        <a:xfrm>
                          <a:off x="0" y="0"/>
                          <a:ext cx="685800" cy="685800"/>
                        </a:xfrm>
                        <a:prstGeom prst="noSmoking">
                          <a:avLst/>
                        </a:prstGeom>
                        <a:solidFill>
                          <a:srgbClr val="800000"/>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57" coordsize="21600,21600" o:spt="57" adj="2700" path="m0,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Interdiction 235" o:spid="_x0000_s1026" type="#_x0000_t57" style="position:absolute;margin-left:-62.95pt;margin-top:5.2pt;width:54pt;height:54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" adj="4050" fillcolor="maroon" strokecolor="black [3213]"/>
            </w:pict>
          </mc:Fallback>
        </mc:AlternateContent>
      </w:r>
    </w:p>
    <w:p w14:paraId="5F0B82D0" w14:textId="331762B3" w:rsidR="00A205CF" w:rsidRPr="00DA7953" w:rsidRDefault="00DA7953" w:rsidP="00A205CF">
      <w:pPr>
        <w:jc w:val="both"/>
        <w:rPr>
          <w:i/>
        </w:rPr>
      </w:pPr>
      <w:r w:rsidRPr="00DA7953">
        <w:rPr>
          <w:i/>
        </w:rPr>
        <w:t>Ne pas franchir le seuil de la solution proposée avant de vous avoir dédié à trouver votre propre réponse.</w:t>
      </w:r>
    </w:p>
    <w:p w14:paraId="2C5D8A5D" w14:textId="5C1F519F" w:rsidR="000D15C0" w:rsidRDefault="000D15C0" w:rsidP="000D15C0"/>
    <w:p w14:paraId="497419D6" w14:textId="77777777" w:rsidR="002A65F5" w:rsidRDefault="002A65F5">
      <w:r>
        <w:lastRenderedPageBreak/>
        <w:t>Voici la solution proposée</w:t>
      </w:r>
    </w:p>
    <w:p w14:paraId="321241D9" w14:textId="640FE4BB" w:rsidR="002A65F5" w:rsidRDefault="002A65F5"/>
    <w:p w14:paraId="27E800BF" w14:textId="50C6D231" w:rsidR="002A65F5" w:rsidRDefault="002A65F5">
      <w:r>
        <w:rPr>
          <w:noProof/>
          <w:lang w:eastAsia="fr-FR"/>
        </w:rPr>
        <mc:AlternateContent>
          <mc:Choice Requires="wps">
            <w:drawing>
              <wp:anchor distT="0" distB="0" distL="114300" distR="114300" simplePos="0" relativeHeight="252224512" behindDoc="0" locked="0" layoutInCell="1" allowOverlap="1" wp14:anchorId="0B6A9BEE" wp14:editId="767A9018">
                <wp:simplePos x="0" y="0"/>
                <wp:positionH relativeFrom="column">
                  <wp:posOffset>-114300</wp:posOffset>
                </wp:positionH>
                <wp:positionV relativeFrom="paragraph">
                  <wp:posOffset>83185</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274" name="Ellipse 274"/>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01750078" w14:textId="77777777" w:rsidR="00573C95" w:rsidRDefault="00573C95" w:rsidP="002A65F5">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74" o:spid="_x0000_s1158" style="position:absolute;margin-left:-8.95pt;margin-top:6.55pt;width:36pt;height:36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" fillcolor="#ff6700 [3206]" strokecolor="#ff6700 [3206]">
                <v:fill color2="#e55c00 [2886]" rotate="t" focus="100%" type="gradient">
                  <o:fill v:ext="view" type="gradientUnscaled"/>
                </v:fill>
                <v:shadow on="t" opacity="18350f" mv:blur="50800f" origin=",.5" offset="0,2pt"/>
                <v:textbox>
                  <w:txbxContent>
                    <w:p w14:paraId="01750078" w14:textId="77777777" w:rsidR="001501D6" w:rsidRDefault="001501D6" w:rsidP="002A65F5">
                      <w:pPr>
                        <w:jc w:val="center"/>
                      </w:pPr>
                      <w:r>
                        <w:t>1</w:t>
                      </w:r>
                    </w:p>
                  </w:txbxContent>
                </v:textbox>
                <w10:wrap type="through"/>
              </v:oval>
            </w:pict>
          </mc:Fallback>
        </mc:AlternateContent>
      </w:r>
    </w:p>
    <w:p w14:paraId="315DE42A" w14:textId="77777777" w:rsidR="003B00BB" w:rsidRDefault="002A65F5">
      <w:r>
        <w:t xml:space="preserve">Détermination de la valeur du </w:t>
      </w:r>
      <w:r w:rsidRPr="00E63C6A">
        <w:rPr>
          <w:color w:val="FF6700" w:themeColor="accent3"/>
        </w:rPr>
        <w:t>RPACD</w:t>
      </w:r>
      <w:r>
        <w:t xml:space="preserve"> au moment de la retraite</w:t>
      </w:r>
    </w:p>
    <w:p w14:paraId="6AE0E9CA" w14:textId="77777777" w:rsidR="003B00BB" w:rsidRDefault="003B00BB"/>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1"/>
        <w:gridCol w:w="2191"/>
        <w:gridCol w:w="2191"/>
        <w:gridCol w:w="2191"/>
        <w:gridCol w:w="2191"/>
        <w:gridCol w:w="2191"/>
      </w:tblGrid>
      <w:tr w:rsidR="0048023D" w14:paraId="50A8C007" w14:textId="77777777" w:rsidTr="002F0D76">
        <w:tc>
          <w:tcPr>
            <w:tcW w:w="2191" w:type="dxa"/>
            <w:shd w:val="clear" w:color="auto" w:fill="CAF278" w:themeFill="background2"/>
          </w:tcPr>
          <w:p w14:paraId="74C75C6B" w14:textId="59049941" w:rsidR="003B00BB" w:rsidRDefault="003B00BB" w:rsidP="003B00BB">
            <w:pPr>
              <w:jc w:val="center"/>
            </w:pPr>
            <w:r>
              <w:t>Âge</w:t>
            </w:r>
          </w:p>
        </w:tc>
        <w:tc>
          <w:tcPr>
            <w:tcW w:w="2191" w:type="dxa"/>
            <w:shd w:val="clear" w:color="auto" w:fill="CAF278" w:themeFill="background2"/>
          </w:tcPr>
          <w:p w14:paraId="1F3175D3" w14:textId="207848B4" w:rsidR="003B00BB" w:rsidRDefault="003B00BB" w:rsidP="003B00BB">
            <w:pPr>
              <w:jc w:val="center"/>
            </w:pPr>
            <w:r>
              <w:t>Salaire</w:t>
            </w:r>
          </w:p>
        </w:tc>
        <w:tc>
          <w:tcPr>
            <w:tcW w:w="2191" w:type="dxa"/>
            <w:shd w:val="clear" w:color="auto" w:fill="CAF278" w:themeFill="background2"/>
          </w:tcPr>
          <w:p w14:paraId="4781EA5B" w14:textId="4189DF0F" w:rsidR="003B00BB" w:rsidRDefault="003B00BB" w:rsidP="003B00BB">
            <w:pPr>
              <w:jc w:val="center"/>
            </w:pPr>
            <w:r>
              <w:t>Cotisations</w:t>
            </w:r>
          </w:p>
        </w:tc>
        <w:tc>
          <w:tcPr>
            <w:tcW w:w="2191" w:type="dxa"/>
            <w:shd w:val="clear" w:color="auto" w:fill="CAF278" w:themeFill="background2"/>
          </w:tcPr>
          <w:p w14:paraId="5E088291" w14:textId="613F08BB" w:rsidR="003B00BB" w:rsidRDefault="003B00BB" w:rsidP="003B00BB">
            <w:pPr>
              <w:jc w:val="center"/>
            </w:pPr>
            <w:r>
              <w:t>Solde début</w:t>
            </w:r>
          </w:p>
        </w:tc>
        <w:tc>
          <w:tcPr>
            <w:tcW w:w="2191" w:type="dxa"/>
            <w:shd w:val="clear" w:color="auto" w:fill="CAF278" w:themeFill="background2"/>
          </w:tcPr>
          <w:p w14:paraId="0785E8E5" w14:textId="1E7ADBC6" w:rsidR="003B00BB" w:rsidRDefault="003B00BB" w:rsidP="003B00BB">
            <w:pPr>
              <w:jc w:val="center"/>
            </w:pPr>
            <w:r>
              <w:t>Rendement</w:t>
            </w:r>
            <w:r w:rsidR="0029323D">
              <w:rPr>
                <w:rStyle w:val="Marquenotebasdepage"/>
              </w:rPr>
              <w:footnoteReference w:customMarkFollows="1" w:id="38"/>
              <w:t>35</w:t>
            </w:r>
          </w:p>
        </w:tc>
        <w:tc>
          <w:tcPr>
            <w:tcW w:w="2191" w:type="dxa"/>
            <w:shd w:val="clear" w:color="auto" w:fill="CAF278" w:themeFill="background2"/>
          </w:tcPr>
          <w:p w14:paraId="3744421A" w14:textId="458099CE" w:rsidR="003B00BB" w:rsidRDefault="003B00BB" w:rsidP="003B00BB">
            <w:pPr>
              <w:jc w:val="center"/>
            </w:pPr>
            <w:r>
              <w:t>Solde fin</w:t>
            </w:r>
          </w:p>
        </w:tc>
      </w:tr>
      <w:tr w:rsidR="0048023D" w14:paraId="546EBAA2" w14:textId="77777777" w:rsidTr="002F0D76">
        <w:tc>
          <w:tcPr>
            <w:tcW w:w="2191" w:type="dxa"/>
            <w:shd w:val="clear" w:color="auto" w:fill="CAF278" w:themeFill="background2"/>
          </w:tcPr>
          <w:p w14:paraId="5E6CD320" w14:textId="77777777" w:rsidR="0029323D" w:rsidRDefault="0029323D" w:rsidP="003B00BB">
            <w:pPr>
              <w:jc w:val="center"/>
            </w:pPr>
          </w:p>
        </w:tc>
        <w:tc>
          <w:tcPr>
            <w:tcW w:w="2191" w:type="dxa"/>
            <w:shd w:val="clear" w:color="auto" w:fill="CAF278" w:themeFill="background2"/>
            <w:vAlign w:val="bottom"/>
          </w:tcPr>
          <w:p w14:paraId="0FEC680A" w14:textId="77777777" w:rsidR="0029323D" w:rsidRPr="00FC16C7" w:rsidRDefault="0029323D" w:rsidP="003B00BB">
            <w:pPr>
              <w:jc w:val="center"/>
              <w:rPr>
                <w:rFonts w:eastAsia="Times New Roman"/>
                <w:color w:val="000000"/>
              </w:rPr>
            </w:pPr>
          </w:p>
        </w:tc>
        <w:tc>
          <w:tcPr>
            <w:tcW w:w="2191" w:type="dxa"/>
            <w:shd w:val="clear" w:color="auto" w:fill="CAF278" w:themeFill="background2"/>
            <w:vAlign w:val="bottom"/>
          </w:tcPr>
          <w:p w14:paraId="7B60134F" w14:textId="77777777" w:rsidR="0029323D" w:rsidRPr="00FC16C7" w:rsidRDefault="0029323D" w:rsidP="003B00BB">
            <w:pPr>
              <w:jc w:val="center"/>
              <w:rPr>
                <w:rFonts w:asciiTheme="majorHAnsi" w:eastAsia="Times New Roman" w:hAnsiTheme="majorHAnsi"/>
                <w:color w:val="000000"/>
              </w:rPr>
            </w:pPr>
          </w:p>
        </w:tc>
        <w:tc>
          <w:tcPr>
            <w:tcW w:w="2191" w:type="dxa"/>
            <w:shd w:val="clear" w:color="auto" w:fill="CAF278" w:themeFill="background2"/>
            <w:vAlign w:val="bottom"/>
          </w:tcPr>
          <w:p w14:paraId="2FD1A913" w14:textId="77777777" w:rsidR="0029323D" w:rsidRPr="005837D8" w:rsidRDefault="0029323D" w:rsidP="003B00BB">
            <w:pPr>
              <w:jc w:val="center"/>
              <w:rPr>
                <w:rFonts w:asciiTheme="majorHAnsi" w:eastAsia="Times New Roman" w:hAnsiTheme="majorHAnsi"/>
                <w:color w:val="000000"/>
              </w:rPr>
            </w:pPr>
          </w:p>
        </w:tc>
        <w:tc>
          <w:tcPr>
            <w:tcW w:w="2191" w:type="dxa"/>
            <w:shd w:val="clear" w:color="auto" w:fill="CAF278" w:themeFill="background2"/>
            <w:vAlign w:val="bottom"/>
          </w:tcPr>
          <w:p w14:paraId="194FFC9F" w14:textId="77777777" w:rsidR="0029323D" w:rsidRDefault="0029323D" w:rsidP="003B00BB">
            <w:pPr>
              <w:jc w:val="center"/>
              <w:rPr>
                <w:rFonts w:ascii="Century Gothic" w:eastAsia="Times New Roman" w:hAnsi="Century Gothic"/>
                <w:color w:val="000000"/>
              </w:rPr>
            </w:pPr>
          </w:p>
        </w:tc>
        <w:tc>
          <w:tcPr>
            <w:tcW w:w="2191" w:type="dxa"/>
            <w:shd w:val="clear" w:color="auto" w:fill="CAF278" w:themeFill="background2"/>
            <w:vAlign w:val="bottom"/>
          </w:tcPr>
          <w:p w14:paraId="2C9B1483" w14:textId="77777777" w:rsidR="0029323D" w:rsidRPr="005837D8" w:rsidRDefault="0029323D" w:rsidP="003B00BB">
            <w:pPr>
              <w:jc w:val="center"/>
              <w:rPr>
                <w:rFonts w:asciiTheme="majorHAnsi" w:eastAsia="Times New Roman" w:hAnsiTheme="majorHAnsi"/>
                <w:color w:val="000000"/>
              </w:rPr>
            </w:pPr>
          </w:p>
        </w:tc>
      </w:tr>
      <w:tr w:rsidR="0048023D" w14:paraId="489889D8" w14:textId="77777777" w:rsidTr="002F0D76">
        <w:tc>
          <w:tcPr>
            <w:tcW w:w="2191" w:type="dxa"/>
            <w:shd w:val="clear" w:color="auto" w:fill="D9D9D9" w:themeFill="background1" w:themeFillShade="D9"/>
          </w:tcPr>
          <w:p w14:paraId="74DBAB8D" w14:textId="2AC2821B" w:rsidR="005837D8" w:rsidRDefault="005837D8" w:rsidP="003B00BB">
            <w:pPr>
              <w:jc w:val="center"/>
            </w:pPr>
            <w:r>
              <w:t>40</w:t>
            </w:r>
          </w:p>
        </w:tc>
        <w:tc>
          <w:tcPr>
            <w:tcW w:w="2191" w:type="dxa"/>
            <w:shd w:val="clear" w:color="auto" w:fill="D9D9D9" w:themeFill="background1" w:themeFillShade="D9"/>
            <w:vAlign w:val="bottom"/>
          </w:tcPr>
          <w:p w14:paraId="2A51265A" w14:textId="49BC7D5B" w:rsidR="005837D8" w:rsidRPr="00FC16C7" w:rsidRDefault="005837D8" w:rsidP="003B00BB">
            <w:pPr>
              <w:jc w:val="center"/>
            </w:pPr>
            <w:r w:rsidRPr="00FC16C7">
              <w:rPr>
                <w:rFonts w:eastAsia="Times New Roman"/>
                <w:color w:val="000000"/>
              </w:rPr>
              <w:t>75 000 $</w:t>
            </w:r>
          </w:p>
        </w:tc>
        <w:tc>
          <w:tcPr>
            <w:tcW w:w="2191" w:type="dxa"/>
            <w:shd w:val="clear" w:color="auto" w:fill="D9D9D9" w:themeFill="background1" w:themeFillShade="D9"/>
            <w:vAlign w:val="bottom"/>
          </w:tcPr>
          <w:p w14:paraId="0639145B" w14:textId="0D5C35C2"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13</w:t>
            </w:r>
            <w:r>
              <w:rPr>
                <w:rFonts w:asciiTheme="majorHAnsi" w:eastAsia="Times New Roman" w:hAnsiTheme="majorHAnsi"/>
                <w:color w:val="000000"/>
              </w:rPr>
              <w:t xml:space="preserve"> </w:t>
            </w:r>
            <w:r w:rsidRPr="00FC16C7">
              <w:rPr>
                <w:rFonts w:asciiTheme="majorHAnsi" w:eastAsia="Times New Roman" w:hAnsiTheme="majorHAnsi"/>
                <w:color w:val="000000"/>
              </w:rPr>
              <w:t>500</w:t>
            </w:r>
            <w:r>
              <w:rPr>
                <w:rFonts w:asciiTheme="majorHAnsi" w:eastAsia="Times New Roman" w:hAnsiTheme="majorHAnsi"/>
                <w:color w:val="000000"/>
              </w:rPr>
              <w:t xml:space="preserve"> $</w:t>
            </w:r>
          </w:p>
        </w:tc>
        <w:tc>
          <w:tcPr>
            <w:tcW w:w="2191" w:type="dxa"/>
            <w:shd w:val="clear" w:color="auto" w:fill="D9D9D9" w:themeFill="background1" w:themeFillShade="D9"/>
            <w:vAlign w:val="bottom"/>
          </w:tcPr>
          <w:p w14:paraId="56CE8960" w14:textId="0B3DE227"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0 $</w:t>
            </w:r>
          </w:p>
        </w:tc>
        <w:tc>
          <w:tcPr>
            <w:tcW w:w="2191" w:type="dxa"/>
            <w:shd w:val="clear" w:color="auto" w:fill="D9D9D9" w:themeFill="background1" w:themeFillShade="D9"/>
            <w:vAlign w:val="bottom"/>
          </w:tcPr>
          <w:p w14:paraId="4C79090E" w14:textId="0AB6C62E" w:rsidR="005837D8" w:rsidRDefault="005837D8" w:rsidP="003B00BB">
            <w:pPr>
              <w:jc w:val="center"/>
            </w:pPr>
            <w:r>
              <w:rPr>
                <w:rFonts w:ascii="Century Gothic" w:eastAsia="Times New Roman" w:hAnsi="Century Gothic"/>
                <w:color w:val="000000"/>
              </w:rPr>
              <w:t>338 $</w:t>
            </w:r>
          </w:p>
        </w:tc>
        <w:tc>
          <w:tcPr>
            <w:tcW w:w="2191" w:type="dxa"/>
            <w:shd w:val="clear" w:color="auto" w:fill="D9D9D9" w:themeFill="background1" w:themeFillShade="D9"/>
            <w:vAlign w:val="bottom"/>
          </w:tcPr>
          <w:p w14:paraId="5A5D4E7A" w14:textId="21A38A7E"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13 838 $</w:t>
            </w:r>
          </w:p>
        </w:tc>
      </w:tr>
      <w:tr w:rsidR="0048023D" w14:paraId="71EB160D" w14:textId="77777777" w:rsidTr="002F0D76">
        <w:tc>
          <w:tcPr>
            <w:tcW w:w="2191" w:type="dxa"/>
            <w:shd w:val="clear" w:color="auto" w:fill="D9D9D9" w:themeFill="background1" w:themeFillShade="D9"/>
          </w:tcPr>
          <w:p w14:paraId="1EECF00C" w14:textId="03061157" w:rsidR="005837D8" w:rsidRDefault="005837D8" w:rsidP="003B00BB">
            <w:pPr>
              <w:jc w:val="center"/>
            </w:pPr>
            <w:r>
              <w:t>41</w:t>
            </w:r>
          </w:p>
        </w:tc>
        <w:tc>
          <w:tcPr>
            <w:tcW w:w="2191" w:type="dxa"/>
            <w:shd w:val="clear" w:color="auto" w:fill="D9D9D9" w:themeFill="background1" w:themeFillShade="D9"/>
            <w:vAlign w:val="bottom"/>
          </w:tcPr>
          <w:p w14:paraId="02C1C844" w14:textId="5F21E9F1" w:rsidR="005837D8" w:rsidRPr="00FC16C7" w:rsidRDefault="005837D8" w:rsidP="003B00BB">
            <w:pPr>
              <w:jc w:val="center"/>
            </w:pPr>
            <w:r w:rsidRPr="00FC16C7">
              <w:rPr>
                <w:rFonts w:eastAsia="Times New Roman"/>
                <w:color w:val="000000"/>
              </w:rPr>
              <w:t>77 250 $</w:t>
            </w:r>
          </w:p>
        </w:tc>
        <w:tc>
          <w:tcPr>
            <w:tcW w:w="2191" w:type="dxa"/>
            <w:shd w:val="clear" w:color="auto" w:fill="D9D9D9" w:themeFill="background1" w:themeFillShade="D9"/>
            <w:vAlign w:val="bottom"/>
          </w:tcPr>
          <w:p w14:paraId="5F2C8C41" w14:textId="37DE8E81"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13 905 $</w:t>
            </w:r>
          </w:p>
        </w:tc>
        <w:tc>
          <w:tcPr>
            <w:tcW w:w="2191" w:type="dxa"/>
            <w:shd w:val="clear" w:color="auto" w:fill="D9D9D9" w:themeFill="background1" w:themeFillShade="D9"/>
            <w:vAlign w:val="bottom"/>
          </w:tcPr>
          <w:p w14:paraId="4B0D7241" w14:textId="60199EE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13 838 $</w:t>
            </w:r>
          </w:p>
        </w:tc>
        <w:tc>
          <w:tcPr>
            <w:tcW w:w="2191" w:type="dxa"/>
            <w:shd w:val="clear" w:color="auto" w:fill="D9D9D9" w:themeFill="background1" w:themeFillShade="D9"/>
            <w:vAlign w:val="bottom"/>
          </w:tcPr>
          <w:p w14:paraId="5DE513E2" w14:textId="20DD7E06" w:rsidR="005837D8" w:rsidRDefault="005837D8" w:rsidP="003B00BB">
            <w:pPr>
              <w:jc w:val="center"/>
            </w:pPr>
            <w:r>
              <w:rPr>
                <w:rFonts w:ascii="Century Gothic" w:eastAsia="Times New Roman" w:hAnsi="Century Gothic"/>
                <w:color w:val="000000"/>
              </w:rPr>
              <w:t>1 040 $</w:t>
            </w:r>
          </w:p>
        </w:tc>
        <w:tc>
          <w:tcPr>
            <w:tcW w:w="2191" w:type="dxa"/>
            <w:shd w:val="clear" w:color="auto" w:fill="D9D9D9" w:themeFill="background1" w:themeFillShade="D9"/>
            <w:vAlign w:val="bottom"/>
          </w:tcPr>
          <w:p w14:paraId="3838B100" w14:textId="1A04DB11"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28 782 $</w:t>
            </w:r>
          </w:p>
        </w:tc>
      </w:tr>
      <w:tr w:rsidR="0048023D" w14:paraId="6F1256F8" w14:textId="77777777" w:rsidTr="002F0D76">
        <w:tc>
          <w:tcPr>
            <w:tcW w:w="2191" w:type="dxa"/>
            <w:shd w:val="clear" w:color="auto" w:fill="D9D9D9" w:themeFill="background1" w:themeFillShade="D9"/>
          </w:tcPr>
          <w:p w14:paraId="62B9F4BF" w14:textId="1AD3EDAE" w:rsidR="005837D8" w:rsidRDefault="005837D8" w:rsidP="003B00BB">
            <w:pPr>
              <w:jc w:val="center"/>
            </w:pPr>
            <w:r>
              <w:t>42</w:t>
            </w:r>
          </w:p>
        </w:tc>
        <w:tc>
          <w:tcPr>
            <w:tcW w:w="2191" w:type="dxa"/>
            <w:shd w:val="clear" w:color="auto" w:fill="D9D9D9" w:themeFill="background1" w:themeFillShade="D9"/>
            <w:vAlign w:val="bottom"/>
          </w:tcPr>
          <w:p w14:paraId="12EF1F54" w14:textId="3318B33E" w:rsidR="005837D8" w:rsidRPr="00FC16C7" w:rsidRDefault="005837D8" w:rsidP="003B00BB">
            <w:pPr>
              <w:jc w:val="center"/>
            </w:pPr>
            <w:r w:rsidRPr="00FC16C7">
              <w:rPr>
                <w:rFonts w:eastAsia="Times New Roman"/>
                <w:color w:val="000000"/>
              </w:rPr>
              <w:t>79 568 $</w:t>
            </w:r>
          </w:p>
        </w:tc>
        <w:tc>
          <w:tcPr>
            <w:tcW w:w="2191" w:type="dxa"/>
            <w:shd w:val="clear" w:color="auto" w:fill="D9D9D9" w:themeFill="background1" w:themeFillShade="D9"/>
            <w:vAlign w:val="bottom"/>
          </w:tcPr>
          <w:p w14:paraId="7A91881E" w14:textId="700DC7C6"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14 322 $</w:t>
            </w:r>
          </w:p>
        </w:tc>
        <w:tc>
          <w:tcPr>
            <w:tcW w:w="2191" w:type="dxa"/>
            <w:shd w:val="clear" w:color="auto" w:fill="D9D9D9" w:themeFill="background1" w:themeFillShade="D9"/>
            <w:vAlign w:val="bottom"/>
          </w:tcPr>
          <w:p w14:paraId="3C1FE65A" w14:textId="51F1C840"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28 782 $</w:t>
            </w:r>
          </w:p>
        </w:tc>
        <w:tc>
          <w:tcPr>
            <w:tcW w:w="2191" w:type="dxa"/>
            <w:shd w:val="clear" w:color="auto" w:fill="D9D9D9" w:themeFill="background1" w:themeFillShade="D9"/>
            <w:vAlign w:val="bottom"/>
          </w:tcPr>
          <w:p w14:paraId="2ED4E37D" w14:textId="6C385F34" w:rsidR="005837D8" w:rsidRDefault="005837D8" w:rsidP="003B00BB">
            <w:pPr>
              <w:jc w:val="center"/>
            </w:pPr>
            <w:r>
              <w:rPr>
                <w:rFonts w:ascii="Century Gothic" w:eastAsia="Times New Roman" w:hAnsi="Century Gothic"/>
                <w:color w:val="000000"/>
              </w:rPr>
              <w:t>1 797 $</w:t>
            </w:r>
          </w:p>
        </w:tc>
        <w:tc>
          <w:tcPr>
            <w:tcW w:w="2191" w:type="dxa"/>
            <w:shd w:val="clear" w:color="auto" w:fill="D9D9D9" w:themeFill="background1" w:themeFillShade="D9"/>
            <w:vAlign w:val="bottom"/>
          </w:tcPr>
          <w:p w14:paraId="3827EF41" w14:textId="4754E61B"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44 901 $</w:t>
            </w:r>
          </w:p>
        </w:tc>
      </w:tr>
      <w:tr w:rsidR="0048023D" w14:paraId="482D9ABA" w14:textId="77777777" w:rsidTr="002F0D76">
        <w:tc>
          <w:tcPr>
            <w:tcW w:w="2191" w:type="dxa"/>
            <w:shd w:val="clear" w:color="auto" w:fill="D9D9D9" w:themeFill="background1" w:themeFillShade="D9"/>
          </w:tcPr>
          <w:p w14:paraId="2D9F5770" w14:textId="4F51F318" w:rsidR="005837D8" w:rsidRDefault="005837D8" w:rsidP="003B00BB">
            <w:pPr>
              <w:jc w:val="center"/>
            </w:pPr>
            <w:r>
              <w:t>43</w:t>
            </w:r>
          </w:p>
        </w:tc>
        <w:tc>
          <w:tcPr>
            <w:tcW w:w="2191" w:type="dxa"/>
            <w:shd w:val="clear" w:color="auto" w:fill="D9D9D9" w:themeFill="background1" w:themeFillShade="D9"/>
            <w:vAlign w:val="bottom"/>
          </w:tcPr>
          <w:p w14:paraId="54EA3A87" w14:textId="55A1328E" w:rsidR="005837D8" w:rsidRPr="00FC16C7" w:rsidRDefault="005837D8" w:rsidP="003B00BB">
            <w:pPr>
              <w:jc w:val="center"/>
            </w:pPr>
            <w:r w:rsidRPr="00FC16C7">
              <w:rPr>
                <w:rFonts w:eastAsia="Times New Roman"/>
                <w:color w:val="000000"/>
              </w:rPr>
              <w:t>81 955 $</w:t>
            </w:r>
          </w:p>
        </w:tc>
        <w:tc>
          <w:tcPr>
            <w:tcW w:w="2191" w:type="dxa"/>
            <w:shd w:val="clear" w:color="auto" w:fill="D9D9D9" w:themeFill="background1" w:themeFillShade="D9"/>
            <w:vAlign w:val="bottom"/>
          </w:tcPr>
          <w:p w14:paraId="38D43AE3" w14:textId="5BB5D9C2"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14 752 $</w:t>
            </w:r>
          </w:p>
        </w:tc>
        <w:tc>
          <w:tcPr>
            <w:tcW w:w="2191" w:type="dxa"/>
            <w:shd w:val="clear" w:color="auto" w:fill="D9D9D9" w:themeFill="background1" w:themeFillShade="D9"/>
            <w:vAlign w:val="bottom"/>
          </w:tcPr>
          <w:p w14:paraId="40E3FB3E" w14:textId="439C3244"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44 901 $</w:t>
            </w:r>
          </w:p>
        </w:tc>
        <w:tc>
          <w:tcPr>
            <w:tcW w:w="2191" w:type="dxa"/>
            <w:shd w:val="clear" w:color="auto" w:fill="D9D9D9" w:themeFill="background1" w:themeFillShade="D9"/>
            <w:vAlign w:val="bottom"/>
          </w:tcPr>
          <w:p w14:paraId="052A5F21" w14:textId="49A9427B" w:rsidR="005837D8" w:rsidRDefault="005837D8" w:rsidP="003B00BB">
            <w:pPr>
              <w:jc w:val="center"/>
            </w:pPr>
            <w:r>
              <w:rPr>
                <w:rFonts w:ascii="Century Gothic" w:eastAsia="Times New Roman" w:hAnsi="Century Gothic"/>
                <w:color w:val="000000"/>
              </w:rPr>
              <w:t>2 614 $</w:t>
            </w:r>
          </w:p>
        </w:tc>
        <w:tc>
          <w:tcPr>
            <w:tcW w:w="2191" w:type="dxa"/>
            <w:shd w:val="clear" w:color="auto" w:fill="D9D9D9" w:themeFill="background1" w:themeFillShade="D9"/>
            <w:vAlign w:val="bottom"/>
          </w:tcPr>
          <w:p w14:paraId="45903427" w14:textId="1F0C65DD"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62 267 $</w:t>
            </w:r>
          </w:p>
        </w:tc>
      </w:tr>
      <w:tr w:rsidR="0048023D" w14:paraId="22D687AC" w14:textId="77777777" w:rsidTr="002F0D76">
        <w:tc>
          <w:tcPr>
            <w:tcW w:w="2191" w:type="dxa"/>
            <w:shd w:val="clear" w:color="auto" w:fill="D9D9D9" w:themeFill="background1" w:themeFillShade="D9"/>
          </w:tcPr>
          <w:p w14:paraId="1895B441" w14:textId="15E7CA1F" w:rsidR="005837D8" w:rsidRDefault="005837D8" w:rsidP="003B00BB">
            <w:pPr>
              <w:jc w:val="center"/>
            </w:pPr>
            <w:r>
              <w:t>44</w:t>
            </w:r>
          </w:p>
        </w:tc>
        <w:tc>
          <w:tcPr>
            <w:tcW w:w="2191" w:type="dxa"/>
            <w:shd w:val="clear" w:color="auto" w:fill="D9D9D9" w:themeFill="background1" w:themeFillShade="D9"/>
            <w:vAlign w:val="bottom"/>
          </w:tcPr>
          <w:p w14:paraId="4230DD8E" w14:textId="241D540B" w:rsidR="005837D8" w:rsidRPr="00FC16C7" w:rsidRDefault="005837D8" w:rsidP="003B00BB">
            <w:pPr>
              <w:jc w:val="center"/>
            </w:pPr>
            <w:r w:rsidRPr="00FC16C7">
              <w:rPr>
                <w:rFonts w:eastAsia="Times New Roman"/>
                <w:color w:val="000000"/>
              </w:rPr>
              <w:t>84 413 $</w:t>
            </w:r>
          </w:p>
        </w:tc>
        <w:tc>
          <w:tcPr>
            <w:tcW w:w="2191" w:type="dxa"/>
            <w:shd w:val="clear" w:color="auto" w:fill="D9D9D9" w:themeFill="background1" w:themeFillShade="D9"/>
            <w:vAlign w:val="bottom"/>
          </w:tcPr>
          <w:p w14:paraId="67B07669" w14:textId="6A6FD7CB"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15 194 $</w:t>
            </w:r>
          </w:p>
        </w:tc>
        <w:tc>
          <w:tcPr>
            <w:tcW w:w="2191" w:type="dxa"/>
            <w:shd w:val="clear" w:color="auto" w:fill="D9D9D9" w:themeFill="background1" w:themeFillShade="D9"/>
            <w:vAlign w:val="bottom"/>
          </w:tcPr>
          <w:p w14:paraId="77BB9493" w14:textId="5A412D93"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62 267 $</w:t>
            </w:r>
          </w:p>
        </w:tc>
        <w:tc>
          <w:tcPr>
            <w:tcW w:w="2191" w:type="dxa"/>
            <w:shd w:val="clear" w:color="auto" w:fill="D9D9D9" w:themeFill="background1" w:themeFillShade="D9"/>
            <w:vAlign w:val="bottom"/>
          </w:tcPr>
          <w:p w14:paraId="723FC3F6" w14:textId="7D68346F" w:rsidR="005837D8" w:rsidRDefault="005837D8" w:rsidP="003B00BB">
            <w:pPr>
              <w:jc w:val="center"/>
            </w:pPr>
            <w:r>
              <w:rPr>
                <w:rFonts w:ascii="Century Gothic" w:eastAsia="Times New Roman" w:hAnsi="Century Gothic"/>
                <w:color w:val="000000"/>
              </w:rPr>
              <w:t>3 493 $</w:t>
            </w:r>
          </w:p>
        </w:tc>
        <w:tc>
          <w:tcPr>
            <w:tcW w:w="2191" w:type="dxa"/>
            <w:shd w:val="clear" w:color="auto" w:fill="D9D9D9" w:themeFill="background1" w:themeFillShade="D9"/>
            <w:vAlign w:val="bottom"/>
          </w:tcPr>
          <w:p w14:paraId="134D9840" w14:textId="39AC90C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80 955 $</w:t>
            </w:r>
          </w:p>
        </w:tc>
      </w:tr>
      <w:tr w:rsidR="0048023D" w14:paraId="57314B7A" w14:textId="77777777" w:rsidTr="002F0D76">
        <w:tc>
          <w:tcPr>
            <w:tcW w:w="2191" w:type="dxa"/>
            <w:shd w:val="clear" w:color="auto" w:fill="D9D9D9" w:themeFill="background1" w:themeFillShade="D9"/>
          </w:tcPr>
          <w:p w14:paraId="1B1FA2B6" w14:textId="7841B809" w:rsidR="005837D8" w:rsidRDefault="005837D8" w:rsidP="003B00BB">
            <w:pPr>
              <w:jc w:val="center"/>
            </w:pPr>
            <w:r>
              <w:t>45</w:t>
            </w:r>
          </w:p>
        </w:tc>
        <w:tc>
          <w:tcPr>
            <w:tcW w:w="2191" w:type="dxa"/>
            <w:shd w:val="clear" w:color="auto" w:fill="D9D9D9" w:themeFill="background1" w:themeFillShade="D9"/>
            <w:vAlign w:val="bottom"/>
          </w:tcPr>
          <w:p w14:paraId="27B1CFB3" w14:textId="142DF766" w:rsidR="005837D8" w:rsidRPr="00FC16C7" w:rsidRDefault="005837D8" w:rsidP="003B00BB">
            <w:pPr>
              <w:jc w:val="center"/>
            </w:pPr>
            <w:r w:rsidRPr="00FC16C7">
              <w:rPr>
                <w:rFonts w:eastAsia="Times New Roman"/>
                <w:color w:val="000000"/>
              </w:rPr>
              <w:t>86 946 $</w:t>
            </w:r>
          </w:p>
        </w:tc>
        <w:tc>
          <w:tcPr>
            <w:tcW w:w="2191" w:type="dxa"/>
            <w:shd w:val="clear" w:color="auto" w:fill="D9D9D9" w:themeFill="background1" w:themeFillShade="D9"/>
            <w:vAlign w:val="bottom"/>
          </w:tcPr>
          <w:p w14:paraId="6B79C69D" w14:textId="5FB66B4C"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15 650 $</w:t>
            </w:r>
          </w:p>
        </w:tc>
        <w:tc>
          <w:tcPr>
            <w:tcW w:w="2191" w:type="dxa"/>
            <w:shd w:val="clear" w:color="auto" w:fill="D9D9D9" w:themeFill="background1" w:themeFillShade="D9"/>
            <w:vAlign w:val="bottom"/>
          </w:tcPr>
          <w:p w14:paraId="39C564E7" w14:textId="117E3633"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80 955 $</w:t>
            </w:r>
          </w:p>
        </w:tc>
        <w:tc>
          <w:tcPr>
            <w:tcW w:w="2191" w:type="dxa"/>
            <w:shd w:val="clear" w:color="auto" w:fill="D9D9D9" w:themeFill="background1" w:themeFillShade="D9"/>
            <w:vAlign w:val="bottom"/>
          </w:tcPr>
          <w:p w14:paraId="64BCD319" w14:textId="21B078AB" w:rsidR="005837D8" w:rsidRDefault="005837D8" w:rsidP="003B00BB">
            <w:pPr>
              <w:jc w:val="center"/>
            </w:pPr>
            <w:r>
              <w:rPr>
                <w:rFonts w:ascii="Century Gothic" w:eastAsia="Times New Roman" w:hAnsi="Century Gothic"/>
                <w:color w:val="000000"/>
              </w:rPr>
              <w:t>4 439 $</w:t>
            </w:r>
          </w:p>
        </w:tc>
        <w:tc>
          <w:tcPr>
            <w:tcW w:w="2191" w:type="dxa"/>
            <w:shd w:val="clear" w:color="auto" w:fill="D9D9D9" w:themeFill="background1" w:themeFillShade="D9"/>
            <w:vAlign w:val="bottom"/>
          </w:tcPr>
          <w:p w14:paraId="3AFB567A" w14:textId="2C3ACC54"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101 044 $</w:t>
            </w:r>
          </w:p>
        </w:tc>
      </w:tr>
      <w:tr w:rsidR="0048023D" w14:paraId="5B287B15" w14:textId="77777777" w:rsidTr="002F0D76">
        <w:tc>
          <w:tcPr>
            <w:tcW w:w="2191" w:type="dxa"/>
            <w:shd w:val="clear" w:color="auto" w:fill="D9D9D9" w:themeFill="background1" w:themeFillShade="D9"/>
          </w:tcPr>
          <w:p w14:paraId="5D92D9B4" w14:textId="0C3E3AFE" w:rsidR="005837D8" w:rsidRDefault="005837D8" w:rsidP="003B00BB">
            <w:pPr>
              <w:jc w:val="center"/>
            </w:pPr>
            <w:r>
              <w:t>46</w:t>
            </w:r>
          </w:p>
        </w:tc>
        <w:tc>
          <w:tcPr>
            <w:tcW w:w="2191" w:type="dxa"/>
            <w:shd w:val="clear" w:color="auto" w:fill="D9D9D9" w:themeFill="background1" w:themeFillShade="D9"/>
            <w:vAlign w:val="bottom"/>
          </w:tcPr>
          <w:p w14:paraId="65B6BE2F" w14:textId="4278CFE2" w:rsidR="005837D8" w:rsidRPr="00FC16C7" w:rsidRDefault="005837D8" w:rsidP="003B00BB">
            <w:pPr>
              <w:jc w:val="center"/>
            </w:pPr>
            <w:r w:rsidRPr="00FC16C7">
              <w:rPr>
                <w:rFonts w:eastAsia="Times New Roman"/>
                <w:color w:val="000000"/>
              </w:rPr>
              <w:t>89 554 $</w:t>
            </w:r>
          </w:p>
        </w:tc>
        <w:tc>
          <w:tcPr>
            <w:tcW w:w="2191" w:type="dxa"/>
            <w:shd w:val="clear" w:color="auto" w:fill="D9D9D9" w:themeFill="background1" w:themeFillShade="D9"/>
            <w:vAlign w:val="bottom"/>
          </w:tcPr>
          <w:p w14:paraId="2EAAEB37" w14:textId="743F39AB"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16 120 $</w:t>
            </w:r>
          </w:p>
        </w:tc>
        <w:tc>
          <w:tcPr>
            <w:tcW w:w="2191" w:type="dxa"/>
            <w:shd w:val="clear" w:color="auto" w:fill="D9D9D9" w:themeFill="background1" w:themeFillShade="D9"/>
            <w:vAlign w:val="bottom"/>
          </w:tcPr>
          <w:p w14:paraId="6E0E6429" w14:textId="31F1F52E"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101 044 $</w:t>
            </w:r>
          </w:p>
        </w:tc>
        <w:tc>
          <w:tcPr>
            <w:tcW w:w="2191" w:type="dxa"/>
            <w:shd w:val="clear" w:color="auto" w:fill="D9D9D9" w:themeFill="background1" w:themeFillShade="D9"/>
            <w:vAlign w:val="bottom"/>
          </w:tcPr>
          <w:p w14:paraId="3925682A" w14:textId="0A11F2CB" w:rsidR="005837D8" w:rsidRDefault="005837D8" w:rsidP="003B00BB">
            <w:pPr>
              <w:jc w:val="center"/>
            </w:pPr>
            <w:r>
              <w:rPr>
                <w:rFonts w:ascii="Century Gothic" w:eastAsia="Times New Roman" w:hAnsi="Century Gothic"/>
                <w:color w:val="000000"/>
              </w:rPr>
              <w:t>5 455 $</w:t>
            </w:r>
          </w:p>
        </w:tc>
        <w:tc>
          <w:tcPr>
            <w:tcW w:w="2191" w:type="dxa"/>
            <w:shd w:val="clear" w:color="auto" w:fill="D9D9D9" w:themeFill="background1" w:themeFillShade="D9"/>
            <w:vAlign w:val="bottom"/>
          </w:tcPr>
          <w:p w14:paraId="6B19E30E" w14:textId="66BD8888"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122 619 $</w:t>
            </w:r>
          </w:p>
        </w:tc>
      </w:tr>
      <w:tr w:rsidR="0048023D" w14:paraId="068447FA" w14:textId="77777777" w:rsidTr="002F0D76">
        <w:tc>
          <w:tcPr>
            <w:tcW w:w="2191" w:type="dxa"/>
            <w:shd w:val="clear" w:color="auto" w:fill="D9D9D9" w:themeFill="background1" w:themeFillShade="D9"/>
          </w:tcPr>
          <w:p w14:paraId="549F2EC4" w14:textId="4A69D05B" w:rsidR="005837D8" w:rsidRDefault="005837D8" w:rsidP="003B00BB">
            <w:pPr>
              <w:jc w:val="center"/>
            </w:pPr>
            <w:r>
              <w:t>47</w:t>
            </w:r>
          </w:p>
        </w:tc>
        <w:tc>
          <w:tcPr>
            <w:tcW w:w="2191" w:type="dxa"/>
            <w:shd w:val="clear" w:color="auto" w:fill="D9D9D9" w:themeFill="background1" w:themeFillShade="D9"/>
            <w:vAlign w:val="bottom"/>
          </w:tcPr>
          <w:p w14:paraId="79D1F123" w14:textId="2FCBE40C" w:rsidR="005837D8" w:rsidRPr="00FC16C7" w:rsidRDefault="005837D8" w:rsidP="003B00BB">
            <w:pPr>
              <w:jc w:val="center"/>
            </w:pPr>
            <w:r w:rsidRPr="00FC16C7">
              <w:rPr>
                <w:rFonts w:eastAsia="Times New Roman"/>
                <w:color w:val="000000"/>
              </w:rPr>
              <w:t>92 241 $</w:t>
            </w:r>
          </w:p>
        </w:tc>
        <w:tc>
          <w:tcPr>
            <w:tcW w:w="2191" w:type="dxa"/>
            <w:shd w:val="clear" w:color="auto" w:fill="D9D9D9" w:themeFill="background1" w:themeFillShade="D9"/>
            <w:vAlign w:val="bottom"/>
          </w:tcPr>
          <w:p w14:paraId="061CC70D" w14:textId="38944703"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16 603 $</w:t>
            </w:r>
          </w:p>
        </w:tc>
        <w:tc>
          <w:tcPr>
            <w:tcW w:w="2191" w:type="dxa"/>
            <w:shd w:val="clear" w:color="auto" w:fill="D9D9D9" w:themeFill="background1" w:themeFillShade="D9"/>
            <w:vAlign w:val="bottom"/>
          </w:tcPr>
          <w:p w14:paraId="190CF09A" w14:textId="2A57B77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122 619 $</w:t>
            </w:r>
          </w:p>
        </w:tc>
        <w:tc>
          <w:tcPr>
            <w:tcW w:w="2191" w:type="dxa"/>
            <w:shd w:val="clear" w:color="auto" w:fill="D9D9D9" w:themeFill="background1" w:themeFillShade="D9"/>
            <w:vAlign w:val="bottom"/>
          </w:tcPr>
          <w:p w14:paraId="2077043C" w14:textId="6D9C11D6" w:rsidR="005837D8" w:rsidRDefault="005837D8" w:rsidP="003B00BB">
            <w:pPr>
              <w:jc w:val="center"/>
            </w:pPr>
            <w:r>
              <w:rPr>
                <w:rFonts w:ascii="Century Gothic" w:eastAsia="Times New Roman" w:hAnsi="Century Gothic"/>
                <w:color w:val="000000"/>
              </w:rPr>
              <w:t>6 546 $</w:t>
            </w:r>
          </w:p>
        </w:tc>
        <w:tc>
          <w:tcPr>
            <w:tcW w:w="2191" w:type="dxa"/>
            <w:shd w:val="clear" w:color="auto" w:fill="D9D9D9" w:themeFill="background1" w:themeFillShade="D9"/>
            <w:vAlign w:val="bottom"/>
          </w:tcPr>
          <w:p w14:paraId="10EA45CB" w14:textId="102BB754"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145 768 $</w:t>
            </w:r>
          </w:p>
        </w:tc>
      </w:tr>
      <w:tr w:rsidR="0048023D" w14:paraId="096C5CFB" w14:textId="77777777" w:rsidTr="002F0D76">
        <w:tc>
          <w:tcPr>
            <w:tcW w:w="2191" w:type="dxa"/>
            <w:shd w:val="clear" w:color="auto" w:fill="D9D9D9" w:themeFill="background1" w:themeFillShade="D9"/>
          </w:tcPr>
          <w:p w14:paraId="771685E4" w14:textId="586B01BB" w:rsidR="005837D8" w:rsidRDefault="005837D8" w:rsidP="003B00BB">
            <w:pPr>
              <w:jc w:val="center"/>
            </w:pPr>
            <w:r>
              <w:t>48</w:t>
            </w:r>
          </w:p>
        </w:tc>
        <w:tc>
          <w:tcPr>
            <w:tcW w:w="2191" w:type="dxa"/>
            <w:shd w:val="clear" w:color="auto" w:fill="D9D9D9" w:themeFill="background1" w:themeFillShade="D9"/>
            <w:vAlign w:val="bottom"/>
          </w:tcPr>
          <w:p w14:paraId="361B780F" w14:textId="3BF87D1F" w:rsidR="005837D8" w:rsidRPr="00FC16C7" w:rsidRDefault="005837D8" w:rsidP="003B00BB">
            <w:pPr>
              <w:jc w:val="center"/>
            </w:pPr>
            <w:r w:rsidRPr="00FC16C7">
              <w:rPr>
                <w:rFonts w:eastAsia="Times New Roman"/>
                <w:color w:val="000000"/>
              </w:rPr>
              <w:t>95 008 $</w:t>
            </w:r>
          </w:p>
        </w:tc>
        <w:tc>
          <w:tcPr>
            <w:tcW w:w="2191" w:type="dxa"/>
            <w:shd w:val="clear" w:color="auto" w:fill="D9D9D9" w:themeFill="background1" w:themeFillShade="D9"/>
            <w:vAlign w:val="bottom"/>
          </w:tcPr>
          <w:p w14:paraId="56D9B795" w14:textId="2B751B87"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17 101 $</w:t>
            </w:r>
          </w:p>
        </w:tc>
        <w:tc>
          <w:tcPr>
            <w:tcW w:w="2191" w:type="dxa"/>
            <w:shd w:val="clear" w:color="auto" w:fill="D9D9D9" w:themeFill="background1" w:themeFillShade="D9"/>
            <w:vAlign w:val="bottom"/>
          </w:tcPr>
          <w:p w14:paraId="7964AAB0" w14:textId="0225E3DE"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145 768 $</w:t>
            </w:r>
          </w:p>
        </w:tc>
        <w:tc>
          <w:tcPr>
            <w:tcW w:w="2191" w:type="dxa"/>
            <w:shd w:val="clear" w:color="auto" w:fill="D9D9D9" w:themeFill="background1" w:themeFillShade="D9"/>
            <w:vAlign w:val="bottom"/>
          </w:tcPr>
          <w:p w14:paraId="25F520CB" w14:textId="17653282" w:rsidR="005837D8" w:rsidRDefault="005837D8" w:rsidP="003B00BB">
            <w:pPr>
              <w:jc w:val="center"/>
            </w:pPr>
            <w:r>
              <w:rPr>
                <w:rFonts w:ascii="Century Gothic" w:eastAsia="Times New Roman" w:hAnsi="Century Gothic"/>
                <w:color w:val="000000"/>
              </w:rPr>
              <w:t>7 716 $</w:t>
            </w:r>
          </w:p>
        </w:tc>
        <w:tc>
          <w:tcPr>
            <w:tcW w:w="2191" w:type="dxa"/>
            <w:shd w:val="clear" w:color="auto" w:fill="D9D9D9" w:themeFill="background1" w:themeFillShade="D9"/>
            <w:vAlign w:val="bottom"/>
          </w:tcPr>
          <w:p w14:paraId="47F7D327" w14:textId="7824D6E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170 585 $</w:t>
            </w:r>
          </w:p>
        </w:tc>
      </w:tr>
      <w:tr w:rsidR="0048023D" w14:paraId="37FC6195" w14:textId="77777777" w:rsidTr="002F0D76">
        <w:tc>
          <w:tcPr>
            <w:tcW w:w="2191" w:type="dxa"/>
            <w:shd w:val="clear" w:color="auto" w:fill="D9D9D9" w:themeFill="background1" w:themeFillShade="D9"/>
          </w:tcPr>
          <w:p w14:paraId="07D65078" w14:textId="307F7DE2" w:rsidR="005837D8" w:rsidRDefault="005837D8" w:rsidP="003B00BB">
            <w:pPr>
              <w:jc w:val="center"/>
            </w:pPr>
            <w:r>
              <w:t>49</w:t>
            </w:r>
          </w:p>
        </w:tc>
        <w:tc>
          <w:tcPr>
            <w:tcW w:w="2191" w:type="dxa"/>
            <w:shd w:val="clear" w:color="auto" w:fill="D9D9D9" w:themeFill="background1" w:themeFillShade="D9"/>
            <w:vAlign w:val="bottom"/>
          </w:tcPr>
          <w:p w14:paraId="43D9CE5B" w14:textId="46E4E328" w:rsidR="005837D8" w:rsidRPr="00FC16C7" w:rsidRDefault="005837D8" w:rsidP="003B00BB">
            <w:pPr>
              <w:jc w:val="center"/>
            </w:pPr>
            <w:r w:rsidRPr="00FC16C7">
              <w:rPr>
                <w:rFonts w:eastAsia="Times New Roman"/>
                <w:color w:val="000000"/>
              </w:rPr>
              <w:t>97 858 $</w:t>
            </w:r>
          </w:p>
        </w:tc>
        <w:tc>
          <w:tcPr>
            <w:tcW w:w="2191" w:type="dxa"/>
            <w:shd w:val="clear" w:color="auto" w:fill="D9D9D9" w:themeFill="background1" w:themeFillShade="D9"/>
            <w:vAlign w:val="bottom"/>
          </w:tcPr>
          <w:p w14:paraId="15CE4CD5" w14:textId="46ADD0ED"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17 614 $</w:t>
            </w:r>
          </w:p>
        </w:tc>
        <w:tc>
          <w:tcPr>
            <w:tcW w:w="2191" w:type="dxa"/>
            <w:shd w:val="clear" w:color="auto" w:fill="D9D9D9" w:themeFill="background1" w:themeFillShade="D9"/>
            <w:vAlign w:val="bottom"/>
          </w:tcPr>
          <w:p w14:paraId="26663DB4" w14:textId="02A35F6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170 585 $</w:t>
            </w:r>
          </w:p>
        </w:tc>
        <w:tc>
          <w:tcPr>
            <w:tcW w:w="2191" w:type="dxa"/>
            <w:shd w:val="clear" w:color="auto" w:fill="D9D9D9" w:themeFill="background1" w:themeFillShade="D9"/>
            <w:vAlign w:val="bottom"/>
          </w:tcPr>
          <w:p w14:paraId="3B59F051" w14:textId="204F7122" w:rsidR="005837D8" w:rsidRDefault="005837D8" w:rsidP="003B00BB">
            <w:pPr>
              <w:jc w:val="center"/>
            </w:pPr>
            <w:r>
              <w:rPr>
                <w:rFonts w:ascii="Century Gothic" w:eastAsia="Times New Roman" w:hAnsi="Century Gothic"/>
                <w:color w:val="000000"/>
              </w:rPr>
              <w:t>8 970 $</w:t>
            </w:r>
          </w:p>
        </w:tc>
        <w:tc>
          <w:tcPr>
            <w:tcW w:w="2191" w:type="dxa"/>
            <w:shd w:val="clear" w:color="auto" w:fill="D9D9D9" w:themeFill="background1" w:themeFillShade="D9"/>
            <w:vAlign w:val="bottom"/>
          </w:tcPr>
          <w:p w14:paraId="046529AC" w14:textId="3855170A"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197 169 $</w:t>
            </w:r>
          </w:p>
        </w:tc>
      </w:tr>
      <w:tr w:rsidR="0048023D" w14:paraId="1E66DFF4" w14:textId="77777777" w:rsidTr="002F0D76">
        <w:tc>
          <w:tcPr>
            <w:tcW w:w="2191" w:type="dxa"/>
            <w:shd w:val="clear" w:color="auto" w:fill="D9D9D9" w:themeFill="background1" w:themeFillShade="D9"/>
          </w:tcPr>
          <w:p w14:paraId="1E385303" w14:textId="5CBEDCE0" w:rsidR="005837D8" w:rsidRDefault="005837D8" w:rsidP="003B00BB">
            <w:pPr>
              <w:jc w:val="center"/>
            </w:pPr>
            <w:r>
              <w:t>50</w:t>
            </w:r>
          </w:p>
        </w:tc>
        <w:tc>
          <w:tcPr>
            <w:tcW w:w="2191" w:type="dxa"/>
            <w:shd w:val="clear" w:color="auto" w:fill="D9D9D9" w:themeFill="background1" w:themeFillShade="D9"/>
            <w:vAlign w:val="bottom"/>
          </w:tcPr>
          <w:p w14:paraId="71D56158" w14:textId="55EB47A7" w:rsidR="005837D8" w:rsidRPr="00FC16C7" w:rsidRDefault="005837D8" w:rsidP="003B00BB">
            <w:pPr>
              <w:jc w:val="center"/>
            </w:pPr>
            <w:r w:rsidRPr="00FC16C7">
              <w:rPr>
                <w:rFonts w:eastAsia="Times New Roman"/>
                <w:color w:val="000000"/>
              </w:rPr>
              <w:t>100 794 $</w:t>
            </w:r>
          </w:p>
        </w:tc>
        <w:tc>
          <w:tcPr>
            <w:tcW w:w="2191" w:type="dxa"/>
            <w:shd w:val="clear" w:color="auto" w:fill="D9D9D9" w:themeFill="background1" w:themeFillShade="D9"/>
            <w:vAlign w:val="bottom"/>
          </w:tcPr>
          <w:p w14:paraId="22046335" w14:textId="1534E77F"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18 143 $</w:t>
            </w:r>
          </w:p>
        </w:tc>
        <w:tc>
          <w:tcPr>
            <w:tcW w:w="2191" w:type="dxa"/>
            <w:shd w:val="clear" w:color="auto" w:fill="D9D9D9" w:themeFill="background1" w:themeFillShade="D9"/>
            <w:vAlign w:val="bottom"/>
          </w:tcPr>
          <w:p w14:paraId="1D5EB402" w14:textId="508F4B7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197 169 $</w:t>
            </w:r>
          </w:p>
        </w:tc>
        <w:tc>
          <w:tcPr>
            <w:tcW w:w="2191" w:type="dxa"/>
            <w:shd w:val="clear" w:color="auto" w:fill="D9D9D9" w:themeFill="background1" w:themeFillShade="D9"/>
            <w:vAlign w:val="bottom"/>
          </w:tcPr>
          <w:p w14:paraId="552C7CB4" w14:textId="22B3D8E8" w:rsidR="005837D8" w:rsidRDefault="005837D8" w:rsidP="003B00BB">
            <w:pPr>
              <w:jc w:val="center"/>
            </w:pPr>
            <w:r>
              <w:rPr>
                <w:rFonts w:ascii="Century Gothic" w:eastAsia="Times New Roman" w:hAnsi="Century Gothic"/>
                <w:color w:val="000000"/>
              </w:rPr>
              <w:t>10 312 $</w:t>
            </w:r>
          </w:p>
        </w:tc>
        <w:tc>
          <w:tcPr>
            <w:tcW w:w="2191" w:type="dxa"/>
            <w:shd w:val="clear" w:color="auto" w:fill="D9D9D9" w:themeFill="background1" w:themeFillShade="D9"/>
            <w:vAlign w:val="bottom"/>
          </w:tcPr>
          <w:p w14:paraId="26B8E646" w14:textId="33619A3F"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225 624 $</w:t>
            </w:r>
          </w:p>
        </w:tc>
      </w:tr>
      <w:tr w:rsidR="0048023D" w14:paraId="64E85AD7" w14:textId="77777777" w:rsidTr="002F0D76">
        <w:tc>
          <w:tcPr>
            <w:tcW w:w="2191" w:type="dxa"/>
            <w:shd w:val="clear" w:color="auto" w:fill="D9D9D9" w:themeFill="background1" w:themeFillShade="D9"/>
          </w:tcPr>
          <w:p w14:paraId="1227D71F" w14:textId="212C53B2" w:rsidR="005837D8" w:rsidRDefault="005837D8" w:rsidP="003B00BB">
            <w:pPr>
              <w:jc w:val="center"/>
            </w:pPr>
            <w:r>
              <w:t>51</w:t>
            </w:r>
          </w:p>
        </w:tc>
        <w:tc>
          <w:tcPr>
            <w:tcW w:w="2191" w:type="dxa"/>
            <w:shd w:val="clear" w:color="auto" w:fill="D9D9D9" w:themeFill="background1" w:themeFillShade="D9"/>
            <w:vAlign w:val="bottom"/>
          </w:tcPr>
          <w:p w14:paraId="1D7483ED" w14:textId="3E28AE81" w:rsidR="005837D8" w:rsidRPr="00FC16C7" w:rsidRDefault="005837D8" w:rsidP="003B00BB">
            <w:pPr>
              <w:jc w:val="center"/>
            </w:pPr>
            <w:r w:rsidRPr="00FC16C7">
              <w:rPr>
                <w:rFonts w:eastAsia="Times New Roman"/>
                <w:color w:val="000000"/>
              </w:rPr>
              <w:t>103 818 $</w:t>
            </w:r>
          </w:p>
        </w:tc>
        <w:tc>
          <w:tcPr>
            <w:tcW w:w="2191" w:type="dxa"/>
            <w:shd w:val="clear" w:color="auto" w:fill="D9D9D9" w:themeFill="background1" w:themeFillShade="D9"/>
            <w:vAlign w:val="bottom"/>
          </w:tcPr>
          <w:p w14:paraId="19F5CF66" w14:textId="29A1ACFC"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18 687 $</w:t>
            </w:r>
          </w:p>
        </w:tc>
        <w:tc>
          <w:tcPr>
            <w:tcW w:w="2191" w:type="dxa"/>
            <w:shd w:val="clear" w:color="auto" w:fill="D9D9D9" w:themeFill="background1" w:themeFillShade="D9"/>
            <w:vAlign w:val="bottom"/>
          </w:tcPr>
          <w:p w14:paraId="06224DA8" w14:textId="244EA6F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225 624 $</w:t>
            </w:r>
          </w:p>
        </w:tc>
        <w:tc>
          <w:tcPr>
            <w:tcW w:w="2191" w:type="dxa"/>
            <w:shd w:val="clear" w:color="auto" w:fill="D9D9D9" w:themeFill="background1" w:themeFillShade="D9"/>
            <w:vAlign w:val="bottom"/>
          </w:tcPr>
          <w:p w14:paraId="6D09D216" w14:textId="6894EE8E" w:rsidR="005837D8" w:rsidRDefault="005837D8" w:rsidP="003B00BB">
            <w:pPr>
              <w:jc w:val="center"/>
            </w:pPr>
            <w:r>
              <w:rPr>
                <w:rFonts w:ascii="Century Gothic" w:eastAsia="Times New Roman" w:hAnsi="Century Gothic"/>
                <w:color w:val="000000"/>
              </w:rPr>
              <w:t>11 748 $</w:t>
            </w:r>
          </w:p>
        </w:tc>
        <w:tc>
          <w:tcPr>
            <w:tcW w:w="2191" w:type="dxa"/>
            <w:shd w:val="clear" w:color="auto" w:fill="D9D9D9" w:themeFill="background1" w:themeFillShade="D9"/>
            <w:vAlign w:val="bottom"/>
          </w:tcPr>
          <w:p w14:paraId="2CCD8EB4" w14:textId="426744E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256 060 $</w:t>
            </w:r>
          </w:p>
        </w:tc>
      </w:tr>
      <w:tr w:rsidR="0048023D" w14:paraId="70B736F9" w14:textId="77777777" w:rsidTr="002F0D76">
        <w:tc>
          <w:tcPr>
            <w:tcW w:w="2191" w:type="dxa"/>
            <w:shd w:val="clear" w:color="auto" w:fill="D9D9D9" w:themeFill="background1" w:themeFillShade="D9"/>
          </w:tcPr>
          <w:p w14:paraId="276E9E40" w14:textId="3C9390BB" w:rsidR="005837D8" w:rsidRDefault="005837D8" w:rsidP="003B00BB">
            <w:pPr>
              <w:jc w:val="center"/>
            </w:pPr>
            <w:r>
              <w:t>52</w:t>
            </w:r>
          </w:p>
        </w:tc>
        <w:tc>
          <w:tcPr>
            <w:tcW w:w="2191" w:type="dxa"/>
            <w:shd w:val="clear" w:color="auto" w:fill="D9D9D9" w:themeFill="background1" w:themeFillShade="D9"/>
            <w:vAlign w:val="bottom"/>
          </w:tcPr>
          <w:p w14:paraId="59B9C687" w14:textId="39BB66BA" w:rsidR="005837D8" w:rsidRPr="00FC16C7" w:rsidRDefault="005837D8" w:rsidP="003B00BB">
            <w:pPr>
              <w:jc w:val="center"/>
            </w:pPr>
            <w:r w:rsidRPr="00FC16C7">
              <w:rPr>
                <w:rFonts w:eastAsia="Times New Roman"/>
                <w:color w:val="000000"/>
              </w:rPr>
              <w:t>106 932 $</w:t>
            </w:r>
          </w:p>
        </w:tc>
        <w:tc>
          <w:tcPr>
            <w:tcW w:w="2191" w:type="dxa"/>
            <w:shd w:val="clear" w:color="auto" w:fill="D9D9D9" w:themeFill="background1" w:themeFillShade="D9"/>
            <w:vAlign w:val="bottom"/>
          </w:tcPr>
          <w:p w14:paraId="47021B9C" w14:textId="3A75FBB7"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19 248 $</w:t>
            </w:r>
          </w:p>
        </w:tc>
        <w:tc>
          <w:tcPr>
            <w:tcW w:w="2191" w:type="dxa"/>
            <w:shd w:val="clear" w:color="auto" w:fill="D9D9D9" w:themeFill="background1" w:themeFillShade="D9"/>
            <w:vAlign w:val="bottom"/>
          </w:tcPr>
          <w:p w14:paraId="36E9FF19" w14:textId="7867E6EF"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256 060 $</w:t>
            </w:r>
          </w:p>
        </w:tc>
        <w:tc>
          <w:tcPr>
            <w:tcW w:w="2191" w:type="dxa"/>
            <w:shd w:val="clear" w:color="auto" w:fill="D9D9D9" w:themeFill="background1" w:themeFillShade="D9"/>
            <w:vAlign w:val="bottom"/>
          </w:tcPr>
          <w:p w14:paraId="49EC2A3D" w14:textId="3490B938" w:rsidR="005837D8" w:rsidRDefault="005837D8" w:rsidP="003B00BB">
            <w:pPr>
              <w:jc w:val="center"/>
            </w:pPr>
            <w:r>
              <w:rPr>
                <w:rFonts w:ascii="Century Gothic" w:eastAsia="Times New Roman" w:hAnsi="Century Gothic"/>
                <w:color w:val="000000"/>
              </w:rPr>
              <w:t>13 284 $</w:t>
            </w:r>
          </w:p>
        </w:tc>
        <w:tc>
          <w:tcPr>
            <w:tcW w:w="2191" w:type="dxa"/>
            <w:shd w:val="clear" w:color="auto" w:fill="D9D9D9" w:themeFill="background1" w:themeFillShade="D9"/>
            <w:vAlign w:val="bottom"/>
          </w:tcPr>
          <w:p w14:paraId="041D3CEE" w14:textId="0ECACF2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288 592 $</w:t>
            </w:r>
          </w:p>
        </w:tc>
      </w:tr>
      <w:tr w:rsidR="0048023D" w14:paraId="280EB291" w14:textId="77777777" w:rsidTr="002F0D76">
        <w:tc>
          <w:tcPr>
            <w:tcW w:w="2191" w:type="dxa"/>
            <w:shd w:val="clear" w:color="auto" w:fill="D9D9D9" w:themeFill="background1" w:themeFillShade="D9"/>
          </w:tcPr>
          <w:p w14:paraId="598AF855" w14:textId="04243133" w:rsidR="005837D8" w:rsidRDefault="005837D8" w:rsidP="003B00BB">
            <w:pPr>
              <w:jc w:val="center"/>
            </w:pPr>
            <w:r>
              <w:t>53</w:t>
            </w:r>
          </w:p>
        </w:tc>
        <w:tc>
          <w:tcPr>
            <w:tcW w:w="2191" w:type="dxa"/>
            <w:shd w:val="clear" w:color="auto" w:fill="D9D9D9" w:themeFill="background1" w:themeFillShade="D9"/>
            <w:vAlign w:val="bottom"/>
          </w:tcPr>
          <w:p w14:paraId="4365A919" w14:textId="6560BB92" w:rsidR="005837D8" w:rsidRPr="00FC16C7" w:rsidRDefault="005837D8" w:rsidP="003B00BB">
            <w:pPr>
              <w:jc w:val="center"/>
            </w:pPr>
            <w:r w:rsidRPr="00FC16C7">
              <w:rPr>
                <w:rFonts w:eastAsia="Times New Roman"/>
                <w:color w:val="000000"/>
              </w:rPr>
              <w:t>110 140 $</w:t>
            </w:r>
          </w:p>
        </w:tc>
        <w:tc>
          <w:tcPr>
            <w:tcW w:w="2191" w:type="dxa"/>
            <w:shd w:val="clear" w:color="auto" w:fill="D9D9D9" w:themeFill="background1" w:themeFillShade="D9"/>
            <w:vAlign w:val="bottom"/>
          </w:tcPr>
          <w:p w14:paraId="2E150FAE" w14:textId="5B466FD9"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19 825 $</w:t>
            </w:r>
          </w:p>
        </w:tc>
        <w:tc>
          <w:tcPr>
            <w:tcW w:w="2191" w:type="dxa"/>
            <w:shd w:val="clear" w:color="auto" w:fill="D9D9D9" w:themeFill="background1" w:themeFillShade="D9"/>
            <w:vAlign w:val="bottom"/>
          </w:tcPr>
          <w:p w14:paraId="790759C1" w14:textId="4513482C"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288 592 $</w:t>
            </w:r>
          </w:p>
        </w:tc>
        <w:tc>
          <w:tcPr>
            <w:tcW w:w="2191" w:type="dxa"/>
            <w:shd w:val="clear" w:color="auto" w:fill="D9D9D9" w:themeFill="background1" w:themeFillShade="D9"/>
            <w:vAlign w:val="bottom"/>
          </w:tcPr>
          <w:p w14:paraId="2A0B2F42" w14:textId="2F1E67F2" w:rsidR="005837D8" w:rsidRDefault="005837D8" w:rsidP="003B00BB">
            <w:pPr>
              <w:jc w:val="center"/>
            </w:pPr>
            <w:r>
              <w:rPr>
                <w:rFonts w:ascii="Century Gothic" w:eastAsia="Times New Roman" w:hAnsi="Century Gothic"/>
                <w:color w:val="000000"/>
              </w:rPr>
              <w:t>14 925 $</w:t>
            </w:r>
          </w:p>
        </w:tc>
        <w:tc>
          <w:tcPr>
            <w:tcW w:w="2191" w:type="dxa"/>
            <w:shd w:val="clear" w:color="auto" w:fill="D9D9D9" w:themeFill="background1" w:themeFillShade="D9"/>
            <w:vAlign w:val="bottom"/>
          </w:tcPr>
          <w:p w14:paraId="0A20D16B" w14:textId="1579A300"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323 342 $</w:t>
            </w:r>
          </w:p>
        </w:tc>
      </w:tr>
      <w:tr w:rsidR="0048023D" w14:paraId="13934A6B" w14:textId="77777777" w:rsidTr="002F0D76">
        <w:tc>
          <w:tcPr>
            <w:tcW w:w="2191" w:type="dxa"/>
            <w:shd w:val="clear" w:color="auto" w:fill="D9D9D9" w:themeFill="background1" w:themeFillShade="D9"/>
          </w:tcPr>
          <w:p w14:paraId="502F2FB0" w14:textId="7B802E24" w:rsidR="005837D8" w:rsidRDefault="005837D8" w:rsidP="003B00BB">
            <w:pPr>
              <w:jc w:val="center"/>
            </w:pPr>
            <w:r>
              <w:t>54</w:t>
            </w:r>
          </w:p>
        </w:tc>
        <w:tc>
          <w:tcPr>
            <w:tcW w:w="2191" w:type="dxa"/>
            <w:shd w:val="clear" w:color="auto" w:fill="D9D9D9" w:themeFill="background1" w:themeFillShade="D9"/>
            <w:vAlign w:val="bottom"/>
          </w:tcPr>
          <w:p w14:paraId="3D454A3B" w14:textId="4B08AD40" w:rsidR="005837D8" w:rsidRPr="00FC16C7" w:rsidRDefault="005837D8" w:rsidP="003B00BB">
            <w:pPr>
              <w:jc w:val="center"/>
            </w:pPr>
            <w:r w:rsidRPr="00FC16C7">
              <w:rPr>
                <w:rFonts w:eastAsia="Times New Roman"/>
                <w:color w:val="000000"/>
              </w:rPr>
              <w:t>113 444 $</w:t>
            </w:r>
          </w:p>
        </w:tc>
        <w:tc>
          <w:tcPr>
            <w:tcW w:w="2191" w:type="dxa"/>
            <w:shd w:val="clear" w:color="auto" w:fill="D9D9D9" w:themeFill="background1" w:themeFillShade="D9"/>
            <w:vAlign w:val="bottom"/>
          </w:tcPr>
          <w:p w14:paraId="263D845D" w14:textId="383DC5E7"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20 420 $</w:t>
            </w:r>
          </w:p>
        </w:tc>
        <w:tc>
          <w:tcPr>
            <w:tcW w:w="2191" w:type="dxa"/>
            <w:shd w:val="clear" w:color="auto" w:fill="D9D9D9" w:themeFill="background1" w:themeFillShade="D9"/>
            <w:vAlign w:val="bottom"/>
          </w:tcPr>
          <w:p w14:paraId="210BAFD7" w14:textId="0FC4A8D0"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323 342 $</w:t>
            </w:r>
          </w:p>
        </w:tc>
        <w:tc>
          <w:tcPr>
            <w:tcW w:w="2191" w:type="dxa"/>
            <w:shd w:val="clear" w:color="auto" w:fill="D9D9D9" w:themeFill="background1" w:themeFillShade="D9"/>
            <w:vAlign w:val="bottom"/>
          </w:tcPr>
          <w:p w14:paraId="58658C97" w14:textId="3C867725" w:rsidR="005837D8" w:rsidRDefault="005837D8" w:rsidP="003B00BB">
            <w:pPr>
              <w:jc w:val="center"/>
            </w:pPr>
            <w:r>
              <w:rPr>
                <w:rFonts w:ascii="Century Gothic" w:eastAsia="Times New Roman" w:hAnsi="Century Gothic"/>
                <w:color w:val="000000"/>
              </w:rPr>
              <w:t>16 678 $</w:t>
            </w:r>
          </w:p>
        </w:tc>
        <w:tc>
          <w:tcPr>
            <w:tcW w:w="2191" w:type="dxa"/>
            <w:shd w:val="clear" w:color="auto" w:fill="D9D9D9" w:themeFill="background1" w:themeFillShade="D9"/>
            <w:vAlign w:val="bottom"/>
          </w:tcPr>
          <w:p w14:paraId="4ACF739E" w14:textId="766EE15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360 440 $</w:t>
            </w:r>
          </w:p>
        </w:tc>
      </w:tr>
      <w:tr w:rsidR="0048023D" w14:paraId="5C9DA702" w14:textId="77777777" w:rsidTr="002F0D76">
        <w:tc>
          <w:tcPr>
            <w:tcW w:w="2191" w:type="dxa"/>
            <w:shd w:val="clear" w:color="auto" w:fill="D9D9D9" w:themeFill="background1" w:themeFillShade="D9"/>
          </w:tcPr>
          <w:p w14:paraId="20AEECFF" w14:textId="7F771941" w:rsidR="005837D8" w:rsidRDefault="005837D8" w:rsidP="003B00BB">
            <w:pPr>
              <w:jc w:val="center"/>
            </w:pPr>
            <w:r>
              <w:t>55</w:t>
            </w:r>
          </w:p>
        </w:tc>
        <w:tc>
          <w:tcPr>
            <w:tcW w:w="2191" w:type="dxa"/>
            <w:shd w:val="clear" w:color="auto" w:fill="D9D9D9" w:themeFill="background1" w:themeFillShade="D9"/>
            <w:vAlign w:val="bottom"/>
          </w:tcPr>
          <w:p w14:paraId="71C6C521" w14:textId="26EB4898" w:rsidR="005837D8" w:rsidRPr="00FC16C7" w:rsidRDefault="005837D8" w:rsidP="003B00BB">
            <w:pPr>
              <w:jc w:val="center"/>
            </w:pPr>
            <w:r w:rsidRPr="00FC16C7">
              <w:rPr>
                <w:rFonts w:eastAsia="Times New Roman"/>
                <w:color w:val="000000"/>
              </w:rPr>
              <w:t>116 848 $</w:t>
            </w:r>
          </w:p>
        </w:tc>
        <w:tc>
          <w:tcPr>
            <w:tcW w:w="2191" w:type="dxa"/>
            <w:shd w:val="clear" w:color="auto" w:fill="D9D9D9" w:themeFill="background1" w:themeFillShade="D9"/>
            <w:vAlign w:val="bottom"/>
          </w:tcPr>
          <w:p w14:paraId="718582AA" w14:textId="34DE023D"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21 033 $</w:t>
            </w:r>
          </w:p>
        </w:tc>
        <w:tc>
          <w:tcPr>
            <w:tcW w:w="2191" w:type="dxa"/>
            <w:shd w:val="clear" w:color="auto" w:fill="D9D9D9" w:themeFill="background1" w:themeFillShade="D9"/>
            <w:vAlign w:val="bottom"/>
          </w:tcPr>
          <w:p w14:paraId="29F2A161" w14:textId="068CEB7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360 440 $</w:t>
            </w:r>
          </w:p>
        </w:tc>
        <w:tc>
          <w:tcPr>
            <w:tcW w:w="2191" w:type="dxa"/>
            <w:shd w:val="clear" w:color="auto" w:fill="D9D9D9" w:themeFill="background1" w:themeFillShade="D9"/>
            <w:vAlign w:val="bottom"/>
          </w:tcPr>
          <w:p w14:paraId="5C25D62F" w14:textId="0D95A42E" w:rsidR="005837D8" w:rsidRDefault="005837D8" w:rsidP="003B00BB">
            <w:pPr>
              <w:jc w:val="center"/>
            </w:pPr>
            <w:r>
              <w:rPr>
                <w:rFonts w:ascii="Century Gothic" w:eastAsia="Times New Roman" w:hAnsi="Century Gothic"/>
                <w:color w:val="000000"/>
              </w:rPr>
              <w:t>18 548 $</w:t>
            </w:r>
          </w:p>
        </w:tc>
        <w:tc>
          <w:tcPr>
            <w:tcW w:w="2191" w:type="dxa"/>
            <w:shd w:val="clear" w:color="auto" w:fill="D9D9D9" w:themeFill="background1" w:themeFillShade="D9"/>
            <w:vAlign w:val="bottom"/>
          </w:tcPr>
          <w:p w14:paraId="3296C202" w14:textId="16C76BC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400 020 $</w:t>
            </w:r>
          </w:p>
        </w:tc>
      </w:tr>
      <w:tr w:rsidR="0048023D" w14:paraId="3DA83B14" w14:textId="77777777" w:rsidTr="002F0D76">
        <w:tc>
          <w:tcPr>
            <w:tcW w:w="2191" w:type="dxa"/>
            <w:shd w:val="clear" w:color="auto" w:fill="D9D9D9" w:themeFill="background1" w:themeFillShade="D9"/>
          </w:tcPr>
          <w:p w14:paraId="4B490757" w14:textId="1710CE53" w:rsidR="005837D8" w:rsidRDefault="005837D8" w:rsidP="003B00BB">
            <w:pPr>
              <w:jc w:val="center"/>
            </w:pPr>
            <w:r>
              <w:t>56</w:t>
            </w:r>
          </w:p>
        </w:tc>
        <w:tc>
          <w:tcPr>
            <w:tcW w:w="2191" w:type="dxa"/>
            <w:shd w:val="clear" w:color="auto" w:fill="D9D9D9" w:themeFill="background1" w:themeFillShade="D9"/>
            <w:vAlign w:val="bottom"/>
          </w:tcPr>
          <w:p w14:paraId="4BAB6ED2" w14:textId="2B4CA89E" w:rsidR="005837D8" w:rsidRPr="00FC16C7" w:rsidRDefault="005837D8" w:rsidP="003B00BB">
            <w:pPr>
              <w:jc w:val="center"/>
            </w:pPr>
            <w:r w:rsidRPr="00FC16C7">
              <w:rPr>
                <w:rFonts w:eastAsia="Times New Roman"/>
                <w:color w:val="000000"/>
              </w:rPr>
              <w:t>120 353 $</w:t>
            </w:r>
          </w:p>
        </w:tc>
        <w:tc>
          <w:tcPr>
            <w:tcW w:w="2191" w:type="dxa"/>
            <w:shd w:val="clear" w:color="auto" w:fill="D9D9D9" w:themeFill="background1" w:themeFillShade="D9"/>
            <w:vAlign w:val="bottom"/>
          </w:tcPr>
          <w:p w14:paraId="0AC73C71" w14:textId="4408B766"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21 664 $</w:t>
            </w:r>
          </w:p>
        </w:tc>
        <w:tc>
          <w:tcPr>
            <w:tcW w:w="2191" w:type="dxa"/>
            <w:shd w:val="clear" w:color="auto" w:fill="D9D9D9" w:themeFill="background1" w:themeFillShade="D9"/>
            <w:vAlign w:val="bottom"/>
          </w:tcPr>
          <w:p w14:paraId="18667FD6" w14:textId="6731D4AC"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400 020 $</w:t>
            </w:r>
          </w:p>
        </w:tc>
        <w:tc>
          <w:tcPr>
            <w:tcW w:w="2191" w:type="dxa"/>
            <w:shd w:val="clear" w:color="auto" w:fill="D9D9D9" w:themeFill="background1" w:themeFillShade="D9"/>
            <w:vAlign w:val="bottom"/>
          </w:tcPr>
          <w:p w14:paraId="2F4304D8" w14:textId="40C8351A" w:rsidR="005837D8" w:rsidRDefault="005837D8" w:rsidP="003B00BB">
            <w:pPr>
              <w:jc w:val="center"/>
            </w:pPr>
            <w:r>
              <w:rPr>
                <w:rFonts w:ascii="Century Gothic" w:eastAsia="Times New Roman" w:hAnsi="Century Gothic"/>
                <w:color w:val="000000"/>
              </w:rPr>
              <w:t>20 543 $</w:t>
            </w:r>
          </w:p>
        </w:tc>
        <w:tc>
          <w:tcPr>
            <w:tcW w:w="2191" w:type="dxa"/>
            <w:shd w:val="clear" w:color="auto" w:fill="D9D9D9" w:themeFill="background1" w:themeFillShade="D9"/>
            <w:vAlign w:val="bottom"/>
          </w:tcPr>
          <w:p w14:paraId="391D8C9D" w14:textId="7B7E4200"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442 226 $</w:t>
            </w:r>
          </w:p>
        </w:tc>
      </w:tr>
      <w:tr w:rsidR="0048023D" w14:paraId="191AF179" w14:textId="77777777" w:rsidTr="002F0D76">
        <w:tc>
          <w:tcPr>
            <w:tcW w:w="2191" w:type="dxa"/>
            <w:shd w:val="clear" w:color="auto" w:fill="D9D9D9" w:themeFill="background1" w:themeFillShade="D9"/>
          </w:tcPr>
          <w:p w14:paraId="5278FD33" w14:textId="7AC7F56E" w:rsidR="005837D8" w:rsidRDefault="005837D8" w:rsidP="003B00BB">
            <w:pPr>
              <w:jc w:val="center"/>
            </w:pPr>
            <w:r>
              <w:t>57</w:t>
            </w:r>
          </w:p>
        </w:tc>
        <w:tc>
          <w:tcPr>
            <w:tcW w:w="2191" w:type="dxa"/>
            <w:shd w:val="clear" w:color="auto" w:fill="D9D9D9" w:themeFill="background1" w:themeFillShade="D9"/>
            <w:vAlign w:val="bottom"/>
          </w:tcPr>
          <w:p w14:paraId="069674A2" w14:textId="36ED6E1F" w:rsidR="005837D8" w:rsidRPr="00FC16C7" w:rsidRDefault="005837D8" w:rsidP="003B00BB">
            <w:pPr>
              <w:jc w:val="center"/>
            </w:pPr>
            <w:r w:rsidRPr="00FC16C7">
              <w:rPr>
                <w:rFonts w:eastAsia="Times New Roman"/>
                <w:color w:val="000000"/>
              </w:rPr>
              <w:t>123 964 $</w:t>
            </w:r>
          </w:p>
        </w:tc>
        <w:tc>
          <w:tcPr>
            <w:tcW w:w="2191" w:type="dxa"/>
            <w:shd w:val="clear" w:color="auto" w:fill="D9D9D9" w:themeFill="background1" w:themeFillShade="D9"/>
            <w:vAlign w:val="bottom"/>
          </w:tcPr>
          <w:p w14:paraId="55051BEE" w14:textId="1D70AAB5"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22 313 $</w:t>
            </w:r>
          </w:p>
        </w:tc>
        <w:tc>
          <w:tcPr>
            <w:tcW w:w="2191" w:type="dxa"/>
            <w:shd w:val="clear" w:color="auto" w:fill="D9D9D9" w:themeFill="background1" w:themeFillShade="D9"/>
            <w:vAlign w:val="bottom"/>
          </w:tcPr>
          <w:p w14:paraId="400D5254" w14:textId="7DB8BD4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442 226 $</w:t>
            </w:r>
          </w:p>
        </w:tc>
        <w:tc>
          <w:tcPr>
            <w:tcW w:w="2191" w:type="dxa"/>
            <w:shd w:val="clear" w:color="auto" w:fill="D9D9D9" w:themeFill="background1" w:themeFillShade="D9"/>
            <w:vAlign w:val="bottom"/>
          </w:tcPr>
          <w:p w14:paraId="5A1C2453" w14:textId="5BAA0FB8" w:rsidR="005837D8" w:rsidRDefault="005837D8" w:rsidP="003B00BB">
            <w:pPr>
              <w:jc w:val="center"/>
            </w:pPr>
            <w:r>
              <w:rPr>
                <w:rFonts w:ascii="Century Gothic" w:eastAsia="Times New Roman" w:hAnsi="Century Gothic"/>
                <w:color w:val="000000"/>
              </w:rPr>
              <w:t>22 669 $</w:t>
            </w:r>
          </w:p>
        </w:tc>
        <w:tc>
          <w:tcPr>
            <w:tcW w:w="2191" w:type="dxa"/>
            <w:shd w:val="clear" w:color="auto" w:fill="D9D9D9" w:themeFill="background1" w:themeFillShade="D9"/>
            <w:vAlign w:val="bottom"/>
          </w:tcPr>
          <w:p w14:paraId="04AA6CC2" w14:textId="35B6E73F"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487 209 $</w:t>
            </w:r>
          </w:p>
        </w:tc>
      </w:tr>
      <w:tr w:rsidR="0048023D" w14:paraId="1A9CC3F0" w14:textId="77777777" w:rsidTr="002F0D76">
        <w:tc>
          <w:tcPr>
            <w:tcW w:w="2191" w:type="dxa"/>
            <w:shd w:val="clear" w:color="auto" w:fill="D9D9D9" w:themeFill="background1" w:themeFillShade="D9"/>
          </w:tcPr>
          <w:p w14:paraId="5F5BDE06" w14:textId="641F6E67" w:rsidR="005837D8" w:rsidRDefault="005837D8" w:rsidP="003B00BB">
            <w:pPr>
              <w:jc w:val="center"/>
            </w:pPr>
            <w:r>
              <w:t>58</w:t>
            </w:r>
          </w:p>
        </w:tc>
        <w:tc>
          <w:tcPr>
            <w:tcW w:w="2191" w:type="dxa"/>
            <w:shd w:val="clear" w:color="auto" w:fill="D9D9D9" w:themeFill="background1" w:themeFillShade="D9"/>
            <w:vAlign w:val="bottom"/>
          </w:tcPr>
          <w:p w14:paraId="6261869C" w14:textId="4DA661FE" w:rsidR="005837D8" w:rsidRPr="00FC16C7" w:rsidRDefault="005837D8" w:rsidP="003B00BB">
            <w:pPr>
              <w:jc w:val="center"/>
            </w:pPr>
            <w:r w:rsidRPr="00FC16C7">
              <w:rPr>
                <w:rFonts w:eastAsia="Times New Roman"/>
                <w:color w:val="000000"/>
              </w:rPr>
              <w:t>127 682 $</w:t>
            </w:r>
          </w:p>
        </w:tc>
        <w:tc>
          <w:tcPr>
            <w:tcW w:w="2191" w:type="dxa"/>
            <w:shd w:val="clear" w:color="auto" w:fill="D9D9D9" w:themeFill="background1" w:themeFillShade="D9"/>
            <w:vAlign w:val="bottom"/>
          </w:tcPr>
          <w:p w14:paraId="5276073B" w14:textId="0651B5C1"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22 983 $</w:t>
            </w:r>
          </w:p>
        </w:tc>
        <w:tc>
          <w:tcPr>
            <w:tcW w:w="2191" w:type="dxa"/>
            <w:shd w:val="clear" w:color="auto" w:fill="D9D9D9" w:themeFill="background1" w:themeFillShade="D9"/>
            <w:vAlign w:val="bottom"/>
          </w:tcPr>
          <w:p w14:paraId="1500463E" w14:textId="33420AC3"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487 209 $</w:t>
            </w:r>
          </w:p>
        </w:tc>
        <w:tc>
          <w:tcPr>
            <w:tcW w:w="2191" w:type="dxa"/>
            <w:shd w:val="clear" w:color="auto" w:fill="D9D9D9" w:themeFill="background1" w:themeFillShade="D9"/>
            <w:vAlign w:val="bottom"/>
          </w:tcPr>
          <w:p w14:paraId="469369E7" w14:textId="6322CCD9" w:rsidR="005837D8" w:rsidRDefault="005837D8" w:rsidP="003B00BB">
            <w:pPr>
              <w:jc w:val="center"/>
            </w:pPr>
            <w:r>
              <w:rPr>
                <w:rFonts w:ascii="Century Gothic" w:eastAsia="Times New Roman" w:hAnsi="Century Gothic"/>
                <w:color w:val="000000"/>
              </w:rPr>
              <w:t>24 935 $</w:t>
            </w:r>
          </w:p>
        </w:tc>
        <w:tc>
          <w:tcPr>
            <w:tcW w:w="2191" w:type="dxa"/>
            <w:shd w:val="clear" w:color="auto" w:fill="D9D9D9" w:themeFill="background1" w:themeFillShade="D9"/>
            <w:vAlign w:val="bottom"/>
          </w:tcPr>
          <w:p w14:paraId="2052914C" w14:textId="3AE41260" w:rsidR="005837D8" w:rsidRPr="005837D8" w:rsidRDefault="006102D8" w:rsidP="003B00BB">
            <w:pPr>
              <w:jc w:val="center"/>
              <w:rPr>
                <w:rFonts w:asciiTheme="majorHAnsi" w:hAnsiTheme="majorHAnsi"/>
              </w:rPr>
            </w:pPr>
            <w:r>
              <w:rPr>
                <w:noProof/>
                <w:lang w:eastAsia="fr-FR"/>
              </w:rPr>
              <mc:AlternateContent>
                <mc:Choice Requires="wps">
                  <w:drawing>
                    <wp:anchor distT="0" distB="0" distL="114300" distR="114300" simplePos="0" relativeHeight="252228608" behindDoc="0" locked="0" layoutInCell="1" allowOverlap="1" wp14:anchorId="3CCD9428" wp14:editId="5FDEF682">
                      <wp:simplePos x="0" y="0"/>
                      <wp:positionH relativeFrom="column">
                        <wp:posOffset>128905</wp:posOffset>
                      </wp:positionH>
                      <wp:positionV relativeFrom="paragraph">
                        <wp:posOffset>109220</wp:posOffset>
                      </wp:positionV>
                      <wp:extent cx="915670" cy="344805"/>
                      <wp:effectExtent l="76200" t="76200" r="0" b="61595"/>
                      <wp:wrapNone/>
                      <wp:docPr id="277" name="Ellipse 277"/>
                      <wp:cNvGraphicFramePr/>
                      <a:graphic xmlns:a="http://schemas.openxmlformats.org/drawingml/2006/main">
                        <a:graphicData uri="http://schemas.microsoft.com/office/word/2010/wordprocessingShape">
                          <wps:wsp>
                            <wps:cNvSpPr/>
                            <wps:spPr>
                              <a:xfrm>
                                <a:off x="0" y="0"/>
                                <a:ext cx="915670" cy="344805"/>
                              </a:xfrm>
                              <a:prstGeom prst="ellipse">
                                <a:avLst/>
                              </a:prstGeom>
                              <a:noFill/>
                              <a:ln>
                                <a:solidFill>
                                  <a:srgbClr val="008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id="Ellipse 277" o:spid="_x0000_s1026" style="position:absolute;margin-left:10.15pt;margin-top:8.6pt;width:72.1pt;height:27.1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" filled="f" strokecolor="green"/>
                  </w:pict>
                </mc:Fallback>
              </mc:AlternateContent>
            </w:r>
            <w:r w:rsidR="005837D8" w:rsidRPr="005837D8">
              <w:rPr>
                <w:rFonts w:asciiTheme="majorHAnsi" w:eastAsia="Times New Roman" w:hAnsiTheme="majorHAnsi"/>
                <w:color w:val="000000"/>
              </w:rPr>
              <w:t>535 127 $</w:t>
            </w:r>
          </w:p>
        </w:tc>
      </w:tr>
      <w:tr w:rsidR="0048023D" w14:paraId="2C50EB6F" w14:textId="77777777" w:rsidTr="002F0D76">
        <w:tc>
          <w:tcPr>
            <w:tcW w:w="2191" w:type="dxa"/>
            <w:shd w:val="clear" w:color="auto" w:fill="D9D9D9" w:themeFill="background1" w:themeFillShade="D9"/>
          </w:tcPr>
          <w:p w14:paraId="39CB6380" w14:textId="24DB3F8F" w:rsidR="005837D8" w:rsidRDefault="005837D8" w:rsidP="003B00BB">
            <w:pPr>
              <w:jc w:val="center"/>
            </w:pPr>
            <w:r>
              <w:t>59</w:t>
            </w:r>
          </w:p>
        </w:tc>
        <w:tc>
          <w:tcPr>
            <w:tcW w:w="2191" w:type="dxa"/>
            <w:shd w:val="clear" w:color="auto" w:fill="D9D9D9" w:themeFill="background1" w:themeFillShade="D9"/>
            <w:vAlign w:val="bottom"/>
          </w:tcPr>
          <w:p w14:paraId="4AB4EE68" w14:textId="030A3919" w:rsidR="005837D8" w:rsidRPr="00FC16C7" w:rsidRDefault="005837D8" w:rsidP="003B00BB">
            <w:pPr>
              <w:jc w:val="center"/>
            </w:pPr>
            <w:r w:rsidRPr="00FC16C7">
              <w:rPr>
                <w:rFonts w:eastAsia="Times New Roman"/>
                <w:color w:val="000000"/>
              </w:rPr>
              <w:t>131 513 $</w:t>
            </w:r>
          </w:p>
        </w:tc>
        <w:tc>
          <w:tcPr>
            <w:tcW w:w="2191" w:type="dxa"/>
            <w:shd w:val="clear" w:color="auto" w:fill="D9D9D9" w:themeFill="background1" w:themeFillShade="D9"/>
            <w:vAlign w:val="bottom"/>
          </w:tcPr>
          <w:p w14:paraId="1A2ADB82" w14:textId="07B651FB"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23 672 $</w:t>
            </w:r>
          </w:p>
        </w:tc>
        <w:tc>
          <w:tcPr>
            <w:tcW w:w="2191" w:type="dxa"/>
            <w:shd w:val="clear" w:color="auto" w:fill="D9D9D9" w:themeFill="background1" w:themeFillShade="D9"/>
            <w:vAlign w:val="bottom"/>
          </w:tcPr>
          <w:p w14:paraId="7933C7E4" w14:textId="07A396B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535 127 $</w:t>
            </w:r>
          </w:p>
        </w:tc>
        <w:tc>
          <w:tcPr>
            <w:tcW w:w="2191" w:type="dxa"/>
            <w:shd w:val="clear" w:color="auto" w:fill="D9D9D9" w:themeFill="background1" w:themeFillShade="D9"/>
            <w:vAlign w:val="bottom"/>
          </w:tcPr>
          <w:p w14:paraId="52886279" w14:textId="30A4E0AB" w:rsidR="005837D8" w:rsidRDefault="005837D8" w:rsidP="003B00BB">
            <w:pPr>
              <w:jc w:val="center"/>
            </w:pPr>
            <w:r>
              <w:rPr>
                <w:rFonts w:ascii="Century Gothic" w:eastAsia="Times New Roman" w:hAnsi="Century Gothic"/>
                <w:color w:val="000000"/>
              </w:rPr>
              <w:t>27 348 $</w:t>
            </w:r>
          </w:p>
        </w:tc>
        <w:tc>
          <w:tcPr>
            <w:tcW w:w="2191" w:type="dxa"/>
            <w:shd w:val="clear" w:color="auto" w:fill="D9D9D9" w:themeFill="background1" w:themeFillShade="D9"/>
            <w:vAlign w:val="bottom"/>
          </w:tcPr>
          <w:p w14:paraId="5536A47B" w14:textId="642A03E3"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586 147 $</w:t>
            </w:r>
          </w:p>
        </w:tc>
      </w:tr>
    </w:tbl>
    <w:p w14:paraId="1B91DA8B" w14:textId="27458722" w:rsidR="00235233" w:rsidRDefault="00235233">
      <w:r>
        <w:br w:type="page"/>
      </w:r>
    </w:p>
    <w:p w14:paraId="2B5D0BE1" w14:textId="6D74E2F2" w:rsidR="002F0D76" w:rsidRDefault="002F0D76" w:rsidP="002F0D76">
      <w:r>
        <w:rPr>
          <w:noProof/>
          <w:lang w:eastAsia="fr-FR"/>
        </w:rPr>
        <w:lastRenderedPageBreak/>
        <mc:AlternateContent>
          <mc:Choice Requires="wps">
            <w:drawing>
              <wp:anchor distT="0" distB="0" distL="114300" distR="114300" simplePos="0" relativeHeight="252226560" behindDoc="0" locked="0" layoutInCell="1" allowOverlap="1" wp14:anchorId="1F7A8580" wp14:editId="565EA8F2">
                <wp:simplePos x="0" y="0"/>
                <wp:positionH relativeFrom="column">
                  <wp:posOffset>-114300</wp:posOffset>
                </wp:positionH>
                <wp:positionV relativeFrom="paragraph">
                  <wp:posOffset>-228600</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275" name="Ellipse 275"/>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46D79030" w14:textId="53E5098A" w:rsidR="00573C95" w:rsidRDefault="00573C95" w:rsidP="002F0D76">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75" o:spid="_x0000_s1159" style="position:absolute;margin-left:-8.95pt;margin-top:-17.95pt;width:36pt;height:36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" fillcolor="#ff6700 [3206]" strokecolor="#ff6700 [3206]">
                <v:fill color2="#e55c00 [2886]" rotate="t" focus="100%" type="gradient">
                  <o:fill v:ext="view" type="gradientUnscaled"/>
                </v:fill>
                <v:shadow on="t" opacity="18350f" mv:blur="50800f" origin=",.5" offset="0,2pt"/>
                <v:textbox>
                  <w:txbxContent>
                    <w:p w14:paraId="46D79030" w14:textId="53E5098A" w:rsidR="001501D6" w:rsidRDefault="001501D6" w:rsidP="002F0D76">
                      <w:pPr>
                        <w:jc w:val="center"/>
                      </w:pPr>
                      <w:r>
                        <w:t>2</w:t>
                      </w:r>
                    </w:p>
                  </w:txbxContent>
                </v:textbox>
                <w10:wrap type="through"/>
              </v:oval>
            </w:pict>
          </mc:Fallback>
        </mc:AlternateContent>
      </w:r>
      <w:r>
        <w:t xml:space="preserve">Détermination de la valeur du </w:t>
      </w:r>
      <w:r w:rsidRPr="00E63C6A">
        <w:rPr>
          <w:color w:val="FF6700" w:themeColor="accent3"/>
        </w:rPr>
        <w:t>FRV</w:t>
      </w:r>
      <w:r>
        <w:t xml:space="preserve"> au moment du décès</w:t>
      </w:r>
    </w:p>
    <w:p w14:paraId="2B9D7EF9" w14:textId="77777777" w:rsidR="002F0D76" w:rsidRDefault="002F0D76" w:rsidP="002F0D76"/>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1950"/>
        <w:gridCol w:w="1890"/>
        <w:gridCol w:w="1722"/>
        <w:gridCol w:w="1899"/>
        <w:gridCol w:w="2049"/>
        <w:gridCol w:w="1874"/>
      </w:tblGrid>
      <w:tr w:rsidR="009B7F23" w14:paraId="276348D2" w14:textId="77777777" w:rsidTr="0043455A">
        <w:tc>
          <w:tcPr>
            <w:tcW w:w="1838" w:type="dxa"/>
            <w:shd w:val="clear" w:color="auto" w:fill="800000"/>
          </w:tcPr>
          <w:p w14:paraId="541CCDD4" w14:textId="77777777" w:rsidR="009B7F23" w:rsidRDefault="009B7F23" w:rsidP="002F0D76">
            <w:pPr>
              <w:jc w:val="center"/>
            </w:pPr>
            <w:r>
              <w:t>Âge</w:t>
            </w:r>
          </w:p>
        </w:tc>
        <w:tc>
          <w:tcPr>
            <w:tcW w:w="1950" w:type="dxa"/>
            <w:shd w:val="clear" w:color="auto" w:fill="800000"/>
          </w:tcPr>
          <w:p w14:paraId="701120C5" w14:textId="0FBAA1BC" w:rsidR="009B7F23" w:rsidRDefault="009B7F23" w:rsidP="002F0D76">
            <w:pPr>
              <w:jc w:val="center"/>
            </w:pPr>
            <w:r>
              <w:t>Transfert du RPACD</w:t>
            </w:r>
          </w:p>
        </w:tc>
        <w:tc>
          <w:tcPr>
            <w:tcW w:w="1890" w:type="dxa"/>
            <w:shd w:val="clear" w:color="auto" w:fill="800000"/>
          </w:tcPr>
          <w:p w14:paraId="5C230ED7" w14:textId="09F54BCD" w:rsidR="009B7F23" w:rsidRDefault="009B7F23" w:rsidP="002F0D76">
            <w:pPr>
              <w:jc w:val="center"/>
            </w:pPr>
            <w:r>
              <w:t>Solde début</w:t>
            </w:r>
          </w:p>
        </w:tc>
        <w:tc>
          <w:tcPr>
            <w:tcW w:w="1722" w:type="dxa"/>
            <w:shd w:val="clear" w:color="auto" w:fill="800000"/>
          </w:tcPr>
          <w:p w14:paraId="4A29642B" w14:textId="6351F76C" w:rsidR="009B7F23" w:rsidRDefault="009B7F23" w:rsidP="002F0D76">
            <w:pPr>
              <w:jc w:val="center"/>
            </w:pPr>
            <w:r>
              <w:t>Taux retrait maximum</w:t>
            </w:r>
          </w:p>
        </w:tc>
        <w:tc>
          <w:tcPr>
            <w:tcW w:w="1899" w:type="dxa"/>
            <w:shd w:val="clear" w:color="auto" w:fill="800000"/>
          </w:tcPr>
          <w:p w14:paraId="47FD2FE3" w14:textId="6D895FB4" w:rsidR="009B7F23" w:rsidRDefault="009B7F23" w:rsidP="002F0D76">
            <w:pPr>
              <w:jc w:val="center"/>
            </w:pPr>
            <w:r>
              <w:t>Retrait</w:t>
            </w:r>
          </w:p>
        </w:tc>
        <w:tc>
          <w:tcPr>
            <w:tcW w:w="2049" w:type="dxa"/>
            <w:shd w:val="clear" w:color="auto" w:fill="800000"/>
          </w:tcPr>
          <w:p w14:paraId="5722F2E0" w14:textId="1A195490" w:rsidR="009B7F23" w:rsidRDefault="009B7F23" w:rsidP="00AA2FBF">
            <w:pPr>
              <w:jc w:val="center"/>
            </w:pPr>
            <w:r>
              <w:t>Rendement</w:t>
            </w:r>
            <w:r w:rsidR="001B1119">
              <w:rPr>
                <w:rStyle w:val="Marquenotebasdepage"/>
              </w:rPr>
              <w:footnoteReference w:customMarkFollows="1" w:id="39"/>
              <w:t>36</w:t>
            </w:r>
          </w:p>
        </w:tc>
        <w:tc>
          <w:tcPr>
            <w:tcW w:w="1874" w:type="dxa"/>
            <w:shd w:val="clear" w:color="auto" w:fill="800000"/>
          </w:tcPr>
          <w:p w14:paraId="72CC6C4A" w14:textId="77777777" w:rsidR="009B7F23" w:rsidRDefault="009B7F23" w:rsidP="002F0D76">
            <w:pPr>
              <w:jc w:val="center"/>
            </w:pPr>
            <w:r>
              <w:t>Solde fin</w:t>
            </w:r>
          </w:p>
        </w:tc>
      </w:tr>
      <w:tr w:rsidR="009B7F23" w14:paraId="1ACC0E42" w14:textId="77777777" w:rsidTr="0043455A">
        <w:tc>
          <w:tcPr>
            <w:tcW w:w="1838" w:type="dxa"/>
            <w:shd w:val="clear" w:color="auto" w:fill="800000"/>
          </w:tcPr>
          <w:p w14:paraId="26ED7689" w14:textId="77777777" w:rsidR="009B7F23" w:rsidRDefault="009B7F23" w:rsidP="002F0D76">
            <w:pPr>
              <w:jc w:val="center"/>
            </w:pPr>
          </w:p>
        </w:tc>
        <w:tc>
          <w:tcPr>
            <w:tcW w:w="1950" w:type="dxa"/>
            <w:shd w:val="clear" w:color="auto" w:fill="800000"/>
            <w:vAlign w:val="bottom"/>
          </w:tcPr>
          <w:p w14:paraId="7EE91BDD" w14:textId="7424899A" w:rsidR="009B7F23" w:rsidRPr="00FC16C7" w:rsidRDefault="0043455A" w:rsidP="002F0D76">
            <w:pPr>
              <w:jc w:val="center"/>
              <w:rPr>
                <w:rFonts w:eastAsia="Times New Roman"/>
                <w:color w:val="000000"/>
              </w:rPr>
            </w:pPr>
            <w:r>
              <w:rPr>
                <w:noProof/>
                <w:lang w:eastAsia="fr-FR"/>
              </w:rPr>
              <mc:AlternateContent>
                <mc:Choice Requires="wps">
                  <w:drawing>
                    <wp:anchor distT="0" distB="0" distL="114300" distR="114300" simplePos="0" relativeHeight="252234752" behindDoc="0" locked="0" layoutInCell="1" allowOverlap="1" wp14:anchorId="287B5EE6" wp14:editId="33EBCDB0">
                      <wp:simplePos x="0" y="0"/>
                      <wp:positionH relativeFrom="column">
                        <wp:posOffset>158750</wp:posOffset>
                      </wp:positionH>
                      <wp:positionV relativeFrom="paragraph">
                        <wp:posOffset>161290</wp:posOffset>
                      </wp:positionV>
                      <wp:extent cx="915670" cy="344805"/>
                      <wp:effectExtent l="76200" t="76200" r="0" b="61595"/>
                      <wp:wrapNone/>
                      <wp:docPr id="233" name="Ellipse 233"/>
                      <wp:cNvGraphicFramePr/>
                      <a:graphic xmlns:a="http://schemas.openxmlformats.org/drawingml/2006/main">
                        <a:graphicData uri="http://schemas.microsoft.com/office/word/2010/wordprocessingShape">
                          <wps:wsp>
                            <wps:cNvSpPr/>
                            <wps:spPr>
                              <a:xfrm>
                                <a:off x="0" y="0"/>
                                <a:ext cx="915670" cy="344805"/>
                              </a:xfrm>
                              <a:prstGeom prst="ellipse">
                                <a:avLst/>
                              </a:prstGeom>
                              <a:noFill/>
                              <a:ln>
                                <a:solidFill>
                                  <a:srgbClr val="008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id="Ellipse 233" o:spid="_x0000_s1026" style="position:absolute;margin-left:12.5pt;margin-top:12.7pt;width:72.1pt;height:27.1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" filled="f" strokecolor="green"/>
                  </w:pict>
                </mc:Fallback>
              </mc:AlternateContent>
            </w:r>
          </w:p>
        </w:tc>
        <w:tc>
          <w:tcPr>
            <w:tcW w:w="1890" w:type="dxa"/>
            <w:shd w:val="clear" w:color="auto" w:fill="800000"/>
            <w:vAlign w:val="bottom"/>
          </w:tcPr>
          <w:p w14:paraId="4FDEF308" w14:textId="77777777" w:rsidR="009B7F23" w:rsidRPr="00FC16C7" w:rsidRDefault="009B7F23" w:rsidP="002F0D76">
            <w:pPr>
              <w:jc w:val="center"/>
              <w:rPr>
                <w:rFonts w:asciiTheme="majorHAnsi" w:eastAsia="Times New Roman" w:hAnsiTheme="majorHAnsi"/>
                <w:color w:val="000000"/>
              </w:rPr>
            </w:pPr>
          </w:p>
        </w:tc>
        <w:tc>
          <w:tcPr>
            <w:tcW w:w="1722" w:type="dxa"/>
            <w:shd w:val="clear" w:color="auto" w:fill="800000"/>
          </w:tcPr>
          <w:p w14:paraId="31239FBC" w14:textId="77777777" w:rsidR="009B7F23" w:rsidRPr="005837D8" w:rsidRDefault="009B7F23" w:rsidP="002F0D76">
            <w:pPr>
              <w:jc w:val="center"/>
              <w:rPr>
                <w:rFonts w:asciiTheme="majorHAnsi" w:eastAsia="Times New Roman" w:hAnsiTheme="majorHAnsi"/>
                <w:color w:val="000000"/>
              </w:rPr>
            </w:pPr>
          </w:p>
        </w:tc>
        <w:tc>
          <w:tcPr>
            <w:tcW w:w="1899" w:type="dxa"/>
            <w:shd w:val="clear" w:color="auto" w:fill="800000"/>
            <w:vAlign w:val="bottom"/>
          </w:tcPr>
          <w:p w14:paraId="371E5C96" w14:textId="30F48F21" w:rsidR="009B7F23" w:rsidRPr="005837D8" w:rsidRDefault="009B7F23" w:rsidP="002F0D76">
            <w:pPr>
              <w:jc w:val="center"/>
              <w:rPr>
                <w:rFonts w:asciiTheme="majorHAnsi" w:eastAsia="Times New Roman" w:hAnsiTheme="majorHAnsi"/>
                <w:color w:val="000000"/>
              </w:rPr>
            </w:pPr>
          </w:p>
        </w:tc>
        <w:tc>
          <w:tcPr>
            <w:tcW w:w="2049" w:type="dxa"/>
            <w:shd w:val="clear" w:color="auto" w:fill="800000"/>
            <w:vAlign w:val="bottom"/>
          </w:tcPr>
          <w:p w14:paraId="22D2C8CD" w14:textId="77777777" w:rsidR="009B7F23" w:rsidRDefault="009B7F23" w:rsidP="002F0D76">
            <w:pPr>
              <w:jc w:val="center"/>
              <w:rPr>
                <w:rFonts w:ascii="Century Gothic" w:eastAsia="Times New Roman" w:hAnsi="Century Gothic"/>
                <w:color w:val="000000"/>
              </w:rPr>
            </w:pPr>
          </w:p>
        </w:tc>
        <w:tc>
          <w:tcPr>
            <w:tcW w:w="1874" w:type="dxa"/>
            <w:shd w:val="clear" w:color="auto" w:fill="800000"/>
            <w:vAlign w:val="bottom"/>
          </w:tcPr>
          <w:p w14:paraId="0B6E1FF1" w14:textId="77777777" w:rsidR="009B7F23" w:rsidRPr="005837D8" w:rsidRDefault="009B7F23" w:rsidP="002F0D76">
            <w:pPr>
              <w:jc w:val="center"/>
              <w:rPr>
                <w:rFonts w:asciiTheme="majorHAnsi" w:eastAsia="Times New Roman" w:hAnsiTheme="majorHAnsi"/>
                <w:color w:val="000000"/>
              </w:rPr>
            </w:pPr>
          </w:p>
        </w:tc>
      </w:tr>
      <w:tr w:rsidR="009B7F23" w14:paraId="18F1481B" w14:textId="77777777" w:rsidTr="009B7F23">
        <w:tc>
          <w:tcPr>
            <w:tcW w:w="1838" w:type="dxa"/>
            <w:shd w:val="clear" w:color="auto" w:fill="D9D9D9" w:themeFill="background1" w:themeFillShade="D9"/>
          </w:tcPr>
          <w:p w14:paraId="214BCC2D" w14:textId="21879559" w:rsidR="009B7F23" w:rsidRDefault="009B7F23" w:rsidP="002F0D76">
            <w:pPr>
              <w:jc w:val="center"/>
            </w:pPr>
            <w:r>
              <w:t>59</w:t>
            </w:r>
          </w:p>
        </w:tc>
        <w:tc>
          <w:tcPr>
            <w:tcW w:w="1950" w:type="dxa"/>
            <w:shd w:val="clear" w:color="auto" w:fill="D9D9D9" w:themeFill="background1" w:themeFillShade="D9"/>
            <w:vAlign w:val="bottom"/>
          </w:tcPr>
          <w:p w14:paraId="73E497C9" w14:textId="404A0EBF" w:rsidR="009B7F23" w:rsidRPr="00FC16C7" w:rsidRDefault="009B7F23" w:rsidP="002F0D76">
            <w:pPr>
              <w:jc w:val="center"/>
            </w:pPr>
            <w:r>
              <w:rPr>
                <w:rFonts w:eastAsia="Times New Roman"/>
                <w:color w:val="000000"/>
              </w:rPr>
              <w:t>586 147</w:t>
            </w:r>
            <w:r w:rsidRPr="00FC16C7">
              <w:rPr>
                <w:rFonts w:eastAsia="Times New Roman"/>
                <w:color w:val="000000"/>
              </w:rPr>
              <w:t xml:space="preserve"> $</w:t>
            </w:r>
          </w:p>
        </w:tc>
        <w:tc>
          <w:tcPr>
            <w:tcW w:w="1890" w:type="dxa"/>
            <w:shd w:val="clear" w:color="auto" w:fill="D9D9D9" w:themeFill="background1" w:themeFillShade="D9"/>
            <w:vAlign w:val="bottom"/>
          </w:tcPr>
          <w:p w14:paraId="239FF820" w14:textId="14F87086" w:rsidR="009B7F23" w:rsidRPr="00FC16C7" w:rsidRDefault="009B7F23" w:rsidP="002F0D76">
            <w:pPr>
              <w:jc w:val="center"/>
              <w:rPr>
                <w:rFonts w:asciiTheme="majorHAnsi" w:hAnsiTheme="majorHAnsi"/>
              </w:rPr>
            </w:pPr>
            <w:r w:rsidRPr="00FC16C7">
              <w:rPr>
                <w:rFonts w:asciiTheme="majorHAnsi" w:eastAsia="Times New Roman" w:hAnsiTheme="majorHAnsi"/>
                <w:color w:val="000000"/>
              </w:rPr>
              <w:t>0</w:t>
            </w:r>
            <w:r>
              <w:rPr>
                <w:rFonts w:asciiTheme="majorHAnsi" w:eastAsia="Times New Roman" w:hAnsiTheme="majorHAnsi"/>
                <w:color w:val="000000"/>
              </w:rPr>
              <w:t xml:space="preserve"> $</w:t>
            </w:r>
          </w:p>
        </w:tc>
        <w:tc>
          <w:tcPr>
            <w:tcW w:w="1722" w:type="dxa"/>
            <w:shd w:val="clear" w:color="auto" w:fill="D9D9D9" w:themeFill="background1" w:themeFillShade="D9"/>
          </w:tcPr>
          <w:p w14:paraId="0ECE3CB4" w14:textId="77777777" w:rsidR="009B7F23" w:rsidRPr="005837D8" w:rsidRDefault="009B7F23" w:rsidP="002F0D76">
            <w:pPr>
              <w:jc w:val="center"/>
              <w:rPr>
                <w:rFonts w:asciiTheme="majorHAnsi" w:eastAsia="Times New Roman" w:hAnsiTheme="majorHAnsi"/>
                <w:color w:val="000000"/>
              </w:rPr>
            </w:pPr>
          </w:p>
        </w:tc>
        <w:tc>
          <w:tcPr>
            <w:tcW w:w="1899" w:type="dxa"/>
            <w:shd w:val="clear" w:color="auto" w:fill="D9D9D9" w:themeFill="background1" w:themeFillShade="D9"/>
            <w:vAlign w:val="bottom"/>
          </w:tcPr>
          <w:p w14:paraId="4AFEB213" w14:textId="3EB3B25C" w:rsidR="009B7F23" w:rsidRPr="005837D8" w:rsidRDefault="009B7F23" w:rsidP="002F0D76">
            <w:pPr>
              <w:jc w:val="center"/>
              <w:rPr>
                <w:rFonts w:asciiTheme="majorHAnsi" w:hAnsiTheme="majorHAnsi"/>
              </w:rPr>
            </w:pPr>
            <w:r w:rsidRPr="005837D8">
              <w:rPr>
                <w:rFonts w:asciiTheme="majorHAnsi" w:eastAsia="Times New Roman" w:hAnsiTheme="majorHAnsi"/>
                <w:color w:val="000000"/>
              </w:rPr>
              <w:t>0 $</w:t>
            </w:r>
          </w:p>
        </w:tc>
        <w:tc>
          <w:tcPr>
            <w:tcW w:w="2049" w:type="dxa"/>
            <w:shd w:val="clear" w:color="auto" w:fill="D9D9D9" w:themeFill="background1" w:themeFillShade="D9"/>
            <w:vAlign w:val="bottom"/>
          </w:tcPr>
          <w:p w14:paraId="28026390" w14:textId="2B0DF8D3" w:rsidR="009B7F23" w:rsidRDefault="009B7F23" w:rsidP="008F7C76">
            <w:pPr>
              <w:jc w:val="center"/>
            </w:pPr>
            <w:r>
              <w:rPr>
                <w:rFonts w:ascii="Century Gothic" w:eastAsia="Times New Roman" w:hAnsi="Century Gothic"/>
                <w:color w:val="000000"/>
              </w:rPr>
              <w:t>0 $</w:t>
            </w:r>
          </w:p>
        </w:tc>
        <w:tc>
          <w:tcPr>
            <w:tcW w:w="1874" w:type="dxa"/>
            <w:shd w:val="clear" w:color="auto" w:fill="D9D9D9" w:themeFill="background1" w:themeFillShade="D9"/>
            <w:vAlign w:val="bottom"/>
          </w:tcPr>
          <w:p w14:paraId="7EB24AEC" w14:textId="3960AC5F" w:rsidR="009B7F23" w:rsidRPr="005837D8" w:rsidRDefault="009B7F23" w:rsidP="002F0D76">
            <w:pPr>
              <w:jc w:val="center"/>
              <w:rPr>
                <w:rFonts w:asciiTheme="majorHAnsi" w:hAnsiTheme="majorHAnsi"/>
              </w:rPr>
            </w:pPr>
            <w:r>
              <w:rPr>
                <w:rFonts w:asciiTheme="majorHAnsi" w:eastAsia="Times New Roman" w:hAnsiTheme="majorHAnsi"/>
                <w:color w:val="000000"/>
              </w:rPr>
              <w:t>586 147</w:t>
            </w:r>
            <w:r w:rsidRPr="005837D8">
              <w:rPr>
                <w:rFonts w:asciiTheme="majorHAnsi" w:eastAsia="Times New Roman" w:hAnsiTheme="majorHAnsi"/>
                <w:color w:val="000000"/>
              </w:rPr>
              <w:t xml:space="preserve"> $</w:t>
            </w:r>
          </w:p>
        </w:tc>
      </w:tr>
      <w:tr w:rsidR="00391B04" w14:paraId="4363CB73" w14:textId="77777777" w:rsidTr="00A06080">
        <w:tc>
          <w:tcPr>
            <w:tcW w:w="1838" w:type="dxa"/>
            <w:shd w:val="clear" w:color="auto" w:fill="D9D9D9" w:themeFill="background1" w:themeFillShade="D9"/>
          </w:tcPr>
          <w:p w14:paraId="7B67FDC2" w14:textId="68C814BB" w:rsidR="00391B04" w:rsidRDefault="00391B04" w:rsidP="002F0D76">
            <w:pPr>
              <w:jc w:val="center"/>
            </w:pPr>
            <w:r>
              <w:t>60</w:t>
            </w:r>
          </w:p>
        </w:tc>
        <w:tc>
          <w:tcPr>
            <w:tcW w:w="1950" w:type="dxa"/>
            <w:shd w:val="clear" w:color="auto" w:fill="D9D9D9" w:themeFill="background1" w:themeFillShade="D9"/>
            <w:vAlign w:val="bottom"/>
          </w:tcPr>
          <w:p w14:paraId="5F7F0664" w14:textId="1BDADBAA" w:rsidR="00391B04" w:rsidRPr="00FC16C7" w:rsidRDefault="00391B04" w:rsidP="002F0D76">
            <w:pPr>
              <w:jc w:val="center"/>
            </w:pPr>
          </w:p>
        </w:tc>
        <w:tc>
          <w:tcPr>
            <w:tcW w:w="1890" w:type="dxa"/>
            <w:shd w:val="clear" w:color="auto" w:fill="D9D9D9" w:themeFill="background1" w:themeFillShade="D9"/>
            <w:vAlign w:val="bottom"/>
          </w:tcPr>
          <w:p w14:paraId="2725218A" w14:textId="1318F59F" w:rsidR="00391B04" w:rsidRPr="00FC16C7" w:rsidRDefault="00391B04" w:rsidP="002F0D76">
            <w:pPr>
              <w:jc w:val="center"/>
              <w:rPr>
                <w:rFonts w:asciiTheme="majorHAnsi" w:hAnsiTheme="majorHAnsi"/>
              </w:rPr>
            </w:pPr>
            <w:r>
              <w:rPr>
                <w:rFonts w:ascii="Century Gothic" w:eastAsia="Times New Roman" w:hAnsi="Century Gothic"/>
                <w:color w:val="000000"/>
              </w:rPr>
              <w:t>586 147 $</w:t>
            </w:r>
          </w:p>
        </w:tc>
        <w:tc>
          <w:tcPr>
            <w:tcW w:w="1722" w:type="dxa"/>
            <w:shd w:val="clear" w:color="auto" w:fill="D9D9D9" w:themeFill="background1" w:themeFillShade="D9"/>
            <w:vAlign w:val="bottom"/>
          </w:tcPr>
          <w:p w14:paraId="060D43A6" w14:textId="35128CF9"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6,7%</w:t>
            </w:r>
          </w:p>
        </w:tc>
        <w:tc>
          <w:tcPr>
            <w:tcW w:w="1899" w:type="dxa"/>
            <w:shd w:val="clear" w:color="auto" w:fill="D9D9D9" w:themeFill="background1" w:themeFillShade="D9"/>
            <w:vAlign w:val="bottom"/>
          </w:tcPr>
          <w:p w14:paraId="56848499" w14:textId="55FABD17" w:rsidR="00391B04" w:rsidRPr="005837D8" w:rsidRDefault="00391B04" w:rsidP="002F0D76">
            <w:pPr>
              <w:jc w:val="center"/>
              <w:rPr>
                <w:rFonts w:asciiTheme="majorHAnsi" w:hAnsiTheme="majorHAnsi"/>
              </w:rPr>
            </w:pPr>
            <w:r>
              <w:rPr>
                <w:rFonts w:ascii="Century Gothic" w:eastAsia="Times New Roman" w:hAnsi="Century Gothic"/>
                <w:color w:val="000000"/>
              </w:rPr>
              <w:t>39 272 $</w:t>
            </w:r>
          </w:p>
        </w:tc>
        <w:tc>
          <w:tcPr>
            <w:tcW w:w="2049" w:type="dxa"/>
            <w:shd w:val="clear" w:color="auto" w:fill="D9D9D9" w:themeFill="background1" w:themeFillShade="D9"/>
            <w:vAlign w:val="bottom"/>
          </w:tcPr>
          <w:p w14:paraId="34DFB6C7" w14:textId="6A12B41B" w:rsidR="00391B04" w:rsidRPr="00391B04" w:rsidRDefault="00391B04" w:rsidP="002F0D76">
            <w:pPr>
              <w:jc w:val="center"/>
            </w:pPr>
            <w:r w:rsidRPr="00391B04">
              <w:rPr>
                <w:rFonts w:eastAsia="Times New Roman"/>
                <w:color w:val="000000"/>
              </w:rPr>
              <w:t>20 156 $</w:t>
            </w:r>
          </w:p>
        </w:tc>
        <w:tc>
          <w:tcPr>
            <w:tcW w:w="1874" w:type="dxa"/>
            <w:shd w:val="clear" w:color="auto" w:fill="D9D9D9" w:themeFill="background1" w:themeFillShade="D9"/>
            <w:vAlign w:val="bottom"/>
          </w:tcPr>
          <w:p w14:paraId="0573B7EE" w14:textId="35341FAA" w:rsidR="00391B04" w:rsidRPr="005837D8" w:rsidRDefault="00391B04" w:rsidP="002F0D76">
            <w:pPr>
              <w:jc w:val="center"/>
              <w:rPr>
                <w:rFonts w:asciiTheme="majorHAnsi" w:hAnsiTheme="majorHAnsi"/>
              </w:rPr>
            </w:pPr>
            <w:r>
              <w:rPr>
                <w:rFonts w:ascii="Century Gothic" w:eastAsia="Times New Roman" w:hAnsi="Century Gothic"/>
                <w:color w:val="000000"/>
              </w:rPr>
              <w:t>567 031 $</w:t>
            </w:r>
          </w:p>
        </w:tc>
      </w:tr>
      <w:tr w:rsidR="00391B04" w14:paraId="520D72EF" w14:textId="77777777" w:rsidTr="00A06080">
        <w:tc>
          <w:tcPr>
            <w:tcW w:w="1838" w:type="dxa"/>
            <w:shd w:val="clear" w:color="auto" w:fill="D9D9D9" w:themeFill="background1" w:themeFillShade="D9"/>
          </w:tcPr>
          <w:p w14:paraId="6680D823" w14:textId="178D636D" w:rsidR="00391B04" w:rsidRDefault="00391B04" w:rsidP="002F0D76">
            <w:pPr>
              <w:jc w:val="center"/>
            </w:pPr>
            <w:r>
              <w:t>61</w:t>
            </w:r>
          </w:p>
        </w:tc>
        <w:tc>
          <w:tcPr>
            <w:tcW w:w="1950" w:type="dxa"/>
            <w:shd w:val="clear" w:color="auto" w:fill="D9D9D9" w:themeFill="background1" w:themeFillShade="D9"/>
            <w:vAlign w:val="bottom"/>
          </w:tcPr>
          <w:p w14:paraId="77F09CFD" w14:textId="3629BDE2" w:rsidR="00391B04" w:rsidRPr="00FC16C7" w:rsidRDefault="00391B04" w:rsidP="002F0D76">
            <w:pPr>
              <w:jc w:val="center"/>
            </w:pPr>
          </w:p>
        </w:tc>
        <w:tc>
          <w:tcPr>
            <w:tcW w:w="1890" w:type="dxa"/>
            <w:shd w:val="clear" w:color="auto" w:fill="D9D9D9" w:themeFill="background1" w:themeFillShade="D9"/>
            <w:vAlign w:val="bottom"/>
          </w:tcPr>
          <w:p w14:paraId="64C393CA" w14:textId="3F9397F9" w:rsidR="00391B04" w:rsidRPr="00FC16C7" w:rsidRDefault="00391B04" w:rsidP="002F0D76">
            <w:pPr>
              <w:jc w:val="center"/>
              <w:rPr>
                <w:rFonts w:asciiTheme="majorHAnsi" w:hAnsiTheme="majorHAnsi"/>
              </w:rPr>
            </w:pPr>
            <w:r>
              <w:rPr>
                <w:rFonts w:ascii="Century Gothic" w:eastAsia="Times New Roman" w:hAnsi="Century Gothic"/>
                <w:color w:val="000000"/>
              </w:rPr>
              <w:t>567 031 $</w:t>
            </w:r>
          </w:p>
        </w:tc>
        <w:tc>
          <w:tcPr>
            <w:tcW w:w="1722" w:type="dxa"/>
            <w:shd w:val="clear" w:color="auto" w:fill="D9D9D9" w:themeFill="background1" w:themeFillShade="D9"/>
            <w:vAlign w:val="bottom"/>
          </w:tcPr>
          <w:p w14:paraId="10DD6ADA" w14:textId="23B6FA9C"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6,8%</w:t>
            </w:r>
          </w:p>
        </w:tc>
        <w:tc>
          <w:tcPr>
            <w:tcW w:w="1899" w:type="dxa"/>
            <w:shd w:val="clear" w:color="auto" w:fill="D9D9D9" w:themeFill="background1" w:themeFillShade="D9"/>
            <w:vAlign w:val="bottom"/>
          </w:tcPr>
          <w:p w14:paraId="3E098C37" w14:textId="0F34ED41" w:rsidR="00391B04" w:rsidRPr="005837D8" w:rsidRDefault="00391B04" w:rsidP="002F0D76">
            <w:pPr>
              <w:jc w:val="center"/>
              <w:rPr>
                <w:rFonts w:asciiTheme="majorHAnsi" w:hAnsiTheme="majorHAnsi"/>
              </w:rPr>
            </w:pPr>
            <w:r>
              <w:rPr>
                <w:rFonts w:ascii="Century Gothic" w:eastAsia="Times New Roman" w:hAnsi="Century Gothic"/>
                <w:color w:val="000000"/>
              </w:rPr>
              <w:t>38 558 $</w:t>
            </w:r>
          </w:p>
        </w:tc>
        <w:tc>
          <w:tcPr>
            <w:tcW w:w="2049" w:type="dxa"/>
            <w:shd w:val="clear" w:color="auto" w:fill="D9D9D9" w:themeFill="background1" w:themeFillShade="D9"/>
            <w:vAlign w:val="bottom"/>
          </w:tcPr>
          <w:p w14:paraId="0F550009" w14:textId="6A9455A3" w:rsidR="00391B04" w:rsidRPr="00391B04" w:rsidRDefault="00391B04" w:rsidP="002F0D76">
            <w:pPr>
              <w:jc w:val="center"/>
            </w:pPr>
            <w:r w:rsidRPr="00391B04">
              <w:rPr>
                <w:rFonts w:eastAsia="Times New Roman"/>
                <w:color w:val="000000"/>
              </w:rPr>
              <w:t>19 499 $</w:t>
            </w:r>
          </w:p>
        </w:tc>
        <w:tc>
          <w:tcPr>
            <w:tcW w:w="1874" w:type="dxa"/>
            <w:shd w:val="clear" w:color="auto" w:fill="D9D9D9" w:themeFill="background1" w:themeFillShade="D9"/>
            <w:vAlign w:val="bottom"/>
          </w:tcPr>
          <w:p w14:paraId="4AEF1BE1" w14:textId="2BAF9F71" w:rsidR="00391B04" w:rsidRPr="005837D8" w:rsidRDefault="00391B04" w:rsidP="002F0D76">
            <w:pPr>
              <w:jc w:val="center"/>
              <w:rPr>
                <w:rFonts w:asciiTheme="majorHAnsi" w:hAnsiTheme="majorHAnsi"/>
              </w:rPr>
            </w:pPr>
            <w:r>
              <w:rPr>
                <w:rFonts w:ascii="Century Gothic" w:eastAsia="Times New Roman" w:hAnsi="Century Gothic"/>
                <w:color w:val="000000"/>
              </w:rPr>
              <w:t>547 972 $</w:t>
            </w:r>
          </w:p>
        </w:tc>
      </w:tr>
      <w:tr w:rsidR="00391B04" w14:paraId="09D743B6" w14:textId="77777777" w:rsidTr="00A06080">
        <w:tc>
          <w:tcPr>
            <w:tcW w:w="1838" w:type="dxa"/>
            <w:shd w:val="clear" w:color="auto" w:fill="D9D9D9" w:themeFill="background1" w:themeFillShade="D9"/>
          </w:tcPr>
          <w:p w14:paraId="68FF1FC0" w14:textId="262C0240" w:rsidR="00391B04" w:rsidRDefault="00391B04" w:rsidP="002F0D76">
            <w:pPr>
              <w:jc w:val="center"/>
            </w:pPr>
            <w:r>
              <w:t>62</w:t>
            </w:r>
          </w:p>
        </w:tc>
        <w:tc>
          <w:tcPr>
            <w:tcW w:w="1950" w:type="dxa"/>
            <w:shd w:val="clear" w:color="auto" w:fill="D9D9D9" w:themeFill="background1" w:themeFillShade="D9"/>
            <w:vAlign w:val="bottom"/>
          </w:tcPr>
          <w:p w14:paraId="1E71FC4B" w14:textId="7A66589F" w:rsidR="00391B04" w:rsidRPr="00FC16C7" w:rsidRDefault="00391B04" w:rsidP="002F0D76">
            <w:pPr>
              <w:jc w:val="center"/>
            </w:pPr>
          </w:p>
        </w:tc>
        <w:tc>
          <w:tcPr>
            <w:tcW w:w="1890" w:type="dxa"/>
            <w:shd w:val="clear" w:color="auto" w:fill="D9D9D9" w:themeFill="background1" w:themeFillShade="D9"/>
            <w:vAlign w:val="bottom"/>
          </w:tcPr>
          <w:p w14:paraId="15E8802C" w14:textId="1C3A02AD" w:rsidR="00391B04" w:rsidRPr="00FC16C7" w:rsidRDefault="00391B04" w:rsidP="002F0D76">
            <w:pPr>
              <w:jc w:val="center"/>
              <w:rPr>
                <w:rFonts w:asciiTheme="majorHAnsi" w:hAnsiTheme="majorHAnsi"/>
              </w:rPr>
            </w:pPr>
            <w:r>
              <w:rPr>
                <w:rFonts w:ascii="Century Gothic" w:eastAsia="Times New Roman" w:hAnsi="Century Gothic"/>
                <w:color w:val="000000"/>
              </w:rPr>
              <w:t>547 972 $</w:t>
            </w:r>
          </w:p>
        </w:tc>
        <w:tc>
          <w:tcPr>
            <w:tcW w:w="1722" w:type="dxa"/>
            <w:shd w:val="clear" w:color="auto" w:fill="D9D9D9" w:themeFill="background1" w:themeFillShade="D9"/>
            <w:vAlign w:val="bottom"/>
          </w:tcPr>
          <w:p w14:paraId="03A421A8" w14:textId="3DB8F775"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6,9%</w:t>
            </w:r>
          </w:p>
        </w:tc>
        <w:tc>
          <w:tcPr>
            <w:tcW w:w="1899" w:type="dxa"/>
            <w:shd w:val="clear" w:color="auto" w:fill="D9D9D9" w:themeFill="background1" w:themeFillShade="D9"/>
            <w:vAlign w:val="bottom"/>
          </w:tcPr>
          <w:p w14:paraId="1389D0EF" w14:textId="7C7E9E8B" w:rsidR="00391B04" w:rsidRPr="005837D8" w:rsidRDefault="00391B04" w:rsidP="002F0D76">
            <w:pPr>
              <w:jc w:val="center"/>
              <w:rPr>
                <w:rFonts w:asciiTheme="majorHAnsi" w:hAnsiTheme="majorHAnsi"/>
              </w:rPr>
            </w:pPr>
            <w:r>
              <w:rPr>
                <w:rFonts w:ascii="Century Gothic" w:eastAsia="Times New Roman" w:hAnsi="Century Gothic"/>
                <w:color w:val="000000"/>
              </w:rPr>
              <w:t>37 810 $</w:t>
            </w:r>
          </w:p>
        </w:tc>
        <w:tc>
          <w:tcPr>
            <w:tcW w:w="2049" w:type="dxa"/>
            <w:shd w:val="clear" w:color="auto" w:fill="D9D9D9" w:themeFill="background1" w:themeFillShade="D9"/>
            <w:vAlign w:val="bottom"/>
          </w:tcPr>
          <w:p w14:paraId="2921161A" w14:textId="57A63949" w:rsidR="00391B04" w:rsidRPr="00391B04" w:rsidRDefault="00391B04" w:rsidP="002F0D76">
            <w:pPr>
              <w:jc w:val="center"/>
            </w:pPr>
            <w:r w:rsidRPr="00391B04">
              <w:rPr>
                <w:rFonts w:eastAsia="Times New Roman"/>
                <w:color w:val="000000"/>
              </w:rPr>
              <w:t>18 843 $</w:t>
            </w:r>
          </w:p>
        </w:tc>
        <w:tc>
          <w:tcPr>
            <w:tcW w:w="1874" w:type="dxa"/>
            <w:shd w:val="clear" w:color="auto" w:fill="D9D9D9" w:themeFill="background1" w:themeFillShade="D9"/>
            <w:vAlign w:val="bottom"/>
          </w:tcPr>
          <w:p w14:paraId="75599C8A" w14:textId="0B846DFF" w:rsidR="00391B04" w:rsidRPr="005837D8" w:rsidRDefault="00391B04" w:rsidP="002F0D76">
            <w:pPr>
              <w:jc w:val="center"/>
              <w:rPr>
                <w:rFonts w:asciiTheme="majorHAnsi" w:hAnsiTheme="majorHAnsi"/>
              </w:rPr>
            </w:pPr>
            <w:r>
              <w:rPr>
                <w:rFonts w:ascii="Century Gothic" w:eastAsia="Times New Roman" w:hAnsi="Century Gothic"/>
                <w:color w:val="000000"/>
              </w:rPr>
              <w:t>529 005 $</w:t>
            </w:r>
          </w:p>
        </w:tc>
      </w:tr>
      <w:tr w:rsidR="00391B04" w14:paraId="7D11E1D6" w14:textId="77777777" w:rsidTr="00A06080">
        <w:tc>
          <w:tcPr>
            <w:tcW w:w="1838" w:type="dxa"/>
            <w:shd w:val="clear" w:color="auto" w:fill="D9D9D9" w:themeFill="background1" w:themeFillShade="D9"/>
          </w:tcPr>
          <w:p w14:paraId="224D4E0C" w14:textId="015F06D4" w:rsidR="00391B04" w:rsidRDefault="00391B04" w:rsidP="002F0D76">
            <w:pPr>
              <w:jc w:val="center"/>
            </w:pPr>
            <w:r>
              <w:t>63</w:t>
            </w:r>
          </w:p>
        </w:tc>
        <w:tc>
          <w:tcPr>
            <w:tcW w:w="1950" w:type="dxa"/>
            <w:shd w:val="clear" w:color="auto" w:fill="D9D9D9" w:themeFill="background1" w:themeFillShade="D9"/>
            <w:vAlign w:val="bottom"/>
          </w:tcPr>
          <w:p w14:paraId="0AB7ED4B" w14:textId="4362BD94" w:rsidR="00391B04" w:rsidRPr="00FC16C7" w:rsidRDefault="00391B04" w:rsidP="002F0D76">
            <w:pPr>
              <w:jc w:val="center"/>
            </w:pPr>
          </w:p>
        </w:tc>
        <w:tc>
          <w:tcPr>
            <w:tcW w:w="1890" w:type="dxa"/>
            <w:shd w:val="clear" w:color="auto" w:fill="D9D9D9" w:themeFill="background1" w:themeFillShade="D9"/>
            <w:vAlign w:val="bottom"/>
          </w:tcPr>
          <w:p w14:paraId="4D16FBEF" w14:textId="78856ACE" w:rsidR="00391B04" w:rsidRPr="00FC16C7" w:rsidRDefault="00391B04" w:rsidP="002F0D76">
            <w:pPr>
              <w:jc w:val="center"/>
              <w:rPr>
                <w:rFonts w:asciiTheme="majorHAnsi" w:hAnsiTheme="majorHAnsi"/>
              </w:rPr>
            </w:pPr>
            <w:r>
              <w:rPr>
                <w:rFonts w:ascii="Century Gothic" w:eastAsia="Times New Roman" w:hAnsi="Century Gothic"/>
                <w:color w:val="000000"/>
              </w:rPr>
              <w:t>529 005 $</w:t>
            </w:r>
          </w:p>
        </w:tc>
        <w:tc>
          <w:tcPr>
            <w:tcW w:w="1722" w:type="dxa"/>
            <w:shd w:val="clear" w:color="auto" w:fill="D9D9D9" w:themeFill="background1" w:themeFillShade="D9"/>
            <w:vAlign w:val="bottom"/>
          </w:tcPr>
          <w:p w14:paraId="4012823E" w14:textId="7BFA1399"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7,0%</w:t>
            </w:r>
          </w:p>
        </w:tc>
        <w:tc>
          <w:tcPr>
            <w:tcW w:w="1899" w:type="dxa"/>
            <w:shd w:val="clear" w:color="auto" w:fill="D9D9D9" w:themeFill="background1" w:themeFillShade="D9"/>
            <w:vAlign w:val="bottom"/>
          </w:tcPr>
          <w:p w14:paraId="05CBE7AE" w14:textId="209522B9" w:rsidR="00391B04" w:rsidRPr="005837D8" w:rsidRDefault="00391B04" w:rsidP="002F0D76">
            <w:pPr>
              <w:jc w:val="center"/>
              <w:rPr>
                <w:rFonts w:asciiTheme="majorHAnsi" w:hAnsiTheme="majorHAnsi"/>
              </w:rPr>
            </w:pPr>
            <w:r>
              <w:rPr>
                <w:rFonts w:ascii="Century Gothic" w:eastAsia="Times New Roman" w:hAnsi="Century Gothic"/>
                <w:color w:val="000000"/>
              </w:rPr>
              <w:t>37 030 $</w:t>
            </w:r>
          </w:p>
        </w:tc>
        <w:tc>
          <w:tcPr>
            <w:tcW w:w="2049" w:type="dxa"/>
            <w:shd w:val="clear" w:color="auto" w:fill="D9D9D9" w:themeFill="background1" w:themeFillShade="D9"/>
            <w:vAlign w:val="bottom"/>
          </w:tcPr>
          <w:p w14:paraId="7A83A83E" w14:textId="1EF09504" w:rsidR="00391B04" w:rsidRPr="00391B04" w:rsidRDefault="00391B04" w:rsidP="002F0D76">
            <w:pPr>
              <w:jc w:val="center"/>
            </w:pPr>
            <w:r w:rsidRPr="00391B04">
              <w:rPr>
                <w:rFonts w:eastAsia="Times New Roman"/>
                <w:color w:val="000000"/>
              </w:rPr>
              <w:t>18 191 $</w:t>
            </w:r>
          </w:p>
        </w:tc>
        <w:tc>
          <w:tcPr>
            <w:tcW w:w="1874" w:type="dxa"/>
            <w:shd w:val="clear" w:color="auto" w:fill="D9D9D9" w:themeFill="background1" w:themeFillShade="D9"/>
            <w:vAlign w:val="bottom"/>
          </w:tcPr>
          <w:p w14:paraId="27DA4EE8" w14:textId="727C8F19" w:rsidR="00391B04" w:rsidRPr="005837D8" w:rsidRDefault="00391B04" w:rsidP="002F0D76">
            <w:pPr>
              <w:jc w:val="center"/>
              <w:rPr>
                <w:rFonts w:asciiTheme="majorHAnsi" w:hAnsiTheme="majorHAnsi"/>
              </w:rPr>
            </w:pPr>
            <w:r>
              <w:rPr>
                <w:rFonts w:ascii="Century Gothic" w:eastAsia="Times New Roman" w:hAnsi="Century Gothic"/>
                <w:color w:val="000000"/>
              </w:rPr>
              <w:t>510 166 $</w:t>
            </w:r>
          </w:p>
        </w:tc>
      </w:tr>
      <w:tr w:rsidR="00391B04" w14:paraId="39B8D9AC" w14:textId="77777777" w:rsidTr="00A06080">
        <w:tc>
          <w:tcPr>
            <w:tcW w:w="1838" w:type="dxa"/>
            <w:shd w:val="clear" w:color="auto" w:fill="D9D9D9" w:themeFill="background1" w:themeFillShade="D9"/>
          </w:tcPr>
          <w:p w14:paraId="3211BA7E" w14:textId="3595A19F" w:rsidR="00391B04" w:rsidRDefault="00391B04" w:rsidP="002F0D76">
            <w:pPr>
              <w:jc w:val="center"/>
            </w:pPr>
            <w:r>
              <w:t>64</w:t>
            </w:r>
          </w:p>
        </w:tc>
        <w:tc>
          <w:tcPr>
            <w:tcW w:w="1950" w:type="dxa"/>
            <w:shd w:val="clear" w:color="auto" w:fill="D9D9D9" w:themeFill="background1" w:themeFillShade="D9"/>
            <w:vAlign w:val="bottom"/>
          </w:tcPr>
          <w:p w14:paraId="6D2C2F0A" w14:textId="3E0FAD4F" w:rsidR="00391B04" w:rsidRPr="00FC16C7" w:rsidRDefault="00391B04" w:rsidP="002F0D76">
            <w:pPr>
              <w:jc w:val="center"/>
            </w:pPr>
          </w:p>
        </w:tc>
        <w:tc>
          <w:tcPr>
            <w:tcW w:w="1890" w:type="dxa"/>
            <w:shd w:val="clear" w:color="auto" w:fill="D9D9D9" w:themeFill="background1" w:themeFillShade="D9"/>
            <w:vAlign w:val="bottom"/>
          </w:tcPr>
          <w:p w14:paraId="53158679" w14:textId="315F5760" w:rsidR="00391B04" w:rsidRPr="00FC16C7" w:rsidRDefault="00391B04" w:rsidP="002F0D76">
            <w:pPr>
              <w:jc w:val="center"/>
              <w:rPr>
                <w:rFonts w:asciiTheme="majorHAnsi" w:hAnsiTheme="majorHAnsi"/>
              </w:rPr>
            </w:pPr>
            <w:r>
              <w:rPr>
                <w:rFonts w:ascii="Century Gothic" w:eastAsia="Times New Roman" w:hAnsi="Century Gothic"/>
                <w:color w:val="000000"/>
              </w:rPr>
              <w:t>510 166 $</w:t>
            </w:r>
          </w:p>
        </w:tc>
        <w:tc>
          <w:tcPr>
            <w:tcW w:w="1722" w:type="dxa"/>
            <w:shd w:val="clear" w:color="auto" w:fill="D9D9D9" w:themeFill="background1" w:themeFillShade="D9"/>
            <w:vAlign w:val="bottom"/>
          </w:tcPr>
          <w:p w14:paraId="300BBDF6" w14:textId="43CEDB74"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7,1%</w:t>
            </w:r>
          </w:p>
        </w:tc>
        <w:tc>
          <w:tcPr>
            <w:tcW w:w="1899" w:type="dxa"/>
            <w:shd w:val="clear" w:color="auto" w:fill="D9D9D9" w:themeFill="background1" w:themeFillShade="D9"/>
            <w:vAlign w:val="bottom"/>
          </w:tcPr>
          <w:p w14:paraId="7BD4A2E6" w14:textId="1461E029" w:rsidR="00391B04" w:rsidRPr="005837D8" w:rsidRDefault="00391B04" w:rsidP="002F0D76">
            <w:pPr>
              <w:jc w:val="center"/>
              <w:rPr>
                <w:rFonts w:asciiTheme="majorHAnsi" w:hAnsiTheme="majorHAnsi"/>
              </w:rPr>
            </w:pPr>
            <w:r>
              <w:rPr>
                <w:rFonts w:ascii="Century Gothic" w:eastAsia="Times New Roman" w:hAnsi="Century Gothic"/>
                <w:color w:val="000000"/>
              </w:rPr>
              <w:t>36 222 $</w:t>
            </w:r>
          </w:p>
        </w:tc>
        <w:tc>
          <w:tcPr>
            <w:tcW w:w="2049" w:type="dxa"/>
            <w:shd w:val="clear" w:color="auto" w:fill="D9D9D9" w:themeFill="background1" w:themeFillShade="D9"/>
            <w:vAlign w:val="bottom"/>
          </w:tcPr>
          <w:p w14:paraId="277A54AE" w14:textId="0E9178B9" w:rsidR="00391B04" w:rsidRPr="00391B04" w:rsidRDefault="00391B04" w:rsidP="002F0D76">
            <w:pPr>
              <w:jc w:val="center"/>
            </w:pPr>
            <w:r w:rsidRPr="00391B04">
              <w:rPr>
                <w:rFonts w:eastAsia="Times New Roman"/>
                <w:color w:val="000000"/>
              </w:rPr>
              <w:t>17 543 $</w:t>
            </w:r>
          </w:p>
        </w:tc>
        <w:tc>
          <w:tcPr>
            <w:tcW w:w="1874" w:type="dxa"/>
            <w:shd w:val="clear" w:color="auto" w:fill="D9D9D9" w:themeFill="background1" w:themeFillShade="D9"/>
            <w:vAlign w:val="bottom"/>
          </w:tcPr>
          <w:p w14:paraId="1B0F6C42" w14:textId="2F8AAC84" w:rsidR="00391B04" w:rsidRPr="005837D8" w:rsidRDefault="00391B04" w:rsidP="002F0D76">
            <w:pPr>
              <w:jc w:val="center"/>
              <w:rPr>
                <w:rFonts w:asciiTheme="majorHAnsi" w:hAnsiTheme="majorHAnsi"/>
              </w:rPr>
            </w:pPr>
            <w:r>
              <w:rPr>
                <w:rFonts w:ascii="Century Gothic" w:eastAsia="Times New Roman" w:hAnsi="Century Gothic"/>
                <w:color w:val="000000"/>
              </w:rPr>
              <w:t>491 488 $</w:t>
            </w:r>
          </w:p>
        </w:tc>
      </w:tr>
      <w:tr w:rsidR="00391B04" w14:paraId="436F628A" w14:textId="77777777" w:rsidTr="00A06080">
        <w:tc>
          <w:tcPr>
            <w:tcW w:w="1838" w:type="dxa"/>
            <w:shd w:val="clear" w:color="auto" w:fill="D9D9D9" w:themeFill="background1" w:themeFillShade="D9"/>
          </w:tcPr>
          <w:p w14:paraId="03837015" w14:textId="486629DA" w:rsidR="00391B04" w:rsidRDefault="00391B04" w:rsidP="002F0D76">
            <w:pPr>
              <w:jc w:val="center"/>
            </w:pPr>
            <w:r>
              <w:t>65</w:t>
            </w:r>
          </w:p>
        </w:tc>
        <w:tc>
          <w:tcPr>
            <w:tcW w:w="1950" w:type="dxa"/>
            <w:shd w:val="clear" w:color="auto" w:fill="D9D9D9" w:themeFill="background1" w:themeFillShade="D9"/>
            <w:vAlign w:val="bottom"/>
          </w:tcPr>
          <w:p w14:paraId="646F8BE0" w14:textId="7A7881AB" w:rsidR="00391B04" w:rsidRPr="00FC16C7" w:rsidRDefault="00391B04" w:rsidP="002F0D76">
            <w:pPr>
              <w:jc w:val="center"/>
            </w:pPr>
          </w:p>
        </w:tc>
        <w:tc>
          <w:tcPr>
            <w:tcW w:w="1890" w:type="dxa"/>
            <w:shd w:val="clear" w:color="auto" w:fill="D9D9D9" w:themeFill="background1" w:themeFillShade="D9"/>
            <w:vAlign w:val="bottom"/>
          </w:tcPr>
          <w:p w14:paraId="2655FDB3" w14:textId="31A7BF24" w:rsidR="00391B04" w:rsidRPr="00FC16C7" w:rsidRDefault="00391B04" w:rsidP="002F0D76">
            <w:pPr>
              <w:jc w:val="center"/>
              <w:rPr>
                <w:rFonts w:asciiTheme="majorHAnsi" w:hAnsiTheme="majorHAnsi"/>
              </w:rPr>
            </w:pPr>
            <w:r>
              <w:rPr>
                <w:rFonts w:ascii="Century Gothic" w:eastAsia="Times New Roman" w:hAnsi="Century Gothic"/>
                <w:color w:val="000000"/>
              </w:rPr>
              <w:t>491 488 $</w:t>
            </w:r>
          </w:p>
        </w:tc>
        <w:tc>
          <w:tcPr>
            <w:tcW w:w="1722" w:type="dxa"/>
            <w:shd w:val="clear" w:color="auto" w:fill="D9D9D9" w:themeFill="background1" w:themeFillShade="D9"/>
            <w:vAlign w:val="bottom"/>
          </w:tcPr>
          <w:p w14:paraId="42373823" w14:textId="71C5C92E"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7,2%</w:t>
            </w:r>
          </w:p>
        </w:tc>
        <w:tc>
          <w:tcPr>
            <w:tcW w:w="1899" w:type="dxa"/>
            <w:shd w:val="clear" w:color="auto" w:fill="D9D9D9" w:themeFill="background1" w:themeFillShade="D9"/>
            <w:vAlign w:val="bottom"/>
          </w:tcPr>
          <w:p w14:paraId="4BF27007" w14:textId="09E14D47" w:rsidR="00391B04" w:rsidRPr="005837D8" w:rsidRDefault="00391B04" w:rsidP="002F0D76">
            <w:pPr>
              <w:jc w:val="center"/>
              <w:rPr>
                <w:rFonts w:asciiTheme="majorHAnsi" w:hAnsiTheme="majorHAnsi"/>
              </w:rPr>
            </w:pPr>
            <w:r>
              <w:rPr>
                <w:rFonts w:ascii="Century Gothic" w:eastAsia="Times New Roman" w:hAnsi="Century Gothic"/>
                <w:color w:val="000000"/>
              </w:rPr>
              <w:t>35 387 $</w:t>
            </w:r>
          </w:p>
        </w:tc>
        <w:tc>
          <w:tcPr>
            <w:tcW w:w="2049" w:type="dxa"/>
            <w:shd w:val="clear" w:color="auto" w:fill="D9D9D9" w:themeFill="background1" w:themeFillShade="D9"/>
            <w:vAlign w:val="bottom"/>
          </w:tcPr>
          <w:p w14:paraId="2EC098A2" w14:textId="7DD10282" w:rsidR="00391B04" w:rsidRPr="00391B04" w:rsidRDefault="00391B04" w:rsidP="002F0D76">
            <w:pPr>
              <w:jc w:val="center"/>
            </w:pPr>
            <w:r w:rsidRPr="00391B04">
              <w:rPr>
                <w:rFonts w:eastAsia="Times New Roman"/>
                <w:color w:val="000000"/>
              </w:rPr>
              <w:t>16 901 $</w:t>
            </w:r>
          </w:p>
        </w:tc>
        <w:tc>
          <w:tcPr>
            <w:tcW w:w="1874" w:type="dxa"/>
            <w:shd w:val="clear" w:color="auto" w:fill="D9D9D9" w:themeFill="background1" w:themeFillShade="D9"/>
            <w:vAlign w:val="bottom"/>
          </w:tcPr>
          <w:p w14:paraId="2DAC3B65" w14:textId="7609164C" w:rsidR="00391B04" w:rsidRPr="005837D8" w:rsidRDefault="00391B04" w:rsidP="002F0D76">
            <w:pPr>
              <w:jc w:val="center"/>
              <w:rPr>
                <w:rFonts w:asciiTheme="majorHAnsi" w:hAnsiTheme="majorHAnsi"/>
              </w:rPr>
            </w:pPr>
            <w:r>
              <w:rPr>
                <w:rFonts w:ascii="Century Gothic" w:eastAsia="Times New Roman" w:hAnsi="Century Gothic"/>
                <w:color w:val="000000"/>
              </w:rPr>
              <w:t>473 002 $</w:t>
            </w:r>
          </w:p>
        </w:tc>
      </w:tr>
      <w:tr w:rsidR="00391B04" w14:paraId="20E9E8CB" w14:textId="77777777" w:rsidTr="00A06080">
        <w:tc>
          <w:tcPr>
            <w:tcW w:w="1838" w:type="dxa"/>
            <w:shd w:val="clear" w:color="auto" w:fill="D9D9D9" w:themeFill="background1" w:themeFillShade="D9"/>
          </w:tcPr>
          <w:p w14:paraId="23242199" w14:textId="12607461" w:rsidR="00391B04" w:rsidRDefault="00391B04" w:rsidP="002F0D76">
            <w:pPr>
              <w:jc w:val="center"/>
            </w:pPr>
            <w:r>
              <w:t>66</w:t>
            </w:r>
          </w:p>
        </w:tc>
        <w:tc>
          <w:tcPr>
            <w:tcW w:w="1950" w:type="dxa"/>
            <w:shd w:val="clear" w:color="auto" w:fill="D9D9D9" w:themeFill="background1" w:themeFillShade="D9"/>
            <w:vAlign w:val="bottom"/>
          </w:tcPr>
          <w:p w14:paraId="3C29BFC7" w14:textId="7C137261" w:rsidR="00391B04" w:rsidRPr="00FC16C7" w:rsidRDefault="00391B04" w:rsidP="002F0D76">
            <w:pPr>
              <w:jc w:val="center"/>
            </w:pPr>
          </w:p>
        </w:tc>
        <w:tc>
          <w:tcPr>
            <w:tcW w:w="1890" w:type="dxa"/>
            <w:shd w:val="clear" w:color="auto" w:fill="D9D9D9" w:themeFill="background1" w:themeFillShade="D9"/>
            <w:vAlign w:val="bottom"/>
          </w:tcPr>
          <w:p w14:paraId="28AEFCED" w14:textId="0B5C8393" w:rsidR="00391B04" w:rsidRPr="00FC16C7" w:rsidRDefault="00391B04" w:rsidP="002F0D76">
            <w:pPr>
              <w:jc w:val="center"/>
              <w:rPr>
                <w:rFonts w:asciiTheme="majorHAnsi" w:hAnsiTheme="majorHAnsi"/>
              </w:rPr>
            </w:pPr>
            <w:r>
              <w:rPr>
                <w:rFonts w:ascii="Century Gothic" w:eastAsia="Times New Roman" w:hAnsi="Century Gothic"/>
                <w:color w:val="000000"/>
              </w:rPr>
              <w:t>473 002 $</w:t>
            </w:r>
          </w:p>
        </w:tc>
        <w:tc>
          <w:tcPr>
            <w:tcW w:w="1722" w:type="dxa"/>
            <w:shd w:val="clear" w:color="auto" w:fill="D9D9D9" w:themeFill="background1" w:themeFillShade="D9"/>
            <w:vAlign w:val="bottom"/>
          </w:tcPr>
          <w:p w14:paraId="27B32362" w14:textId="4BC3D3F5"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7,3%</w:t>
            </w:r>
          </w:p>
        </w:tc>
        <w:tc>
          <w:tcPr>
            <w:tcW w:w="1899" w:type="dxa"/>
            <w:shd w:val="clear" w:color="auto" w:fill="D9D9D9" w:themeFill="background1" w:themeFillShade="D9"/>
            <w:vAlign w:val="bottom"/>
          </w:tcPr>
          <w:p w14:paraId="5C29DC73" w14:textId="235E621B" w:rsidR="00391B04" w:rsidRPr="005837D8" w:rsidRDefault="00391B04" w:rsidP="002F0D76">
            <w:pPr>
              <w:jc w:val="center"/>
              <w:rPr>
                <w:rFonts w:asciiTheme="majorHAnsi" w:hAnsiTheme="majorHAnsi"/>
              </w:rPr>
            </w:pPr>
            <w:r>
              <w:rPr>
                <w:rFonts w:ascii="Century Gothic" w:eastAsia="Times New Roman" w:hAnsi="Century Gothic"/>
                <w:color w:val="000000"/>
              </w:rPr>
              <w:t>34 529 $</w:t>
            </w:r>
          </w:p>
        </w:tc>
        <w:tc>
          <w:tcPr>
            <w:tcW w:w="2049" w:type="dxa"/>
            <w:shd w:val="clear" w:color="auto" w:fill="D9D9D9" w:themeFill="background1" w:themeFillShade="D9"/>
            <w:vAlign w:val="bottom"/>
          </w:tcPr>
          <w:p w14:paraId="4CFB0523" w14:textId="565A22FF" w:rsidR="00391B04" w:rsidRPr="00391B04" w:rsidRDefault="00391B04" w:rsidP="002F0D76">
            <w:pPr>
              <w:jc w:val="center"/>
            </w:pPr>
            <w:r w:rsidRPr="00391B04">
              <w:rPr>
                <w:rFonts w:eastAsia="Times New Roman"/>
                <w:color w:val="000000"/>
              </w:rPr>
              <w:t>16 265 $</w:t>
            </w:r>
          </w:p>
        </w:tc>
        <w:tc>
          <w:tcPr>
            <w:tcW w:w="1874" w:type="dxa"/>
            <w:shd w:val="clear" w:color="auto" w:fill="D9D9D9" w:themeFill="background1" w:themeFillShade="D9"/>
            <w:vAlign w:val="bottom"/>
          </w:tcPr>
          <w:p w14:paraId="5500F5FE" w14:textId="55A95359" w:rsidR="00391B04" w:rsidRPr="005837D8" w:rsidRDefault="00391B04" w:rsidP="002F0D76">
            <w:pPr>
              <w:jc w:val="center"/>
              <w:rPr>
                <w:rFonts w:asciiTheme="majorHAnsi" w:hAnsiTheme="majorHAnsi"/>
              </w:rPr>
            </w:pPr>
            <w:r>
              <w:rPr>
                <w:rFonts w:ascii="Century Gothic" w:eastAsia="Times New Roman" w:hAnsi="Century Gothic"/>
                <w:color w:val="000000"/>
              </w:rPr>
              <w:t>454 738 $</w:t>
            </w:r>
          </w:p>
        </w:tc>
      </w:tr>
      <w:tr w:rsidR="00391B04" w14:paraId="2FA70C34" w14:textId="77777777" w:rsidTr="00A06080">
        <w:tc>
          <w:tcPr>
            <w:tcW w:w="1838" w:type="dxa"/>
            <w:shd w:val="clear" w:color="auto" w:fill="D9D9D9" w:themeFill="background1" w:themeFillShade="D9"/>
          </w:tcPr>
          <w:p w14:paraId="48946D37" w14:textId="195D5B19" w:rsidR="00391B04" w:rsidRDefault="00391B04" w:rsidP="002F0D76">
            <w:pPr>
              <w:jc w:val="center"/>
            </w:pPr>
            <w:r>
              <w:t>67</w:t>
            </w:r>
          </w:p>
        </w:tc>
        <w:tc>
          <w:tcPr>
            <w:tcW w:w="1950" w:type="dxa"/>
            <w:shd w:val="clear" w:color="auto" w:fill="D9D9D9" w:themeFill="background1" w:themeFillShade="D9"/>
            <w:vAlign w:val="bottom"/>
          </w:tcPr>
          <w:p w14:paraId="012EBD09" w14:textId="1117FDC9" w:rsidR="00391B04" w:rsidRPr="00FC16C7" w:rsidRDefault="00391B04" w:rsidP="002F0D76">
            <w:pPr>
              <w:jc w:val="center"/>
            </w:pPr>
          </w:p>
        </w:tc>
        <w:tc>
          <w:tcPr>
            <w:tcW w:w="1890" w:type="dxa"/>
            <w:shd w:val="clear" w:color="auto" w:fill="D9D9D9" w:themeFill="background1" w:themeFillShade="D9"/>
            <w:vAlign w:val="bottom"/>
          </w:tcPr>
          <w:p w14:paraId="7916C4E1" w14:textId="77305A6B" w:rsidR="00391B04" w:rsidRPr="00FC16C7" w:rsidRDefault="00391B04" w:rsidP="002F0D76">
            <w:pPr>
              <w:jc w:val="center"/>
              <w:rPr>
                <w:rFonts w:asciiTheme="majorHAnsi" w:hAnsiTheme="majorHAnsi"/>
              </w:rPr>
            </w:pPr>
            <w:r>
              <w:rPr>
                <w:rFonts w:ascii="Century Gothic" w:eastAsia="Times New Roman" w:hAnsi="Century Gothic"/>
                <w:color w:val="000000"/>
              </w:rPr>
              <w:t>454 738 $</w:t>
            </w:r>
          </w:p>
        </w:tc>
        <w:tc>
          <w:tcPr>
            <w:tcW w:w="1722" w:type="dxa"/>
            <w:shd w:val="clear" w:color="auto" w:fill="D9D9D9" w:themeFill="background1" w:themeFillShade="D9"/>
            <w:vAlign w:val="bottom"/>
          </w:tcPr>
          <w:p w14:paraId="1226156B" w14:textId="32A74DB9"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7,4%</w:t>
            </w:r>
          </w:p>
        </w:tc>
        <w:tc>
          <w:tcPr>
            <w:tcW w:w="1899" w:type="dxa"/>
            <w:shd w:val="clear" w:color="auto" w:fill="D9D9D9" w:themeFill="background1" w:themeFillShade="D9"/>
            <w:vAlign w:val="bottom"/>
          </w:tcPr>
          <w:p w14:paraId="798BD7EF" w14:textId="76E659F5" w:rsidR="00391B04" w:rsidRPr="005837D8" w:rsidRDefault="00391B04" w:rsidP="002F0D76">
            <w:pPr>
              <w:jc w:val="center"/>
              <w:rPr>
                <w:rFonts w:asciiTheme="majorHAnsi" w:hAnsiTheme="majorHAnsi"/>
              </w:rPr>
            </w:pPr>
            <w:r>
              <w:rPr>
                <w:rFonts w:ascii="Century Gothic" w:eastAsia="Times New Roman" w:hAnsi="Century Gothic"/>
                <w:color w:val="000000"/>
              </w:rPr>
              <w:t>33 651 $</w:t>
            </w:r>
          </w:p>
        </w:tc>
        <w:tc>
          <w:tcPr>
            <w:tcW w:w="2049" w:type="dxa"/>
            <w:shd w:val="clear" w:color="auto" w:fill="D9D9D9" w:themeFill="background1" w:themeFillShade="D9"/>
            <w:vAlign w:val="bottom"/>
          </w:tcPr>
          <w:p w14:paraId="04E7DC4C" w14:textId="5AFD6E85" w:rsidR="00391B04" w:rsidRPr="00391B04" w:rsidRDefault="00391B04" w:rsidP="002F0D76">
            <w:pPr>
              <w:jc w:val="center"/>
            </w:pPr>
            <w:r w:rsidRPr="00391B04">
              <w:rPr>
                <w:rFonts w:eastAsia="Times New Roman"/>
                <w:color w:val="000000"/>
              </w:rPr>
              <w:t>15 637 $</w:t>
            </w:r>
          </w:p>
        </w:tc>
        <w:tc>
          <w:tcPr>
            <w:tcW w:w="1874" w:type="dxa"/>
            <w:shd w:val="clear" w:color="auto" w:fill="D9D9D9" w:themeFill="background1" w:themeFillShade="D9"/>
            <w:vAlign w:val="bottom"/>
          </w:tcPr>
          <w:p w14:paraId="4DFAF573" w14:textId="5BEF7358" w:rsidR="00391B04" w:rsidRPr="005837D8" w:rsidRDefault="00391B04" w:rsidP="002F0D76">
            <w:pPr>
              <w:jc w:val="center"/>
              <w:rPr>
                <w:rFonts w:asciiTheme="majorHAnsi" w:hAnsiTheme="majorHAnsi"/>
              </w:rPr>
            </w:pPr>
            <w:r>
              <w:rPr>
                <w:rFonts w:ascii="Century Gothic" w:eastAsia="Times New Roman" w:hAnsi="Century Gothic"/>
                <w:color w:val="000000"/>
              </w:rPr>
              <w:t>436 725 $</w:t>
            </w:r>
          </w:p>
        </w:tc>
      </w:tr>
      <w:tr w:rsidR="00391B04" w14:paraId="2E1CE60F" w14:textId="77777777" w:rsidTr="00A06080">
        <w:tc>
          <w:tcPr>
            <w:tcW w:w="1838" w:type="dxa"/>
            <w:shd w:val="clear" w:color="auto" w:fill="D9D9D9" w:themeFill="background1" w:themeFillShade="D9"/>
          </w:tcPr>
          <w:p w14:paraId="368BEF0C" w14:textId="2D7C87DA" w:rsidR="00391B04" w:rsidRDefault="00391B04" w:rsidP="002F0D76">
            <w:pPr>
              <w:jc w:val="center"/>
            </w:pPr>
            <w:r>
              <w:t>68</w:t>
            </w:r>
          </w:p>
        </w:tc>
        <w:tc>
          <w:tcPr>
            <w:tcW w:w="1950" w:type="dxa"/>
            <w:shd w:val="clear" w:color="auto" w:fill="D9D9D9" w:themeFill="background1" w:themeFillShade="D9"/>
            <w:vAlign w:val="bottom"/>
          </w:tcPr>
          <w:p w14:paraId="315E7621" w14:textId="606FB5F3" w:rsidR="00391B04" w:rsidRPr="00FC16C7" w:rsidRDefault="00391B04" w:rsidP="002F0D76">
            <w:pPr>
              <w:jc w:val="center"/>
            </w:pPr>
          </w:p>
        </w:tc>
        <w:tc>
          <w:tcPr>
            <w:tcW w:w="1890" w:type="dxa"/>
            <w:shd w:val="clear" w:color="auto" w:fill="D9D9D9" w:themeFill="background1" w:themeFillShade="D9"/>
            <w:vAlign w:val="bottom"/>
          </w:tcPr>
          <w:p w14:paraId="0FE69081" w14:textId="1509A7AB" w:rsidR="00391B04" w:rsidRPr="00FC16C7" w:rsidRDefault="00391B04" w:rsidP="002F0D76">
            <w:pPr>
              <w:jc w:val="center"/>
              <w:rPr>
                <w:rFonts w:asciiTheme="majorHAnsi" w:hAnsiTheme="majorHAnsi"/>
              </w:rPr>
            </w:pPr>
            <w:r>
              <w:rPr>
                <w:rFonts w:ascii="Century Gothic" w:eastAsia="Times New Roman" w:hAnsi="Century Gothic"/>
                <w:color w:val="000000"/>
              </w:rPr>
              <w:t>436 725 $</w:t>
            </w:r>
          </w:p>
        </w:tc>
        <w:tc>
          <w:tcPr>
            <w:tcW w:w="1722" w:type="dxa"/>
            <w:shd w:val="clear" w:color="auto" w:fill="D9D9D9" w:themeFill="background1" w:themeFillShade="D9"/>
            <w:vAlign w:val="bottom"/>
          </w:tcPr>
          <w:p w14:paraId="41DCA55D" w14:textId="575D8560"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7,6%</w:t>
            </w:r>
          </w:p>
        </w:tc>
        <w:tc>
          <w:tcPr>
            <w:tcW w:w="1899" w:type="dxa"/>
            <w:shd w:val="clear" w:color="auto" w:fill="D9D9D9" w:themeFill="background1" w:themeFillShade="D9"/>
            <w:vAlign w:val="bottom"/>
          </w:tcPr>
          <w:p w14:paraId="1B426767" w14:textId="7E15F606" w:rsidR="00391B04" w:rsidRPr="005837D8" w:rsidRDefault="00391B04" w:rsidP="002F0D76">
            <w:pPr>
              <w:jc w:val="center"/>
              <w:rPr>
                <w:rFonts w:asciiTheme="majorHAnsi" w:hAnsiTheme="majorHAnsi"/>
              </w:rPr>
            </w:pPr>
            <w:r>
              <w:rPr>
                <w:rFonts w:ascii="Century Gothic" w:eastAsia="Times New Roman" w:hAnsi="Century Gothic"/>
                <w:color w:val="000000"/>
              </w:rPr>
              <w:t>33 191 $</w:t>
            </w:r>
          </w:p>
        </w:tc>
        <w:tc>
          <w:tcPr>
            <w:tcW w:w="2049" w:type="dxa"/>
            <w:shd w:val="clear" w:color="auto" w:fill="D9D9D9" w:themeFill="background1" w:themeFillShade="D9"/>
            <w:vAlign w:val="bottom"/>
          </w:tcPr>
          <w:p w14:paraId="5D859948" w14:textId="4785D502" w:rsidR="00391B04" w:rsidRPr="00391B04" w:rsidRDefault="00391B04" w:rsidP="002F0D76">
            <w:pPr>
              <w:jc w:val="center"/>
            </w:pPr>
            <w:r w:rsidRPr="00391B04">
              <w:rPr>
                <w:rFonts w:eastAsia="Times New Roman"/>
                <w:color w:val="000000"/>
              </w:rPr>
              <w:t>15 018 $</w:t>
            </w:r>
          </w:p>
        </w:tc>
        <w:tc>
          <w:tcPr>
            <w:tcW w:w="1874" w:type="dxa"/>
            <w:shd w:val="clear" w:color="auto" w:fill="D9D9D9" w:themeFill="background1" w:themeFillShade="D9"/>
            <w:vAlign w:val="bottom"/>
          </w:tcPr>
          <w:p w14:paraId="69564834" w14:textId="0C28D408" w:rsidR="00391B04" w:rsidRPr="005837D8" w:rsidRDefault="00391B04" w:rsidP="002F0D76">
            <w:pPr>
              <w:jc w:val="center"/>
              <w:rPr>
                <w:rFonts w:asciiTheme="majorHAnsi" w:hAnsiTheme="majorHAnsi"/>
              </w:rPr>
            </w:pPr>
            <w:r>
              <w:rPr>
                <w:rFonts w:ascii="Century Gothic" w:eastAsia="Times New Roman" w:hAnsi="Century Gothic"/>
                <w:color w:val="000000"/>
              </w:rPr>
              <w:t>418 551 $</w:t>
            </w:r>
          </w:p>
        </w:tc>
      </w:tr>
      <w:tr w:rsidR="00391B04" w14:paraId="70ACFDD4" w14:textId="77777777" w:rsidTr="00A06080">
        <w:tc>
          <w:tcPr>
            <w:tcW w:w="1838" w:type="dxa"/>
            <w:shd w:val="clear" w:color="auto" w:fill="D9D9D9" w:themeFill="background1" w:themeFillShade="D9"/>
          </w:tcPr>
          <w:p w14:paraId="25B287E5" w14:textId="1D7491C3" w:rsidR="00391B04" w:rsidRDefault="00391B04" w:rsidP="002F0D76">
            <w:pPr>
              <w:jc w:val="center"/>
            </w:pPr>
            <w:r>
              <w:t>69</w:t>
            </w:r>
          </w:p>
        </w:tc>
        <w:tc>
          <w:tcPr>
            <w:tcW w:w="1950" w:type="dxa"/>
            <w:shd w:val="clear" w:color="auto" w:fill="D9D9D9" w:themeFill="background1" w:themeFillShade="D9"/>
            <w:vAlign w:val="bottom"/>
          </w:tcPr>
          <w:p w14:paraId="4D1429BE" w14:textId="38A41261" w:rsidR="00391B04" w:rsidRPr="00FC16C7" w:rsidRDefault="00391B04" w:rsidP="002F0D76">
            <w:pPr>
              <w:jc w:val="center"/>
            </w:pPr>
          </w:p>
        </w:tc>
        <w:tc>
          <w:tcPr>
            <w:tcW w:w="1890" w:type="dxa"/>
            <w:shd w:val="clear" w:color="auto" w:fill="D9D9D9" w:themeFill="background1" w:themeFillShade="D9"/>
            <w:vAlign w:val="bottom"/>
          </w:tcPr>
          <w:p w14:paraId="199237CA" w14:textId="2E721B12" w:rsidR="00391B04" w:rsidRPr="00FC16C7" w:rsidRDefault="00391B04" w:rsidP="002F0D76">
            <w:pPr>
              <w:jc w:val="center"/>
              <w:rPr>
                <w:rFonts w:asciiTheme="majorHAnsi" w:hAnsiTheme="majorHAnsi"/>
              </w:rPr>
            </w:pPr>
            <w:r>
              <w:rPr>
                <w:rFonts w:ascii="Century Gothic" w:eastAsia="Times New Roman" w:hAnsi="Century Gothic"/>
                <w:color w:val="000000"/>
              </w:rPr>
              <w:t>418 551 $</w:t>
            </w:r>
          </w:p>
        </w:tc>
        <w:tc>
          <w:tcPr>
            <w:tcW w:w="1722" w:type="dxa"/>
            <w:shd w:val="clear" w:color="auto" w:fill="D9D9D9" w:themeFill="background1" w:themeFillShade="D9"/>
            <w:vAlign w:val="bottom"/>
          </w:tcPr>
          <w:p w14:paraId="269BC897" w14:textId="39D2A58B"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7,7%</w:t>
            </w:r>
          </w:p>
        </w:tc>
        <w:tc>
          <w:tcPr>
            <w:tcW w:w="1899" w:type="dxa"/>
            <w:shd w:val="clear" w:color="auto" w:fill="D9D9D9" w:themeFill="background1" w:themeFillShade="D9"/>
            <w:vAlign w:val="bottom"/>
          </w:tcPr>
          <w:p w14:paraId="19730B17" w14:textId="2B8C4548" w:rsidR="00391B04" w:rsidRPr="005837D8" w:rsidRDefault="00391B04" w:rsidP="002F0D76">
            <w:pPr>
              <w:jc w:val="center"/>
              <w:rPr>
                <w:rFonts w:asciiTheme="majorHAnsi" w:hAnsiTheme="majorHAnsi"/>
              </w:rPr>
            </w:pPr>
            <w:r>
              <w:rPr>
                <w:rFonts w:ascii="Century Gothic" w:eastAsia="Times New Roman" w:hAnsi="Century Gothic"/>
                <w:color w:val="000000"/>
              </w:rPr>
              <w:t>32 228 $</w:t>
            </w:r>
          </w:p>
        </w:tc>
        <w:tc>
          <w:tcPr>
            <w:tcW w:w="2049" w:type="dxa"/>
            <w:shd w:val="clear" w:color="auto" w:fill="D9D9D9" w:themeFill="background1" w:themeFillShade="D9"/>
            <w:vAlign w:val="bottom"/>
          </w:tcPr>
          <w:p w14:paraId="6D7D2880" w14:textId="74498EC1" w:rsidR="00391B04" w:rsidRPr="00391B04" w:rsidRDefault="00391B04" w:rsidP="002F0D76">
            <w:pPr>
              <w:jc w:val="center"/>
            </w:pPr>
            <w:r w:rsidRPr="00391B04">
              <w:rPr>
                <w:rFonts w:eastAsia="Times New Roman"/>
                <w:color w:val="000000"/>
              </w:rPr>
              <w:t>14 393 $</w:t>
            </w:r>
          </w:p>
        </w:tc>
        <w:tc>
          <w:tcPr>
            <w:tcW w:w="1874" w:type="dxa"/>
            <w:shd w:val="clear" w:color="auto" w:fill="D9D9D9" w:themeFill="background1" w:themeFillShade="D9"/>
            <w:vAlign w:val="bottom"/>
          </w:tcPr>
          <w:p w14:paraId="7587AAB6" w14:textId="155B0150" w:rsidR="00391B04" w:rsidRPr="005837D8" w:rsidRDefault="00391B04" w:rsidP="002F0D76">
            <w:pPr>
              <w:jc w:val="center"/>
              <w:rPr>
                <w:rFonts w:asciiTheme="majorHAnsi" w:hAnsiTheme="majorHAnsi"/>
              </w:rPr>
            </w:pPr>
            <w:r>
              <w:rPr>
                <w:rFonts w:ascii="Century Gothic" w:eastAsia="Times New Roman" w:hAnsi="Century Gothic"/>
                <w:color w:val="000000"/>
              </w:rPr>
              <w:t>400 716 $</w:t>
            </w:r>
          </w:p>
        </w:tc>
      </w:tr>
      <w:tr w:rsidR="00391B04" w14:paraId="7F9B9BF5" w14:textId="77777777" w:rsidTr="00A06080">
        <w:tc>
          <w:tcPr>
            <w:tcW w:w="1838" w:type="dxa"/>
            <w:shd w:val="clear" w:color="auto" w:fill="D9D9D9" w:themeFill="background1" w:themeFillShade="D9"/>
          </w:tcPr>
          <w:p w14:paraId="379295A4" w14:textId="1C0897F8" w:rsidR="00391B04" w:rsidRDefault="00391B04" w:rsidP="002F0D76">
            <w:pPr>
              <w:jc w:val="center"/>
            </w:pPr>
            <w:r>
              <w:t>70</w:t>
            </w:r>
          </w:p>
        </w:tc>
        <w:tc>
          <w:tcPr>
            <w:tcW w:w="1950" w:type="dxa"/>
            <w:shd w:val="clear" w:color="auto" w:fill="D9D9D9" w:themeFill="background1" w:themeFillShade="D9"/>
            <w:vAlign w:val="bottom"/>
          </w:tcPr>
          <w:p w14:paraId="0D839683" w14:textId="0961EAAF" w:rsidR="00391B04" w:rsidRPr="00FC16C7" w:rsidRDefault="00391B04" w:rsidP="002F0D76">
            <w:pPr>
              <w:jc w:val="center"/>
            </w:pPr>
          </w:p>
        </w:tc>
        <w:tc>
          <w:tcPr>
            <w:tcW w:w="1890" w:type="dxa"/>
            <w:shd w:val="clear" w:color="auto" w:fill="D9D9D9" w:themeFill="background1" w:themeFillShade="D9"/>
            <w:vAlign w:val="bottom"/>
          </w:tcPr>
          <w:p w14:paraId="0C31E294" w14:textId="6A85541C" w:rsidR="00391B04" w:rsidRPr="00FC16C7" w:rsidRDefault="00391B04" w:rsidP="002F0D76">
            <w:pPr>
              <w:jc w:val="center"/>
              <w:rPr>
                <w:rFonts w:asciiTheme="majorHAnsi" w:hAnsiTheme="majorHAnsi"/>
              </w:rPr>
            </w:pPr>
            <w:r>
              <w:rPr>
                <w:rFonts w:ascii="Century Gothic" w:eastAsia="Times New Roman" w:hAnsi="Century Gothic"/>
                <w:color w:val="000000"/>
              </w:rPr>
              <w:t>400 716 $</w:t>
            </w:r>
          </w:p>
        </w:tc>
        <w:tc>
          <w:tcPr>
            <w:tcW w:w="1722" w:type="dxa"/>
            <w:shd w:val="clear" w:color="auto" w:fill="D9D9D9" w:themeFill="background1" w:themeFillShade="D9"/>
            <w:vAlign w:val="bottom"/>
          </w:tcPr>
          <w:p w14:paraId="428141FB" w14:textId="61258E06"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7,9%</w:t>
            </w:r>
          </w:p>
        </w:tc>
        <w:tc>
          <w:tcPr>
            <w:tcW w:w="1899" w:type="dxa"/>
            <w:shd w:val="clear" w:color="auto" w:fill="D9D9D9" w:themeFill="background1" w:themeFillShade="D9"/>
            <w:vAlign w:val="bottom"/>
          </w:tcPr>
          <w:p w14:paraId="70CE0A13" w14:textId="3F4AB3CC" w:rsidR="00391B04" w:rsidRPr="005837D8" w:rsidRDefault="00391B04" w:rsidP="002F0D76">
            <w:pPr>
              <w:jc w:val="center"/>
              <w:rPr>
                <w:rFonts w:asciiTheme="majorHAnsi" w:hAnsiTheme="majorHAnsi"/>
              </w:rPr>
            </w:pPr>
            <w:r>
              <w:rPr>
                <w:rFonts w:ascii="Century Gothic" w:eastAsia="Times New Roman" w:hAnsi="Century Gothic"/>
                <w:color w:val="000000"/>
              </w:rPr>
              <w:t>31 657 $</w:t>
            </w:r>
          </w:p>
        </w:tc>
        <w:tc>
          <w:tcPr>
            <w:tcW w:w="2049" w:type="dxa"/>
            <w:shd w:val="clear" w:color="auto" w:fill="D9D9D9" w:themeFill="background1" w:themeFillShade="D9"/>
            <w:vAlign w:val="bottom"/>
          </w:tcPr>
          <w:p w14:paraId="2B657197" w14:textId="44F68AEF" w:rsidR="00391B04" w:rsidRPr="00391B04" w:rsidRDefault="00391B04" w:rsidP="002F0D76">
            <w:pPr>
              <w:jc w:val="center"/>
            </w:pPr>
            <w:r w:rsidRPr="00391B04">
              <w:rPr>
                <w:rFonts w:eastAsia="Times New Roman"/>
                <w:color w:val="000000"/>
              </w:rPr>
              <w:t>13 780 $</w:t>
            </w:r>
          </w:p>
        </w:tc>
        <w:tc>
          <w:tcPr>
            <w:tcW w:w="1874" w:type="dxa"/>
            <w:shd w:val="clear" w:color="auto" w:fill="D9D9D9" w:themeFill="background1" w:themeFillShade="D9"/>
            <w:vAlign w:val="bottom"/>
          </w:tcPr>
          <w:p w14:paraId="6DC37CE7" w14:textId="5F4E1BB3" w:rsidR="00391B04" w:rsidRPr="005837D8" w:rsidRDefault="00391B04" w:rsidP="002F0D76">
            <w:pPr>
              <w:jc w:val="center"/>
              <w:rPr>
                <w:rFonts w:asciiTheme="majorHAnsi" w:hAnsiTheme="majorHAnsi"/>
              </w:rPr>
            </w:pPr>
            <w:r>
              <w:rPr>
                <w:rFonts w:ascii="Century Gothic" w:eastAsia="Times New Roman" w:hAnsi="Century Gothic"/>
                <w:color w:val="000000"/>
              </w:rPr>
              <w:t>382 839 $</w:t>
            </w:r>
          </w:p>
        </w:tc>
      </w:tr>
      <w:tr w:rsidR="00391B04" w14:paraId="35B1CBC6" w14:textId="77777777" w:rsidTr="00A06080">
        <w:tc>
          <w:tcPr>
            <w:tcW w:w="1838" w:type="dxa"/>
            <w:shd w:val="clear" w:color="auto" w:fill="D9D9D9" w:themeFill="background1" w:themeFillShade="D9"/>
          </w:tcPr>
          <w:p w14:paraId="0FBAF187" w14:textId="10BACC6E" w:rsidR="00391B04" w:rsidRDefault="00391B04" w:rsidP="002F0D76">
            <w:pPr>
              <w:jc w:val="center"/>
            </w:pPr>
            <w:r>
              <w:t>71</w:t>
            </w:r>
          </w:p>
        </w:tc>
        <w:tc>
          <w:tcPr>
            <w:tcW w:w="1950" w:type="dxa"/>
            <w:shd w:val="clear" w:color="auto" w:fill="D9D9D9" w:themeFill="background1" w:themeFillShade="D9"/>
            <w:vAlign w:val="bottom"/>
          </w:tcPr>
          <w:p w14:paraId="11D094B3" w14:textId="0C74EE14" w:rsidR="00391B04" w:rsidRPr="00FC16C7" w:rsidRDefault="00391B04" w:rsidP="002F0D76">
            <w:pPr>
              <w:jc w:val="center"/>
            </w:pPr>
          </w:p>
        </w:tc>
        <w:tc>
          <w:tcPr>
            <w:tcW w:w="1890" w:type="dxa"/>
            <w:shd w:val="clear" w:color="auto" w:fill="D9D9D9" w:themeFill="background1" w:themeFillShade="D9"/>
            <w:vAlign w:val="bottom"/>
          </w:tcPr>
          <w:p w14:paraId="09E5438A" w14:textId="17F89675" w:rsidR="00391B04" w:rsidRPr="00FC16C7" w:rsidRDefault="00391B04" w:rsidP="002F0D76">
            <w:pPr>
              <w:jc w:val="center"/>
              <w:rPr>
                <w:rFonts w:asciiTheme="majorHAnsi" w:hAnsiTheme="majorHAnsi"/>
              </w:rPr>
            </w:pPr>
            <w:r>
              <w:rPr>
                <w:rFonts w:ascii="Century Gothic" w:eastAsia="Times New Roman" w:hAnsi="Century Gothic"/>
                <w:color w:val="000000"/>
              </w:rPr>
              <w:t>382 839 $</w:t>
            </w:r>
          </w:p>
        </w:tc>
        <w:tc>
          <w:tcPr>
            <w:tcW w:w="1722" w:type="dxa"/>
            <w:shd w:val="clear" w:color="auto" w:fill="D9D9D9" w:themeFill="background1" w:themeFillShade="D9"/>
            <w:vAlign w:val="bottom"/>
          </w:tcPr>
          <w:p w14:paraId="1B1917CA" w14:textId="78C675C9"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8,1%</w:t>
            </w:r>
          </w:p>
        </w:tc>
        <w:tc>
          <w:tcPr>
            <w:tcW w:w="1899" w:type="dxa"/>
            <w:shd w:val="clear" w:color="auto" w:fill="D9D9D9" w:themeFill="background1" w:themeFillShade="D9"/>
            <w:vAlign w:val="bottom"/>
          </w:tcPr>
          <w:p w14:paraId="3B5CB490" w14:textId="2FE06E61" w:rsidR="00391B04" w:rsidRPr="005837D8" w:rsidRDefault="00391B04" w:rsidP="002F0D76">
            <w:pPr>
              <w:jc w:val="center"/>
              <w:rPr>
                <w:rFonts w:asciiTheme="majorHAnsi" w:hAnsiTheme="majorHAnsi"/>
              </w:rPr>
            </w:pPr>
            <w:r>
              <w:rPr>
                <w:rFonts w:ascii="Century Gothic" w:eastAsia="Times New Roman" w:hAnsi="Century Gothic"/>
                <w:color w:val="000000"/>
              </w:rPr>
              <w:t>31 010 $</w:t>
            </w:r>
          </w:p>
        </w:tc>
        <w:tc>
          <w:tcPr>
            <w:tcW w:w="2049" w:type="dxa"/>
            <w:shd w:val="clear" w:color="auto" w:fill="D9D9D9" w:themeFill="background1" w:themeFillShade="D9"/>
            <w:vAlign w:val="bottom"/>
          </w:tcPr>
          <w:p w14:paraId="6E87D153" w14:textId="413CC060" w:rsidR="00391B04" w:rsidRPr="00391B04" w:rsidRDefault="00391B04" w:rsidP="002F0D76">
            <w:pPr>
              <w:jc w:val="center"/>
            </w:pPr>
            <w:r w:rsidRPr="00391B04">
              <w:rPr>
                <w:rFonts w:eastAsia="Times New Roman"/>
                <w:color w:val="000000"/>
              </w:rPr>
              <w:t>13 165 $</w:t>
            </w:r>
          </w:p>
        </w:tc>
        <w:tc>
          <w:tcPr>
            <w:tcW w:w="1874" w:type="dxa"/>
            <w:shd w:val="clear" w:color="auto" w:fill="D9D9D9" w:themeFill="background1" w:themeFillShade="D9"/>
            <w:vAlign w:val="bottom"/>
          </w:tcPr>
          <w:p w14:paraId="6B765543" w14:textId="5289805C" w:rsidR="00391B04" w:rsidRPr="005837D8" w:rsidRDefault="00391B04" w:rsidP="002F0D76">
            <w:pPr>
              <w:jc w:val="center"/>
              <w:rPr>
                <w:rFonts w:asciiTheme="majorHAnsi" w:hAnsiTheme="majorHAnsi"/>
              </w:rPr>
            </w:pPr>
            <w:r>
              <w:rPr>
                <w:rFonts w:ascii="Century Gothic" w:eastAsia="Times New Roman" w:hAnsi="Century Gothic"/>
                <w:color w:val="000000"/>
              </w:rPr>
              <w:t>364 994 $</w:t>
            </w:r>
          </w:p>
        </w:tc>
      </w:tr>
      <w:tr w:rsidR="00391B04" w14:paraId="1889DD0E" w14:textId="77777777" w:rsidTr="00A06080">
        <w:tc>
          <w:tcPr>
            <w:tcW w:w="1838" w:type="dxa"/>
            <w:shd w:val="clear" w:color="auto" w:fill="D9D9D9" w:themeFill="background1" w:themeFillShade="D9"/>
          </w:tcPr>
          <w:p w14:paraId="00E33C15" w14:textId="69414870" w:rsidR="00391B04" w:rsidRDefault="00391B04" w:rsidP="002F0D76">
            <w:pPr>
              <w:jc w:val="center"/>
            </w:pPr>
            <w:r>
              <w:t>72</w:t>
            </w:r>
          </w:p>
        </w:tc>
        <w:tc>
          <w:tcPr>
            <w:tcW w:w="1950" w:type="dxa"/>
            <w:shd w:val="clear" w:color="auto" w:fill="D9D9D9" w:themeFill="background1" w:themeFillShade="D9"/>
            <w:vAlign w:val="bottom"/>
          </w:tcPr>
          <w:p w14:paraId="28849A3E" w14:textId="7CDE3913" w:rsidR="00391B04" w:rsidRPr="00FC16C7" w:rsidRDefault="00391B04" w:rsidP="002F0D76">
            <w:pPr>
              <w:jc w:val="center"/>
            </w:pPr>
          </w:p>
        </w:tc>
        <w:tc>
          <w:tcPr>
            <w:tcW w:w="1890" w:type="dxa"/>
            <w:shd w:val="clear" w:color="auto" w:fill="D9D9D9" w:themeFill="background1" w:themeFillShade="D9"/>
            <w:vAlign w:val="bottom"/>
          </w:tcPr>
          <w:p w14:paraId="021E013D" w14:textId="36B0C9A4" w:rsidR="00391B04" w:rsidRPr="00FC16C7" w:rsidRDefault="00391B04" w:rsidP="002F0D76">
            <w:pPr>
              <w:jc w:val="center"/>
              <w:rPr>
                <w:rFonts w:asciiTheme="majorHAnsi" w:hAnsiTheme="majorHAnsi"/>
              </w:rPr>
            </w:pPr>
            <w:r>
              <w:rPr>
                <w:rFonts w:ascii="Century Gothic" w:eastAsia="Times New Roman" w:hAnsi="Century Gothic"/>
                <w:color w:val="000000"/>
              </w:rPr>
              <w:t>364 994 $</w:t>
            </w:r>
          </w:p>
        </w:tc>
        <w:tc>
          <w:tcPr>
            <w:tcW w:w="1722" w:type="dxa"/>
            <w:shd w:val="clear" w:color="auto" w:fill="D9D9D9" w:themeFill="background1" w:themeFillShade="D9"/>
            <w:vAlign w:val="bottom"/>
          </w:tcPr>
          <w:p w14:paraId="516763A9" w14:textId="70A198A7"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8,3%</w:t>
            </w:r>
          </w:p>
        </w:tc>
        <w:tc>
          <w:tcPr>
            <w:tcW w:w="1899" w:type="dxa"/>
            <w:shd w:val="clear" w:color="auto" w:fill="D9D9D9" w:themeFill="background1" w:themeFillShade="D9"/>
            <w:vAlign w:val="bottom"/>
          </w:tcPr>
          <w:p w14:paraId="54222F6D" w14:textId="4FF74DD6" w:rsidR="00391B04" w:rsidRPr="005837D8" w:rsidRDefault="00391B04" w:rsidP="002F0D76">
            <w:pPr>
              <w:jc w:val="center"/>
              <w:rPr>
                <w:rFonts w:asciiTheme="majorHAnsi" w:hAnsiTheme="majorHAnsi"/>
              </w:rPr>
            </w:pPr>
            <w:r>
              <w:rPr>
                <w:rFonts w:ascii="Century Gothic" w:eastAsia="Times New Roman" w:hAnsi="Century Gothic"/>
                <w:color w:val="000000"/>
              </w:rPr>
              <w:t>30 294 $</w:t>
            </w:r>
          </w:p>
        </w:tc>
        <w:tc>
          <w:tcPr>
            <w:tcW w:w="2049" w:type="dxa"/>
            <w:shd w:val="clear" w:color="auto" w:fill="D9D9D9" w:themeFill="background1" w:themeFillShade="D9"/>
            <w:vAlign w:val="bottom"/>
          </w:tcPr>
          <w:p w14:paraId="3E825BE1" w14:textId="52ACFCA3" w:rsidR="00391B04" w:rsidRPr="00391B04" w:rsidRDefault="00391B04" w:rsidP="002F0D76">
            <w:pPr>
              <w:jc w:val="center"/>
            </w:pPr>
            <w:r w:rsidRPr="00391B04">
              <w:rPr>
                <w:rFonts w:eastAsia="Times New Roman"/>
                <w:color w:val="000000"/>
              </w:rPr>
              <w:t>12 551 $</w:t>
            </w:r>
          </w:p>
        </w:tc>
        <w:tc>
          <w:tcPr>
            <w:tcW w:w="1874" w:type="dxa"/>
            <w:shd w:val="clear" w:color="auto" w:fill="D9D9D9" w:themeFill="background1" w:themeFillShade="D9"/>
            <w:vAlign w:val="bottom"/>
          </w:tcPr>
          <w:p w14:paraId="2A0B8F6C" w14:textId="000E3D91" w:rsidR="00391B04" w:rsidRPr="005837D8" w:rsidRDefault="00391B04" w:rsidP="002F0D76">
            <w:pPr>
              <w:jc w:val="center"/>
              <w:rPr>
                <w:rFonts w:asciiTheme="majorHAnsi" w:hAnsiTheme="majorHAnsi"/>
              </w:rPr>
            </w:pPr>
            <w:r>
              <w:rPr>
                <w:rFonts w:ascii="Century Gothic" w:eastAsia="Times New Roman" w:hAnsi="Century Gothic"/>
                <w:color w:val="000000"/>
              </w:rPr>
              <w:t>347 251 $</w:t>
            </w:r>
          </w:p>
        </w:tc>
      </w:tr>
      <w:tr w:rsidR="00391B04" w14:paraId="065FBD1B" w14:textId="77777777" w:rsidTr="00A06080">
        <w:tc>
          <w:tcPr>
            <w:tcW w:w="1838" w:type="dxa"/>
            <w:shd w:val="clear" w:color="auto" w:fill="D9D9D9" w:themeFill="background1" w:themeFillShade="D9"/>
          </w:tcPr>
          <w:p w14:paraId="7BF22C1D" w14:textId="0884DE89" w:rsidR="00391B04" w:rsidRDefault="00391B04" w:rsidP="002F0D76">
            <w:pPr>
              <w:jc w:val="center"/>
            </w:pPr>
            <w:r>
              <w:t>73</w:t>
            </w:r>
          </w:p>
        </w:tc>
        <w:tc>
          <w:tcPr>
            <w:tcW w:w="1950" w:type="dxa"/>
            <w:shd w:val="clear" w:color="auto" w:fill="D9D9D9" w:themeFill="background1" w:themeFillShade="D9"/>
            <w:vAlign w:val="bottom"/>
          </w:tcPr>
          <w:p w14:paraId="1493400F" w14:textId="74407680" w:rsidR="00391B04" w:rsidRPr="00FC16C7" w:rsidRDefault="00391B04" w:rsidP="002F0D76">
            <w:pPr>
              <w:jc w:val="center"/>
            </w:pPr>
          </w:p>
        </w:tc>
        <w:tc>
          <w:tcPr>
            <w:tcW w:w="1890" w:type="dxa"/>
            <w:shd w:val="clear" w:color="auto" w:fill="D9D9D9" w:themeFill="background1" w:themeFillShade="D9"/>
            <w:vAlign w:val="bottom"/>
          </w:tcPr>
          <w:p w14:paraId="700D4C19" w14:textId="373468D4" w:rsidR="00391B04" w:rsidRPr="00FC16C7" w:rsidRDefault="00391B04" w:rsidP="002F0D76">
            <w:pPr>
              <w:jc w:val="center"/>
              <w:rPr>
                <w:rFonts w:asciiTheme="majorHAnsi" w:hAnsiTheme="majorHAnsi"/>
              </w:rPr>
            </w:pPr>
            <w:r>
              <w:rPr>
                <w:rFonts w:ascii="Century Gothic" w:eastAsia="Times New Roman" w:hAnsi="Century Gothic"/>
                <w:color w:val="000000"/>
              </w:rPr>
              <w:t>347 251 $</w:t>
            </w:r>
          </w:p>
        </w:tc>
        <w:tc>
          <w:tcPr>
            <w:tcW w:w="1722" w:type="dxa"/>
            <w:shd w:val="clear" w:color="auto" w:fill="D9D9D9" w:themeFill="background1" w:themeFillShade="D9"/>
            <w:vAlign w:val="bottom"/>
          </w:tcPr>
          <w:p w14:paraId="3F50132D" w14:textId="026A2998"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8,5%</w:t>
            </w:r>
          </w:p>
        </w:tc>
        <w:tc>
          <w:tcPr>
            <w:tcW w:w="1899" w:type="dxa"/>
            <w:shd w:val="clear" w:color="auto" w:fill="D9D9D9" w:themeFill="background1" w:themeFillShade="D9"/>
            <w:vAlign w:val="bottom"/>
          </w:tcPr>
          <w:p w14:paraId="492D5451" w14:textId="5D71F956" w:rsidR="00391B04" w:rsidRPr="005837D8" w:rsidRDefault="00391B04" w:rsidP="002F0D76">
            <w:pPr>
              <w:jc w:val="center"/>
              <w:rPr>
                <w:rFonts w:asciiTheme="majorHAnsi" w:hAnsiTheme="majorHAnsi"/>
              </w:rPr>
            </w:pPr>
            <w:r>
              <w:rPr>
                <w:rFonts w:ascii="Century Gothic" w:eastAsia="Times New Roman" w:hAnsi="Century Gothic"/>
                <w:color w:val="000000"/>
              </w:rPr>
              <w:t>29 516 $</w:t>
            </w:r>
          </w:p>
        </w:tc>
        <w:tc>
          <w:tcPr>
            <w:tcW w:w="2049" w:type="dxa"/>
            <w:shd w:val="clear" w:color="auto" w:fill="D9D9D9" w:themeFill="background1" w:themeFillShade="D9"/>
            <w:vAlign w:val="bottom"/>
          </w:tcPr>
          <w:p w14:paraId="6B087D5E" w14:textId="5164EA48" w:rsidR="00391B04" w:rsidRPr="00391B04" w:rsidRDefault="00391B04" w:rsidP="002F0D76">
            <w:pPr>
              <w:jc w:val="center"/>
            </w:pPr>
            <w:r w:rsidRPr="00391B04">
              <w:rPr>
                <w:rFonts w:eastAsia="Times New Roman"/>
                <w:color w:val="000000"/>
              </w:rPr>
              <w:t>11 941 $</w:t>
            </w:r>
          </w:p>
        </w:tc>
        <w:tc>
          <w:tcPr>
            <w:tcW w:w="1874" w:type="dxa"/>
            <w:shd w:val="clear" w:color="auto" w:fill="D9D9D9" w:themeFill="background1" w:themeFillShade="D9"/>
            <w:vAlign w:val="bottom"/>
          </w:tcPr>
          <w:p w14:paraId="3FBE661A" w14:textId="3D5C859E" w:rsidR="00391B04" w:rsidRPr="005837D8" w:rsidRDefault="00391B04" w:rsidP="002F0D76">
            <w:pPr>
              <w:jc w:val="center"/>
              <w:rPr>
                <w:rFonts w:asciiTheme="majorHAnsi" w:hAnsiTheme="majorHAnsi"/>
              </w:rPr>
            </w:pPr>
            <w:r>
              <w:rPr>
                <w:rFonts w:ascii="Century Gothic" w:eastAsia="Times New Roman" w:hAnsi="Century Gothic"/>
                <w:color w:val="000000"/>
              </w:rPr>
              <w:t>329 675 $</w:t>
            </w:r>
          </w:p>
        </w:tc>
      </w:tr>
      <w:tr w:rsidR="00391B04" w14:paraId="707163BE" w14:textId="77777777" w:rsidTr="00A06080">
        <w:tc>
          <w:tcPr>
            <w:tcW w:w="1838" w:type="dxa"/>
            <w:shd w:val="clear" w:color="auto" w:fill="D9D9D9" w:themeFill="background1" w:themeFillShade="D9"/>
          </w:tcPr>
          <w:p w14:paraId="21E65721" w14:textId="6C59EC2F" w:rsidR="00391B04" w:rsidRDefault="00391B04" w:rsidP="002F0D76">
            <w:pPr>
              <w:jc w:val="center"/>
            </w:pPr>
            <w:r>
              <w:t>74</w:t>
            </w:r>
          </w:p>
        </w:tc>
        <w:tc>
          <w:tcPr>
            <w:tcW w:w="1950" w:type="dxa"/>
            <w:shd w:val="clear" w:color="auto" w:fill="D9D9D9" w:themeFill="background1" w:themeFillShade="D9"/>
            <w:vAlign w:val="bottom"/>
          </w:tcPr>
          <w:p w14:paraId="1CA947CF" w14:textId="680EFC37" w:rsidR="00391B04" w:rsidRPr="00FC16C7" w:rsidRDefault="00391B04" w:rsidP="002F0D76">
            <w:pPr>
              <w:jc w:val="center"/>
            </w:pPr>
          </w:p>
        </w:tc>
        <w:tc>
          <w:tcPr>
            <w:tcW w:w="1890" w:type="dxa"/>
            <w:shd w:val="clear" w:color="auto" w:fill="D9D9D9" w:themeFill="background1" w:themeFillShade="D9"/>
            <w:vAlign w:val="bottom"/>
          </w:tcPr>
          <w:p w14:paraId="25349A3B" w14:textId="70A65518" w:rsidR="00391B04" w:rsidRPr="00FC16C7" w:rsidRDefault="00391B04" w:rsidP="002F0D76">
            <w:pPr>
              <w:jc w:val="center"/>
              <w:rPr>
                <w:rFonts w:asciiTheme="majorHAnsi" w:hAnsiTheme="majorHAnsi"/>
              </w:rPr>
            </w:pPr>
            <w:r>
              <w:rPr>
                <w:rFonts w:ascii="Century Gothic" w:eastAsia="Times New Roman" w:hAnsi="Century Gothic"/>
                <w:color w:val="000000"/>
              </w:rPr>
              <w:t>329 675 $</w:t>
            </w:r>
          </w:p>
        </w:tc>
        <w:tc>
          <w:tcPr>
            <w:tcW w:w="1722" w:type="dxa"/>
            <w:shd w:val="clear" w:color="auto" w:fill="D9D9D9" w:themeFill="background1" w:themeFillShade="D9"/>
            <w:vAlign w:val="bottom"/>
          </w:tcPr>
          <w:p w14:paraId="57834A52" w14:textId="3DCA677D"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8,8%</w:t>
            </w:r>
          </w:p>
        </w:tc>
        <w:tc>
          <w:tcPr>
            <w:tcW w:w="1899" w:type="dxa"/>
            <w:shd w:val="clear" w:color="auto" w:fill="D9D9D9" w:themeFill="background1" w:themeFillShade="D9"/>
            <w:vAlign w:val="bottom"/>
          </w:tcPr>
          <w:p w14:paraId="6E0D8E97" w14:textId="787735F9" w:rsidR="00391B04" w:rsidRPr="005837D8" w:rsidRDefault="00391B04" w:rsidP="002F0D76">
            <w:pPr>
              <w:jc w:val="center"/>
              <w:rPr>
                <w:rFonts w:asciiTheme="majorHAnsi" w:hAnsiTheme="majorHAnsi"/>
              </w:rPr>
            </w:pPr>
            <w:r>
              <w:rPr>
                <w:rFonts w:ascii="Century Gothic" w:eastAsia="Times New Roman" w:hAnsi="Century Gothic"/>
                <w:color w:val="000000"/>
              </w:rPr>
              <w:t>29 011 $</w:t>
            </w:r>
          </w:p>
        </w:tc>
        <w:tc>
          <w:tcPr>
            <w:tcW w:w="2049" w:type="dxa"/>
            <w:shd w:val="clear" w:color="auto" w:fill="D9D9D9" w:themeFill="background1" w:themeFillShade="D9"/>
            <w:vAlign w:val="bottom"/>
          </w:tcPr>
          <w:p w14:paraId="192429CC" w14:textId="277CA9AB" w:rsidR="00391B04" w:rsidRPr="00391B04" w:rsidRDefault="00391B04" w:rsidP="002F0D76">
            <w:pPr>
              <w:jc w:val="center"/>
            </w:pPr>
            <w:r w:rsidRPr="00391B04">
              <w:rPr>
                <w:rFonts w:eastAsia="Times New Roman"/>
                <w:color w:val="000000"/>
              </w:rPr>
              <w:t>11 337 $</w:t>
            </w:r>
          </w:p>
        </w:tc>
        <w:tc>
          <w:tcPr>
            <w:tcW w:w="1874" w:type="dxa"/>
            <w:shd w:val="clear" w:color="auto" w:fill="D9D9D9" w:themeFill="background1" w:themeFillShade="D9"/>
            <w:vAlign w:val="bottom"/>
          </w:tcPr>
          <w:p w14:paraId="1B64432A" w14:textId="217EE31B" w:rsidR="00391B04" w:rsidRPr="005837D8" w:rsidRDefault="00391B04" w:rsidP="002F0D76">
            <w:pPr>
              <w:jc w:val="center"/>
              <w:rPr>
                <w:rFonts w:asciiTheme="majorHAnsi" w:hAnsiTheme="majorHAnsi"/>
              </w:rPr>
            </w:pPr>
            <w:r>
              <w:rPr>
                <w:rFonts w:ascii="Century Gothic" w:eastAsia="Times New Roman" w:hAnsi="Century Gothic"/>
                <w:color w:val="000000"/>
              </w:rPr>
              <w:t>312 001 $</w:t>
            </w:r>
          </w:p>
        </w:tc>
      </w:tr>
      <w:tr w:rsidR="00391B04" w14:paraId="11D142C0" w14:textId="77777777" w:rsidTr="00A06080">
        <w:tc>
          <w:tcPr>
            <w:tcW w:w="1838" w:type="dxa"/>
            <w:shd w:val="clear" w:color="auto" w:fill="D9D9D9" w:themeFill="background1" w:themeFillShade="D9"/>
          </w:tcPr>
          <w:p w14:paraId="490C66C9" w14:textId="50C6ACAD" w:rsidR="00391B04" w:rsidRDefault="00391B04" w:rsidP="002F0D76">
            <w:pPr>
              <w:jc w:val="center"/>
            </w:pPr>
            <w:r>
              <w:t>75</w:t>
            </w:r>
          </w:p>
        </w:tc>
        <w:tc>
          <w:tcPr>
            <w:tcW w:w="1950" w:type="dxa"/>
            <w:shd w:val="clear" w:color="auto" w:fill="D9D9D9" w:themeFill="background1" w:themeFillShade="D9"/>
            <w:vAlign w:val="bottom"/>
          </w:tcPr>
          <w:p w14:paraId="7BD0031C" w14:textId="21EEC397" w:rsidR="00391B04" w:rsidRPr="00FC16C7" w:rsidRDefault="00391B04" w:rsidP="002F0D76">
            <w:pPr>
              <w:jc w:val="center"/>
            </w:pPr>
          </w:p>
        </w:tc>
        <w:tc>
          <w:tcPr>
            <w:tcW w:w="1890" w:type="dxa"/>
            <w:shd w:val="clear" w:color="auto" w:fill="D9D9D9" w:themeFill="background1" w:themeFillShade="D9"/>
            <w:vAlign w:val="bottom"/>
          </w:tcPr>
          <w:p w14:paraId="76143E0F" w14:textId="381B6FE2" w:rsidR="00391B04" w:rsidRPr="00FC16C7" w:rsidRDefault="00391B04" w:rsidP="002F0D76">
            <w:pPr>
              <w:jc w:val="center"/>
              <w:rPr>
                <w:rFonts w:asciiTheme="majorHAnsi" w:hAnsiTheme="majorHAnsi"/>
              </w:rPr>
            </w:pPr>
            <w:r>
              <w:rPr>
                <w:rFonts w:ascii="Century Gothic" w:eastAsia="Times New Roman" w:hAnsi="Century Gothic"/>
                <w:color w:val="000000"/>
              </w:rPr>
              <w:t>312 001 $</w:t>
            </w:r>
          </w:p>
        </w:tc>
        <w:tc>
          <w:tcPr>
            <w:tcW w:w="1722" w:type="dxa"/>
            <w:shd w:val="clear" w:color="auto" w:fill="D9D9D9" w:themeFill="background1" w:themeFillShade="D9"/>
            <w:vAlign w:val="bottom"/>
          </w:tcPr>
          <w:p w14:paraId="08973E82" w14:textId="18F0F3E4"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9,1%</w:t>
            </w:r>
          </w:p>
        </w:tc>
        <w:tc>
          <w:tcPr>
            <w:tcW w:w="1899" w:type="dxa"/>
            <w:shd w:val="clear" w:color="auto" w:fill="D9D9D9" w:themeFill="background1" w:themeFillShade="D9"/>
            <w:vAlign w:val="bottom"/>
          </w:tcPr>
          <w:p w14:paraId="019DAD14" w14:textId="105E9A94" w:rsidR="00391B04" w:rsidRPr="005837D8" w:rsidRDefault="00391B04" w:rsidP="002F0D76">
            <w:pPr>
              <w:jc w:val="center"/>
              <w:rPr>
                <w:rFonts w:asciiTheme="majorHAnsi" w:hAnsiTheme="majorHAnsi"/>
              </w:rPr>
            </w:pPr>
            <w:r>
              <w:rPr>
                <w:rFonts w:ascii="Century Gothic" w:eastAsia="Times New Roman" w:hAnsi="Century Gothic"/>
                <w:color w:val="000000"/>
              </w:rPr>
              <w:t>28 392 $</w:t>
            </w:r>
          </w:p>
        </w:tc>
        <w:tc>
          <w:tcPr>
            <w:tcW w:w="2049" w:type="dxa"/>
            <w:shd w:val="clear" w:color="auto" w:fill="D9D9D9" w:themeFill="background1" w:themeFillShade="D9"/>
            <w:vAlign w:val="bottom"/>
          </w:tcPr>
          <w:p w14:paraId="190593D6" w14:textId="7485D2F8" w:rsidR="00391B04" w:rsidRPr="00391B04" w:rsidRDefault="00391B04" w:rsidP="002F0D76">
            <w:pPr>
              <w:jc w:val="center"/>
            </w:pPr>
            <w:r w:rsidRPr="00391B04">
              <w:rPr>
                <w:rFonts w:eastAsia="Times New Roman"/>
                <w:color w:val="000000"/>
              </w:rPr>
              <w:t>10 729 $</w:t>
            </w:r>
          </w:p>
        </w:tc>
        <w:tc>
          <w:tcPr>
            <w:tcW w:w="1874" w:type="dxa"/>
            <w:shd w:val="clear" w:color="auto" w:fill="D9D9D9" w:themeFill="background1" w:themeFillShade="D9"/>
            <w:vAlign w:val="bottom"/>
          </w:tcPr>
          <w:p w14:paraId="06053BBC" w14:textId="1BDB48B8" w:rsidR="00391B04" w:rsidRPr="005837D8" w:rsidRDefault="00391B04" w:rsidP="002F0D76">
            <w:pPr>
              <w:jc w:val="center"/>
              <w:rPr>
                <w:rFonts w:asciiTheme="majorHAnsi" w:hAnsiTheme="majorHAnsi"/>
              </w:rPr>
            </w:pPr>
            <w:r>
              <w:rPr>
                <w:rFonts w:ascii="Century Gothic" w:eastAsia="Times New Roman" w:hAnsi="Century Gothic"/>
                <w:color w:val="000000"/>
              </w:rPr>
              <w:t>294 337 $</w:t>
            </w:r>
          </w:p>
        </w:tc>
      </w:tr>
      <w:tr w:rsidR="00391B04" w14:paraId="6F70AB63" w14:textId="77777777" w:rsidTr="00A06080">
        <w:tc>
          <w:tcPr>
            <w:tcW w:w="1838" w:type="dxa"/>
            <w:shd w:val="clear" w:color="auto" w:fill="D9D9D9" w:themeFill="background1" w:themeFillShade="D9"/>
          </w:tcPr>
          <w:p w14:paraId="23FA785C" w14:textId="70DB4E5F" w:rsidR="00391B04" w:rsidRDefault="00391B04" w:rsidP="002F0D76">
            <w:pPr>
              <w:jc w:val="center"/>
            </w:pPr>
            <w:r>
              <w:t>76</w:t>
            </w:r>
          </w:p>
        </w:tc>
        <w:tc>
          <w:tcPr>
            <w:tcW w:w="1950" w:type="dxa"/>
            <w:shd w:val="clear" w:color="auto" w:fill="D9D9D9" w:themeFill="background1" w:themeFillShade="D9"/>
            <w:vAlign w:val="bottom"/>
          </w:tcPr>
          <w:p w14:paraId="5AE830E2" w14:textId="5FD24A20" w:rsidR="00391B04" w:rsidRPr="00FC16C7" w:rsidRDefault="00391B04" w:rsidP="002F0D76">
            <w:pPr>
              <w:jc w:val="center"/>
            </w:pPr>
          </w:p>
        </w:tc>
        <w:tc>
          <w:tcPr>
            <w:tcW w:w="1890" w:type="dxa"/>
            <w:shd w:val="clear" w:color="auto" w:fill="D9D9D9" w:themeFill="background1" w:themeFillShade="D9"/>
            <w:vAlign w:val="bottom"/>
          </w:tcPr>
          <w:p w14:paraId="18A82CED" w14:textId="0F9FF5D0" w:rsidR="00391B04" w:rsidRPr="00FC16C7" w:rsidRDefault="00391B04" w:rsidP="002F0D76">
            <w:pPr>
              <w:jc w:val="center"/>
              <w:rPr>
                <w:rFonts w:asciiTheme="majorHAnsi" w:hAnsiTheme="majorHAnsi"/>
              </w:rPr>
            </w:pPr>
            <w:r>
              <w:rPr>
                <w:rFonts w:ascii="Century Gothic" w:eastAsia="Times New Roman" w:hAnsi="Century Gothic"/>
                <w:color w:val="000000"/>
              </w:rPr>
              <w:t>294 337 $</w:t>
            </w:r>
          </w:p>
        </w:tc>
        <w:tc>
          <w:tcPr>
            <w:tcW w:w="1722" w:type="dxa"/>
            <w:shd w:val="clear" w:color="auto" w:fill="D9D9D9" w:themeFill="background1" w:themeFillShade="D9"/>
            <w:vAlign w:val="bottom"/>
          </w:tcPr>
          <w:p w14:paraId="66E4670B" w14:textId="6EC93543"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9,4%</w:t>
            </w:r>
          </w:p>
        </w:tc>
        <w:tc>
          <w:tcPr>
            <w:tcW w:w="1899" w:type="dxa"/>
            <w:shd w:val="clear" w:color="auto" w:fill="D9D9D9" w:themeFill="background1" w:themeFillShade="D9"/>
            <w:vAlign w:val="bottom"/>
          </w:tcPr>
          <w:p w14:paraId="06D04197" w14:textId="185CE2D4" w:rsidR="00391B04" w:rsidRPr="005837D8" w:rsidRDefault="00391B04" w:rsidP="002F0D76">
            <w:pPr>
              <w:jc w:val="center"/>
              <w:rPr>
                <w:rFonts w:asciiTheme="majorHAnsi" w:hAnsiTheme="majorHAnsi"/>
              </w:rPr>
            </w:pPr>
            <w:r>
              <w:rPr>
                <w:rFonts w:ascii="Century Gothic" w:eastAsia="Times New Roman" w:hAnsi="Century Gothic"/>
                <w:color w:val="000000"/>
              </w:rPr>
              <w:t>27 668 $</w:t>
            </w:r>
          </w:p>
        </w:tc>
        <w:tc>
          <w:tcPr>
            <w:tcW w:w="2049" w:type="dxa"/>
            <w:shd w:val="clear" w:color="auto" w:fill="D9D9D9" w:themeFill="background1" w:themeFillShade="D9"/>
            <w:vAlign w:val="bottom"/>
          </w:tcPr>
          <w:p w14:paraId="7E70E7E3" w14:textId="4CFB69BB" w:rsidR="00391B04" w:rsidRPr="00391B04" w:rsidRDefault="00391B04" w:rsidP="002F0D76">
            <w:pPr>
              <w:jc w:val="center"/>
            </w:pPr>
            <w:r w:rsidRPr="00391B04">
              <w:rPr>
                <w:rFonts w:eastAsia="Times New Roman"/>
                <w:color w:val="000000"/>
              </w:rPr>
              <w:t>10 122 $</w:t>
            </w:r>
          </w:p>
        </w:tc>
        <w:tc>
          <w:tcPr>
            <w:tcW w:w="1874" w:type="dxa"/>
            <w:shd w:val="clear" w:color="auto" w:fill="D9D9D9" w:themeFill="background1" w:themeFillShade="D9"/>
            <w:vAlign w:val="bottom"/>
          </w:tcPr>
          <w:p w14:paraId="4C7CEBD8" w14:textId="0772F0C3" w:rsidR="00391B04" w:rsidRPr="005837D8" w:rsidRDefault="0043455A" w:rsidP="002F0D76">
            <w:pPr>
              <w:jc w:val="center"/>
              <w:rPr>
                <w:rFonts w:asciiTheme="majorHAnsi" w:hAnsiTheme="majorHAnsi"/>
              </w:rPr>
            </w:pPr>
            <w:r>
              <w:rPr>
                <w:noProof/>
                <w:lang w:eastAsia="fr-FR"/>
              </w:rPr>
              <mc:AlternateContent>
                <mc:Choice Requires="wps">
                  <w:drawing>
                    <wp:anchor distT="0" distB="0" distL="114300" distR="114300" simplePos="0" relativeHeight="252232704" behindDoc="0" locked="0" layoutInCell="1" allowOverlap="1" wp14:anchorId="7EAD8E95" wp14:editId="79C0FEF4">
                      <wp:simplePos x="0" y="0"/>
                      <wp:positionH relativeFrom="column">
                        <wp:posOffset>63500</wp:posOffset>
                      </wp:positionH>
                      <wp:positionV relativeFrom="paragraph">
                        <wp:posOffset>-1270</wp:posOffset>
                      </wp:positionV>
                      <wp:extent cx="915670" cy="344805"/>
                      <wp:effectExtent l="76200" t="76200" r="0" b="61595"/>
                      <wp:wrapNone/>
                      <wp:docPr id="278" name="Ellipse 278"/>
                      <wp:cNvGraphicFramePr/>
                      <a:graphic xmlns:a="http://schemas.openxmlformats.org/drawingml/2006/main">
                        <a:graphicData uri="http://schemas.microsoft.com/office/word/2010/wordprocessingShape">
                          <wps:wsp>
                            <wps:cNvSpPr/>
                            <wps:spPr>
                              <a:xfrm>
                                <a:off x="0" y="0"/>
                                <a:ext cx="915670" cy="344805"/>
                              </a:xfrm>
                              <a:prstGeom prst="ellipse">
                                <a:avLst/>
                              </a:prstGeom>
                              <a:noFill/>
                              <a:ln>
                                <a:solidFill>
                                  <a:srgbClr val="008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id="Ellipse 278" o:spid="_x0000_s1026" style="position:absolute;margin-left:5pt;margin-top:-.05pt;width:72.1pt;height:27.1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" filled="f" strokecolor="green"/>
                  </w:pict>
                </mc:Fallback>
              </mc:AlternateContent>
            </w:r>
            <w:r w:rsidR="00391B04">
              <w:rPr>
                <w:rFonts w:ascii="Century Gothic" w:eastAsia="Times New Roman" w:hAnsi="Century Gothic"/>
                <w:color w:val="000000"/>
              </w:rPr>
              <w:t>276 791 $</w:t>
            </w:r>
          </w:p>
        </w:tc>
      </w:tr>
    </w:tbl>
    <w:p w14:paraId="11C908B2" w14:textId="77777777" w:rsidR="00B8379F" w:rsidRDefault="00B8379F" w:rsidP="0043455A">
      <w:pPr>
        <w:jc w:val="both"/>
      </w:pPr>
    </w:p>
    <w:p w14:paraId="1CF1E3F0" w14:textId="77777777" w:rsidR="0043455A" w:rsidRDefault="0043455A" w:rsidP="0043455A">
      <w:pPr>
        <w:jc w:val="both"/>
      </w:pPr>
      <w:r>
        <w:t>Le solde approximatif du FRV que vous lèguerez à votre conjointe au moment de votre décès</w:t>
      </w:r>
    </w:p>
    <w:p w14:paraId="1D25DBFF" w14:textId="1AD56B89" w:rsidR="0043455A" w:rsidRPr="00B8379F" w:rsidRDefault="00B8379F" w:rsidP="0043455A">
      <w:pPr>
        <w:jc w:val="both"/>
      </w:pPr>
      <w:r w:rsidRPr="00171817">
        <w:rPr>
          <w:rFonts w:asciiTheme="majorHAnsi" w:hAnsiTheme="majorHAnsi"/>
          <w:noProof/>
          <w:lang w:eastAsia="fr-FR"/>
        </w:rPr>
        <w:drawing>
          <wp:anchor distT="0" distB="0" distL="114300" distR="114300" simplePos="0" relativeHeight="252236800" behindDoc="0" locked="0" layoutInCell="1" allowOverlap="1" wp14:anchorId="61BE101C" wp14:editId="6FF34AA9">
            <wp:simplePos x="0" y="0"/>
            <wp:positionH relativeFrom="column">
              <wp:posOffset>4000500</wp:posOffset>
            </wp:positionH>
            <wp:positionV relativeFrom="paragraph">
              <wp:posOffset>243840</wp:posOffset>
            </wp:positionV>
            <wp:extent cx="685800" cy="741045"/>
            <wp:effectExtent l="0" t="0" r="0" b="0"/>
            <wp:wrapNone/>
            <wp:docPr id="234" name="Image 234" descr="Macintosh HD:Users:marcbachand:Desktop:logo_WIKI_FISCx180 - copie.pn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roofErr w:type="gramStart"/>
      <w:r w:rsidR="0043455A">
        <w:t>sera</w:t>
      </w:r>
      <w:proofErr w:type="gramEnd"/>
      <w:r w:rsidR="0043455A">
        <w:t xml:space="preserve"> de </w:t>
      </w:r>
      <w:r w:rsidR="0043455A" w:rsidRPr="007A0554">
        <w:rPr>
          <w:sz w:val="32"/>
          <w:szCs w:val="32"/>
        </w:rPr>
        <w:t>277 000 $.</w:t>
      </w:r>
      <w:r>
        <w:rPr>
          <w:sz w:val="32"/>
          <w:szCs w:val="32"/>
        </w:rPr>
        <w:t xml:space="preserve"> </w:t>
      </w:r>
      <w:r>
        <w:t>Ces calculs ont été effectués en utilisant le tableur Excel.</w:t>
      </w:r>
    </w:p>
    <w:p w14:paraId="0B161682" w14:textId="064C88B5" w:rsidR="007A0554" w:rsidRDefault="007A0554" w:rsidP="0043455A">
      <w:pPr>
        <w:jc w:val="both"/>
      </w:pPr>
    </w:p>
    <w:p w14:paraId="685F522E" w14:textId="4B1D6E8E" w:rsidR="00B8379F" w:rsidRPr="00E63C6A" w:rsidRDefault="00B8379F" w:rsidP="0043455A">
      <w:pPr>
        <w:jc w:val="both"/>
      </w:pPr>
      <w:r>
        <w:t xml:space="preserve">Pour discuter de ces </w:t>
      </w:r>
      <w:r w:rsidR="00E63C6A">
        <w:t xml:space="preserve">savants </w:t>
      </w:r>
      <w:r>
        <w:t>calculs, rendez-vous sur</w:t>
      </w:r>
    </w:p>
    <w:p w14:paraId="1526E704" w14:textId="5E707217" w:rsidR="00AA29C7" w:rsidRDefault="00E55578" w:rsidP="006C34CF">
      <w:pPr>
        <w:pStyle w:val="Titre3"/>
        <w:numPr>
          <w:ilvl w:val="2"/>
          <w:numId w:val="21"/>
        </w:numPr>
      </w:pPr>
      <w:bookmarkStart w:id="54" w:name="_Toc314397834"/>
      <w:bookmarkStart w:id="55" w:name="_Toc443569378"/>
      <w:r>
        <w:lastRenderedPageBreak/>
        <w:t>Le régime de pension agréé à prestation déterminée (RPAPD)</w:t>
      </w:r>
      <w:bookmarkEnd w:id="54"/>
      <w:bookmarkEnd w:id="55"/>
    </w:p>
    <w:p w14:paraId="5CCAE4E5" w14:textId="77777777" w:rsidR="00A06080" w:rsidRDefault="00A06080" w:rsidP="00A06080"/>
    <w:p w14:paraId="406F8255" w14:textId="52B4AD88" w:rsidR="00A06080" w:rsidRDefault="00A06080" w:rsidP="00A06080">
      <w:pPr>
        <w:jc w:val="both"/>
      </w:pPr>
      <w:r>
        <w:t xml:space="preserve">Le </w:t>
      </w:r>
      <w:r w:rsidRPr="00832A45">
        <w:rPr>
          <w:color w:val="FF6700" w:themeColor="accent3"/>
        </w:rPr>
        <w:t>RPA</w:t>
      </w:r>
      <w:r>
        <w:rPr>
          <w:color w:val="FF6700" w:themeColor="accent3"/>
        </w:rPr>
        <w:t>PD</w:t>
      </w:r>
      <w:r>
        <w:t xml:space="preserve"> constitue un contrat  entre un employeur et un employé dont l’essence est la </w:t>
      </w:r>
      <w:r w:rsidRPr="00BF4182">
        <w:rPr>
          <w:color w:val="FF6700" w:themeColor="accent3"/>
        </w:rPr>
        <w:t xml:space="preserve">PROMESSE DE </w:t>
      </w:r>
      <w:r>
        <w:rPr>
          <w:color w:val="FF6700" w:themeColor="accent3"/>
        </w:rPr>
        <w:t>L'EMPLOYEUR DE VERSER</w:t>
      </w:r>
      <w:r>
        <w:t xml:space="preserve"> une rente de retraite</w:t>
      </w:r>
      <w:r w:rsidR="00606261">
        <w:t xml:space="preserve"> à l'employé</w:t>
      </w:r>
      <w:r>
        <w:t xml:space="preserve"> </w:t>
      </w:r>
      <w:r w:rsidRPr="002A43EA">
        <w:rPr>
          <w:u w:val="single"/>
        </w:rPr>
        <w:t>dont le mode de calcul est connu d'avance</w:t>
      </w:r>
      <w:r>
        <w:t xml:space="preserve">. Pour arriver à tenir cette </w:t>
      </w:r>
      <w:r w:rsidR="0053102D">
        <w:t>promesse,</w:t>
      </w:r>
      <w:r>
        <w:t xml:space="preserve"> l'employeur met en place un régime de retraite dans lequel il doit obligatoirement verser des cotisations (les cotisations de l'employé sont facultatives</w:t>
      </w:r>
      <w:r w:rsidR="00517BB2">
        <w:t>, mais déterminées d'avance lorsqu'elles s'appliquent</w:t>
      </w:r>
      <w:r>
        <w:t>). Ce type de régime (Régime complémentaire de retraite) comporte de nombreuses conditions à respecter. Nous retrouvons l’ensemble des règles qui régisse</w:t>
      </w:r>
      <w:r w:rsidR="00770A9D">
        <w:t>nt</w:t>
      </w:r>
      <w:r>
        <w:t xml:space="preserve"> le RPAPD dans la Loi sur les régimes complémentaires de retraite </w:t>
      </w:r>
      <w:r w:rsidRPr="00BF4182">
        <w:t>(LRCR).</w:t>
      </w:r>
    </w:p>
    <w:p w14:paraId="6EBC149B" w14:textId="77777777" w:rsidR="00A06080" w:rsidRPr="00A06080" w:rsidRDefault="00A06080" w:rsidP="00A06080"/>
    <w:p w14:paraId="7549889A" w14:textId="775B1CC1" w:rsidR="00580371" w:rsidRDefault="00E55578" w:rsidP="006C34CF">
      <w:pPr>
        <w:pStyle w:val="Titre4"/>
        <w:numPr>
          <w:ilvl w:val="3"/>
          <w:numId w:val="23"/>
        </w:numPr>
      </w:pPr>
      <w:bookmarkStart w:id="56" w:name="_Toc314397835"/>
      <w:bookmarkStart w:id="57" w:name="_Toc443569379"/>
      <w:r>
        <w:t>Le fonctionnement</w:t>
      </w:r>
      <w:bookmarkEnd w:id="56"/>
      <w:bookmarkEnd w:id="57"/>
    </w:p>
    <w:p w14:paraId="57AE17CD" w14:textId="7EA7D97B" w:rsidR="003D1225" w:rsidRDefault="003D1225" w:rsidP="003D1225"/>
    <w:p w14:paraId="420D2901" w14:textId="208BC3F9" w:rsidR="00C614FF" w:rsidRDefault="00B504DD" w:rsidP="006C065F">
      <w:pPr>
        <w:jc w:val="both"/>
      </w:pPr>
      <w:r>
        <w:rPr>
          <w:noProof/>
          <w:lang w:eastAsia="fr-FR"/>
        </w:rPr>
        <w:drawing>
          <wp:anchor distT="0" distB="0" distL="114300" distR="114300" simplePos="0" relativeHeight="252238848" behindDoc="0" locked="0" layoutInCell="1" allowOverlap="1" wp14:anchorId="08911456" wp14:editId="7439D21A">
            <wp:simplePos x="0" y="0"/>
            <wp:positionH relativeFrom="column">
              <wp:posOffset>-571500</wp:posOffset>
            </wp:positionH>
            <wp:positionV relativeFrom="paragraph">
              <wp:posOffset>202565</wp:posOffset>
            </wp:positionV>
            <wp:extent cx="4819650" cy="3886200"/>
            <wp:effectExtent l="0" t="0" r="6350" b="0"/>
            <wp:wrapSquare wrapText="bothSides"/>
            <wp:docPr id="220" name="Image 220" descr="Macintosh HD:Users:marcbachand:Desktop:Capture d’écran 2015-09-16 à 08.1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09-16 à 08.18.03.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19650" cy="3886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color w:val="FF6700" w:themeColor="accent3"/>
        </w:rPr>
        <w:t>IMAGE 7-13 RPAPD</w:t>
      </w:r>
      <w:r w:rsidRPr="00B504DD">
        <w:t xml:space="preserve"> </w:t>
      </w:r>
      <w:r>
        <w:tab/>
      </w:r>
      <w:r>
        <w:tab/>
      </w:r>
      <w:r>
        <w:tab/>
      </w:r>
      <w:r>
        <w:tab/>
      </w:r>
      <w:r>
        <w:tab/>
      </w:r>
      <w:r>
        <w:tab/>
        <w:t xml:space="preserve">        </w:t>
      </w:r>
      <w:r w:rsidR="00050BFF">
        <w:t>Malgré des objectifs communs de pourvoir à la retraite de leurs employés, l</w:t>
      </w:r>
      <w:r>
        <w:t>e RPA</w:t>
      </w:r>
      <w:r w:rsidR="00561D8E">
        <w:t>PD</w:t>
      </w:r>
      <w:r>
        <w:t xml:space="preserve"> </w:t>
      </w:r>
      <w:r w:rsidR="00050BFF">
        <w:t xml:space="preserve">et le RPACD sont conceptuellement des régimes dont les modes de fonctionnement sont opposés. Le RPAPD </w:t>
      </w:r>
      <w:r>
        <w:t xml:space="preserve">est un </w:t>
      </w:r>
      <w:r w:rsidR="00561D8E" w:rsidRPr="00561D8E">
        <w:rPr>
          <w:color w:val="FF6700" w:themeColor="accent3"/>
        </w:rPr>
        <w:t>RÉGIME COMPLÉMENTAIRE DE RETRAITE (RCR)</w:t>
      </w:r>
      <w:r w:rsidR="00050BFF">
        <w:rPr>
          <w:color w:val="FF6700" w:themeColor="accent3"/>
        </w:rPr>
        <w:t xml:space="preserve"> </w:t>
      </w:r>
      <w:r>
        <w:t xml:space="preserve"> qui </w:t>
      </w:r>
      <w:r w:rsidR="0053102D">
        <w:t>garantit</w:t>
      </w:r>
      <w:r w:rsidR="00050BFF">
        <w:t xml:space="preserve"> à </w:t>
      </w:r>
      <w:proofErr w:type="gramStart"/>
      <w:r w:rsidR="00050BFF">
        <w:t>l'employé</w:t>
      </w:r>
      <w:proofErr w:type="gramEnd"/>
      <w:r w:rsidR="00050BFF">
        <w:t xml:space="preserve"> une rente de retraite</w:t>
      </w:r>
      <w:r w:rsidR="00C92C38">
        <w:t xml:space="preserve"> </w:t>
      </w:r>
      <w:r w:rsidR="00C92C38" w:rsidRPr="00C92C38">
        <w:rPr>
          <w:color w:val="FF6700" w:themeColor="accent3"/>
        </w:rPr>
        <w:t>CONNUE</w:t>
      </w:r>
      <w:r w:rsidR="00050BFF" w:rsidRPr="00C92C38">
        <w:rPr>
          <w:color w:val="FF6700" w:themeColor="accent3"/>
        </w:rPr>
        <w:t xml:space="preserve"> </w:t>
      </w:r>
      <w:r w:rsidR="00050BFF">
        <w:t>dont</w:t>
      </w:r>
      <w:r w:rsidR="00C92C38">
        <w:t xml:space="preserve"> le mode de calcul est déterminé d'avance.</w:t>
      </w:r>
      <w:r w:rsidR="00C614FF">
        <w:t xml:space="preserve"> Normalement, ce calcul correspond au produit du nombre d'années de </w:t>
      </w:r>
      <w:r w:rsidR="00BA604E">
        <w:t>participation</w:t>
      </w:r>
      <w:r w:rsidR="00C614FF">
        <w:t xml:space="preserve"> de l'employé</w:t>
      </w:r>
      <w:r w:rsidR="00BA604E">
        <w:t>, par le pourcentage de rente acquise par année</w:t>
      </w:r>
      <w:r w:rsidR="00E86FE9">
        <w:t xml:space="preserve"> (aussi appelé </w:t>
      </w:r>
      <w:r w:rsidR="00E86FE9" w:rsidRPr="00E86FE9">
        <w:rPr>
          <w:color w:val="FF6700" w:themeColor="accent3"/>
        </w:rPr>
        <w:t>CRÉDIT DE RENTE</w:t>
      </w:r>
      <w:r w:rsidR="00E86FE9">
        <w:t>)</w:t>
      </w:r>
      <w:r w:rsidR="00517BB2">
        <w:t>,</w:t>
      </w:r>
      <w:r w:rsidR="00C614FF">
        <w:t xml:space="preserve"> par son salaire moyen de fin de carrière. </w:t>
      </w:r>
    </w:p>
    <w:p w14:paraId="08258508" w14:textId="77777777" w:rsidR="00C614FF" w:rsidRDefault="00C614FF" w:rsidP="006C065F">
      <w:pPr>
        <w:jc w:val="both"/>
      </w:pPr>
    </w:p>
    <w:p w14:paraId="20FC0F9D" w14:textId="6E92BF1B" w:rsidR="006C065F" w:rsidRDefault="00C92C38" w:rsidP="006C065F">
      <w:pPr>
        <w:jc w:val="both"/>
      </w:pPr>
      <w:r>
        <w:t>C'est donc la responsabilité de l'employeur de capitaliser le régime afin d'être en mesure de tenir son engagement à verser les rentes de retraite</w:t>
      </w:r>
      <w:r w:rsidR="00517BB2">
        <w:t xml:space="preserve"> promises</w:t>
      </w:r>
      <w:r>
        <w:t xml:space="preserve">. Cette capitalisation </w:t>
      </w:r>
      <w:r w:rsidR="00B504DD">
        <w:t>se</w:t>
      </w:r>
      <w:r>
        <w:t xml:space="preserve"> </w:t>
      </w:r>
      <w:r w:rsidR="00B504DD">
        <w:t xml:space="preserve">construit à même les cotisations de l’employeur (obligatoires pour un minimum de 50 % des cotisations totales) et les </w:t>
      </w:r>
      <w:r w:rsidR="00B504DD">
        <w:lastRenderedPageBreak/>
        <w:t>cotisations de l’employé (facultatives sans excéder 50 % des cotisations totales).</w:t>
      </w:r>
      <w:r>
        <w:t xml:space="preserve"> </w:t>
      </w:r>
      <w:r w:rsidR="00B504DD">
        <w:t xml:space="preserve">Le contrat du régime stipule dès le départ les règles quant aux pourcentages des cotisations qui incomberont à l’employeur et à l’employé. </w:t>
      </w:r>
      <w:r>
        <w:t xml:space="preserve">Si </w:t>
      </w:r>
      <w:r w:rsidR="006C065F">
        <w:t xml:space="preserve">suite à des </w:t>
      </w:r>
      <w:r w:rsidR="006C065F" w:rsidRPr="006C065F">
        <w:rPr>
          <w:color w:val="FF6700" w:themeColor="accent3"/>
        </w:rPr>
        <w:t>ÉVALUATIONS ACTUARIELLES</w:t>
      </w:r>
      <w:r w:rsidR="006C065F">
        <w:t xml:space="preserve">, </w:t>
      </w:r>
      <w:r>
        <w:t xml:space="preserve">les règles de départ qui </w:t>
      </w:r>
      <w:proofErr w:type="gramStart"/>
      <w:r>
        <w:t>établis</w:t>
      </w:r>
      <w:r w:rsidR="00517BB2">
        <w:t>s</w:t>
      </w:r>
      <w:r>
        <w:t>ent</w:t>
      </w:r>
      <w:proofErr w:type="gramEnd"/>
      <w:r w:rsidR="006C065F">
        <w:t xml:space="preserve"> les taux de</w:t>
      </w:r>
      <w:r>
        <w:t xml:space="preserve"> cotisations ne permettent pas d'équilibrer le régime</w:t>
      </w:r>
      <w:r w:rsidR="006C065F">
        <w:t xml:space="preserve"> (c'est-à-dire le respect des engagements </w:t>
      </w:r>
      <w:r w:rsidR="00423F7A">
        <w:t xml:space="preserve">de l'employeur </w:t>
      </w:r>
      <w:r w:rsidR="006C065F">
        <w:t>à verser les rentes de retraite), c'est à l'employeur que revient la responsabilité d'augmenter le niveau des cotisations. À ce titre, l'ensemble des cotisations à verser pour maintenir la solvabilité du régime demeure un</w:t>
      </w:r>
      <w:r w:rsidR="000819B2">
        <w:t>e</w:t>
      </w:r>
      <w:r w:rsidR="006C065F">
        <w:t xml:space="preserve"> variable </w:t>
      </w:r>
      <w:r w:rsidR="006C065F" w:rsidRPr="006C065F">
        <w:rPr>
          <w:color w:val="FF6700" w:themeColor="accent3"/>
        </w:rPr>
        <w:t>INCONNUE</w:t>
      </w:r>
      <w:r w:rsidR="006C065F">
        <w:t xml:space="preserve"> et fluctuante. Le risque financier est alors entièrement assumé par l'employeur.</w:t>
      </w:r>
      <w:r w:rsidR="00A01317">
        <w:t xml:space="preserve"> À titre d'exemple, la fluctuation du taux des cotisations peut être </w:t>
      </w:r>
      <w:r w:rsidR="003167C5">
        <w:t>due</w:t>
      </w:r>
      <w:r w:rsidR="00A01317">
        <w:t xml:space="preserve"> à l'augmentation de l'espérance de vie des retraités (obligation de verser des rentes sur une plus longue période) </w:t>
      </w:r>
      <w:r w:rsidR="003167C5">
        <w:t xml:space="preserve">ou à la réduction des rendements sur les actifs de la caisse de retraite (rendement des marchés plus faible que celui prévu par </w:t>
      </w:r>
      <w:r w:rsidR="0053102D">
        <w:t>les</w:t>
      </w:r>
      <w:r w:rsidR="003167C5">
        <w:t xml:space="preserve"> hypothèses actuarielles du régime). </w:t>
      </w:r>
    </w:p>
    <w:p w14:paraId="43C1DADC" w14:textId="77777777" w:rsidR="00B504DD" w:rsidRDefault="00B504DD" w:rsidP="00B504DD"/>
    <w:p w14:paraId="3CF5B8CA" w14:textId="78722088" w:rsidR="00B504DD" w:rsidRDefault="00206389" w:rsidP="00B504DD">
      <w:pPr>
        <w:jc w:val="both"/>
      </w:pPr>
      <w:r>
        <w:t>Puisque l'essence du RPAPD s'inscrit dans une phase temporelle inusitée</w:t>
      </w:r>
      <w:r w:rsidR="009246A2">
        <w:rPr>
          <w:rStyle w:val="Marquenotebasdepage"/>
        </w:rPr>
        <w:footnoteReference w:customMarkFollows="1" w:id="40"/>
        <w:t>37</w:t>
      </w:r>
      <w:r>
        <w:t>, les variables présentes réelles étant inconnues (les cotisations nécessaire</w:t>
      </w:r>
      <w:r w:rsidR="009246A2">
        <w:t>s</w:t>
      </w:r>
      <w:r>
        <w:t xml:space="preserve"> à l'équilibre du régime) alors que les variables futures sont connues et promises (le montant des rentes de retraite), le fonctionnement du régime comporte davanta</w:t>
      </w:r>
      <w:r w:rsidR="009246A2">
        <w:t>g</w:t>
      </w:r>
      <w:r>
        <w:t>e de complexité</w:t>
      </w:r>
      <w:r w:rsidR="009246A2">
        <w:t>s que le RPACD. Ce constat est notamment reflété dans les limites fiscales qui s'appliquent au RPAPD. Puisque ce qui est promis par le régime est un montant de rente future</w:t>
      </w:r>
      <w:r w:rsidR="008D3878">
        <w:t>,</w:t>
      </w:r>
      <w:r w:rsidR="009246A2">
        <w:t xml:space="preserve"> la limite fiscale du régime s'applique sur le montant maximum</w:t>
      </w:r>
      <w:r w:rsidR="008D3878">
        <w:t xml:space="preserve"> de rente qui peut être versé par le régime, et ce peut importe ce que le régime prévoirait.</w:t>
      </w:r>
      <w:r w:rsidR="009246A2">
        <w:t xml:space="preserve"> </w:t>
      </w:r>
      <w:r w:rsidR="00B504DD">
        <w:t xml:space="preserve">En 2015, le maximum de </w:t>
      </w:r>
      <w:r w:rsidR="008D3878">
        <w:t>la rente qui peut être versé</w:t>
      </w:r>
      <w:r w:rsidR="00770A9D">
        <w:t>e</w:t>
      </w:r>
      <w:r w:rsidR="008D3878">
        <w:t xml:space="preserve"> à un adhérant d'un RPAPD</w:t>
      </w:r>
      <w:r w:rsidR="00B504DD">
        <w:t xml:space="preserve"> correspond</w:t>
      </w:r>
      <w:r w:rsidR="008D3878">
        <w:t xml:space="preserve"> à</w:t>
      </w:r>
      <w:r w:rsidR="00B504DD">
        <w:t>:</w:t>
      </w:r>
    </w:p>
    <w:p w14:paraId="0DD6F358" w14:textId="77777777" w:rsidR="008D3878" w:rsidRDefault="008D3878" w:rsidP="00B504DD">
      <w:pPr>
        <w:jc w:val="both"/>
      </w:pPr>
    </w:p>
    <w:p w14:paraId="39BF03CF" w14:textId="30C3D833" w:rsidR="00B504DD" w:rsidRPr="004E41A4" w:rsidRDefault="0069579E" w:rsidP="006C34CF">
      <w:pPr>
        <w:pStyle w:val="Paragraphedeliste"/>
        <w:numPr>
          <w:ilvl w:val="0"/>
          <w:numId w:val="31"/>
        </w:numPr>
        <w:jc w:val="both"/>
        <w:rPr>
          <w:color w:val="FF6700" w:themeColor="accent3"/>
        </w:rPr>
      </w:pPr>
      <w:r>
        <w:rPr>
          <w:color w:val="FF6700" w:themeColor="accent3"/>
        </w:rPr>
        <w:t>2 819</w:t>
      </w:r>
      <w:r w:rsidR="00B504DD" w:rsidRPr="004E41A4">
        <w:rPr>
          <w:color w:val="FF6700" w:themeColor="accent3"/>
        </w:rPr>
        <w:t xml:space="preserve"> $</w:t>
      </w:r>
      <w:r w:rsidR="008972DF">
        <w:rPr>
          <w:rStyle w:val="Marquenotebasdepage"/>
          <w:color w:val="FF6700" w:themeColor="accent3"/>
        </w:rPr>
        <w:footnoteReference w:customMarkFollows="1" w:id="41"/>
        <w:t>38</w:t>
      </w:r>
      <w:r w:rsidR="008972DF">
        <w:rPr>
          <w:color w:val="FF6700" w:themeColor="accent3"/>
        </w:rPr>
        <w:t xml:space="preserve"> * </w:t>
      </w:r>
      <w:r w:rsidR="0053102D">
        <w:rPr>
          <w:color w:val="FF6700" w:themeColor="accent3"/>
        </w:rPr>
        <w:t>nombres</w:t>
      </w:r>
      <w:r w:rsidR="008972DF">
        <w:rPr>
          <w:color w:val="FF6700" w:themeColor="accent3"/>
        </w:rPr>
        <w:t xml:space="preserve"> d'années de service</w:t>
      </w:r>
    </w:p>
    <w:p w14:paraId="0D3807AA" w14:textId="2DE61488" w:rsidR="003167C5" w:rsidRPr="003167C5" w:rsidRDefault="00B504DD" w:rsidP="008972DF">
      <w:pPr>
        <w:jc w:val="both"/>
        <w:rPr>
          <w:color w:val="FF6700" w:themeColor="accent3"/>
        </w:rPr>
      </w:pPr>
      <w:r w:rsidRPr="004E41A4">
        <w:rPr>
          <w:color w:val="FF6700" w:themeColor="accent3"/>
        </w:rPr>
        <w:tab/>
      </w:r>
      <w:r w:rsidRPr="004E41A4">
        <w:rPr>
          <w:color w:val="FF6700" w:themeColor="accent3"/>
        </w:rPr>
        <w:tab/>
      </w:r>
    </w:p>
    <w:p w14:paraId="421C39DA" w14:textId="0052D5CE" w:rsidR="00B504DD" w:rsidRPr="00B867DF" w:rsidRDefault="00B504DD" w:rsidP="00B504DD">
      <w:pPr>
        <w:jc w:val="both"/>
      </w:pPr>
      <w:r>
        <w:t>C</w:t>
      </w:r>
      <w:r w:rsidR="008972DF">
        <w:t>e montant vise à maintenir l'équité fiscale entre les régimes à cotisations déterminées et ceux à prestations déterminée</w:t>
      </w:r>
      <w:r w:rsidR="00F75737">
        <w:t>s</w:t>
      </w:r>
      <w:r w:rsidR="008972DF">
        <w:t xml:space="preserve">. Par une série d'hypothèses actuarielles, le fisc tente d'offrir un abri fiscal de même </w:t>
      </w:r>
      <w:r w:rsidR="0053102D">
        <w:t>taille,</w:t>
      </w:r>
      <w:r w:rsidR="008972DF">
        <w:t xml:space="preserve"> peu importe les caractéristiques du régime.</w:t>
      </w:r>
      <w:r>
        <w:t xml:space="preserve"> Nous </w:t>
      </w:r>
      <w:r w:rsidR="00F75737">
        <w:t xml:space="preserve">tenterons d'évaluer si cet objectif d'impartialité du fisc est atteint </w:t>
      </w:r>
      <w:r>
        <w:t xml:space="preserve">dans la </w:t>
      </w:r>
      <w:r>
        <w:rPr>
          <w:color w:val="008000"/>
        </w:rPr>
        <w:t xml:space="preserve">SECTION 3.3. </w:t>
      </w:r>
      <w:r>
        <w:t xml:space="preserve">- </w:t>
      </w:r>
      <w:r w:rsidRPr="00B867DF">
        <w:rPr>
          <w:i/>
        </w:rPr>
        <w:t>Réflexions sur les régimes de pen</w:t>
      </w:r>
      <w:r>
        <w:t>s</w:t>
      </w:r>
      <w:r w:rsidRPr="00B867DF">
        <w:rPr>
          <w:i/>
        </w:rPr>
        <w:t>ion</w:t>
      </w:r>
      <w:r>
        <w:t>.</w:t>
      </w:r>
    </w:p>
    <w:p w14:paraId="4FE44918" w14:textId="77777777" w:rsidR="00B504DD" w:rsidRDefault="00B504DD" w:rsidP="00B504DD">
      <w:pPr>
        <w:jc w:val="both"/>
      </w:pPr>
    </w:p>
    <w:p w14:paraId="4F48DB94" w14:textId="325DA0DF" w:rsidR="00B504DD" w:rsidRDefault="00F75737" w:rsidP="00B504DD">
      <w:pPr>
        <w:jc w:val="both"/>
      </w:pPr>
      <w:r>
        <w:lastRenderedPageBreak/>
        <w:t xml:space="preserve">Par ailleurs, le </w:t>
      </w:r>
      <w:r w:rsidR="00B504DD">
        <w:t>traitement fiscal</w:t>
      </w:r>
      <w:r>
        <w:t xml:space="preserve"> des cotisations, des revenus générés à l'intérieur du régime et du versement des rentes de retraite est le même que celui présenté à la </w:t>
      </w:r>
      <w:r w:rsidRPr="00F75737">
        <w:rPr>
          <w:color w:val="008000"/>
        </w:rPr>
        <w:t>SECTION 3.2.1.1.</w:t>
      </w:r>
      <w:r w:rsidR="00C614FF">
        <w:rPr>
          <w:color w:val="008000"/>
        </w:rPr>
        <w:t xml:space="preserve"> </w:t>
      </w:r>
      <w:proofErr w:type="gramStart"/>
      <w:r w:rsidR="00C614FF">
        <w:t>p</w:t>
      </w:r>
      <w:r>
        <w:t>ortant</w:t>
      </w:r>
      <w:proofErr w:type="gramEnd"/>
      <w:r>
        <w:t xml:space="preserve"> sur le fonctionnement des RPACD.</w:t>
      </w:r>
      <w:r w:rsidR="00150F39">
        <w:t xml:space="preserve"> </w:t>
      </w:r>
      <w:r w:rsidR="00C614FF">
        <w:t>L</w:t>
      </w:r>
      <w:r w:rsidR="00B504DD">
        <w:t>e RPA</w:t>
      </w:r>
      <w:r w:rsidR="00C614FF">
        <w:t>PD, à titre de régime complémentaire de retraite</w:t>
      </w:r>
      <w:r w:rsidR="00150F39">
        <w:t>,</w:t>
      </w:r>
      <w:r w:rsidR="00B504DD">
        <w:t xml:space="preserve"> est </w:t>
      </w:r>
      <w:r w:rsidR="00C614FF">
        <w:t>soumis à</w:t>
      </w:r>
      <w:r w:rsidR="00B504DD">
        <w:t xml:space="preserve"> la LRCR qui vise à protéger l'objectif de retraite du contribuable et de son conjoint. </w:t>
      </w:r>
      <w:r w:rsidR="00B504DD" w:rsidRPr="00E14E2E">
        <w:rPr>
          <w:color w:val="FF6700" w:themeColor="accent3"/>
        </w:rPr>
        <w:t>POUR L'EMPLOYEUR</w:t>
      </w:r>
      <w:r w:rsidR="00B504DD">
        <w:t>, la mise en place d'un RPA</w:t>
      </w:r>
      <w:r w:rsidR="00C614FF">
        <w:t xml:space="preserve">PD </w:t>
      </w:r>
      <w:r w:rsidR="00B504DD">
        <w:t>constitue un processus comportant plusieurs règles de conformité, issues de la LRCR, à respecter. Ces dispositions  visent essentiellement à protéger l'actif de retraite de l'employé</w:t>
      </w:r>
      <w:r w:rsidR="00C614FF">
        <w:t xml:space="preserve"> et à préserver les droits du conjoint</w:t>
      </w:r>
      <w:r w:rsidR="00B504DD">
        <w:t xml:space="preserve">. </w:t>
      </w:r>
    </w:p>
    <w:p w14:paraId="3B9C9D5E" w14:textId="7D6B0C79" w:rsidR="006C73EF" w:rsidRDefault="00E55578" w:rsidP="006C34CF">
      <w:pPr>
        <w:pStyle w:val="Titre4"/>
        <w:numPr>
          <w:ilvl w:val="3"/>
          <w:numId w:val="24"/>
        </w:numPr>
      </w:pPr>
      <w:bookmarkStart w:id="58" w:name="_Toc314397836"/>
      <w:bookmarkStart w:id="59" w:name="_Toc443569380"/>
      <w:r>
        <w:t>Les particularités</w:t>
      </w:r>
      <w:bookmarkEnd w:id="58"/>
      <w:bookmarkEnd w:id="59"/>
    </w:p>
    <w:p w14:paraId="352C9093" w14:textId="77777777" w:rsidR="00A31D89" w:rsidRDefault="00A31D89" w:rsidP="00A31D89"/>
    <w:p w14:paraId="32A47639" w14:textId="58780BDD" w:rsidR="00A31D89" w:rsidRDefault="00A31D89" w:rsidP="00A31D89">
      <w:r>
        <w:t>Nous aborderons maintenant quelques particularités d'un RPAPD.</w:t>
      </w:r>
    </w:p>
    <w:p w14:paraId="6A583522" w14:textId="77777777" w:rsidR="00A31D89" w:rsidRDefault="00A31D89" w:rsidP="00A31D89"/>
    <w:p w14:paraId="54FB3DAE" w14:textId="77777777" w:rsidR="00A31D89" w:rsidRDefault="00A31D89" w:rsidP="006C34CF">
      <w:pPr>
        <w:pStyle w:val="Paragraphedeliste"/>
        <w:numPr>
          <w:ilvl w:val="0"/>
          <w:numId w:val="32"/>
        </w:numPr>
        <w:rPr>
          <w:color w:val="FF6700" w:themeColor="accent3"/>
        </w:rPr>
      </w:pPr>
      <w:r w:rsidRPr="000F289D">
        <w:rPr>
          <w:color w:val="FF6700" w:themeColor="accent3"/>
        </w:rPr>
        <w:t>Administration du régime</w:t>
      </w:r>
    </w:p>
    <w:p w14:paraId="464E0E1D" w14:textId="77777777" w:rsidR="00D4240E" w:rsidRDefault="00D4240E" w:rsidP="00D4240E">
      <w:pPr>
        <w:rPr>
          <w:color w:val="FF6700" w:themeColor="accent3"/>
        </w:rPr>
      </w:pPr>
    </w:p>
    <w:p w14:paraId="56D54C3A" w14:textId="0EDB7A25" w:rsidR="00D4240E" w:rsidRPr="00D4240E" w:rsidRDefault="00D4240E" w:rsidP="00150F39">
      <w:pPr>
        <w:jc w:val="both"/>
      </w:pPr>
      <w:r>
        <w:t xml:space="preserve">Essentiellement les mêmes exigences que celles présentées dans la </w:t>
      </w:r>
      <w:r w:rsidR="00150F39" w:rsidRPr="00150F39">
        <w:rPr>
          <w:color w:val="008000"/>
        </w:rPr>
        <w:t>SECTION 3.2.1.2</w:t>
      </w:r>
      <w:r>
        <w:t xml:space="preserve"> portant sur les </w:t>
      </w:r>
      <w:r w:rsidR="00150F39">
        <w:t xml:space="preserve">particularités des </w:t>
      </w:r>
      <w:r>
        <w:t>RPACD.</w:t>
      </w:r>
    </w:p>
    <w:p w14:paraId="457A1E5E" w14:textId="77777777" w:rsidR="00A31D89" w:rsidRDefault="00A31D89" w:rsidP="00150F39">
      <w:pPr>
        <w:jc w:val="both"/>
      </w:pPr>
    </w:p>
    <w:p w14:paraId="270F62E4" w14:textId="77777777" w:rsidR="00A31D89" w:rsidRDefault="00A31D89" w:rsidP="006C34CF">
      <w:pPr>
        <w:pStyle w:val="Paragraphedeliste"/>
        <w:numPr>
          <w:ilvl w:val="0"/>
          <w:numId w:val="32"/>
        </w:numPr>
        <w:rPr>
          <w:color w:val="FF6700" w:themeColor="accent3"/>
        </w:rPr>
      </w:pPr>
      <w:r w:rsidRPr="000F289D">
        <w:rPr>
          <w:color w:val="FF6700" w:themeColor="accent3"/>
        </w:rPr>
        <w:t>Âge de la retraite et pénalités actuarielles</w:t>
      </w:r>
    </w:p>
    <w:p w14:paraId="00090DC2" w14:textId="77777777" w:rsidR="00154BAA" w:rsidRPr="00154BAA" w:rsidRDefault="00154BAA" w:rsidP="00154BAA">
      <w:pPr>
        <w:ind w:left="360"/>
        <w:rPr>
          <w:color w:val="FF6700" w:themeColor="accent3"/>
        </w:rPr>
      </w:pPr>
    </w:p>
    <w:p w14:paraId="16E27E98" w14:textId="77777777" w:rsidR="00A31D89" w:rsidRDefault="00A31D89" w:rsidP="00A31D89">
      <w:r>
        <w:t>Les modalités entourant l'âge de la retraite et le calcul des pénalités actuarielles qui les sous-tendent se présentent selon trois volets:</w:t>
      </w: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2"/>
        <w:gridCol w:w="4382"/>
        <w:gridCol w:w="4382"/>
      </w:tblGrid>
      <w:tr w:rsidR="00A31D89" w14:paraId="6F3F288D" w14:textId="77777777" w:rsidTr="00A31D89">
        <w:tc>
          <w:tcPr>
            <w:tcW w:w="4382" w:type="dxa"/>
            <w:shd w:val="clear" w:color="auto" w:fill="A9EA25" w:themeFill="background2" w:themeFillShade="BF"/>
          </w:tcPr>
          <w:p w14:paraId="6D3DF01C" w14:textId="77777777" w:rsidR="00A31D89" w:rsidRDefault="00A31D89" w:rsidP="00A31D89">
            <w:r>
              <w:t>Ce que dit la LRCR</w:t>
            </w:r>
          </w:p>
        </w:tc>
        <w:tc>
          <w:tcPr>
            <w:tcW w:w="4382" w:type="dxa"/>
            <w:shd w:val="clear" w:color="auto" w:fill="A9EA25" w:themeFill="background2" w:themeFillShade="BF"/>
          </w:tcPr>
          <w:p w14:paraId="7C31429A" w14:textId="77777777" w:rsidR="00A31D89" w:rsidRDefault="00A31D89" w:rsidP="00A31D89">
            <w:r>
              <w:t>Ce que dit la LIR</w:t>
            </w:r>
          </w:p>
        </w:tc>
        <w:tc>
          <w:tcPr>
            <w:tcW w:w="4382" w:type="dxa"/>
            <w:shd w:val="clear" w:color="auto" w:fill="A9EA25" w:themeFill="background2" w:themeFillShade="BF"/>
          </w:tcPr>
          <w:p w14:paraId="08D50576" w14:textId="77777777" w:rsidR="00A31D89" w:rsidRDefault="00A31D89" w:rsidP="00A31D89">
            <w:r>
              <w:t>Ce que dit le régime</w:t>
            </w:r>
          </w:p>
        </w:tc>
      </w:tr>
      <w:tr w:rsidR="00A31D89" w14:paraId="757E0158" w14:textId="77777777" w:rsidTr="00A31D89">
        <w:tc>
          <w:tcPr>
            <w:tcW w:w="4382" w:type="dxa"/>
            <w:shd w:val="clear" w:color="auto" w:fill="999772" w:themeFill="text2" w:themeFillTint="99"/>
          </w:tcPr>
          <w:p w14:paraId="4F761B6D" w14:textId="77777777" w:rsidR="00A31D89" w:rsidRDefault="00A31D89" w:rsidP="006C34CF">
            <w:pPr>
              <w:pStyle w:val="Paragraphedeliste"/>
              <w:numPr>
                <w:ilvl w:val="0"/>
                <w:numId w:val="32"/>
              </w:numPr>
            </w:pPr>
            <w:r>
              <w:t>L'âge de la retraite est fixé à 65 ans</w:t>
            </w:r>
          </w:p>
          <w:p w14:paraId="01070436" w14:textId="77777777" w:rsidR="00A31D89" w:rsidRDefault="00A31D89" w:rsidP="00A31D89"/>
          <w:p w14:paraId="05393668" w14:textId="77777777" w:rsidR="00A31D89" w:rsidRDefault="00A31D89" w:rsidP="006C34CF">
            <w:pPr>
              <w:pStyle w:val="Paragraphedeliste"/>
              <w:numPr>
                <w:ilvl w:val="0"/>
                <w:numId w:val="32"/>
              </w:numPr>
            </w:pPr>
            <w:r>
              <w:t>Possibilité de l'anticiper dès 55 ans (sujet à des pénalités actuarielles)</w:t>
            </w:r>
          </w:p>
        </w:tc>
        <w:tc>
          <w:tcPr>
            <w:tcW w:w="4382" w:type="dxa"/>
            <w:shd w:val="clear" w:color="auto" w:fill="BBB9A1" w:themeFill="text2" w:themeFillTint="66"/>
          </w:tcPr>
          <w:p w14:paraId="7EE8DC64" w14:textId="0B963569" w:rsidR="00A31D89" w:rsidRDefault="00A31D89" w:rsidP="00A31D89">
            <w:r>
              <w:t xml:space="preserve">Aucune pénalité actuarielle si l'âge de la retraite respecte </w:t>
            </w:r>
            <w:r w:rsidRPr="008F6727">
              <w:rPr>
                <w:u w:val="single"/>
              </w:rPr>
              <w:t>l'une</w:t>
            </w:r>
            <w:r>
              <w:t xml:space="preserve"> des </w:t>
            </w:r>
            <w:r w:rsidR="008F6727">
              <w:t>trois</w:t>
            </w:r>
            <w:r>
              <w:t xml:space="preserve"> conditions suivantes:</w:t>
            </w:r>
          </w:p>
          <w:p w14:paraId="465BDEE6" w14:textId="77777777" w:rsidR="00A31D89" w:rsidRDefault="00A31D89" w:rsidP="00A31D89"/>
          <w:p w14:paraId="4D82EDCD" w14:textId="7DD34919" w:rsidR="00A31D89" w:rsidRDefault="00A31D89" w:rsidP="006C34CF">
            <w:pPr>
              <w:pStyle w:val="Paragraphedeliste"/>
              <w:numPr>
                <w:ilvl w:val="0"/>
                <w:numId w:val="34"/>
              </w:numPr>
            </w:pPr>
            <w:r>
              <w:t>60 ans</w:t>
            </w:r>
            <w:r w:rsidR="008F6727">
              <w:t xml:space="preserve"> (âge)</w:t>
            </w:r>
          </w:p>
          <w:p w14:paraId="32E9BFEB" w14:textId="77777777" w:rsidR="00A31D89" w:rsidRDefault="00A31D89" w:rsidP="006C34CF">
            <w:pPr>
              <w:pStyle w:val="Paragraphedeliste"/>
              <w:numPr>
                <w:ilvl w:val="0"/>
                <w:numId w:val="34"/>
              </w:numPr>
            </w:pPr>
            <w:r>
              <w:t>30 ans de service</w:t>
            </w:r>
          </w:p>
          <w:p w14:paraId="4C746A2B" w14:textId="77777777" w:rsidR="00A31D89" w:rsidRDefault="00A31D89" w:rsidP="006C34CF">
            <w:pPr>
              <w:pStyle w:val="Paragraphedeliste"/>
              <w:numPr>
                <w:ilvl w:val="0"/>
                <w:numId w:val="34"/>
              </w:numPr>
            </w:pPr>
            <w:r>
              <w:t>Facteur de 80 (âge + service)</w:t>
            </w:r>
          </w:p>
          <w:p w14:paraId="2919DE9F" w14:textId="77777777" w:rsidR="00A31D89" w:rsidRDefault="00A31D89" w:rsidP="00A31D89"/>
          <w:p w14:paraId="607E3BEC" w14:textId="77777777" w:rsidR="00A31D89" w:rsidRDefault="00A31D89" w:rsidP="00A31D89">
            <w:r>
              <w:t xml:space="preserve">Sinon pénalité actuarielle de 3 % par année </w:t>
            </w:r>
          </w:p>
        </w:tc>
        <w:tc>
          <w:tcPr>
            <w:tcW w:w="4382" w:type="dxa"/>
            <w:shd w:val="clear" w:color="auto" w:fill="DDDCD0" w:themeFill="text2" w:themeFillTint="33"/>
          </w:tcPr>
          <w:p w14:paraId="65CDB57B" w14:textId="77777777" w:rsidR="00A31D89" w:rsidRDefault="00A31D89" w:rsidP="00A31D89">
            <w:r>
              <w:t>Peut dicter ses propres règles, mais doit être:</w:t>
            </w:r>
          </w:p>
          <w:p w14:paraId="1FB82D57" w14:textId="77777777" w:rsidR="00A31D89" w:rsidRDefault="00A31D89" w:rsidP="00A31D89"/>
          <w:p w14:paraId="77B02D88" w14:textId="77777777" w:rsidR="00A31D89" w:rsidRDefault="00A31D89" w:rsidP="006C34CF">
            <w:pPr>
              <w:pStyle w:val="Paragraphedeliste"/>
              <w:numPr>
                <w:ilvl w:val="0"/>
                <w:numId w:val="35"/>
              </w:numPr>
            </w:pPr>
            <w:r>
              <w:t>À l'intérieur des paramètres de la LRCR</w:t>
            </w:r>
          </w:p>
          <w:p w14:paraId="3CCFACD3" w14:textId="77777777" w:rsidR="00A31D89" w:rsidRDefault="00A31D89" w:rsidP="00A31D89"/>
          <w:p w14:paraId="0625DC38" w14:textId="6E9A78F6" w:rsidR="00A31D89" w:rsidRDefault="00A31D89" w:rsidP="006C34CF">
            <w:pPr>
              <w:pStyle w:val="Paragraphedeliste"/>
              <w:numPr>
                <w:ilvl w:val="0"/>
                <w:numId w:val="35"/>
              </w:numPr>
            </w:pPr>
            <w:r>
              <w:t xml:space="preserve">Pour le calcul de la pénalité actuarielle, </w:t>
            </w:r>
            <w:r w:rsidR="0053102D">
              <w:t>doit</w:t>
            </w:r>
            <w:r>
              <w:t xml:space="preserve"> respecter au minimum les règles de LIR (Le régime peut être plus exigeant)</w:t>
            </w:r>
          </w:p>
        </w:tc>
      </w:tr>
    </w:tbl>
    <w:p w14:paraId="08966A3B" w14:textId="77777777" w:rsidR="00A31D89" w:rsidRDefault="00A31D89" w:rsidP="00A31D89">
      <w:r>
        <w:lastRenderedPageBreak/>
        <w:t>Il y a donc trois questions fondamentales quant à la prise de la retraite.</w:t>
      </w:r>
    </w:p>
    <w:p w14:paraId="0D761B73" w14:textId="77777777" w:rsidR="00A31D89" w:rsidRDefault="00A31D89" w:rsidP="00A31D89"/>
    <w:p w14:paraId="0707BF3B" w14:textId="77777777" w:rsidR="00A31D89" w:rsidRDefault="00A31D89" w:rsidP="00A31D89">
      <w:pPr>
        <w:rPr>
          <w:rFonts w:ascii="Avenir Book" w:hAnsi="Avenir Book"/>
        </w:rPr>
      </w:pPr>
      <w:r>
        <w:t xml:space="preserve"> À quel âge puis-je prendre ma retraite</w:t>
      </w:r>
      <w:r w:rsidRPr="00B17B3D">
        <w:rPr>
          <w:rFonts w:ascii="Avenir Book" w:hAnsi="Avenir Book"/>
        </w:rPr>
        <w:t>?</w:t>
      </w:r>
      <w:r>
        <w:rPr>
          <w:rFonts w:ascii="Avenir Book" w:hAnsi="Avenir Book"/>
        </w:rPr>
        <w:t xml:space="preserve"> </w:t>
      </w:r>
    </w:p>
    <w:p w14:paraId="4F3FF39A" w14:textId="77777777" w:rsidR="00A31D89" w:rsidRDefault="00A31D89" w:rsidP="00A31D89">
      <w:pPr>
        <w:rPr>
          <w:rFonts w:ascii="Avenir Book" w:hAnsi="Avenir Book"/>
        </w:rPr>
      </w:pPr>
    </w:p>
    <w:p w14:paraId="63714B7C" w14:textId="77777777" w:rsidR="00A31D89" w:rsidRDefault="00A31D89" w:rsidP="006C34CF">
      <w:pPr>
        <w:pStyle w:val="Paragraphedeliste"/>
        <w:numPr>
          <w:ilvl w:val="0"/>
          <w:numId w:val="36"/>
        </w:numPr>
      </w:pPr>
      <w:r>
        <w:t>55 ans (voir LRCR)</w:t>
      </w:r>
    </w:p>
    <w:p w14:paraId="0C69CD82" w14:textId="77777777" w:rsidR="00A31D89" w:rsidRDefault="00A31D89" w:rsidP="00A31D89"/>
    <w:p w14:paraId="51FDB88F" w14:textId="77777777" w:rsidR="00A31D89" w:rsidRDefault="00A31D89" w:rsidP="00A31D89">
      <w:pPr>
        <w:rPr>
          <w:rFonts w:ascii="Avenir Book" w:hAnsi="Avenir Book"/>
        </w:rPr>
      </w:pPr>
      <w:r>
        <w:t>À quel âge puis-je prendre ma retraite sans pénalité actuarielle</w:t>
      </w:r>
      <w:r w:rsidRPr="00B17B3D">
        <w:rPr>
          <w:rFonts w:ascii="Avenir Book" w:hAnsi="Avenir Book"/>
        </w:rPr>
        <w:t>?</w:t>
      </w:r>
    </w:p>
    <w:p w14:paraId="0D9E38F8" w14:textId="77777777" w:rsidR="00A31D89" w:rsidRDefault="00A31D89" w:rsidP="00A31D89"/>
    <w:p w14:paraId="09FC2E9B" w14:textId="77777777" w:rsidR="00A31D89" w:rsidRDefault="00A31D89" w:rsidP="006C34CF">
      <w:pPr>
        <w:pStyle w:val="Paragraphedeliste"/>
        <w:numPr>
          <w:ilvl w:val="0"/>
          <w:numId w:val="36"/>
        </w:numPr>
      </w:pPr>
      <w:r>
        <w:t>Cela dépend de ce qui est inscrit au régime (Au maximum le critère de 65 ans qui est prévu par la LRCR et au minimum 55 ans, si plus de 30 ans de service ou facteur âge = 80, voir LIR)</w:t>
      </w:r>
    </w:p>
    <w:p w14:paraId="2A949FBD" w14:textId="77777777" w:rsidR="00A31D89" w:rsidRDefault="00A31D89" w:rsidP="00A31D89"/>
    <w:p w14:paraId="22C0EEAD" w14:textId="77777777" w:rsidR="00A31D89" w:rsidRDefault="00A31D89" w:rsidP="00A31D89">
      <w:r>
        <w:t>S'il y a des pénalités actuarielles, à quel montant correspondront-elles</w:t>
      </w:r>
      <w:r w:rsidRPr="00B17B3D">
        <w:rPr>
          <w:rFonts w:ascii="Avenir Book" w:hAnsi="Avenir Book"/>
        </w:rPr>
        <w:t>?</w:t>
      </w:r>
    </w:p>
    <w:p w14:paraId="5E913498" w14:textId="77777777" w:rsidR="00A31D89" w:rsidRDefault="00A31D89" w:rsidP="00A31D89"/>
    <w:p w14:paraId="2DA833A7" w14:textId="371F775E" w:rsidR="008F6727" w:rsidRDefault="00A31D89" w:rsidP="006C34CF">
      <w:pPr>
        <w:pStyle w:val="Paragraphedeliste"/>
        <w:numPr>
          <w:ilvl w:val="0"/>
          <w:numId w:val="36"/>
        </w:numPr>
      </w:pPr>
      <w:r>
        <w:t xml:space="preserve">Au minimum, 3 % par année d'anticipation (voir LIR) </w:t>
      </w:r>
    </w:p>
    <w:p w14:paraId="039B8B95" w14:textId="761375E6" w:rsidR="00A31D89" w:rsidRDefault="008F6727" w:rsidP="006C34CF">
      <w:pPr>
        <w:pStyle w:val="Paragraphedeliste"/>
        <w:numPr>
          <w:ilvl w:val="0"/>
          <w:numId w:val="36"/>
        </w:numPr>
      </w:pPr>
      <w:r>
        <w:t>A</w:t>
      </w:r>
      <w:r w:rsidR="00A31D89">
        <w:t>u maximum, ce qui sera prescrit au régime de retraite</w:t>
      </w:r>
    </w:p>
    <w:p w14:paraId="014676E0" w14:textId="77777777" w:rsidR="00A31D89" w:rsidRDefault="00A31D89" w:rsidP="00A31D89"/>
    <w:p w14:paraId="074B1525" w14:textId="16F189F4" w:rsidR="00A31D89" w:rsidRDefault="00A31D89" w:rsidP="00A31D89">
      <w:pPr>
        <w:jc w:val="both"/>
      </w:pPr>
      <w:r>
        <w:t xml:space="preserve">S'il est possible règlementairement de prendre sa retraite dès l'âge de 55 ans, la question et la logique financière </w:t>
      </w:r>
      <w:r w:rsidR="0053102D">
        <w:t>seront</w:t>
      </w:r>
      <w:r>
        <w:t xml:space="preserve"> tout autre et </w:t>
      </w:r>
      <w:r w:rsidR="0053102D">
        <w:t>dépendront</w:t>
      </w:r>
      <w:r>
        <w:t xml:space="preserve"> de l'âge bien sûr, mais aussi des années de </w:t>
      </w:r>
      <w:r w:rsidR="008F6727">
        <w:t>participation</w:t>
      </w:r>
      <w:r w:rsidR="002E12CE">
        <w:t xml:space="preserve"> au régime</w:t>
      </w:r>
      <w:r>
        <w:t xml:space="preserve">, des pénalités actuarielles (s'il y a lieu), </w:t>
      </w:r>
      <w:r w:rsidR="002E12CE">
        <w:t xml:space="preserve">de </w:t>
      </w:r>
      <w:r>
        <w:t xml:space="preserve">l'état de santé et </w:t>
      </w:r>
      <w:r w:rsidR="002E12CE">
        <w:t>du</w:t>
      </w:r>
      <w:r>
        <w:t xml:space="preserve"> train de vie envisagé à la retraite</w:t>
      </w:r>
      <w:r w:rsidR="002E12CE">
        <w:t xml:space="preserve"> par le contribuable</w:t>
      </w:r>
      <w:r>
        <w:t xml:space="preserve">. </w:t>
      </w:r>
    </w:p>
    <w:p w14:paraId="6676CE88" w14:textId="77777777" w:rsidR="00A31D89" w:rsidRDefault="00A31D89" w:rsidP="00A31D89"/>
    <w:p w14:paraId="57325725" w14:textId="377125B7" w:rsidR="002E12CE" w:rsidRDefault="002E12CE" w:rsidP="007A697E">
      <w:pPr>
        <w:pStyle w:val="Paragraphedeliste"/>
        <w:numPr>
          <w:ilvl w:val="0"/>
          <w:numId w:val="131"/>
        </w:numPr>
        <w:jc w:val="both"/>
        <w:rPr>
          <w:color w:val="FF6700" w:themeColor="accent3"/>
        </w:rPr>
      </w:pPr>
      <w:r w:rsidRPr="000F289D">
        <w:rPr>
          <w:color w:val="FF6700" w:themeColor="accent3"/>
        </w:rPr>
        <w:t>EXEMPLE 7-</w:t>
      </w:r>
      <w:r>
        <w:rPr>
          <w:color w:val="FF6700" w:themeColor="accent3"/>
        </w:rPr>
        <w:t>9</w:t>
      </w:r>
    </w:p>
    <w:p w14:paraId="0AC0A8B6" w14:textId="77777777" w:rsidR="002E12CE" w:rsidRPr="002E12CE" w:rsidRDefault="002E12CE" w:rsidP="002E12CE">
      <w:pPr>
        <w:ind w:left="709"/>
        <w:jc w:val="both"/>
        <w:rPr>
          <w:color w:val="FF6700" w:themeColor="accent3"/>
        </w:rPr>
      </w:pPr>
    </w:p>
    <w:p w14:paraId="1C150FAF" w14:textId="5C9E6A1E" w:rsidR="002E12CE" w:rsidRPr="002E12CE" w:rsidRDefault="002E12CE" w:rsidP="002E12CE">
      <w:pPr>
        <w:jc w:val="both"/>
      </w:pPr>
      <w:r>
        <w:t>Si le RPAPD est calqué exactement sur</w:t>
      </w:r>
      <w:r w:rsidR="002C3FD1">
        <w:t xml:space="preserve"> les </w:t>
      </w:r>
      <w:r>
        <w:t>règles prévues à la LRCR et la LIR</w:t>
      </w:r>
      <w:r w:rsidR="002D1AAC">
        <w:t>, e</w:t>
      </w:r>
      <w:r w:rsidR="00235F05">
        <w:t>n fonction des informations qui vous sont transmises, q</w:t>
      </w:r>
      <w:r>
        <w:t xml:space="preserve">uel sera le montant de la rente de retraite selon que le contribuable prend sa retraite à </w:t>
      </w:r>
      <w:r w:rsidR="002D1AAC">
        <w:t>56</w:t>
      </w:r>
      <w:r>
        <w:t xml:space="preserve"> ans ou </w:t>
      </w:r>
      <w:r w:rsidR="00D37DC1">
        <w:t xml:space="preserve">à </w:t>
      </w:r>
      <w:r w:rsidR="002D1AAC">
        <w:t>61</w:t>
      </w:r>
      <w:r>
        <w:t xml:space="preserve"> ans</w:t>
      </w:r>
      <w:r w:rsidRPr="002E12CE">
        <w:rPr>
          <w:rFonts w:ascii="Avenir Book" w:hAnsi="Avenir Book"/>
        </w:rPr>
        <w:t>?</w:t>
      </w:r>
      <w:r w:rsidR="00235F05">
        <w:rPr>
          <w:rFonts w:ascii="Avenir Book" w:hAnsi="Avenir Book"/>
        </w:rPr>
        <w:t xml:space="preserve"> </w:t>
      </w:r>
      <w:r w:rsidR="0053102D">
        <w:t>Pour l'instant,</w:t>
      </w:r>
      <w:r w:rsidR="00235F05" w:rsidRPr="00235F05">
        <w:t xml:space="preserve"> ne te</w:t>
      </w:r>
      <w:r w:rsidR="00235F05">
        <w:t xml:space="preserve">nez pas compte des règles entourant la synchronisation du RRQ que nous étudierons un peu plus tard. </w:t>
      </w:r>
      <w:r w:rsidR="002D1AAC">
        <w:t>Le calcul de la rente correspond au produit du pourcentage de rentes acquises</w:t>
      </w:r>
      <w:r w:rsidR="00E86FE9">
        <w:t xml:space="preserve"> (aussi appelé </w:t>
      </w:r>
      <w:r w:rsidR="00E86FE9" w:rsidRPr="00E86FE9">
        <w:rPr>
          <w:color w:val="FF6700" w:themeColor="accent3"/>
        </w:rPr>
        <w:t>CRÉDIT DE RENTE</w:t>
      </w:r>
      <w:r w:rsidR="00E86FE9">
        <w:t>)</w:t>
      </w:r>
      <w:r w:rsidR="002D1AAC">
        <w:t xml:space="preserve"> au moment de la retraite et le salaire moyen des cinq meilleures années du contribuable.</w:t>
      </w:r>
    </w:p>
    <w:p w14:paraId="6F075D93" w14:textId="77777777" w:rsidR="002E12CE" w:rsidRPr="002E12CE" w:rsidRDefault="002E12CE" w:rsidP="002E12CE">
      <w:pPr>
        <w:ind w:left="709"/>
        <w:jc w:val="both"/>
        <w:rPr>
          <w:color w:val="FF6700" w:themeColor="accent3"/>
        </w:rPr>
      </w:pPr>
    </w:p>
    <w:p w14:paraId="089DC8AA" w14:textId="77777777" w:rsidR="002E12CE" w:rsidRPr="002E12CE" w:rsidRDefault="002E12CE" w:rsidP="002E12CE">
      <w:pPr>
        <w:ind w:left="709"/>
        <w:jc w:val="both"/>
        <w:rPr>
          <w:color w:val="FF6700" w:themeColor="accent3"/>
        </w:rPr>
      </w:pPr>
    </w:p>
    <w:p w14:paraId="1E3FCD09" w14:textId="77777777" w:rsidR="002E12CE" w:rsidRPr="002E12CE" w:rsidRDefault="002E12CE" w:rsidP="002E12CE">
      <w:pPr>
        <w:ind w:left="709"/>
        <w:jc w:val="both"/>
        <w:rPr>
          <w:color w:val="FF6700" w:themeColor="accent3"/>
        </w:rPr>
      </w:pPr>
    </w:p>
    <w:tbl>
      <w:tblPr>
        <w:tblStyle w:val="Grille"/>
        <w:tblW w:w="0" w:type="auto"/>
        <w:tblLook w:val="04A0" w:firstRow="1" w:lastRow="0" w:firstColumn="1" w:lastColumn="0" w:noHBand="0" w:noVBand="1"/>
      </w:tblPr>
      <w:tblGrid>
        <w:gridCol w:w="5495"/>
        <w:gridCol w:w="3402"/>
      </w:tblGrid>
      <w:tr w:rsidR="00235F05" w14:paraId="6E46D46C" w14:textId="77777777" w:rsidTr="00235F05">
        <w:tc>
          <w:tcPr>
            <w:tcW w:w="8897" w:type="dxa"/>
            <w:gridSpan w:val="2"/>
            <w:shd w:val="clear" w:color="auto" w:fill="BFBFBF" w:themeFill="background1" w:themeFillShade="BF"/>
          </w:tcPr>
          <w:p w14:paraId="4958C9E9" w14:textId="2B49129C" w:rsidR="00235F05" w:rsidRDefault="00235F05" w:rsidP="00235F05">
            <w:pPr>
              <w:jc w:val="both"/>
            </w:pPr>
            <w:r>
              <w:rPr>
                <w:color w:val="FF6700" w:themeColor="accent3"/>
              </w:rPr>
              <w:br w:type="page"/>
            </w:r>
            <w:r>
              <w:t>Les informations</w:t>
            </w:r>
          </w:p>
        </w:tc>
      </w:tr>
      <w:tr w:rsidR="00235F05" w14:paraId="0DB1C8A1" w14:textId="77777777" w:rsidTr="002D1AAC">
        <w:tc>
          <w:tcPr>
            <w:tcW w:w="5495" w:type="dxa"/>
            <w:shd w:val="clear" w:color="auto" w:fill="800000"/>
          </w:tcPr>
          <w:p w14:paraId="2E5018D7" w14:textId="41908779" w:rsidR="00235F05" w:rsidRDefault="00235F05" w:rsidP="00235F05">
            <w:pPr>
              <w:jc w:val="both"/>
            </w:pPr>
            <w:r>
              <w:t>Âge, début de la participation - RPAPD</w:t>
            </w:r>
          </w:p>
        </w:tc>
        <w:tc>
          <w:tcPr>
            <w:tcW w:w="3402" w:type="dxa"/>
            <w:shd w:val="clear" w:color="auto" w:fill="800000"/>
          </w:tcPr>
          <w:p w14:paraId="51D5AF45" w14:textId="38C0E56D" w:rsidR="00235F05" w:rsidRDefault="00235F05" w:rsidP="00235F05">
            <w:pPr>
              <w:jc w:val="both"/>
            </w:pPr>
            <w:r>
              <w:t>50 ans</w:t>
            </w:r>
          </w:p>
        </w:tc>
      </w:tr>
      <w:tr w:rsidR="00235F05" w14:paraId="23B30BE8" w14:textId="77777777" w:rsidTr="002D1AAC">
        <w:tc>
          <w:tcPr>
            <w:tcW w:w="5495" w:type="dxa"/>
            <w:shd w:val="clear" w:color="auto" w:fill="800000"/>
          </w:tcPr>
          <w:p w14:paraId="786A84CD" w14:textId="2C5DCFF7" w:rsidR="00235F05" w:rsidRPr="002C5B51" w:rsidRDefault="002D1AAC" w:rsidP="00235F05">
            <w:pPr>
              <w:jc w:val="both"/>
            </w:pPr>
            <w:r>
              <w:t>% des rentes acquises par année de participation</w:t>
            </w:r>
          </w:p>
        </w:tc>
        <w:tc>
          <w:tcPr>
            <w:tcW w:w="3402" w:type="dxa"/>
            <w:shd w:val="clear" w:color="auto" w:fill="800000"/>
          </w:tcPr>
          <w:p w14:paraId="2975B525" w14:textId="758815B1" w:rsidR="00235F05" w:rsidRDefault="002D1AAC" w:rsidP="002D1AAC">
            <w:pPr>
              <w:jc w:val="both"/>
            </w:pPr>
            <w:r>
              <w:t>2 %</w:t>
            </w:r>
          </w:p>
        </w:tc>
      </w:tr>
      <w:tr w:rsidR="00235F05" w14:paraId="62FEF3A1" w14:textId="77777777" w:rsidTr="002D1AAC">
        <w:tc>
          <w:tcPr>
            <w:tcW w:w="5495" w:type="dxa"/>
            <w:shd w:val="clear" w:color="auto" w:fill="800000"/>
          </w:tcPr>
          <w:p w14:paraId="26DC975A" w14:textId="4026B822" w:rsidR="00235F05" w:rsidRDefault="002D1AAC" w:rsidP="00235F05">
            <w:pPr>
              <w:jc w:val="both"/>
            </w:pPr>
            <w:r>
              <w:t>Salaire moyen des 5 meilleures années</w:t>
            </w:r>
          </w:p>
        </w:tc>
        <w:tc>
          <w:tcPr>
            <w:tcW w:w="3402" w:type="dxa"/>
            <w:shd w:val="clear" w:color="auto" w:fill="800000"/>
          </w:tcPr>
          <w:p w14:paraId="77A729E3" w14:textId="53B2DA3E" w:rsidR="00235F05" w:rsidRDefault="002D1AAC" w:rsidP="00235F05">
            <w:pPr>
              <w:jc w:val="both"/>
            </w:pPr>
            <w:r>
              <w:t>70 000 $</w:t>
            </w:r>
          </w:p>
        </w:tc>
      </w:tr>
      <w:tr w:rsidR="00235F05" w14:paraId="4733B0CA" w14:textId="77777777" w:rsidTr="002D1AAC">
        <w:tc>
          <w:tcPr>
            <w:tcW w:w="5495" w:type="dxa"/>
            <w:shd w:val="clear" w:color="auto" w:fill="800000"/>
          </w:tcPr>
          <w:p w14:paraId="5F3A6414" w14:textId="77777777" w:rsidR="00235F05" w:rsidRDefault="00235F05" w:rsidP="00235F05">
            <w:pPr>
              <w:jc w:val="both"/>
            </w:pPr>
            <w:r>
              <w:t>Cotisations employeur</w:t>
            </w:r>
          </w:p>
        </w:tc>
        <w:tc>
          <w:tcPr>
            <w:tcW w:w="3402" w:type="dxa"/>
            <w:shd w:val="clear" w:color="auto" w:fill="800000"/>
          </w:tcPr>
          <w:p w14:paraId="5E1E3066" w14:textId="77777777" w:rsidR="00235F05" w:rsidRDefault="00235F05" w:rsidP="00235F05">
            <w:pPr>
              <w:jc w:val="both"/>
            </w:pPr>
            <w:r>
              <w:t>9 %</w:t>
            </w:r>
          </w:p>
        </w:tc>
      </w:tr>
      <w:tr w:rsidR="00235F05" w14:paraId="77A202F9" w14:textId="77777777" w:rsidTr="002D1AAC">
        <w:tc>
          <w:tcPr>
            <w:tcW w:w="5495" w:type="dxa"/>
            <w:shd w:val="clear" w:color="auto" w:fill="800000"/>
          </w:tcPr>
          <w:p w14:paraId="25121944" w14:textId="77777777" w:rsidR="00235F05" w:rsidRDefault="00235F05" w:rsidP="00235F05">
            <w:pPr>
              <w:jc w:val="both"/>
            </w:pPr>
            <w:r>
              <w:t>Cotisations employé</w:t>
            </w:r>
          </w:p>
        </w:tc>
        <w:tc>
          <w:tcPr>
            <w:tcW w:w="3402" w:type="dxa"/>
            <w:shd w:val="clear" w:color="auto" w:fill="800000"/>
          </w:tcPr>
          <w:p w14:paraId="425FFE0D" w14:textId="77777777" w:rsidR="00235F05" w:rsidRDefault="00235F05" w:rsidP="00235F05">
            <w:pPr>
              <w:jc w:val="both"/>
            </w:pPr>
            <w:r>
              <w:t>9 %</w:t>
            </w:r>
          </w:p>
        </w:tc>
      </w:tr>
      <w:tr w:rsidR="00235F05" w14:paraId="298CADFB" w14:textId="77777777" w:rsidTr="002D1AAC">
        <w:tc>
          <w:tcPr>
            <w:tcW w:w="5495" w:type="dxa"/>
            <w:shd w:val="clear" w:color="auto" w:fill="800000"/>
          </w:tcPr>
          <w:p w14:paraId="1D590AE3" w14:textId="5ADFA2E1" w:rsidR="00235F05" w:rsidRDefault="00235F05" w:rsidP="002D1AAC">
            <w:pPr>
              <w:jc w:val="both"/>
            </w:pPr>
            <w:r>
              <w:t>Rendement de votre RPA</w:t>
            </w:r>
            <w:r w:rsidR="002D1AAC">
              <w:t>PD</w:t>
            </w:r>
          </w:p>
        </w:tc>
        <w:tc>
          <w:tcPr>
            <w:tcW w:w="3402" w:type="dxa"/>
            <w:shd w:val="clear" w:color="auto" w:fill="800000"/>
          </w:tcPr>
          <w:p w14:paraId="7C0366D3" w14:textId="77777777" w:rsidR="00235F05" w:rsidRDefault="00235F05" w:rsidP="00235F05">
            <w:pPr>
              <w:jc w:val="both"/>
            </w:pPr>
            <w:r>
              <w:t>5 %</w:t>
            </w:r>
          </w:p>
        </w:tc>
      </w:tr>
    </w:tbl>
    <w:p w14:paraId="3773368D" w14:textId="77777777" w:rsidR="002D1AAC" w:rsidRDefault="002D1AAC">
      <w:pPr>
        <w:rPr>
          <w:color w:val="FF6700" w:themeColor="accent3"/>
        </w:rPr>
      </w:pPr>
    </w:p>
    <w:p w14:paraId="60BE11DC" w14:textId="77777777" w:rsidR="002D1AAC" w:rsidRDefault="002D1AAC">
      <w:pPr>
        <w:rPr>
          <w:color w:val="FF6700" w:themeColor="accent3"/>
        </w:rPr>
      </w:pPr>
    </w:p>
    <w:p w14:paraId="76C00008" w14:textId="77777777" w:rsidR="002D1AAC" w:rsidRDefault="002D1AAC" w:rsidP="002D1AAC">
      <w:r>
        <w:t>Voici la solution proposée</w:t>
      </w:r>
    </w:p>
    <w:p w14:paraId="3ECE2E50" w14:textId="77777777" w:rsidR="002D1AAC" w:rsidRDefault="002D1AAC">
      <w:pPr>
        <w:rPr>
          <w:color w:val="FF6700" w:themeColor="accent3"/>
        </w:rPr>
      </w:pPr>
    </w:p>
    <w:p w14:paraId="1EFF3BAB" w14:textId="77777777" w:rsidR="00D37DC1" w:rsidRDefault="00D37DC1">
      <w:pPr>
        <w:rPr>
          <w:color w:val="FF6700" w:themeColor="accent3"/>
        </w:rPr>
      </w:pPr>
      <w:r>
        <w:rPr>
          <w:noProof/>
          <w:lang w:eastAsia="fr-FR"/>
        </w:rPr>
        <mc:AlternateContent>
          <mc:Choice Requires="wps">
            <w:drawing>
              <wp:anchor distT="0" distB="0" distL="114300" distR="114300" simplePos="0" relativeHeight="252242944" behindDoc="0" locked="0" layoutInCell="1" allowOverlap="1" wp14:anchorId="1399B629" wp14:editId="5BBBDE92">
                <wp:simplePos x="0" y="0"/>
                <wp:positionH relativeFrom="column">
                  <wp:posOffset>-571500</wp:posOffset>
                </wp:positionH>
                <wp:positionV relativeFrom="paragraph">
                  <wp:posOffset>34925</wp:posOffset>
                </wp:positionV>
                <wp:extent cx="457200" cy="457200"/>
                <wp:effectExtent l="0" t="0" r="25400" b="25400"/>
                <wp:wrapNone/>
                <wp:docPr id="237" name="Ellipse 237"/>
                <wp:cNvGraphicFramePr/>
                <a:graphic xmlns:a="http://schemas.openxmlformats.org/drawingml/2006/main">
                  <a:graphicData uri="http://schemas.microsoft.com/office/word/2010/wordprocessingShape">
                    <wps:wsp>
                      <wps:cNvSpPr/>
                      <wps:spPr>
                        <a:xfrm>
                          <a:off x="0" y="0"/>
                          <a:ext cx="457200" cy="457200"/>
                        </a:xfrm>
                        <a:prstGeom prst="ellipse">
                          <a:avLst/>
                        </a:prstGeom>
                        <a:ln w="12700" cmpd="sng">
                          <a:solidFill>
                            <a:srgbClr val="000000"/>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8742190" w14:textId="3B053429" w:rsidR="00573C95" w:rsidRDefault="00573C95" w:rsidP="00D37DC1">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37" o:spid="_x0000_s1160" style="position:absolute;margin-left:-44.95pt;margin-top:2.75pt;width:36pt;height:36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" fillcolor="#956b43 [3208]" strokeweight="1pt">
                <v:textbox>
                  <w:txbxContent>
                    <w:p w14:paraId="08742190" w14:textId="3B053429" w:rsidR="001501D6" w:rsidRDefault="001501D6" w:rsidP="00D37DC1">
                      <w:pPr>
                        <w:jc w:val="center"/>
                      </w:pPr>
                      <w:r>
                        <w:t>1</w:t>
                      </w:r>
                    </w:p>
                  </w:txbxContent>
                </v:textbox>
              </v:oval>
            </w:pict>
          </mc:Fallback>
        </mc:AlternateContent>
      </w:r>
      <w:r>
        <w:rPr>
          <w:color w:val="FF6700" w:themeColor="accent3"/>
        </w:rPr>
        <w:tab/>
      </w:r>
    </w:p>
    <w:p w14:paraId="230765E9" w14:textId="515663E0" w:rsidR="00D37DC1" w:rsidRDefault="00D37DC1">
      <w:r>
        <w:t>Tout d'abord, puisqu'il s'agit d'un RPAPD, les informations suivantes ne sont pas pertinentes.</w:t>
      </w:r>
    </w:p>
    <w:p w14:paraId="5EC3C356" w14:textId="170A3C72" w:rsidR="00D37DC1" w:rsidRDefault="00D37DC1">
      <w:r>
        <w:rPr>
          <w:noProof/>
          <w:lang w:eastAsia="fr-FR"/>
        </w:rPr>
        <mc:AlternateContent>
          <mc:Choice Requires="wps">
            <w:drawing>
              <wp:anchor distT="0" distB="0" distL="114300" distR="114300" simplePos="0" relativeHeight="252243968" behindDoc="0" locked="0" layoutInCell="1" allowOverlap="1" wp14:anchorId="51EC702E" wp14:editId="79613281">
                <wp:simplePos x="0" y="0"/>
                <wp:positionH relativeFrom="column">
                  <wp:posOffset>3200400</wp:posOffset>
                </wp:positionH>
                <wp:positionV relativeFrom="paragraph">
                  <wp:posOffset>118110</wp:posOffset>
                </wp:positionV>
                <wp:extent cx="685800" cy="685800"/>
                <wp:effectExtent l="50800" t="50800" r="50800" b="50800"/>
                <wp:wrapNone/>
                <wp:docPr id="238" name="Interdiction 238"/>
                <wp:cNvGraphicFramePr/>
                <a:graphic xmlns:a="http://schemas.openxmlformats.org/drawingml/2006/main">
                  <a:graphicData uri="http://schemas.microsoft.com/office/word/2010/wordprocessingShape">
                    <wps:wsp>
                      <wps:cNvSpPr/>
                      <wps:spPr>
                        <a:xfrm>
                          <a:off x="0" y="0"/>
                          <a:ext cx="685800" cy="685800"/>
                        </a:xfrm>
                        <a:prstGeom prst="noSmoking">
                          <a:avLst>
                            <a:gd name="adj" fmla="val 4520"/>
                          </a:avLst>
                        </a:prstGeom>
                        <a:solidFill>
                          <a:schemeClr val="tx1"/>
                        </a:solidFill>
                        <a:ln>
                          <a:no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57" coordsize="21600,21600" o:spt="57" adj="2700" path="m0,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Interdiction 238" o:spid="_x0000_s1026" type="#_x0000_t57" style="position:absolute;margin-left:252pt;margin-top:9.3pt;width:54pt;height:54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" adj="976" fillcolor="black [3213]" stroked="f"/>
            </w:pict>
          </mc:Fallback>
        </mc:AlternateContent>
      </w:r>
    </w:p>
    <w:tbl>
      <w:tblPr>
        <w:tblStyle w:val="Grille"/>
        <w:tblpPr w:leftFromText="141" w:rightFromText="141" w:vertAnchor="text" w:tblpY="1"/>
        <w:tblOverlap w:val="never"/>
        <w:tblW w:w="0" w:type="auto"/>
        <w:tblLook w:val="04A0" w:firstRow="1" w:lastRow="0" w:firstColumn="1" w:lastColumn="0" w:noHBand="0" w:noVBand="1"/>
      </w:tblPr>
      <w:tblGrid>
        <w:gridCol w:w="5495"/>
        <w:gridCol w:w="3402"/>
      </w:tblGrid>
      <w:tr w:rsidR="00D37DC1" w14:paraId="7888B1B6" w14:textId="77777777" w:rsidTr="0025623D">
        <w:tc>
          <w:tcPr>
            <w:tcW w:w="5495" w:type="dxa"/>
            <w:shd w:val="clear" w:color="auto" w:fill="800000"/>
          </w:tcPr>
          <w:p w14:paraId="1729A7B7" w14:textId="77777777" w:rsidR="00D37DC1" w:rsidRDefault="00D37DC1" w:rsidP="0025623D">
            <w:pPr>
              <w:jc w:val="both"/>
            </w:pPr>
            <w:r>
              <w:t>Cotisations employeur</w:t>
            </w:r>
          </w:p>
        </w:tc>
        <w:tc>
          <w:tcPr>
            <w:tcW w:w="3402" w:type="dxa"/>
            <w:shd w:val="clear" w:color="auto" w:fill="800000"/>
          </w:tcPr>
          <w:p w14:paraId="3413D96B" w14:textId="77777777" w:rsidR="00D37DC1" w:rsidRDefault="00D37DC1" w:rsidP="0025623D">
            <w:pPr>
              <w:jc w:val="both"/>
            </w:pPr>
            <w:r>
              <w:t>9 %</w:t>
            </w:r>
          </w:p>
        </w:tc>
      </w:tr>
      <w:tr w:rsidR="00D37DC1" w14:paraId="6B8DB1AC" w14:textId="77777777" w:rsidTr="0025623D">
        <w:tc>
          <w:tcPr>
            <w:tcW w:w="5495" w:type="dxa"/>
            <w:shd w:val="clear" w:color="auto" w:fill="800000"/>
          </w:tcPr>
          <w:p w14:paraId="2F169D23" w14:textId="77777777" w:rsidR="00D37DC1" w:rsidRDefault="00D37DC1" w:rsidP="0025623D">
            <w:pPr>
              <w:jc w:val="both"/>
            </w:pPr>
            <w:r>
              <w:t>Cotisations employé</w:t>
            </w:r>
          </w:p>
        </w:tc>
        <w:tc>
          <w:tcPr>
            <w:tcW w:w="3402" w:type="dxa"/>
            <w:shd w:val="clear" w:color="auto" w:fill="800000"/>
          </w:tcPr>
          <w:p w14:paraId="119711AC" w14:textId="21FA1787" w:rsidR="00D37DC1" w:rsidRDefault="00D37DC1" w:rsidP="0025623D">
            <w:pPr>
              <w:jc w:val="both"/>
            </w:pPr>
            <w:r>
              <w:t>9 %</w:t>
            </w:r>
          </w:p>
        </w:tc>
      </w:tr>
      <w:tr w:rsidR="00D37DC1" w14:paraId="16C75B46" w14:textId="77777777" w:rsidTr="0025623D">
        <w:tc>
          <w:tcPr>
            <w:tcW w:w="5495" w:type="dxa"/>
            <w:shd w:val="clear" w:color="auto" w:fill="800000"/>
          </w:tcPr>
          <w:p w14:paraId="35E60A8C" w14:textId="77777777" w:rsidR="00D37DC1" w:rsidRDefault="00D37DC1" w:rsidP="0025623D">
            <w:pPr>
              <w:jc w:val="both"/>
            </w:pPr>
            <w:r>
              <w:t>Rendement de votre RPAPD</w:t>
            </w:r>
          </w:p>
        </w:tc>
        <w:tc>
          <w:tcPr>
            <w:tcW w:w="3402" w:type="dxa"/>
            <w:shd w:val="clear" w:color="auto" w:fill="800000"/>
          </w:tcPr>
          <w:p w14:paraId="552F6876" w14:textId="77777777" w:rsidR="00D37DC1" w:rsidRDefault="00D37DC1" w:rsidP="0025623D">
            <w:pPr>
              <w:jc w:val="both"/>
            </w:pPr>
            <w:r>
              <w:t>5 %</w:t>
            </w:r>
          </w:p>
        </w:tc>
      </w:tr>
    </w:tbl>
    <w:p w14:paraId="39854946" w14:textId="62D331E7" w:rsidR="002E12CE" w:rsidRPr="002E12CE" w:rsidRDefault="0025623D" w:rsidP="0025623D">
      <w:pPr>
        <w:rPr>
          <w:color w:val="FF6700" w:themeColor="accent3"/>
        </w:rPr>
      </w:pPr>
      <w:r>
        <w:rPr>
          <w:color w:val="FF6700" w:themeColor="accent3"/>
        </w:rPr>
        <w:br w:type="textWrapping" w:clear="all"/>
      </w:r>
    </w:p>
    <w:p w14:paraId="55AD1D54" w14:textId="1A3F0F7C" w:rsidR="002E12CE" w:rsidRPr="002E12CE" w:rsidRDefault="0025623D" w:rsidP="002E12CE">
      <w:pPr>
        <w:ind w:left="709"/>
        <w:jc w:val="both"/>
        <w:rPr>
          <w:color w:val="FF6700" w:themeColor="accent3"/>
        </w:rPr>
      </w:pPr>
      <w:r>
        <w:rPr>
          <w:noProof/>
          <w:lang w:eastAsia="fr-FR"/>
        </w:rPr>
        <mc:AlternateContent>
          <mc:Choice Requires="wps">
            <w:drawing>
              <wp:anchor distT="0" distB="0" distL="114300" distR="114300" simplePos="0" relativeHeight="252246016" behindDoc="0" locked="0" layoutInCell="1" allowOverlap="1" wp14:anchorId="113ECA2D" wp14:editId="0041BD07">
                <wp:simplePos x="0" y="0"/>
                <wp:positionH relativeFrom="column">
                  <wp:posOffset>-571500</wp:posOffset>
                </wp:positionH>
                <wp:positionV relativeFrom="paragraph">
                  <wp:posOffset>72390</wp:posOffset>
                </wp:positionV>
                <wp:extent cx="457200" cy="457200"/>
                <wp:effectExtent l="0" t="0" r="25400" b="25400"/>
                <wp:wrapNone/>
                <wp:docPr id="239" name="Ellipse 239"/>
                <wp:cNvGraphicFramePr/>
                <a:graphic xmlns:a="http://schemas.openxmlformats.org/drawingml/2006/main">
                  <a:graphicData uri="http://schemas.microsoft.com/office/word/2010/wordprocessingShape">
                    <wps:wsp>
                      <wps:cNvSpPr/>
                      <wps:spPr>
                        <a:xfrm>
                          <a:off x="0" y="0"/>
                          <a:ext cx="457200" cy="457200"/>
                        </a:xfrm>
                        <a:prstGeom prst="ellipse">
                          <a:avLst/>
                        </a:prstGeom>
                        <a:ln w="12700" cmpd="sng">
                          <a:solidFill>
                            <a:srgbClr val="000000"/>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14D5161" w14:textId="74A0D610" w:rsidR="00573C95" w:rsidRDefault="00573C95" w:rsidP="0025623D">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39" o:spid="_x0000_s1161" style="position:absolute;left:0;text-align:left;margin-left:-44.95pt;margin-top:5.7pt;width:36pt;height:36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" fillcolor="#956b43 [3208]" strokeweight="1pt">
                <v:textbox>
                  <w:txbxContent>
                    <w:p w14:paraId="414D5161" w14:textId="74A0D610" w:rsidR="001501D6" w:rsidRDefault="001501D6" w:rsidP="0025623D">
                      <w:pPr>
                        <w:jc w:val="center"/>
                      </w:pPr>
                      <w:r>
                        <w:t>2</w:t>
                      </w:r>
                    </w:p>
                  </w:txbxContent>
                </v:textbox>
              </v:oval>
            </w:pict>
          </mc:Fallback>
        </mc:AlternateContent>
      </w:r>
    </w:p>
    <w:p w14:paraId="1C3B7F9E" w14:textId="74FD52C3" w:rsidR="0025623D" w:rsidRDefault="0025623D" w:rsidP="00A31D89">
      <w:r>
        <w:t>Calcul de la rente</w:t>
      </w:r>
    </w:p>
    <w:p w14:paraId="5BB1D7E5" w14:textId="79786170" w:rsidR="002E12CE" w:rsidRDefault="002E12CE" w:rsidP="00A31D89"/>
    <w:p w14:paraId="2026B0BD" w14:textId="77777777" w:rsidR="0025623D" w:rsidRDefault="0025623D" w:rsidP="00A31D89"/>
    <w:tbl>
      <w:tblPr>
        <w:tblStyle w:val="Grille"/>
        <w:tblW w:w="13716" w:type="dxa"/>
        <w:tblLook w:val="04A0" w:firstRow="1" w:lastRow="0" w:firstColumn="1" w:lastColumn="0" w:noHBand="0" w:noVBand="1"/>
      </w:tblPr>
      <w:tblGrid>
        <w:gridCol w:w="5495"/>
        <w:gridCol w:w="4111"/>
        <w:gridCol w:w="4110"/>
      </w:tblGrid>
      <w:tr w:rsidR="005524EB" w14:paraId="7B00EAD4" w14:textId="77777777" w:rsidTr="00E210DB">
        <w:tc>
          <w:tcPr>
            <w:tcW w:w="5495" w:type="dxa"/>
            <w:shd w:val="clear" w:color="auto" w:fill="CAF278" w:themeFill="background2"/>
          </w:tcPr>
          <w:p w14:paraId="7BBD4428" w14:textId="38CC0A37" w:rsidR="0025623D" w:rsidRDefault="0025623D" w:rsidP="002A09EB">
            <w:pPr>
              <w:tabs>
                <w:tab w:val="left" w:pos="805"/>
                <w:tab w:val="center" w:pos="2639"/>
              </w:tabs>
              <w:jc w:val="center"/>
            </w:pPr>
            <w:r>
              <w:t>Démarches</w:t>
            </w:r>
          </w:p>
        </w:tc>
        <w:tc>
          <w:tcPr>
            <w:tcW w:w="4111" w:type="dxa"/>
            <w:shd w:val="clear" w:color="auto" w:fill="CAF278" w:themeFill="background2"/>
          </w:tcPr>
          <w:p w14:paraId="4B14FBC5" w14:textId="7E7483F6" w:rsidR="0025623D" w:rsidRPr="0025623D" w:rsidRDefault="0025623D" w:rsidP="002A09EB">
            <w:pPr>
              <w:tabs>
                <w:tab w:val="left" w:pos="805"/>
                <w:tab w:val="center" w:pos="2639"/>
              </w:tabs>
              <w:jc w:val="center"/>
            </w:pPr>
            <w:r w:rsidRPr="0025623D">
              <w:t>Retraite à 56 ans</w:t>
            </w:r>
          </w:p>
        </w:tc>
        <w:tc>
          <w:tcPr>
            <w:tcW w:w="4110" w:type="dxa"/>
            <w:shd w:val="clear" w:color="auto" w:fill="CAF278" w:themeFill="background2"/>
          </w:tcPr>
          <w:p w14:paraId="7F0B9931" w14:textId="16354C32" w:rsidR="0025623D" w:rsidRPr="0025623D" w:rsidRDefault="0025623D" w:rsidP="0025623D">
            <w:pPr>
              <w:jc w:val="center"/>
            </w:pPr>
            <w:r w:rsidRPr="0025623D">
              <w:t>Retraite à 61 ans</w:t>
            </w:r>
          </w:p>
        </w:tc>
      </w:tr>
      <w:tr w:rsidR="005524EB" w14:paraId="57184277" w14:textId="77777777" w:rsidTr="00E210DB">
        <w:tc>
          <w:tcPr>
            <w:tcW w:w="5495" w:type="dxa"/>
            <w:shd w:val="clear" w:color="auto" w:fill="008000"/>
          </w:tcPr>
          <w:p w14:paraId="61CE0540" w14:textId="428AC839" w:rsidR="0025623D" w:rsidRPr="0025623D" w:rsidRDefault="002A09EB" w:rsidP="002A09EB">
            <w:pPr>
              <w:jc w:val="both"/>
              <w:rPr>
                <w:color w:val="FFFFFF" w:themeColor="background1"/>
              </w:rPr>
            </w:pPr>
            <w:r>
              <w:rPr>
                <w:color w:val="FFFFFF" w:themeColor="background1"/>
              </w:rPr>
              <w:t>Pourcentage de rentes acquises</w:t>
            </w:r>
          </w:p>
        </w:tc>
        <w:tc>
          <w:tcPr>
            <w:tcW w:w="4111" w:type="dxa"/>
            <w:shd w:val="clear" w:color="auto" w:fill="008000"/>
          </w:tcPr>
          <w:p w14:paraId="6D3DB4EF" w14:textId="71D3B1BC" w:rsidR="0025623D" w:rsidRPr="0025623D" w:rsidRDefault="002A09EB" w:rsidP="002A09EB">
            <w:pPr>
              <w:jc w:val="both"/>
              <w:rPr>
                <w:color w:val="FFFFFF" w:themeColor="background1"/>
              </w:rPr>
            </w:pPr>
            <w:r>
              <w:rPr>
                <w:color w:val="FFFFFF" w:themeColor="background1"/>
              </w:rPr>
              <w:t>2 % * (56 - 50) = 12 %</w:t>
            </w:r>
          </w:p>
        </w:tc>
        <w:tc>
          <w:tcPr>
            <w:tcW w:w="4110" w:type="dxa"/>
            <w:shd w:val="clear" w:color="auto" w:fill="008000"/>
          </w:tcPr>
          <w:p w14:paraId="735320A5" w14:textId="2B36AA3A" w:rsidR="0025623D" w:rsidRPr="0025623D" w:rsidRDefault="002A09EB" w:rsidP="002A09EB">
            <w:pPr>
              <w:jc w:val="both"/>
              <w:rPr>
                <w:color w:val="FFFFFF" w:themeColor="background1"/>
              </w:rPr>
            </w:pPr>
            <w:r>
              <w:rPr>
                <w:color w:val="FFFFFF" w:themeColor="background1"/>
              </w:rPr>
              <w:t>2 % * (61 - 50) = 22 %</w:t>
            </w:r>
          </w:p>
        </w:tc>
      </w:tr>
      <w:tr w:rsidR="005524EB" w14:paraId="74A65023" w14:textId="77777777" w:rsidTr="00E210DB">
        <w:tc>
          <w:tcPr>
            <w:tcW w:w="5495" w:type="dxa"/>
            <w:shd w:val="clear" w:color="auto" w:fill="008000"/>
          </w:tcPr>
          <w:p w14:paraId="6AA62D87" w14:textId="07C8A403" w:rsidR="0025623D" w:rsidRPr="0025623D" w:rsidRDefault="002A09EB" w:rsidP="0025623D">
            <w:pPr>
              <w:jc w:val="both"/>
              <w:rPr>
                <w:color w:val="FFFFFF" w:themeColor="background1"/>
              </w:rPr>
            </w:pPr>
            <w:r w:rsidRPr="002A09EB">
              <w:rPr>
                <w:color w:val="FFFFFF" w:themeColor="background1"/>
              </w:rPr>
              <w:t>Salaire moyen des 5 meilleures années</w:t>
            </w:r>
          </w:p>
        </w:tc>
        <w:tc>
          <w:tcPr>
            <w:tcW w:w="4111" w:type="dxa"/>
            <w:shd w:val="clear" w:color="auto" w:fill="008000"/>
          </w:tcPr>
          <w:p w14:paraId="58BAB80E" w14:textId="56F7776A" w:rsidR="0025623D" w:rsidRPr="0025623D" w:rsidRDefault="002A09EB" w:rsidP="0025623D">
            <w:pPr>
              <w:jc w:val="both"/>
              <w:rPr>
                <w:color w:val="FFFFFF" w:themeColor="background1"/>
              </w:rPr>
            </w:pPr>
            <w:r>
              <w:rPr>
                <w:color w:val="FFFFFF" w:themeColor="background1"/>
              </w:rPr>
              <w:t>70 000 $</w:t>
            </w:r>
          </w:p>
        </w:tc>
        <w:tc>
          <w:tcPr>
            <w:tcW w:w="4110" w:type="dxa"/>
            <w:shd w:val="clear" w:color="auto" w:fill="008000"/>
          </w:tcPr>
          <w:p w14:paraId="0E33CF59" w14:textId="6EAD11DE" w:rsidR="0025623D" w:rsidRPr="0025623D" w:rsidRDefault="002A09EB" w:rsidP="0025623D">
            <w:pPr>
              <w:jc w:val="both"/>
              <w:rPr>
                <w:color w:val="FFFFFF" w:themeColor="background1"/>
              </w:rPr>
            </w:pPr>
            <w:r>
              <w:rPr>
                <w:color w:val="FFFFFF" w:themeColor="background1"/>
              </w:rPr>
              <w:t>70 000 $</w:t>
            </w:r>
          </w:p>
        </w:tc>
      </w:tr>
      <w:tr w:rsidR="005524EB" w14:paraId="2273F7F5" w14:textId="77777777" w:rsidTr="00E210DB">
        <w:tc>
          <w:tcPr>
            <w:tcW w:w="5495" w:type="dxa"/>
            <w:shd w:val="clear" w:color="auto" w:fill="008000"/>
          </w:tcPr>
          <w:p w14:paraId="61EAFA16" w14:textId="0093753A" w:rsidR="0025623D" w:rsidRPr="0025623D" w:rsidRDefault="002A09EB" w:rsidP="0025623D">
            <w:pPr>
              <w:jc w:val="both"/>
              <w:rPr>
                <w:color w:val="FFFFFF" w:themeColor="background1"/>
              </w:rPr>
            </w:pPr>
            <w:r>
              <w:rPr>
                <w:color w:val="FFFFFF" w:themeColor="background1"/>
              </w:rPr>
              <w:t>Rente annuelle avant réduction actuarielle</w:t>
            </w:r>
          </w:p>
        </w:tc>
        <w:tc>
          <w:tcPr>
            <w:tcW w:w="4111" w:type="dxa"/>
            <w:shd w:val="clear" w:color="auto" w:fill="008000"/>
          </w:tcPr>
          <w:p w14:paraId="2B5D4182" w14:textId="3404E40C" w:rsidR="0025623D" w:rsidRPr="0025623D" w:rsidRDefault="002A09EB" w:rsidP="0025623D">
            <w:pPr>
              <w:jc w:val="both"/>
              <w:rPr>
                <w:color w:val="FFFFFF" w:themeColor="background1"/>
              </w:rPr>
            </w:pPr>
            <w:r>
              <w:rPr>
                <w:color w:val="FFFFFF" w:themeColor="background1"/>
              </w:rPr>
              <w:t>12 % * 70 000 $ = 8 400 $</w:t>
            </w:r>
          </w:p>
        </w:tc>
        <w:tc>
          <w:tcPr>
            <w:tcW w:w="4110" w:type="dxa"/>
            <w:shd w:val="clear" w:color="auto" w:fill="008000"/>
          </w:tcPr>
          <w:p w14:paraId="33A6D631" w14:textId="3AAD801F" w:rsidR="0025623D" w:rsidRPr="0025623D" w:rsidRDefault="002A09EB" w:rsidP="0025623D">
            <w:pPr>
              <w:jc w:val="both"/>
              <w:rPr>
                <w:color w:val="FFFFFF" w:themeColor="background1"/>
              </w:rPr>
            </w:pPr>
            <w:r>
              <w:rPr>
                <w:color w:val="FFFFFF" w:themeColor="background1"/>
              </w:rPr>
              <w:t>22 % * 70 000 $ = 15 400 $</w:t>
            </w:r>
          </w:p>
        </w:tc>
      </w:tr>
      <w:tr w:rsidR="005524EB" w14:paraId="1692E7B5" w14:textId="77777777" w:rsidTr="00E210DB">
        <w:tc>
          <w:tcPr>
            <w:tcW w:w="5495" w:type="dxa"/>
            <w:shd w:val="clear" w:color="auto" w:fill="008000"/>
          </w:tcPr>
          <w:p w14:paraId="7F576024" w14:textId="7882EBFE" w:rsidR="005524EB" w:rsidRDefault="005524EB" w:rsidP="0025623D">
            <w:pPr>
              <w:jc w:val="both"/>
              <w:rPr>
                <w:color w:val="FFFFFF" w:themeColor="background1"/>
              </w:rPr>
            </w:pPr>
            <w:r>
              <w:rPr>
                <w:color w:val="FFFFFF" w:themeColor="background1"/>
              </w:rPr>
              <w:t>Calcul de la réduction actuarielle</w:t>
            </w:r>
          </w:p>
        </w:tc>
        <w:tc>
          <w:tcPr>
            <w:tcW w:w="4111" w:type="dxa"/>
            <w:shd w:val="clear" w:color="auto" w:fill="008000"/>
          </w:tcPr>
          <w:p w14:paraId="56103698" w14:textId="2DA2DE11" w:rsidR="005524EB" w:rsidRDefault="005524EB" w:rsidP="0025623D">
            <w:pPr>
              <w:jc w:val="both"/>
              <w:rPr>
                <w:color w:val="FFFFFF" w:themeColor="background1"/>
              </w:rPr>
            </w:pPr>
            <w:r>
              <w:rPr>
                <w:color w:val="FFFFFF" w:themeColor="background1"/>
              </w:rPr>
              <w:t xml:space="preserve">(3 % * (60 - </w:t>
            </w:r>
            <w:proofErr w:type="gramStart"/>
            <w:r>
              <w:rPr>
                <w:color w:val="FFFFFF" w:themeColor="background1"/>
              </w:rPr>
              <w:t>56 )</w:t>
            </w:r>
            <w:proofErr w:type="gramEnd"/>
            <w:r>
              <w:rPr>
                <w:color w:val="FFFFFF" w:themeColor="background1"/>
              </w:rPr>
              <w:t>) * 8 400 $ = 1 008 $</w:t>
            </w:r>
          </w:p>
        </w:tc>
        <w:tc>
          <w:tcPr>
            <w:tcW w:w="4110" w:type="dxa"/>
            <w:shd w:val="clear" w:color="auto" w:fill="008000"/>
          </w:tcPr>
          <w:p w14:paraId="470B4640" w14:textId="51A4782B" w:rsidR="005524EB" w:rsidRDefault="005524EB" w:rsidP="0025623D">
            <w:pPr>
              <w:jc w:val="both"/>
              <w:rPr>
                <w:color w:val="FFFFFF" w:themeColor="background1"/>
              </w:rPr>
            </w:pPr>
            <w:r>
              <w:rPr>
                <w:color w:val="FFFFFF" w:themeColor="background1"/>
              </w:rPr>
              <w:t>Aucune</w:t>
            </w:r>
          </w:p>
        </w:tc>
      </w:tr>
      <w:tr w:rsidR="005524EB" w14:paraId="6AF1FB8A" w14:textId="77777777" w:rsidTr="00E210DB">
        <w:tc>
          <w:tcPr>
            <w:tcW w:w="5495" w:type="dxa"/>
            <w:shd w:val="clear" w:color="auto" w:fill="008000"/>
          </w:tcPr>
          <w:p w14:paraId="369F70FC" w14:textId="77777777" w:rsidR="005524EB" w:rsidRDefault="005524EB" w:rsidP="0025623D">
            <w:pPr>
              <w:jc w:val="both"/>
              <w:rPr>
                <w:color w:val="FFFFFF" w:themeColor="background1"/>
              </w:rPr>
            </w:pPr>
          </w:p>
        </w:tc>
        <w:tc>
          <w:tcPr>
            <w:tcW w:w="4111" w:type="dxa"/>
            <w:shd w:val="clear" w:color="auto" w:fill="008000"/>
          </w:tcPr>
          <w:p w14:paraId="1DBE4F7C" w14:textId="77777777" w:rsidR="005524EB" w:rsidRDefault="005524EB" w:rsidP="0025623D">
            <w:pPr>
              <w:jc w:val="both"/>
              <w:rPr>
                <w:color w:val="FFFFFF" w:themeColor="background1"/>
              </w:rPr>
            </w:pPr>
          </w:p>
        </w:tc>
        <w:tc>
          <w:tcPr>
            <w:tcW w:w="4110" w:type="dxa"/>
            <w:shd w:val="clear" w:color="auto" w:fill="008000"/>
          </w:tcPr>
          <w:p w14:paraId="28FC1D04" w14:textId="77777777" w:rsidR="005524EB" w:rsidRDefault="005524EB" w:rsidP="0025623D">
            <w:pPr>
              <w:jc w:val="both"/>
              <w:rPr>
                <w:color w:val="FFFFFF" w:themeColor="background1"/>
              </w:rPr>
            </w:pPr>
          </w:p>
        </w:tc>
      </w:tr>
      <w:tr w:rsidR="005524EB" w14:paraId="06884355" w14:textId="77777777" w:rsidTr="00E210DB">
        <w:tc>
          <w:tcPr>
            <w:tcW w:w="5495" w:type="dxa"/>
            <w:shd w:val="clear" w:color="auto" w:fill="008000"/>
          </w:tcPr>
          <w:p w14:paraId="40FD0B3D" w14:textId="4857E977" w:rsidR="005524EB" w:rsidRDefault="005524EB" w:rsidP="0025623D">
            <w:pPr>
              <w:jc w:val="both"/>
              <w:rPr>
                <w:color w:val="FFFFFF" w:themeColor="background1"/>
              </w:rPr>
            </w:pPr>
            <w:r>
              <w:rPr>
                <w:color w:val="FFFFFF" w:themeColor="background1"/>
              </w:rPr>
              <w:t xml:space="preserve">Rente </w:t>
            </w:r>
            <w:proofErr w:type="gramStart"/>
            <w:r>
              <w:rPr>
                <w:color w:val="FFFFFF" w:themeColor="background1"/>
              </w:rPr>
              <w:t xml:space="preserve">annuelle </w:t>
            </w:r>
            <w:r w:rsidR="00E210DB">
              <w:rPr>
                <w:color w:val="FFFFFF" w:themeColor="background1"/>
              </w:rPr>
              <w:t>,</w:t>
            </w:r>
            <w:proofErr w:type="gramEnd"/>
            <w:r w:rsidR="00E210DB">
              <w:rPr>
                <w:color w:val="FFFFFF" w:themeColor="background1"/>
              </w:rPr>
              <w:t xml:space="preserve"> après réduction applicable</w:t>
            </w:r>
          </w:p>
        </w:tc>
        <w:tc>
          <w:tcPr>
            <w:tcW w:w="4111" w:type="dxa"/>
            <w:shd w:val="clear" w:color="auto" w:fill="008000"/>
          </w:tcPr>
          <w:p w14:paraId="46A4FD60" w14:textId="61159DB2" w:rsidR="005524EB" w:rsidRDefault="00E210DB" w:rsidP="0025623D">
            <w:pPr>
              <w:jc w:val="both"/>
              <w:rPr>
                <w:color w:val="FFFFFF" w:themeColor="background1"/>
              </w:rPr>
            </w:pPr>
            <w:r>
              <w:rPr>
                <w:color w:val="FFFFFF" w:themeColor="background1"/>
              </w:rPr>
              <w:t>8 400 $ - 1 008 $ = 7 392 $</w:t>
            </w:r>
          </w:p>
        </w:tc>
        <w:tc>
          <w:tcPr>
            <w:tcW w:w="4110" w:type="dxa"/>
            <w:shd w:val="clear" w:color="auto" w:fill="008000"/>
          </w:tcPr>
          <w:p w14:paraId="42991A06" w14:textId="100313A7" w:rsidR="005524EB" w:rsidRDefault="00E210DB" w:rsidP="0025623D">
            <w:pPr>
              <w:jc w:val="both"/>
              <w:rPr>
                <w:color w:val="FFFFFF" w:themeColor="background1"/>
              </w:rPr>
            </w:pPr>
            <w:r>
              <w:rPr>
                <w:color w:val="FFFFFF" w:themeColor="background1"/>
              </w:rPr>
              <w:t xml:space="preserve">15 400 $ </w:t>
            </w:r>
          </w:p>
        </w:tc>
      </w:tr>
    </w:tbl>
    <w:p w14:paraId="348BBD9D" w14:textId="09CE8A24" w:rsidR="005524EB" w:rsidRPr="008F5BCC" w:rsidRDefault="008F5BCC" w:rsidP="00100443">
      <w:pPr>
        <w:jc w:val="both"/>
      </w:pPr>
      <w:r>
        <w:lastRenderedPageBreak/>
        <w:t>I</w:t>
      </w:r>
      <w:r w:rsidR="0085534C">
        <w:t>l</w:t>
      </w:r>
      <w:r>
        <w:t xml:space="preserve"> est à noter que la rente versée lors de la prise de retraite à 61 ans, bien qu'elle ne fasse pas l'objet d'une pénalité actuarielle est, par ailleurs, très éloignée du niveau recherché pour entretenir le train de vie d'un futur retraité (50 % à 80 % du train de vie actif). </w:t>
      </w:r>
      <w:r w:rsidR="0085534C">
        <w:t>On espère d</w:t>
      </w:r>
      <w:r w:rsidR="006F35A9">
        <w:t>ans</w:t>
      </w:r>
      <w:r w:rsidR="0085534C">
        <w:t xml:space="preserve"> ce cas-ci que notre retraité a su épargner suffisamment avant l'âge de 50 ans afin d'obtenir les revenus de retraite requis. </w:t>
      </w:r>
    </w:p>
    <w:p w14:paraId="38BF4E5C" w14:textId="77777777" w:rsidR="00BA604E" w:rsidRPr="005524EB" w:rsidRDefault="00BA604E" w:rsidP="005524EB">
      <w:pPr>
        <w:ind w:left="360"/>
        <w:rPr>
          <w:color w:val="FF6700" w:themeColor="accent3"/>
        </w:rPr>
      </w:pPr>
    </w:p>
    <w:p w14:paraId="76DE358C" w14:textId="77777777" w:rsidR="00A31D89" w:rsidRPr="000F289D" w:rsidRDefault="00A31D89" w:rsidP="006C34CF">
      <w:pPr>
        <w:pStyle w:val="Paragraphedeliste"/>
        <w:numPr>
          <w:ilvl w:val="0"/>
          <w:numId w:val="32"/>
        </w:numPr>
        <w:rPr>
          <w:color w:val="FF6700" w:themeColor="accent3"/>
        </w:rPr>
      </w:pPr>
      <w:r w:rsidRPr="000F289D">
        <w:rPr>
          <w:color w:val="FF6700" w:themeColor="accent3"/>
        </w:rPr>
        <w:t>Clauses obligatoires</w:t>
      </w:r>
    </w:p>
    <w:p w14:paraId="45B920DD" w14:textId="77777777" w:rsidR="00A31D89" w:rsidRDefault="00A31D89" w:rsidP="00A31D89"/>
    <w:p w14:paraId="5BC2902F" w14:textId="77777777" w:rsidR="00E86FE9" w:rsidRPr="00D4240E" w:rsidRDefault="00E86FE9" w:rsidP="00E86FE9">
      <w:pPr>
        <w:jc w:val="both"/>
      </w:pPr>
      <w:r>
        <w:t xml:space="preserve">Essentiellement les mêmes exigences que celles présentées dans la </w:t>
      </w:r>
      <w:r w:rsidRPr="00150F39">
        <w:rPr>
          <w:color w:val="008000"/>
        </w:rPr>
        <w:t>SECTION 3.2.1.2</w:t>
      </w:r>
      <w:r>
        <w:t xml:space="preserve"> portant sur les particularités des RPACD.</w:t>
      </w:r>
    </w:p>
    <w:p w14:paraId="17B45F21" w14:textId="77777777" w:rsidR="00A31D89" w:rsidRDefault="00A31D89" w:rsidP="00A31D89"/>
    <w:p w14:paraId="7DB22E4E" w14:textId="77777777" w:rsidR="00A31D89" w:rsidRPr="000F289D" w:rsidRDefault="00A31D89" w:rsidP="006C34CF">
      <w:pPr>
        <w:pStyle w:val="Paragraphedeliste"/>
        <w:numPr>
          <w:ilvl w:val="0"/>
          <w:numId w:val="32"/>
        </w:numPr>
        <w:rPr>
          <w:color w:val="FF6700" w:themeColor="accent3"/>
        </w:rPr>
      </w:pPr>
      <w:r w:rsidRPr="000F289D">
        <w:rPr>
          <w:color w:val="FF6700" w:themeColor="accent3"/>
        </w:rPr>
        <w:t>Clauses facultatives</w:t>
      </w:r>
    </w:p>
    <w:p w14:paraId="37A764D1" w14:textId="77777777" w:rsidR="00A31D89" w:rsidRDefault="00A31D89" w:rsidP="00A31D89"/>
    <w:p w14:paraId="52224D44" w14:textId="77777777" w:rsidR="00E86FE9" w:rsidRPr="00D4240E" w:rsidRDefault="00E86FE9" w:rsidP="00E86FE9">
      <w:pPr>
        <w:jc w:val="both"/>
      </w:pPr>
      <w:r>
        <w:t xml:space="preserve">Essentiellement les mêmes exigences que celles présentées dans la </w:t>
      </w:r>
      <w:r w:rsidRPr="00150F39">
        <w:rPr>
          <w:color w:val="008000"/>
        </w:rPr>
        <w:t>SECTION 3.2.1.2</w:t>
      </w:r>
      <w:r>
        <w:t xml:space="preserve"> portant sur les particularités des RPACD.</w:t>
      </w:r>
    </w:p>
    <w:p w14:paraId="699A6DBD" w14:textId="77777777" w:rsidR="00A31D89" w:rsidRDefault="00A31D89" w:rsidP="00A31D89"/>
    <w:p w14:paraId="6470D7A1" w14:textId="77777777" w:rsidR="00A31D89" w:rsidRPr="000F289D" w:rsidRDefault="00A31D89" w:rsidP="006C34CF">
      <w:pPr>
        <w:pStyle w:val="Paragraphedeliste"/>
        <w:numPr>
          <w:ilvl w:val="0"/>
          <w:numId w:val="32"/>
        </w:numPr>
        <w:rPr>
          <w:color w:val="FF6700" w:themeColor="accent3"/>
        </w:rPr>
      </w:pPr>
      <w:r w:rsidRPr="000F289D">
        <w:rPr>
          <w:color w:val="FF6700" w:themeColor="accent3"/>
        </w:rPr>
        <w:t>Synchronisation avec le RRQ</w:t>
      </w:r>
    </w:p>
    <w:p w14:paraId="580D31E0" w14:textId="77777777" w:rsidR="00A31D89" w:rsidRDefault="00A31D89" w:rsidP="00A31D89"/>
    <w:p w14:paraId="20DB6F55" w14:textId="458E1D51" w:rsidR="008E0809" w:rsidRDefault="008E0809" w:rsidP="008E0809">
      <w:pPr>
        <w:jc w:val="both"/>
      </w:pPr>
      <w:r>
        <w:t xml:space="preserve">L'une des caractéristiques propre à un régime de type RPAPD est la probabilité que celui-ci soit pourvu d'une clause prévoyant la </w:t>
      </w:r>
      <w:r w:rsidRPr="008E0809">
        <w:rPr>
          <w:color w:val="FF6700" w:themeColor="accent3"/>
        </w:rPr>
        <w:t>SYNCHRONISATION</w:t>
      </w:r>
      <w:r>
        <w:t xml:space="preserve"> de la rente de retraite avec celle du RRQ. Le concept vise à reconnaitre à la fois le coût important à assumer pour financer un RPAPD et la présence du RRQ comme étant une source de revenus de retraite fiable, déterminable, indexée et viagère. L'idée est donc de jumeler la rente issue du régime </w:t>
      </w:r>
      <w:r w:rsidR="0053102D">
        <w:t>privé</w:t>
      </w:r>
      <w:r w:rsidR="00C941CC">
        <w:t xml:space="preserve"> à prestation déterminée</w:t>
      </w:r>
      <w:r>
        <w:t xml:space="preserve"> (RPAPD) et celle issue du régime public</w:t>
      </w:r>
      <w:r w:rsidR="00C941CC">
        <w:t xml:space="preserve"> à prestation déterminée</w:t>
      </w:r>
      <w:r>
        <w:t xml:space="preserve"> (RRQ) pour réduire la rente du RPAPD et ainsi diminuer son coût de financement. D'un point strictement financier il serait illogique, par exemple, d'obtenir une rente de son RPAPD de 45 000 $ dès l'âge de 60 ans et de s'enrichir, à l'âge de 65 ans, d'une rente supplémentaire du RRQ de 8 000 $. Dans un tel cas, le principe de synchronisation du RRQ ferait en sorte que la rente du RPAPD serait réduite, à l'âge de 65 ans, d'un montant correspondant à peu près </w:t>
      </w:r>
      <w:r w:rsidR="002C3FD1">
        <w:t>à la rente du</w:t>
      </w:r>
      <w:r>
        <w:t xml:space="preserve"> RRQ. La majorité des RPAPD prévoit une telle clause.  </w:t>
      </w:r>
    </w:p>
    <w:p w14:paraId="09B31AFE" w14:textId="77777777" w:rsidR="00A31D89" w:rsidRDefault="00A31D89" w:rsidP="00A31D89"/>
    <w:p w14:paraId="7C61F980" w14:textId="26DC3F26" w:rsidR="00C941CC" w:rsidRDefault="00C941CC" w:rsidP="00C941CC">
      <w:pPr>
        <w:jc w:val="both"/>
      </w:pPr>
      <w:r>
        <w:t>Examinons comment s'effectuent les calculs qui sont propres à la synchronisation du RRQ. Ceux-ci s'intègrent au calcul du RPAPD à l'âge de 65 ans, indépendamment de l'âge où les versements du RPAPD et du RRQ débutent</w:t>
      </w:r>
      <w:r w:rsidR="00F756F9">
        <w:t xml:space="preserve">. </w:t>
      </w:r>
      <w:r w:rsidR="004C6ECD">
        <w:t xml:space="preserve">C'est-à-dire que le calcul de la réduction à appliquer vise à identifier une valeur qui correspond à </w:t>
      </w:r>
      <w:r w:rsidR="004C6ECD">
        <w:lastRenderedPageBreak/>
        <w:t>peu près au montant de la rente entière (sans réduction ou majoration) du RRQ, celle qui serait touché</w:t>
      </w:r>
      <w:r w:rsidR="00705523">
        <w:t xml:space="preserve">e </w:t>
      </w:r>
      <w:r w:rsidR="004C6ECD">
        <w:t xml:space="preserve">à l'âge de 65 ans. Ce calcul théorique ne change pas et il n'y pas d'optimisation à faire relativement à la synchronisation du RRQ.  </w:t>
      </w:r>
    </w:p>
    <w:p w14:paraId="323CC12C" w14:textId="77777777" w:rsidR="004C6ECD" w:rsidRDefault="004C6ECD" w:rsidP="00C941CC">
      <w:pPr>
        <w:jc w:val="both"/>
      </w:pPr>
    </w:p>
    <w:p w14:paraId="5FCB76B2" w14:textId="5DB8471A" w:rsidR="004C6ECD" w:rsidRDefault="004C6ECD" w:rsidP="00C941CC">
      <w:pPr>
        <w:jc w:val="both"/>
      </w:pPr>
      <w:r>
        <w:t>Voici la formule qui est utilisée pour calculer l'effet de la synchronisation du RRQ:</w:t>
      </w:r>
    </w:p>
    <w:p w14:paraId="1F7BFA79" w14:textId="4BF539C0" w:rsidR="004C6ECD" w:rsidRDefault="00BD06F2" w:rsidP="00C941CC">
      <w:pPr>
        <w:jc w:val="both"/>
      </w:pPr>
      <w:r>
        <w:rPr>
          <w:noProof/>
          <w:lang w:eastAsia="fr-FR"/>
        </w:rPr>
        <mc:AlternateContent>
          <mc:Choice Requires="wps">
            <w:drawing>
              <wp:anchor distT="0" distB="0" distL="114300" distR="114300" simplePos="0" relativeHeight="252253184" behindDoc="0" locked="0" layoutInCell="1" allowOverlap="1" wp14:anchorId="595413D2" wp14:editId="5B9DA07C">
                <wp:simplePos x="0" y="0"/>
                <wp:positionH relativeFrom="column">
                  <wp:posOffset>6972300</wp:posOffset>
                </wp:positionH>
                <wp:positionV relativeFrom="paragraph">
                  <wp:posOffset>94615</wp:posOffset>
                </wp:positionV>
                <wp:extent cx="457200" cy="457200"/>
                <wp:effectExtent l="0" t="0" r="25400" b="25400"/>
                <wp:wrapNone/>
                <wp:docPr id="243" name="Ellipse 24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6799F2E7" w14:textId="1643D4FD" w:rsidR="00573C95" w:rsidRDefault="00573C95" w:rsidP="00BD06F2">
                            <w:pPr>
                              <w:jc w:val="center"/>
                            </w:pPr>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43" o:spid="_x0000_s1162" style="position:absolute;left:0;text-align:left;margin-left:549pt;margin-top:7.45pt;width:36pt;height:36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" fillcolor="black [3213]" strokecolor="white [3212]" strokeweight="1pt">
                <v:textbox>
                  <w:txbxContent>
                    <w:p w14:paraId="6799F2E7" w14:textId="1643D4FD" w:rsidR="001501D6" w:rsidRDefault="001501D6" w:rsidP="00BD06F2">
                      <w:pPr>
                        <w:jc w:val="center"/>
                      </w:pPr>
                      <w:r>
                        <w:t>31</w:t>
                      </w:r>
                    </w:p>
                  </w:txbxContent>
                </v:textbox>
              </v:oval>
            </w:pict>
          </mc:Fallback>
        </mc:AlternateContent>
      </w:r>
      <w:r>
        <w:rPr>
          <w:noProof/>
          <w:lang w:eastAsia="fr-FR"/>
        </w:rPr>
        <mc:AlternateContent>
          <mc:Choice Requires="wps">
            <w:drawing>
              <wp:anchor distT="0" distB="0" distL="114300" distR="114300" simplePos="0" relativeHeight="252251136" behindDoc="0" locked="0" layoutInCell="1" allowOverlap="1" wp14:anchorId="691FB60E" wp14:editId="34F92528">
                <wp:simplePos x="0" y="0"/>
                <wp:positionH relativeFrom="column">
                  <wp:posOffset>5486400</wp:posOffset>
                </wp:positionH>
                <wp:positionV relativeFrom="paragraph">
                  <wp:posOffset>94615</wp:posOffset>
                </wp:positionV>
                <wp:extent cx="457200" cy="457200"/>
                <wp:effectExtent l="0" t="0" r="25400" b="25400"/>
                <wp:wrapNone/>
                <wp:docPr id="242" name="Ellipse 24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3D18093B" w14:textId="3C0D9391" w:rsidR="00573C95" w:rsidRDefault="00573C95" w:rsidP="00BD06F2">
                            <w:pPr>
                              <w:jc w:val="center"/>
                            </w:pPr>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42" o:spid="_x0000_s1163" style="position:absolute;left:0;text-align:left;margin-left:6in;margin-top:7.45pt;width:36pt;height:36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" fillcolor="black [3213]" strokecolor="white [3212]" strokeweight="1pt">
                <v:textbox>
                  <w:txbxContent>
                    <w:p w14:paraId="3D18093B" w14:textId="3C0D9391" w:rsidR="001501D6" w:rsidRDefault="001501D6" w:rsidP="00BD06F2">
                      <w:pPr>
                        <w:jc w:val="center"/>
                      </w:pPr>
                      <w:r>
                        <w:t>21</w:t>
                      </w:r>
                    </w:p>
                  </w:txbxContent>
                </v:textbox>
              </v:oval>
            </w:pict>
          </mc:Fallback>
        </mc:AlternateContent>
      </w:r>
      <w:r>
        <w:rPr>
          <w:noProof/>
          <w:lang w:eastAsia="fr-FR"/>
        </w:rPr>
        <mc:AlternateContent>
          <mc:Choice Requires="wps">
            <w:drawing>
              <wp:anchor distT="0" distB="0" distL="114300" distR="114300" simplePos="0" relativeHeight="252249088" behindDoc="0" locked="0" layoutInCell="1" allowOverlap="1" wp14:anchorId="56507474" wp14:editId="19B54ED2">
                <wp:simplePos x="0" y="0"/>
                <wp:positionH relativeFrom="column">
                  <wp:posOffset>3086100</wp:posOffset>
                </wp:positionH>
                <wp:positionV relativeFrom="paragraph">
                  <wp:posOffset>94615</wp:posOffset>
                </wp:positionV>
                <wp:extent cx="457200" cy="457200"/>
                <wp:effectExtent l="0" t="0" r="25400" b="25400"/>
                <wp:wrapNone/>
                <wp:docPr id="241" name="Ellipse 241"/>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7029B83" w14:textId="77777777" w:rsidR="00573C95" w:rsidRDefault="00573C95" w:rsidP="00BD06F2">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41" o:spid="_x0000_s1164" style="position:absolute;left:0;text-align:left;margin-left:243pt;margin-top:7.45pt;width:36pt;height:36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" fillcolor="black [3213]" strokecolor="white [3212]" strokeweight="1pt">
                <v:textbox>
                  <w:txbxContent>
                    <w:p w14:paraId="27029B83" w14:textId="77777777" w:rsidR="001501D6" w:rsidRDefault="001501D6" w:rsidP="00BD06F2">
                      <w:pPr>
                        <w:jc w:val="center"/>
                      </w:pPr>
                      <w:r>
                        <w:t>1</w:t>
                      </w:r>
                    </w:p>
                  </w:txbxContent>
                </v:textbox>
              </v:oval>
            </w:pict>
          </mc:Fallback>
        </mc:AlternateContent>
      </w:r>
      <w:r>
        <w:rPr>
          <w:noProof/>
          <w:lang w:eastAsia="fr-FR"/>
        </w:rPr>
        <mc:AlternateContent>
          <mc:Choice Requires="wps">
            <w:drawing>
              <wp:anchor distT="0" distB="0" distL="114300" distR="114300" simplePos="0" relativeHeight="252247040" behindDoc="0" locked="0" layoutInCell="1" allowOverlap="1" wp14:anchorId="1FDC247A" wp14:editId="1FCF055F">
                <wp:simplePos x="0" y="0"/>
                <wp:positionH relativeFrom="column">
                  <wp:posOffset>0</wp:posOffset>
                </wp:positionH>
                <wp:positionV relativeFrom="paragraph">
                  <wp:posOffset>323215</wp:posOffset>
                </wp:positionV>
                <wp:extent cx="8686800" cy="685800"/>
                <wp:effectExtent l="50800" t="76200" r="50800" b="76200"/>
                <wp:wrapSquare wrapText="bothSides"/>
                <wp:docPr id="240" name="Rectangle à coins arrondis 240"/>
                <wp:cNvGraphicFramePr/>
                <a:graphic xmlns:a="http://schemas.openxmlformats.org/drawingml/2006/main">
                  <a:graphicData uri="http://schemas.microsoft.com/office/word/2010/wordprocessingShape">
                    <wps:wsp>
                      <wps:cNvSpPr/>
                      <wps:spPr>
                        <a:xfrm>
                          <a:off x="0" y="0"/>
                          <a:ext cx="8686800" cy="68580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CA7C830" w14:textId="0B8BC6E0" w:rsidR="00573C95" w:rsidRPr="00BD06F2" w:rsidRDefault="00573C95" w:rsidP="00BD06F2">
                            <w:pPr>
                              <w:jc w:val="center"/>
                              <w:rPr>
                                <w:color w:val="000000"/>
                              </w:rPr>
                            </w:pPr>
                            <w:r w:rsidRPr="00BD06F2">
                              <w:rPr>
                                <w:color w:val="000000"/>
                              </w:rPr>
                              <w:t>,7 % * nombre d'</w:t>
                            </w:r>
                            <w:r w:rsidRPr="00BD06F2">
                              <w:rPr>
                                <w:color w:val="000000"/>
                                <w:u w:val="single"/>
                              </w:rPr>
                              <w:t>années créditées</w:t>
                            </w:r>
                            <w:r>
                              <w:rPr>
                                <w:color w:val="000000"/>
                                <w:u w:val="single"/>
                              </w:rPr>
                              <w:t xml:space="preserve"> </w:t>
                            </w:r>
                            <w:r w:rsidRPr="00BD06F2">
                              <w:rPr>
                                <w:color w:val="000000"/>
                              </w:rPr>
                              <w:t xml:space="preserve">* (moindre du </w:t>
                            </w:r>
                            <w:r w:rsidRPr="00BD06F2">
                              <w:rPr>
                                <w:color w:val="000000"/>
                                <w:u w:val="single"/>
                              </w:rPr>
                              <w:t>MGA moyen</w:t>
                            </w:r>
                            <w:r w:rsidRPr="00BD06F2">
                              <w:rPr>
                                <w:color w:val="000000"/>
                              </w:rPr>
                              <w:t xml:space="preserve"> ou du </w:t>
                            </w:r>
                            <w:r w:rsidRPr="00BD06F2">
                              <w:rPr>
                                <w:color w:val="000000"/>
                                <w:u w:val="single"/>
                              </w:rPr>
                              <w:t>salaire</w:t>
                            </w:r>
                            <w:r>
                              <w:rPr>
                                <w:color w:val="000000"/>
                                <w:u w:val="single"/>
                              </w:rPr>
                              <w:t xml:space="preserve"> moyen f</w:t>
                            </w:r>
                            <w:r w:rsidRPr="00BD06F2">
                              <w:rPr>
                                <w:color w:val="000000"/>
                                <w:u w:val="single"/>
                              </w:rPr>
                              <w:t>inal</w:t>
                            </w:r>
                            <w:r w:rsidRPr="00BD06F2">
                              <w:rPr>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40" o:spid="_x0000_s1165" style="position:absolute;left:0;text-align:left;margin-left:0;margin-top:25.45pt;width:684pt;height:54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" fillcolor="#94c6c7" strokecolor="black [3213]">
                <v:textbox>
                  <w:txbxContent>
                    <w:p w14:paraId="4CA7C830" w14:textId="0B8BC6E0" w:rsidR="001501D6" w:rsidRPr="00BD06F2" w:rsidRDefault="001501D6" w:rsidP="00BD06F2">
                      <w:pPr>
                        <w:jc w:val="center"/>
                        <w:rPr>
                          <w:color w:val="000000"/>
                        </w:rPr>
                      </w:pPr>
                      <w:r w:rsidRPr="00BD06F2">
                        <w:rPr>
                          <w:color w:val="000000"/>
                        </w:rPr>
                        <w:t>,7 % * nombre d'</w:t>
                      </w:r>
                      <w:r w:rsidRPr="00BD06F2">
                        <w:rPr>
                          <w:color w:val="000000"/>
                          <w:u w:val="single"/>
                        </w:rPr>
                        <w:t>années créditées</w:t>
                      </w:r>
                      <w:r>
                        <w:rPr>
                          <w:color w:val="000000"/>
                          <w:u w:val="single"/>
                        </w:rPr>
                        <w:t xml:space="preserve"> </w:t>
                      </w:r>
                      <w:r w:rsidRPr="00BD06F2">
                        <w:rPr>
                          <w:color w:val="000000"/>
                        </w:rPr>
                        <w:t xml:space="preserve">* (moindre du </w:t>
                      </w:r>
                      <w:r w:rsidRPr="00BD06F2">
                        <w:rPr>
                          <w:color w:val="000000"/>
                          <w:u w:val="single"/>
                        </w:rPr>
                        <w:t>MGA moyen</w:t>
                      </w:r>
                      <w:r w:rsidRPr="00BD06F2">
                        <w:rPr>
                          <w:color w:val="000000"/>
                        </w:rPr>
                        <w:t xml:space="preserve"> ou du </w:t>
                      </w:r>
                      <w:r w:rsidRPr="00BD06F2">
                        <w:rPr>
                          <w:color w:val="000000"/>
                          <w:u w:val="single"/>
                        </w:rPr>
                        <w:t>salaire</w:t>
                      </w:r>
                      <w:r w:rsidR="000C3080">
                        <w:rPr>
                          <w:color w:val="000000"/>
                          <w:u w:val="single"/>
                        </w:rPr>
                        <w:t xml:space="preserve"> moyen f</w:t>
                      </w:r>
                      <w:r w:rsidRPr="00BD06F2">
                        <w:rPr>
                          <w:color w:val="000000"/>
                          <w:u w:val="single"/>
                        </w:rPr>
                        <w:t>inal</w:t>
                      </w:r>
                      <w:r w:rsidRPr="00BD06F2">
                        <w:rPr>
                          <w:color w:val="000000"/>
                        </w:rPr>
                        <w:t>)</w:t>
                      </w:r>
                    </w:p>
                  </w:txbxContent>
                </v:textbox>
                <w10:wrap type="square"/>
              </v:roundrect>
            </w:pict>
          </mc:Fallback>
        </mc:AlternateContent>
      </w:r>
    </w:p>
    <w:p w14:paraId="517E8079" w14:textId="5D2F97B2" w:rsidR="004C6ECD" w:rsidRDefault="00BD06F2" w:rsidP="00C941CC">
      <w:pPr>
        <w:jc w:val="both"/>
      </w:pPr>
      <w:r>
        <w:rPr>
          <w:noProof/>
          <w:lang w:eastAsia="fr-FR"/>
        </w:rPr>
        <mc:AlternateContent>
          <mc:Choice Requires="wps">
            <w:drawing>
              <wp:anchor distT="0" distB="0" distL="114300" distR="114300" simplePos="0" relativeHeight="252255232" behindDoc="0" locked="0" layoutInCell="1" allowOverlap="1" wp14:anchorId="67848C5F" wp14:editId="05DB6CBF">
                <wp:simplePos x="0" y="0"/>
                <wp:positionH relativeFrom="column">
                  <wp:posOffset>-228600</wp:posOffset>
                </wp:positionH>
                <wp:positionV relativeFrom="paragraph">
                  <wp:posOffset>1050290</wp:posOffset>
                </wp:positionV>
                <wp:extent cx="457200" cy="457200"/>
                <wp:effectExtent l="0" t="0" r="25400" b="25400"/>
                <wp:wrapNone/>
                <wp:docPr id="244" name="Ellipse 24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1B3B3B6" w14:textId="77777777" w:rsidR="00573C95" w:rsidRDefault="00573C95" w:rsidP="00BD06F2">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44" o:spid="_x0000_s1166" style="position:absolute;left:0;text-align:left;margin-left:-17.95pt;margin-top:82.7pt;width:36pt;height:36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" fillcolor="black [3213]" strokecolor="white [3212]" strokeweight="1pt">
                <v:textbox>
                  <w:txbxContent>
                    <w:p w14:paraId="51B3B3B6" w14:textId="77777777" w:rsidR="001501D6" w:rsidRDefault="001501D6" w:rsidP="00BD06F2">
                      <w:pPr>
                        <w:jc w:val="center"/>
                      </w:pPr>
                      <w:r>
                        <w:t>1</w:t>
                      </w:r>
                    </w:p>
                  </w:txbxContent>
                </v:textbox>
              </v:oval>
            </w:pict>
          </mc:Fallback>
        </mc:AlternateContent>
      </w:r>
    </w:p>
    <w:p w14:paraId="5E5888F6" w14:textId="533916A1" w:rsidR="00C835CD" w:rsidRDefault="005343E2" w:rsidP="00C941CC">
      <w:pPr>
        <w:jc w:val="both"/>
      </w:pPr>
      <w:r>
        <w:tab/>
        <w:t>Le nombre d'</w:t>
      </w:r>
      <w:r w:rsidRPr="005343E2">
        <w:rPr>
          <w:u w:val="single"/>
        </w:rPr>
        <w:t xml:space="preserve">années </w:t>
      </w:r>
      <w:r w:rsidRPr="00A95262">
        <w:rPr>
          <w:u w:val="single"/>
        </w:rPr>
        <w:t>créditées</w:t>
      </w:r>
      <w:r w:rsidR="00A95262">
        <w:t xml:space="preserve"> </w:t>
      </w:r>
      <w:r w:rsidR="00110308" w:rsidRPr="00A95262">
        <w:t>correspond</w:t>
      </w:r>
      <w:r w:rsidR="00110308">
        <w:t xml:space="preserve"> au nombre d'années qui a été utilisé pour calculer le </w:t>
      </w:r>
      <w:r w:rsidR="00110308">
        <w:tab/>
        <w:t xml:space="preserve">montant de la rente du </w:t>
      </w:r>
      <w:r w:rsidR="00A95262">
        <w:t xml:space="preserve">RPAPD </w:t>
      </w:r>
      <w:r w:rsidR="00110308">
        <w:t>(essentiellement</w:t>
      </w:r>
      <w:r w:rsidR="00A95262">
        <w:t xml:space="preserve"> le nombre d'années de participation au régime)</w:t>
      </w:r>
      <w:r w:rsidR="00C835CD">
        <w:t xml:space="preserve">. Ce </w:t>
      </w:r>
      <w:r w:rsidR="00A95262">
        <w:tab/>
      </w:r>
      <w:r w:rsidR="00C835CD">
        <w:t>montant ne peut pas être supérieur à 35 ans (35 * ,7 % = 25 % = le facteur de calcul du RRQ</w:t>
      </w:r>
      <w:r w:rsidR="00A95262">
        <w:t>)</w:t>
      </w:r>
      <w:r w:rsidR="00C835CD">
        <w:t>.</w:t>
      </w:r>
    </w:p>
    <w:p w14:paraId="49C251AE" w14:textId="06D82610" w:rsidR="00C835CD" w:rsidRDefault="00C835CD" w:rsidP="00C941CC">
      <w:pPr>
        <w:jc w:val="both"/>
      </w:pPr>
      <w:r>
        <w:rPr>
          <w:noProof/>
          <w:lang w:eastAsia="fr-FR"/>
        </w:rPr>
        <mc:AlternateContent>
          <mc:Choice Requires="wps">
            <w:drawing>
              <wp:anchor distT="0" distB="0" distL="114300" distR="114300" simplePos="0" relativeHeight="252257280" behindDoc="0" locked="0" layoutInCell="1" allowOverlap="1" wp14:anchorId="78D2DD0E" wp14:editId="2D38F274">
                <wp:simplePos x="0" y="0"/>
                <wp:positionH relativeFrom="column">
                  <wp:posOffset>-228600</wp:posOffset>
                </wp:positionH>
                <wp:positionV relativeFrom="paragraph">
                  <wp:posOffset>132715</wp:posOffset>
                </wp:positionV>
                <wp:extent cx="457200" cy="457200"/>
                <wp:effectExtent l="0" t="0" r="25400" b="25400"/>
                <wp:wrapNone/>
                <wp:docPr id="245" name="Ellipse 24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937FCB0" w14:textId="77777777" w:rsidR="00573C95" w:rsidRDefault="00573C95" w:rsidP="00C835CD">
                            <w:pPr>
                              <w:jc w:val="center"/>
                            </w:pPr>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45" o:spid="_x0000_s1167" style="position:absolute;left:0;text-align:left;margin-left:-17.95pt;margin-top:10.45pt;width:36pt;height:36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" fillcolor="black [3213]" strokecolor="white [3212]" strokeweight="1pt">
                <v:textbox>
                  <w:txbxContent>
                    <w:p w14:paraId="4937FCB0" w14:textId="77777777" w:rsidR="001501D6" w:rsidRDefault="001501D6" w:rsidP="00C835CD">
                      <w:pPr>
                        <w:jc w:val="center"/>
                      </w:pPr>
                      <w:r>
                        <w:t>21</w:t>
                      </w:r>
                    </w:p>
                  </w:txbxContent>
                </v:textbox>
              </v:oval>
            </w:pict>
          </mc:Fallback>
        </mc:AlternateContent>
      </w:r>
    </w:p>
    <w:p w14:paraId="7D13945E" w14:textId="2F62E29A" w:rsidR="004C6ECD" w:rsidRPr="00C835CD" w:rsidRDefault="00C835CD" w:rsidP="00C941CC">
      <w:pPr>
        <w:jc w:val="both"/>
      </w:pPr>
      <w:r>
        <w:t xml:space="preserve">  </w:t>
      </w:r>
      <w:proofErr w:type="gramStart"/>
      <w:r>
        <w:t>s</w:t>
      </w:r>
      <w:proofErr w:type="gramEnd"/>
      <w:r>
        <w:tab/>
        <w:t xml:space="preserve">Le </w:t>
      </w:r>
      <w:r w:rsidRPr="00C835CD">
        <w:rPr>
          <w:u w:val="single"/>
        </w:rPr>
        <w:t>MGA moyen</w:t>
      </w:r>
      <w:r>
        <w:t xml:space="preserve"> représente </w:t>
      </w:r>
      <w:r w:rsidR="00A95262">
        <w:t xml:space="preserve">habituellement </w:t>
      </w:r>
      <w:r w:rsidR="00A95262" w:rsidRPr="00A95262">
        <w:t>la moyenne des maximums des gains admissibles (MGA) de</w:t>
      </w:r>
      <w:r w:rsidR="00A95262">
        <w:t>s</w:t>
      </w:r>
      <w:r w:rsidR="00A95262">
        <w:tab/>
      </w:r>
      <w:r w:rsidR="00705523">
        <w:t>cinq</w:t>
      </w:r>
      <w:r w:rsidR="00A95262" w:rsidRPr="00A95262">
        <w:t xml:space="preserve"> dernières</w:t>
      </w:r>
      <w:r w:rsidR="00A95262">
        <w:t xml:space="preserve"> an</w:t>
      </w:r>
      <w:r w:rsidR="00A95262" w:rsidRPr="00A95262">
        <w:t>nées de service</w:t>
      </w:r>
      <w:r w:rsidR="00A95262">
        <w:t>. Ce montant est établi par la RRQ. Le MGA correspond à limite</w:t>
      </w:r>
      <w:r w:rsidR="00705523">
        <w:t xml:space="preserve"> salariale</w:t>
      </w:r>
      <w:r w:rsidR="00A95262">
        <w:t xml:space="preserve"> </w:t>
      </w:r>
      <w:r w:rsidR="00705523">
        <w:tab/>
      </w:r>
      <w:r w:rsidR="00A95262">
        <w:t>sur</w:t>
      </w:r>
      <w:r w:rsidR="00705523">
        <w:t xml:space="preserve"> </w:t>
      </w:r>
      <w:r w:rsidR="00A95262">
        <w:t>laquelle un</w:t>
      </w:r>
      <w:r w:rsidR="00705523">
        <w:t>e cotisation peut être prélevée.</w:t>
      </w:r>
    </w:p>
    <w:p w14:paraId="48A594A0" w14:textId="19D820AA" w:rsidR="00BD06F2" w:rsidRDefault="00705523" w:rsidP="00C941CC">
      <w:pPr>
        <w:jc w:val="both"/>
      </w:pPr>
      <w:r>
        <w:rPr>
          <w:noProof/>
          <w:lang w:eastAsia="fr-FR"/>
        </w:rPr>
        <mc:AlternateContent>
          <mc:Choice Requires="wps">
            <w:drawing>
              <wp:anchor distT="0" distB="0" distL="114300" distR="114300" simplePos="0" relativeHeight="252259328" behindDoc="0" locked="0" layoutInCell="1" allowOverlap="1" wp14:anchorId="442EA0C9" wp14:editId="1369DB40">
                <wp:simplePos x="0" y="0"/>
                <wp:positionH relativeFrom="column">
                  <wp:posOffset>-228600</wp:posOffset>
                </wp:positionH>
                <wp:positionV relativeFrom="paragraph">
                  <wp:posOffset>143510</wp:posOffset>
                </wp:positionV>
                <wp:extent cx="457200" cy="457200"/>
                <wp:effectExtent l="0" t="0" r="25400" b="25400"/>
                <wp:wrapNone/>
                <wp:docPr id="246" name="Ellipse 24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1F212E9" w14:textId="77777777" w:rsidR="00573C95" w:rsidRDefault="00573C95" w:rsidP="00705523">
                            <w:pPr>
                              <w:jc w:val="center"/>
                            </w:pPr>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46" o:spid="_x0000_s1168" style="position:absolute;left:0;text-align:left;margin-left:-17.95pt;margin-top:11.3pt;width:36pt;height:36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" fillcolor="black [3213]" strokecolor="white [3212]" strokeweight="1pt">
                <v:textbox>
                  <w:txbxContent>
                    <w:p w14:paraId="01F212E9" w14:textId="77777777" w:rsidR="001501D6" w:rsidRDefault="001501D6" w:rsidP="00705523">
                      <w:pPr>
                        <w:jc w:val="center"/>
                      </w:pPr>
                      <w:r>
                        <w:t>31</w:t>
                      </w:r>
                    </w:p>
                  </w:txbxContent>
                </v:textbox>
              </v:oval>
            </w:pict>
          </mc:Fallback>
        </mc:AlternateContent>
      </w:r>
    </w:p>
    <w:p w14:paraId="13439AD1" w14:textId="6B6CB974" w:rsidR="00BD06F2" w:rsidRPr="00705523" w:rsidRDefault="00705523" w:rsidP="00C941CC">
      <w:pPr>
        <w:jc w:val="both"/>
      </w:pPr>
      <w:proofErr w:type="gramStart"/>
      <w:r>
        <w:t>ss</w:t>
      </w:r>
      <w:proofErr w:type="gramEnd"/>
      <w:r>
        <w:tab/>
        <w:t xml:space="preserve">Le </w:t>
      </w:r>
      <w:r>
        <w:rPr>
          <w:u w:val="single"/>
        </w:rPr>
        <w:t>salaire moyen</w:t>
      </w:r>
      <w:r w:rsidR="000C3080">
        <w:rPr>
          <w:u w:val="single"/>
        </w:rPr>
        <w:t xml:space="preserve"> final</w:t>
      </w:r>
      <w:r w:rsidRPr="00705523">
        <w:t xml:space="preserve"> </w:t>
      </w:r>
      <w:r>
        <w:t xml:space="preserve">est habituellement le salaire </w:t>
      </w:r>
      <w:r w:rsidRPr="00705523">
        <w:t>admissible moyen de</w:t>
      </w:r>
      <w:r>
        <w:t>s cinq</w:t>
      </w:r>
      <w:r w:rsidRPr="00705523">
        <w:t> dernières années de</w:t>
      </w:r>
      <w:r w:rsidR="000C3080">
        <w:tab/>
        <w:t>s</w:t>
      </w:r>
      <w:r w:rsidRPr="00705523">
        <w:t>ervice</w:t>
      </w:r>
      <w:r>
        <w:t>,</w:t>
      </w:r>
      <w:r w:rsidR="000C3080">
        <w:t xml:space="preserve"> </w:t>
      </w:r>
      <w:r>
        <w:t xml:space="preserve">soit le montant qui a été utilisé pour calculer la rente provenant du RPAPD, avant synchronisation. </w:t>
      </w:r>
    </w:p>
    <w:p w14:paraId="2397027E" w14:textId="77777777" w:rsidR="00BD06F2" w:rsidRDefault="00BD06F2" w:rsidP="00C941CC">
      <w:pPr>
        <w:jc w:val="both"/>
      </w:pPr>
    </w:p>
    <w:p w14:paraId="7A3BD547" w14:textId="40798D9E" w:rsidR="00AA29C7" w:rsidRDefault="00E55578" w:rsidP="006C34CF">
      <w:pPr>
        <w:pStyle w:val="Titre4"/>
        <w:numPr>
          <w:ilvl w:val="3"/>
          <w:numId w:val="25"/>
        </w:numPr>
      </w:pPr>
      <w:r>
        <w:t> </w:t>
      </w:r>
      <w:bookmarkStart w:id="60" w:name="_Toc314397837"/>
      <w:bookmarkStart w:id="61" w:name="_Toc443569381"/>
      <w:r>
        <w:t>Les rentes à la retraite</w:t>
      </w:r>
      <w:bookmarkEnd w:id="60"/>
      <w:bookmarkEnd w:id="61"/>
    </w:p>
    <w:p w14:paraId="1128AA3C" w14:textId="77777777" w:rsidR="00F23E8E" w:rsidRDefault="00F23E8E" w:rsidP="00F23E8E"/>
    <w:p w14:paraId="601781F5" w14:textId="58992262" w:rsidR="00F23E8E" w:rsidRDefault="006D2FB0" w:rsidP="006D2FB0">
      <w:pPr>
        <w:jc w:val="both"/>
      </w:pPr>
      <w:r>
        <w:t>Le calcul, établi dès le départ au contrat du régime, constitue le signe distinctif du RPAPD. Il peut différer d'un régime à l'autre, mais la formule de calcul de la rente se veut l'expression de la promesse de l'employeur à verser une rente déterminée d'avance</w:t>
      </w:r>
      <w:r w:rsidR="001F0723">
        <w:t xml:space="preserve"> à l’employé</w:t>
      </w:r>
      <w:r>
        <w:t>. Pour arriver à verser ces montants, l'employeur, en se conformant aux dispositions de LRCR, sous la vigilance d</w:t>
      </w:r>
      <w:r w:rsidR="005A5F72">
        <w:t xml:space="preserve">e la </w:t>
      </w:r>
      <w:r>
        <w:t xml:space="preserve">RRQ, en </w:t>
      </w:r>
      <w:r w:rsidR="005A5F72">
        <w:t>y intégrant les réévaluations actuarielles du régime,</w:t>
      </w:r>
      <w:r>
        <w:t xml:space="preserve"> a la responsabilité de capitaliser la caisse de retraite </w:t>
      </w:r>
      <w:r w:rsidR="005A5F72">
        <w:t xml:space="preserve">de manière à ce qu'elle demeure solvable. </w:t>
      </w:r>
      <w:r w:rsidR="005A5F72">
        <w:lastRenderedPageBreak/>
        <w:t>Contrairement au RPACD où le rôle de l'employeur s'apparente à celui d'un mandataire, dans le cas du RPAPD, ce rôle s'élargit pour y inclure une obligation de résultat.</w:t>
      </w:r>
    </w:p>
    <w:p w14:paraId="00B55DF5" w14:textId="77777777" w:rsidR="005A5F72" w:rsidRDefault="005A5F72" w:rsidP="006D2FB0">
      <w:pPr>
        <w:jc w:val="both"/>
      </w:pPr>
    </w:p>
    <w:p w14:paraId="48E2343B" w14:textId="02877847" w:rsidR="005A5F72" w:rsidRDefault="009C6A7E" w:rsidP="006D2FB0">
      <w:pPr>
        <w:jc w:val="both"/>
      </w:pPr>
      <w:r>
        <w:rPr>
          <w:noProof/>
          <w:lang w:eastAsia="fr-FR"/>
        </w:rPr>
        <mc:AlternateContent>
          <mc:Choice Requires="wps">
            <w:drawing>
              <wp:anchor distT="0" distB="0" distL="114300" distR="114300" simplePos="0" relativeHeight="252264448" behindDoc="0" locked="0" layoutInCell="1" allowOverlap="1" wp14:anchorId="1E28A426" wp14:editId="13C5CB89">
                <wp:simplePos x="0" y="0"/>
                <wp:positionH relativeFrom="column">
                  <wp:posOffset>7772400</wp:posOffset>
                </wp:positionH>
                <wp:positionV relativeFrom="paragraph">
                  <wp:posOffset>125095</wp:posOffset>
                </wp:positionV>
                <wp:extent cx="457200" cy="457200"/>
                <wp:effectExtent l="0" t="0" r="25400" b="25400"/>
                <wp:wrapNone/>
                <wp:docPr id="266" name="Ellipse 26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6299B96" w14:textId="77777777" w:rsidR="00573C95" w:rsidRDefault="00573C95" w:rsidP="00525C9B">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66" o:spid="_x0000_s1169" style="position:absolute;left:0;text-align:left;margin-left:612pt;margin-top:9.85pt;width:36pt;height:36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" fillcolor="black [3213]" strokecolor="white [3212]" strokeweight="1pt">
                <v:textbox>
                  <w:txbxContent>
                    <w:p w14:paraId="06299B96" w14:textId="77777777" w:rsidR="001501D6" w:rsidRDefault="001501D6" w:rsidP="00525C9B">
                      <w:pPr>
                        <w:jc w:val="center"/>
                      </w:pPr>
                      <w:r>
                        <w:t>1</w:t>
                      </w:r>
                    </w:p>
                  </w:txbxContent>
                </v:textbox>
              </v:oval>
            </w:pict>
          </mc:Fallback>
        </mc:AlternateContent>
      </w:r>
      <w:r w:rsidR="005A5F72">
        <w:t>Voici sommairement les principales étapes de calcul d'une rente de retraite provenant d'un RPAPD</w:t>
      </w:r>
      <w:r w:rsidR="00A314B6">
        <w:t>:</w:t>
      </w:r>
    </w:p>
    <w:p w14:paraId="001A307F" w14:textId="07D1466D" w:rsidR="00525C9B" w:rsidRDefault="009C6A7E" w:rsidP="006D2FB0">
      <w:pPr>
        <w:jc w:val="both"/>
      </w:pPr>
      <w:r>
        <w:rPr>
          <w:noProof/>
          <w:lang w:eastAsia="fr-FR"/>
        </w:rPr>
        <mc:AlternateContent>
          <mc:Choice Requires="wps">
            <w:drawing>
              <wp:anchor distT="0" distB="0" distL="114300" distR="114300" simplePos="0" relativeHeight="252260352" behindDoc="0" locked="0" layoutInCell="1" allowOverlap="1" wp14:anchorId="102DCD36" wp14:editId="472C910F">
                <wp:simplePos x="0" y="0"/>
                <wp:positionH relativeFrom="column">
                  <wp:posOffset>457200</wp:posOffset>
                </wp:positionH>
                <wp:positionV relativeFrom="paragraph">
                  <wp:posOffset>52705</wp:posOffset>
                </wp:positionV>
                <wp:extent cx="7772400" cy="2171700"/>
                <wp:effectExtent l="76200" t="76200" r="76200" b="63500"/>
                <wp:wrapNone/>
                <wp:docPr id="264" name="Rectangle à coins arrondis 264"/>
                <wp:cNvGraphicFramePr/>
                <a:graphic xmlns:a="http://schemas.openxmlformats.org/drawingml/2006/main">
                  <a:graphicData uri="http://schemas.microsoft.com/office/word/2010/wordprocessingShape">
                    <wps:wsp>
                      <wps:cNvSpPr/>
                      <wps:spPr>
                        <a:xfrm>
                          <a:off x="0" y="0"/>
                          <a:ext cx="7772400" cy="217170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C904467" w14:textId="67C28734" w:rsidR="00573C95" w:rsidRPr="00525C9B" w:rsidRDefault="00573C95" w:rsidP="00B01D5A">
                            <w:pPr>
                              <w:rPr>
                                <w:color w:val="000000"/>
                              </w:rPr>
                            </w:pPr>
                            <w:r w:rsidRPr="00525C9B">
                              <w:rPr>
                                <w:color w:val="000000"/>
                              </w:rPr>
                              <w:t>On retrouve trois variables dans ce calcul</w:t>
                            </w:r>
                          </w:p>
                          <w:p w14:paraId="0E29AF9C" w14:textId="77777777" w:rsidR="00573C95" w:rsidRPr="00525C9B" w:rsidRDefault="00573C95" w:rsidP="00B01D5A">
                            <w:pPr>
                              <w:rPr>
                                <w:color w:val="000000"/>
                              </w:rPr>
                            </w:pPr>
                          </w:p>
                          <w:p w14:paraId="2CC9B799" w14:textId="15D28A53" w:rsidR="00573C95" w:rsidRPr="00525C9B" w:rsidRDefault="00573C95" w:rsidP="006C34CF">
                            <w:pPr>
                              <w:pStyle w:val="Paragraphedeliste"/>
                              <w:numPr>
                                <w:ilvl w:val="0"/>
                                <w:numId w:val="37"/>
                              </w:numPr>
                              <w:rPr>
                                <w:color w:val="000000"/>
                              </w:rPr>
                            </w:pPr>
                            <w:r w:rsidRPr="00525C9B">
                              <w:rPr>
                                <w:color w:val="000000"/>
                              </w:rPr>
                              <w:t>Le pourcentage de crédit de rente acquise par année de participation (Maximum 2 %)</w:t>
                            </w:r>
                          </w:p>
                          <w:p w14:paraId="7042AEA3" w14:textId="1B2F198A" w:rsidR="00573C95" w:rsidRPr="00525C9B" w:rsidRDefault="00573C95" w:rsidP="006C34CF">
                            <w:pPr>
                              <w:pStyle w:val="Paragraphedeliste"/>
                              <w:numPr>
                                <w:ilvl w:val="0"/>
                                <w:numId w:val="37"/>
                              </w:numPr>
                              <w:rPr>
                                <w:color w:val="000000"/>
                              </w:rPr>
                            </w:pPr>
                            <w:r w:rsidRPr="00525C9B">
                              <w:rPr>
                                <w:color w:val="000000"/>
                              </w:rPr>
                              <w:t>Le salaire de l'employé (le plus souvent une moyenne des 5 meilleures années)</w:t>
                            </w:r>
                          </w:p>
                          <w:p w14:paraId="78F3879D" w14:textId="64364AB5" w:rsidR="00573C95" w:rsidRPr="00525C9B" w:rsidRDefault="00573C95" w:rsidP="006C34CF">
                            <w:pPr>
                              <w:pStyle w:val="Paragraphedeliste"/>
                              <w:numPr>
                                <w:ilvl w:val="0"/>
                                <w:numId w:val="37"/>
                              </w:numPr>
                              <w:rPr>
                                <w:color w:val="000000"/>
                              </w:rPr>
                            </w:pPr>
                            <w:r w:rsidRPr="00525C9B">
                              <w:rPr>
                                <w:color w:val="000000"/>
                              </w:rPr>
                              <w:t>Le nombre d'années de participation de l'employé au régime (peut être différent du nombre d'années de service)</w:t>
                            </w:r>
                          </w:p>
                          <w:p w14:paraId="793A6B0C" w14:textId="77777777" w:rsidR="00573C95" w:rsidRPr="00525C9B" w:rsidRDefault="00573C95" w:rsidP="00525C9B">
                            <w:pPr>
                              <w:rPr>
                                <w:color w:val="000000"/>
                              </w:rPr>
                            </w:pPr>
                          </w:p>
                          <w:p w14:paraId="306CAA2C" w14:textId="7C88801B" w:rsidR="00573C95" w:rsidRPr="00525C9B" w:rsidRDefault="00573C95" w:rsidP="00525C9B">
                            <w:pPr>
                              <w:rPr>
                                <w:color w:val="000000"/>
                              </w:rPr>
                            </w:pPr>
                            <w:r w:rsidRPr="00525C9B">
                              <w:rPr>
                                <w:color w:val="000000"/>
                              </w:rPr>
                              <w:t>Le montant de la rente "normale" s'effectue en multipliant ces trois variables.</w:t>
                            </w:r>
                          </w:p>
                          <w:p w14:paraId="6CB1D014" w14:textId="77777777" w:rsidR="00573C95" w:rsidRPr="00525C9B" w:rsidRDefault="00573C95" w:rsidP="00525C9B">
                            <w:pPr>
                              <w:rPr>
                                <w:color w:val="000000"/>
                              </w:rPr>
                            </w:pPr>
                          </w:p>
                          <w:p w14:paraId="1BA77AEE" w14:textId="035F6937" w:rsidR="00573C95" w:rsidRPr="00525C9B" w:rsidRDefault="00573C95" w:rsidP="00525C9B">
                            <w:pPr>
                              <w:rPr>
                                <w:color w:val="000000"/>
                              </w:rPr>
                            </w:pPr>
                            <w:r w:rsidRPr="00525C9B">
                              <w:rPr>
                                <w:color w:val="000000"/>
                              </w:rPr>
                              <w:t>Crédit de rente * le salaire moyen * nombre d'années de participation</w:t>
                            </w:r>
                          </w:p>
                          <w:p w14:paraId="53C91E51" w14:textId="77777777" w:rsidR="00573C95" w:rsidRDefault="00573C95" w:rsidP="00525C9B"/>
                          <w:p w14:paraId="66DA6A8B" w14:textId="77777777" w:rsidR="00573C95" w:rsidRDefault="00573C95" w:rsidP="00B01D5A"/>
                          <w:p w14:paraId="44132C88" w14:textId="77777777" w:rsidR="00573C95" w:rsidRDefault="00573C95" w:rsidP="00B01D5A"/>
                          <w:p w14:paraId="11DCF765" w14:textId="77777777" w:rsidR="00573C95" w:rsidRDefault="00573C95" w:rsidP="00B01D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64" o:spid="_x0000_s1170" style="position:absolute;left:0;text-align:left;margin-left:36pt;margin-top:4.15pt;width:612pt;height:171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" fillcolor="#94c6c7" strokecolor="black [3213]">
                <v:textbox>
                  <w:txbxContent>
                    <w:p w14:paraId="7C904467" w14:textId="67C28734" w:rsidR="001501D6" w:rsidRPr="00525C9B" w:rsidRDefault="001501D6" w:rsidP="00B01D5A">
                      <w:pPr>
                        <w:rPr>
                          <w:color w:val="000000"/>
                        </w:rPr>
                      </w:pPr>
                      <w:r w:rsidRPr="00525C9B">
                        <w:rPr>
                          <w:color w:val="000000"/>
                        </w:rPr>
                        <w:t>On retrouve trois variables dans ce calcul</w:t>
                      </w:r>
                    </w:p>
                    <w:p w14:paraId="0E29AF9C" w14:textId="77777777" w:rsidR="001501D6" w:rsidRPr="00525C9B" w:rsidRDefault="001501D6" w:rsidP="00B01D5A">
                      <w:pPr>
                        <w:rPr>
                          <w:color w:val="000000"/>
                        </w:rPr>
                      </w:pPr>
                    </w:p>
                    <w:p w14:paraId="2CC9B799" w14:textId="15D28A53" w:rsidR="001501D6" w:rsidRPr="00525C9B" w:rsidRDefault="001501D6" w:rsidP="006C34CF">
                      <w:pPr>
                        <w:pStyle w:val="Paragraphedeliste"/>
                        <w:numPr>
                          <w:ilvl w:val="0"/>
                          <w:numId w:val="37"/>
                        </w:numPr>
                        <w:rPr>
                          <w:color w:val="000000"/>
                        </w:rPr>
                      </w:pPr>
                      <w:r w:rsidRPr="00525C9B">
                        <w:rPr>
                          <w:color w:val="000000"/>
                        </w:rPr>
                        <w:t>Le pourcentage de crédit de rente acquise par année de participation (Maximum 2 %)</w:t>
                      </w:r>
                    </w:p>
                    <w:p w14:paraId="7042AEA3" w14:textId="1B2F198A" w:rsidR="001501D6" w:rsidRPr="00525C9B" w:rsidRDefault="001501D6" w:rsidP="006C34CF">
                      <w:pPr>
                        <w:pStyle w:val="Paragraphedeliste"/>
                        <w:numPr>
                          <w:ilvl w:val="0"/>
                          <w:numId w:val="37"/>
                        </w:numPr>
                        <w:rPr>
                          <w:color w:val="000000"/>
                        </w:rPr>
                      </w:pPr>
                      <w:r w:rsidRPr="00525C9B">
                        <w:rPr>
                          <w:color w:val="000000"/>
                        </w:rPr>
                        <w:t>Le salaire de l'employé (le plus souvent une moyenne des 5 meilleures années)</w:t>
                      </w:r>
                    </w:p>
                    <w:p w14:paraId="78F3879D" w14:textId="64364AB5" w:rsidR="001501D6" w:rsidRPr="00525C9B" w:rsidRDefault="001501D6" w:rsidP="006C34CF">
                      <w:pPr>
                        <w:pStyle w:val="Paragraphedeliste"/>
                        <w:numPr>
                          <w:ilvl w:val="0"/>
                          <w:numId w:val="37"/>
                        </w:numPr>
                        <w:rPr>
                          <w:color w:val="000000"/>
                        </w:rPr>
                      </w:pPr>
                      <w:r w:rsidRPr="00525C9B">
                        <w:rPr>
                          <w:color w:val="000000"/>
                        </w:rPr>
                        <w:t>Le nombre d'années de participation de l'employé au régime (peut être différent du nombre d'années de service)</w:t>
                      </w:r>
                    </w:p>
                    <w:p w14:paraId="793A6B0C" w14:textId="77777777" w:rsidR="001501D6" w:rsidRPr="00525C9B" w:rsidRDefault="001501D6" w:rsidP="00525C9B">
                      <w:pPr>
                        <w:rPr>
                          <w:color w:val="000000"/>
                        </w:rPr>
                      </w:pPr>
                    </w:p>
                    <w:p w14:paraId="306CAA2C" w14:textId="7C88801B" w:rsidR="001501D6" w:rsidRPr="00525C9B" w:rsidRDefault="001501D6" w:rsidP="00525C9B">
                      <w:pPr>
                        <w:rPr>
                          <w:color w:val="000000"/>
                        </w:rPr>
                      </w:pPr>
                      <w:r w:rsidRPr="00525C9B">
                        <w:rPr>
                          <w:color w:val="000000"/>
                        </w:rPr>
                        <w:t>Le montant de la rente "normale" s'effectue en multipliant ces trois variables.</w:t>
                      </w:r>
                    </w:p>
                    <w:p w14:paraId="6CB1D014" w14:textId="77777777" w:rsidR="001501D6" w:rsidRPr="00525C9B" w:rsidRDefault="001501D6" w:rsidP="00525C9B">
                      <w:pPr>
                        <w:rPr>
                          <w:color w:val="000000"/>
                        </w:rPr>
                      </w:pPr>
                    </w:p>
                    <w:p w14:paraId="1BA77AEE" w14:textId="035F6937" w:rsidR="001501D6" w:rsidRPr="00525C9B" w:rsidRDefault="001501D6" w:rsidP="00525C9B">
                      <w:pPr>
                        <w:rPr>
                          <w:color w:val="000000"/>
                        </w:rPr>
                      </w:pPr>
                      <w:r w:rsidRPr="00525C9B">
                        <w:rPr>
                          <w:color w:val="000000"/>
                        </w:rPr>
                        <w:t>Crédit de rente * le salaire moyen * nombre d'années de participation</w:t>
                      </w:r>
                    </w:p>
                    <w:p w14:paraId="53C91E51" w14:textId="77777777" w:rsidR="001501D6" w:rsidRDefault="001501D6" w:rsidP="00525C9B"/>
                    <w:p w14:paraId="66DA6A8B" w14:textId="77777777" w:rsidR="001501D6" w:rsidRDefault="001501D6" w:rsidP="00B01D5A"/>
                    <w:p w14:paraId="44132C88" w14:textId="77777777" w:rsidR="001501D6" w:rsidRDefault="001501D6" w:rsidP="00B01D5A"/>
                    <w:p w14:paraId="11DCF765" w14:textId="77777777" w:rsidR="001501D6" w:rsidRDefault="001501D6" w:rsidP="00B01D5A"/>
                  </w:txbxContent>
                </v:textbox>
              </v:roundrect>
            </w:pict>
          </mc:Fallback>
        </mc:AlternateContent>
      </w:r>
    </w:p>
    <w:p w14:paraId="4DABD9B0" w14:textId="09636AC7" w:rsidR="00A314B6" w:rsidRDefault="00A314B6" w:rsidP="006D2FB0">
      <w:pPr>
        <w:jc w:val="both"/>
      </w:pPr>
    </w:p>
    <w:p w14:paraId="1094D0D8" w14:textId="12D0932E" w:rsidR="00A314B6" w:rsidRDefault="009C6A7E" w:rsidP="006D2FB0">
      <w:pPr>
        <w:jc w:val="both"/>
      </w:pPr>
      <w:r>
        <w:rPr>
          <w:noProof/>
          <w:lang w:eastAsia="fr-FR"/>
        </w:rPr>
        <mc:AlternateContent>
          <mc:Choice Requires="wps">
            <w:drawing>
              <wp:anchor distT="0" distB="0" distL="114300" distR="114300" simplePos="0" relativeHeight="252262400" behindDoc="0" locked="0" layoutInCell="1" allowOverlap="1" wp14:anchorId="23640A16" wp14:editId="108BD7BE">
                <wp:simplePos x="0" y="0"/>
                <wp:positionH relativeFrom="column">
                  <wp:posOffset>-800100</wp:posOffset>
                </wp:positionH>
                <wp:positionV relativeFrom="paragraph">
                  <wp:posOffset>21590</wp:posOffset>
                </wp:positionV>
                <wp:extent cx="1485900" cy="1485900"/>
                <wp:effectExtent l="0" t="0" r="38100" b="38100"/>
                <wp:wrapNone/>
                <wp:docPr id="265" name="Ellipse 265"/>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6E875331" w14:textId="77777777" w:rsidR="00573C95" w:rsidRDefault="00573C95" w:rsidP="00675F47">
                            <w:pPr>
                              <w:jc w:val="center"/>
                            </w:pPr>
                            <w:r>
                              <w:t>Calcul de la rente de retraite "normale"</w:t>
                            </w:r>
                          </w:p>
                          <w:p w14:paraId="22B09C4A" w14:textId="1B4F9E07" w:rsidR="00573C95" w:rsidRDefault="00573C95" w:rsidP="00675F4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65" o:spid="_x0000_s1171" style="position:absolute;left:0;text-align:left;margin-left:-62.95pt;margin-top:1.7pt;width:117pt;height:117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" fillcolor="black [3213]" strokecolor="white [3212]" strokeweight="1pt">
                <v:textbox>
                  <w:txbxContent>
                    <w:p w14:paraId="6E875331" w14:textId="77777777" w:rsidR="001501D6" w:rsidRDefault="001501D6" w:rsidP="00675F47">
                      <w:pPr>
                        <w:jc w:val="center"/>
                      </w:pPr>
                      <w:r>
                        <w:t>Calcul de la rente de retraite "normale"</w:t>
                      </w:r>
                    </w:p>
                    <w:p w14:paraId="22B09C4A" w14:textId="1B4F9E07" w:rsidR="001501D6" w:rsidRDefault="001501D6" w:rsidP="00675F47">
                      <w:pPr>
                        <w:jc w:val="center"/>
                      </w:pPr>
                    </w:p>
                  </w:txbxContent>
                </v:textbox>
              </v:oval>
            </w:pict>
          </mc:Fallback>
        </mc:AlternateContent>
      </w:r>
    </w:p>
    <w:p w14:paraId="00E17CC2" w14:textId="2C087300" w:rsidR="00F23E8E" w:rsidRDefault="009C6A7E" w:rsidP="00F23E8E">
      <w:r>
        <w:rPr>
          <w:noProof/>
          <w:lang w:eastAsia="fr-FR"/>
        </w:rPr>
        <mc:AlternateContent>
          <mc:Choice Requires="wps">
            <w:drawing>
              <wp:anchor distT="0" distB="0" distL="114300" distR="114300" simplePos="0" relativeHeight="252269568" behindDoc="0" locked="0" layoutInCell="1" allowOverlap="1" wp14:anchorId="2F30BE94" wp14:editId="4AA2A364">
                <wp:simplePos x="0" y="0"/>
                <wp:positionH relativeFrom="column">
                  <wp:posOffset>8229600</wp:posOffset>
                </wp:positionH>
                <wp:positionV relativeFrom="paragraph">
                  <wp:posOffset>63500</wp:posOffset>
                </wp:positionV>
                <wp:extent cx="914400" cy="914400"/>
                <wp:effectExtent l="0" t="0" r="0" b="0"/>
                <wp:wrapThrough wrapText="bothSides">
                  <wp:wrapPolygon edited="0">
                    <wp:start x="6000" y="1800"/>
                    <wp:lineTo x="6000" y="3600"/>
                    <wp:lineTo x="1200" y="12600"/>
                    <wp:lineTo x="5400" y="18600"/>
                    <wp:lineTo x="6000" y="19800"/>
                    <wp:lineTo x="15000" y="19800"/>
                    <wp:lineTo x="19800" y="15600"/>
                    <wp:lineTo x="19800" y="9000"/>
                    <wp:lineTo x="15000" y="1800"/>
                    <wp:lineTo x="6000" y="1800"/>
                  </wp:wrapPolygon>
                </wp:wrapThrough>
                <wp:docPr id="281" name="Croix 281"/>
                <wp:cNvGraphicFramePr/>
                <a:graphic xmlns:a="http://schemas.openxmlformats.org/drawingml/2006/main">
                  <a:graphicData uri="http://schemas.microsoft.com/office/word/2010/wordprocessingShape">
                    <wps:wsp>
                      <wps:cNvSpPr/>
                      <wps:spPr>
                        <a:xfrm>
                          <a:off x="0" y="0"/>
                          <a:ext cx="914400" cy="914400"/>
                        </a:xfrm>
                        <a:prstGeom prst="mathPlus">
                          <a:avLst/>
                        </a:prstGeom>
                        <a:solidFill>
                          <a:schemeClr val="bg1">
                            <a:lumMod val="65000"/>
                          </a:schemeClr>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id="Croix 281" o:spid="_x0000_s1026" style="position:absolute;margin-left:9in;margin-top:5pt;width:1in;height:1in;z-index:252269568;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" path="m121204,349667l349667,349667,349667,121204,564733,121204,564733,349667,793196,349667,793196,564733,564733,564733,564733,793196,349667,793196,349667,564733,121204,564733,121204,349667xe" fillcolor="#a5a5a5 [2092]" strokecolor="green" strokeweight="2.25pt">
                <v:path arrowok="t" o:connecttype="custom" o:connectlocs="121204,349667;349667,349667;349667,121204;564733,121204;564733,349667;793196,349667;793196,564733;564733,564733;564733,793196;349667,793196;349667,564733;121204,564733;121204,349667" o:connectangles="0,0,0,0,0,0,0,0,0,0,0,0,0"/>
                <w10:wrap type="through"/>
              </v:shape>
            </w:pict>
          </mc:Fallback>
        </mc:AlternateContent>
      </w:r>
    </w:p>
    <w:p w14:paraId="657BCF67" w14:textId="5D65F8D9" w:rsidR="00F23E8E" w:rsidRDefault="00F23E8E" w:rsidP="00F23E8E"/>
    <w:p w14:paraId="59D093B6" w14:textId="35E41B50" w:rsidR="00F23E8E" w:rsidRDefault="00F23E8E" w:rsidP="00F23E8E"/>
    <w:p w14:paraId="245ACC69" w14:textId="7A40A340" w:rsidR="00675F47" w:rsidRDefault="00675F47" w:rsidP="00F23E8E"/>
    <w:p w14:paraId="4A60A7DE" w14:textId="410C5516" w:rsidR="00675F47" w:rsidRDefault="00675F47" w:rsidP="00F23E8E"/>
    <w:p w14:paraId="7914D3AD" w14:textId="77777777" w:rsidR="00675F47" w:rsidRDefault="00675F47" w:rsidP="00F23E8E"/>
    <w:p w14:paraId="2F09807F" w14:textId="77777777" w:rsidR="00675F47" w:rsidRDefault="00675F47" w:rsidP="00F23E8E"/>
    <w:p w14:paraId="1A934A4D" w14:textId="701EF84C" w:rsidR="00675F47" w:rsidRDefault="00675F47" w:rsidP="00F23E8E"/>
    <w:p w14:paraId="1F962E5D" w14:textId="6006D3D7" w:rsidR="00675F47" w:rsidRDefault="00675F47" w:rsidP="00F23E8E"/>
    <w:p w14:paraId="5F7D56B6" w14:textId="45972C51" w:rsidR="00675F47" w:rsidRDefault="009C6A7E" w:rsidP="00F23E8E">
      <w:r>
        <w:rPr>
          <w:noProof/>
          <w:lang w:eastAsia="fr-FR"/>
        </w:rPr>
        <mc:AlternateContent>
          <mc:Choice Requires="wps">
            <w:drawing>
              <wp:anchor distT="0" distB="0" distL="114300" distR="114300" simplePos="0" relativeHeight="252268544" behindDoc="0" locked="0" layoutInCell="1" allowOverlap="1" wp14:anchorId="5957C1C3" wp14:editId="5C63060C">
                <wp:simplePos x="0" y="0"/>
                <wp:positionH relativeFrom="column">
                  <wp:posOffset>7772400</wp:posOffset>
                </wp:positionH>
                <wp:positionV relativeFrom="paragraph">
                  <wp:posOffset>96520</wp:posOffset>
                </wp:positionV>
                <wp:extent cx="457200" cy="457200"/>
                <wp:effectExtent l="0" t="0" r="25400" b="25400"/>
                <wp:wrapNone/>
                <wp:docPr id="280" name="Ellipse 28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5B4053C" w14:textId="6DF73382" w:rsidR="00573C95" w:rsidRDefault="00573C95" w:rsidP="00525C9B">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80" o:spid="_x0000_s1172" style="position:absolute;margin-left:612pt;margin-top:7.6pt;width:36pt;height:36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" fillcolor="black [3213]" strokecolor="white [3212]" strokeweight="1pt">
                <v:textbox>
                  <w:txbxContent>
                    <w:p w14:paraId="55B4053C" w14:textId="6DF73382" w:rsidR="001501D6" w:rsidRDefault="001501D6" w:rsidP="00525C9B">
                      <w:pPr>
                        <w:jc w:val="center"/>
                      </w:pPr>
                      <w:r>
                        <w:t>2</w:t>
                      </w:r>
                    </w:p>
                  </w:txbxContent>
                </v:textbox>
              </v:oval>
            </w:pict>
          </mc:Fallback>
        </mc:AlternateContent>
      </w:r>
      <w:r>
        <w:rPr>
          <w:noProof/>
          <w:lang w:eastAsia="fr-FR"/>
        </w:rPr>
        <mc:AlternateContent>
          <mc:Choice Requires="wps">
            <w:drawing>
              <wp:anchor distT="0" distB="0" distL="114300" distR="114300" simplePos="0" relativeHeight="252266496" behindDoc="0" locked="0" layoutInCell="1" allowOverlap="1" wp14:anchorId="20E93CB6" wp14:editId="5DEBE894">
                <wp:simplePos x="0" y="0"/>
                <wp:positionH relativeFrom="column">
                  <wp:posOffset>457200</wp:posOffset>
                </wp:positionH>
                <wp:positionV relativeFrom="paragraph">
                  <wp:posOffset>96520</wp:posOffset>
                </wp:positionV>
                <wp:extent cx="7772400" cy="3086100"/>
                <wp:effectExtent l="76200" t="76200" r="76200" b="63500"/>
                <wp:wrapNone/>
                <wp:docPr id="276" name="Rectangle à coins arrondis 276"/>
                <wp:cNvGraphicFramePr/>
                <a:graphic xmlns:a="http://schemas.openxmlformats.org/drawingml/2006/main">
                  <a:graphicData uri="http://schemas.microsoft.com/office/word/2010/wordprocessingShape">
                    <wps:wsp>
                      <wps:cNvSpPr/>
                      <wps:spPr>
                        <a:xfrm>
                          <a:off x="0" y="0"/>
                          <a:ext cx="7772400" cy="30861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C4256BC" w14:textId="77777777" w:rsidR="00573C95" w:rsidRPr="00525C9B" w:rsidRDefault="00573C95" w:rsidP="00525C9B">
                            <w:pPr>
                              <w:rPr>
                                <w:color w:val="000000"/>
                              </w:rPr>
                            </w:pPr>
                            <w:r w:rsidRPr="00525C9B">
                              <w:rPr>
                                <w:color w:val="000000"/>
                              </w:rPr>
                              <w:t>On retrouve trois variables dans ce calcul</w:t>
                            </w:r>
                          </w:p>
                          <w:p w14:paraId="68062C75" w14:textId="77777777" w:rsidR="00573C95" w:rsidRPr="00525C9B" w:rsidRDefault="00573C95" w:rsidP="00525C9B">
                            <w:pPr>
                              <w:rPr>
                                <w:color w:val="000000"/>
                              </w:rPr>
                            </w:pPr>
                          </w:p>
                          <w:p w14:paraId="55288E6D" w14:textId="66D9D5C6" w:rsidR="00573C95" w:rsidRDefault="00573C95" w:rsidP="006C34CF">
                            <w:pPr>
                              <w:pStyle w:val="Paragraphedeliste"/>
                              <w:numPr>
                                <w:ilvl w:val="0"/>
                                <w:numId w:val="37"/>
                              </w:numPr>
                              <w:rPr>
                                <w:color w:val="000000"/>
                              </w:rPr>
                            </w:pPr>
                            <w:r w:rsidRPr="00075A56">
                              <w:rPr>
                                <w:color w:val="000000"/>
                              </w:rPr>
                              <w:t>L'âge d</w:t>
                            </w:r>
                            <w:r>
                              <w:rPr>
                                <w:color w:val="000000"/>
                              </w:rPr>
                              <w:t>e la retraite sans pénalité actuarielle, au minimum les balises de la LIR, soit le moindre de:</w:t>
                            </w:r>
                          </w:p>
                          <w:p w14:paraId="54021F08" w14:textId="77777777" w:rsidR="00573C95" w:rsidRPr="00F42DC2" w:rsidRDefault="00573C95" w:rsidP="006C34CF">
                            <w:pPr>
                              <w:pStyle w:val="Paragraphedeliste"/>
                              <w:numPr>
                                <w:ilvl w:val="1"/>
                                <w:numId w:val="37"/>
                              </w:numPr>
                              <w:rPr>
                                <w:color w:val="000000"/>
                              </w:rPr>
                            </w:pPr>
                            <w:r w:rsidRPr="00F42DC2">
                              <w:rPr>
                                <w:color w:val="000000"/>
                              </w:rPr>
                              <w:t>60 ans (âge)</w:t>
                            </w:r>
                          </w:p>
                          <w:p w14:paraId="76D18E61" w14:textId="01F53C63" w:rsidR="00573C95" w:rsidRPr="00F42DC2" w:rsidRDefault="00573C95" w:rsidP="006C34CF">
                            <w:pPr>
                              <w:pStyle w:val="Paragraphedeliste"/>
                              <w:numPr>
                                <w:ilvl w:val="1"/>
                                <w:numId w:val="37"/>
                              </w:numPr>
                              <w:rPr>
                                <w:color w:val="000000"/>
                              </w:rPr>
                            </w:pPr>
                            <w:r>
                              <w:rPr>
                                <w:color w:val="000000"/>
                              </w:rPr>
                              <w:t xml:space="preserve">Âge après </w:t>
                            </w:r>
                            <w:r w:rsidRPr="00F42DC2">
                              <w:rPr>
                                <w:color w:val="000000"/>
                              </w:rPr>
                              <w:t>30 ans de service</w:t>
                            </w:r>
                          </w:p>
                          <w:p w14:paraId="64425E52" w14:textId="0318846E" w:rsidR="00573C95" w:rsidRDefault="00573C95" w:rsidP="006C34CF">
                            <w:pPr>
                              <w:pStyle w:val="Paragraphedeliste"/>
                              <w:numPr>
                                <w:ilvl w:val="1"/>
                                <w:numId w:val="37"/>
                              </w:numPr>
                              <w:rPr>
                                <w:color w:val="000000"/>
                              </w:rPr>
                            </w:pPr>
                            <w:r>
                              <w:rPr>
                                <w:color w:val="000000"/>
                              </w:rPr>
                              <w:t>Âge pour obtenir le f</w:t>
                            </w:r>
                            <w:r w:rsidRPr="00F42DC2">
                              <w:rPr>
                                <w:color w:val="000000"/>
                              </w:rPr>
                              <w:t>acteur de 80 (âge + service)</w:t>
                            </w:r>
                          </w:p>
                          <w:p w14:paraId="0FCE73C8" w14:textId="6C11CBB2" w:rsidR="00573C95" w:rsidRDefault="00573C95" w:rsidP="006C34CF">
                            <w:pPr>
                              <w:pStyle w:val="Paragraphedeliste"/>
                              <w:numPr>
                                <w:ilvl w:val="0"/>
                                <w:numId w:val="37"/>
                              </w:numPr>
                              <w:rPr>
                                <w:color w:val="000000"/>
                              </w:rPr>
                            </w:pPr>
                            <w:r w:rsidRPr="00075A56">
                              <w:rPr>
                                <w:color w:val="000000"/>
                              </w:rPr>
                              <w:t xml:space="preserve"> L'âge du contribuable</w:t>
                            </w:r>
                            <w:r>
                              <w:rPr>
                                <w:color w:val="000000"/>
                              </w:rPr>
                              <w:t xml:space="preserve"> au moment de la retraite</w:t>
                            </w:r>
                          </w:p>
                          <w:p w14:paraId="36309EB1" w14:textId="77777777" w:rsidR="00573C95" w:rsidRDefault="00573C95" w:rsidP="006C34CF">
                            <w:pPr>
                              <w:pStyle w:val="Paragraphedeliste"/>
                              <w:numPr>
                                <w:ilvl w:val="0"/>
                                <w:numId w:val="37"/>
                              </w:numPr>
                              <w:rPr>
                                <w:color w:val="000000"/>
                              </w:rPr>
                            </w:pPr>
                            <w:r w:rsidRPr="00525C9B">
                              <w:rPr>
                                <w:color w:val="000000"/>
                              </w:rPr>
                              <w:t>L</w:t>
                            </w:r>
                            <w:r>
                              <w:rPr>
                                <w:color w:val="000000"/>
                              </w:rPr>
                              <w:t>e pourcentage de la pénalité actuarielle annuelle (Minimum 3 %)</w:t>
                            </w:r>
                          </w:p>
                          <w:p w14:paraId="42322BAB" w14:textId="0244B369" w:rsidR="00573C95" w:rsidRPr="00AE0994" w:rsidRDefault="00573C95" w:rsidP="00AE0994">
                            <w:pPr>
                              <w:ind w:left="360"/>
                              <w:rPr>
                                <w:color w:val="000000"/>
                              </w:rPr>
                            </w:pPr>
                            <w:r w:rsidRPr="00AE0994">
                              <w:rPr>
                                <w:color w:val="000000"/>
                              </w:rPr>
                              <w:t xml:space="preserve"> </w:t>
                            </w:r>
                          </w:p>
                          <w:p w14:paraId="19C2270D" w14:textId="17A84903" w:rsidR="00573C95" w:rsidRPr="00525C9B" w:rsidRDefault="00573C95" w:rsidP="00525C9B">
                            <w:pPr>
                              <w:rPr>
                                <w:color w:val="000000"/>
                              </w:rPr>
                            </w:pPr>
                            <w:r w:rsidRPr="00525C9B">
                              <w:rPr>
                                <w:color w:val="000000"/>
                              </w:rPr>
                              <w:t xml:space="preserve">Le </w:t>
                            </w:r>
                            <w:r>
                              <w:rPr>
                                <w:color w:val="000000"/>
                              </w:rPr>
                              <w:t>calcul</w:t>
                            </w:r>
                            <w:r w:rsidRPr="00525C9B">
                              <w:rPr>
                                <w:color w:val="000000"/>
                              </w:rPr>
                              <w:t xml:space="preserve"> de la </w:t>
                            </w:r>
                            <w:r>
                              <w:rPr>
                                <w:color w:val="000000"/>
                              </w:rPr>
                              <w:t xml:space="preserve">pénalité actuarielle </w:t>
                            </w:r>
                            <w:r w:rsidRPr="00525C9B">
                              <w:rPr>
                                <w:color w:val="000000"/>
                              </w:rPr>
                              <w:t xml:space="preserve">s'effectue </w:t>
                            </w:r>
                            <w:r>
                              <w:rPr>
                                <w:color w:val="000000"/>
                              </w:rPr>
                              <w:t>de la manière suivante</w:t>
                            </w:r>
                            <w:r w:rsidRPr="00525C9B">
                              <w:rPr>
                                <w:color w:val="000000"/>
                              </w:rPr>
                              <w:t>.</w:t>
                            </w:r>
                          </w:p>
                          <w:p w14:paraId="4860CEBA" w14:textId="77777777" w:rsidR="00573C95" w:rsidRPr="00525C9B" w:rsidRDefault="00573C95" w:rsidP="00525C9B">
                            <w:pPr>
                              <w:rPr>
                                <w:color w:val="000000"/>
                              </w:rPr>
                            </w:pPr>
                          </w:p>
                          <w:p w14:paraId="72425C2B" w14:textId="3194886B" w:rsidR="00573C95" w:rsidRDefault="00573C95" w:rsidP="006C34CF">
                            <w:pPr>
                              <w:pStyle w:val="Paragraphedeliste"/>
                              <w:numPr>
                                <w:ilvl w:val="0"/>
                                <w:numId w:val="37"/>
                              </w:numPr>
                              <w:rPr>
                                <w:color w:val="000000"/>
                              </w:rPr>
                            </w:pPr>
                            <w:r>
                              <w:rPr>
                                <w:color w:val="000000"/>
                              </w:rPr>
                              <w:t>(</w:t>
                            </w:r>
                            <w:r w:rsidRPr="00075A56">
                              <w:rPr>
                                <w:color w:val="000000"/>
                              </w:rPr>
                              <w:t>L'âge</w:t>
                            </w:r>
                            <w:r>
                              <w:rPr>
                                <w:color w:val="000000"/>
                              </w:rPr>
                              <w:t xml:space="preserve"> sans pénalité actuarielle - </w:t>
                            </w:r>
                            <w:r w:rsidRPr="00075A56">
                              <w:rPr>
                                <w:color w:val="000000"/>
                              </w:rPr>
                              <w:t>L'âge</w:t>
                            </w:r>
                            <w:r>
                              <w:rPr>
                                <w:color w:val="000000"/>
                              </w:rPr>
                              <w:t xml:space="preserve"> au moment de la retraite) * </w:t>
                            </w:r>
                            <w:r w:rsidRPr="00525C9B">
                              <w:rPr>
                                <w:color w:val="000000"/>
                              </w:rPr>
                              <w:t>L</w:t>
                            </w:r>
                            <w:r>
                              <w:rPr>
                                <w:color w:val="000000"/>
                              </w:rPr>
                              <w:t>e pourcentage de la pénalité actuarielle annuelle</w:t>
                            </w:r>
                          </w:p>
                          <w:p w14:paraId="0144CE87" w14:textId="54F41736" w:rsidR="00573C95" w:rsidRDefault="00573C95" w:rsidP="00525C9B"/>
                          <w:p w14:paraId="47B3D2E8" w14:textId="77777777" w:rsidR="00573C95" w:rsidRDefault="00573C95" w:rsidP="00525C9B"/>
                          <w:p w14:paraId="58AEDB28" w14:textId="77777777" w:rsidR="00573C95" w:rsidRDefault="00573C95" w:rsidP="00525C9B"/>
                          <w:p w14:paraId="471A80C5" w14:textId="77777777" w:rsidR="00573C95" w:rsidRDefault="00573C95" w:rsidP="00525C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76" o:spid="_x0000_s1173" style="position:absolute;margin-left:36pt;margin-top:7.6pt;width:612pt;height:243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" fillcolor="#94c691" strokecolor="black [3213]">
                <v:textbox>
                  <w:txbxContent>
                    <w:p w14:paraId="0C4256BC" w14:textId="77777777" w:rsidR="001501D6" w:rsidRPr="00525C9B" w:rsidRDefault="001501D6" w:rsidP="00525C9B">
                      <w:pPr>
                        <w:rPr>
                          <w:color w:val="000000"/>
                        </w:rPr>
                      </w:pPr>
                      <w:r w:rsidRPr="00525C9B">
                        <w:rPr>
                          <w:color w:val="000000"/>
                        </w:rPr>
                        <w:t>On retrouve trois variables dans ce calcul</w:t>
                      </w:r>
                    </w:p>
                    <w:p w14:paraId="68062C75" w14:textId="77777777" w:rsidR="001501D6" w:rsidRPr="00525C9B" w:rsidRDefault="001501D6" w:rsidP="00525C9B">
                      <w:pPr>
                        <w:rPr>
                          <w:color w:val="000000"/>
                        </w:rPr>
                      </w:pPr>
                    </w:p>
                    <w:p w14:paraId="55288E6D" w14:textId="66D9D5C6" w:rsidR="001501D6" w:rsidRDefault="001501D6" w:rsidP="006C34CF">
                      <w:pPr>
                        <w:pStyle w:val="Paragraphedeliste"/>
                        <w:numPr>
                          <w:ilvl w:val="0"/>
                          <w:numId w:val="37"/>
                        </w:numPr>
                        <w:rPr>
                          <w:color w:val="000000"/>
                        </w:rPr>
                      </w:pPr>
                      <w:r w:rsidRPr="00075A56">
                        <w:rPr>
                          <w:color w:val="000000"/>
                        </w:rPr>
                        <w:t>L'âge d</w:t>
                      </w:r>
                      <w:r>
                        <w:rPr>
                          <w:color w:val="000000"/>
                        </w:rPr>
                        <w:t>e la retraite sans pénalité actuarielle, au minimum les balises de la LIR, soit le moindre de:</w:t>
                      </w:r>
                    </w:p>
                    <w:p w14:paraId="54021F08" w14:textId="77777777" w:rsidR="001501D6" w:rsidRPr="00F42DC2" w:rsidRDefault="001501D6" w:rsidP="006C34CF">
                      <w:pPr>
                        <w:pStyle w:val="Paragraphedeliste"/>
                        <w:numPr>
                          <w:ilvl w:val="1"/>
                          <w:numId w:val="37"/>
                        </w:numPr>
                        <w:rPr>
                          <w:color w:val="000000"/>
                        </w:rPr>
                      </w:pPr>
                      <w:r w:rsidRPr="00F42DC2">
                        <w:rPr>
                          <w:color w:val="000000"/>
                        </w:rPr>
                        <w:t>60 ans (âge)</w:t>
                      </w:r>
                    </w:p>
                    <w:p w14:paraId="76D18E61" w14:textId="01F53C63" w:rsidR="001501D6" w:rsidRPr="00F42DC2" w:rsidRDefault="001501D6" w:rsidP="006C34CF">
                      <w:pPr>
                        <w:pStyle w:val="Paragraphedeliste"/>
                        <w:numPr>
                          <w:ilvl w:val="1"/>
                          <w:numId w:val="37"/>
                        </w:numPr>
                        <w:rPr>
                          <w:color w:val="000000"/>
                        </w:rPr>
                      </w:pPr>
                      <w:r>
                        <w:rPr>
                          <w:color w:val="000000"/>
                        </w:rPr>
                        <w:t xml:space="preserve">Âge après </w:t>
                      </w:r>
                      <w:r w:rsidRPr="00F42DC2">
                        <w:rPr>
                          <w:color w:val="000000"/>
                        </w:rPr>
                        <w:t>30 ans de service</w:t>
                      </w:r>
                    </w:p>
                    <w:p w14:paraId="64425E52" w14:textId="0318846E" w:rsidR="001501D6" w:rsidRDefault="001501D6" w:rsidP="006C34CF">
                      <w:pPr>
                        <w:pStyle w:val="Paragraphedeliste"/>
                        <w:numPr>
                          <w:ilvl w:val="1"/>
                          <w:numId w:val="37"/>
                        </w:numPr>
                        <w:rPr>
                          <w:color w:val="000000"/>
                        </w:rPr>
                      </w:pPr>
                      <w:r>
                        <w:rPr>
                          <w:color w:val="000000"/>
                        </w:rPr>
                        <w:t>Âge pour obtenir le f</w:t>
                      </w:r>
                      <w:r w:rsidRPr="00F42DC2">
                        <w:rPr>
                          <w:color w:val="000000"/>
                        </w:rPr>
                        <w:t>acteur de 80 (âge + service)</w:t>
                      </w:r>
                    </w:p>
                    <w:p w14:paraId="0FCE73C8" w14:textId="6C11CBB2" w:rsidR="001501D6" w:rsidRDefault="001501D6" w:rsidP="006C34CF">
                      <w:pPr>
                        <w:pStyle w:val="Paragraphedeliste"/>
                        <w:numPr>
                          <w:ilvl w:val="0"/>
                          <w:numId w:val="37"/>
                        </w:numPr>
                        <w:rPr>
                          <w:color w:val="000000"/>
                        </w:rPr>
                      </w:pPr>
                      <w:r w:rsidRPr="00075A56">
                        <w:rPr>
                          <w:color w:val="000000"/>
                        </w:rPr>
                        <w:t xml:space="preserve"> L'âge du contribuable</w:t>
                      </w:r>
                      <w:r>
                        <w:rPr>
                          <w:color w:val="000000"/>
                        </w:rPr>
                        <w:t xml:space="preserve"> au moment de la retraite</w:t>
                      </w:r>
                    </w:p>
                    <w:p w14:paraId="36309EB1" w14:textId="77777777" w:rsidR="001501D6" w:rsidRDefault="001501D6" w:rsidP="006C34CF">
                      <w:pPr>
                        <w:pStyle w:val="Paragraphedeliste"/>
                        <w:numPr>
                          <w:ilvl w:val="0"/>
                          <w:numId w:val="37"/>
                        </w:numPr>
                        <w:rPr>
                          <w:color w:val="000000"/>
                        </w:rPr>
                      </w:pPr>
                      <w:r w:rsidRPr="00525C9B">
                        <w:rPr>
                          <w:color w:val="000000"/>
                        </w:rPr>
                        <w:t>L</w:t>
                      </w:r>
                      <w:r>
                        <w:rPr>
                          <w:color w:val="000000"/>
                        </w:rPr>
                        <w:t>e pourcentage de la pénalité actuarielle annuelle (Minimum 3 %)</w:t>
                      </w:r>
                    </w:p>
                    <w:p w14:paraId="42322BAB" w14:textId="0244B369" w:rsidR="001501D6" w:rsidRPr="00AE0994" w:rsidRDefault="001501D6" w:rsidP="00AE0994">
                      <w:pPr>
                        <w:ind w:left="360"/>
                        <w:rPr>
                          <w:color w:val="000000"/>
                        </w:rPr>
                      </w:pPr>
                      <w:r w:rsidRPr="00AE0994">
                        <w:rPr>
                          <w:color w:val="000000"/>
                        </w:rPr>
                        <w:t xml:space="preserve"> </w:t>
                      </w:r>
                    </w:p>
                    <w:p w14:paraId="19C2270D" w14:textId="17A84903" w:rsidR="001501D6" w:rsidRPr="00525C9B" w:rsidRDefault="001501D6" w:rsidP="00525C9B">
                      <w:pPr>
                        <w:rPr>
                          <w:color w:val="000000"/>
                        </w:rPr>
                      </w:pPr>
                      <w:r w:rsidRPr="00525C9B">
                        <w:rPr>
                          <w:color w:val="000000"/>
                        </w:rPr>
                        <w:t xml:space="preserve">Le </w:t>
                      </w:r>
                      <w:r>
                        <w:rPr>
                          <w:color w:val="000000"/>
                        </w:rPr>
                        <w:t>calcul</w:t>
                      </w:r>
                      <w:r w:rsidRPr="00525C9B">
                        <w:rPr>
                          <w:color w:val="000000"/>
                        </w:rPr>
                        <w:t xml:space="preserve"> de la </w:t>
                      </w:r>
                      <w:r>
                        <w:rPr>
                          <w:color w:val="000000"/>
                        </w:rPr>
                        <w:t xml:space="preserve">pénalité actuarielle </w:t>
                      </w:r>
                      <w:r w:rsidRPr="00525C9B">
                        <w:rPr>
                          <w:color w:val="000000"/>
                        </w:rPr>
                        <w:t xml:space="preserve">s'effectue </w:t>
                      </w:r>
                      <w:r>
                        <w:rPr>
                          <w:color w:val="000000"/>
                        </w:rPr>
                        <w:t>de la manière suivante</w:t>
                      </w:r>
                      <w:r w:rsidRPr="00525C9B">
                        <w:rPr>
                          <w:color w:val="000000"/>
                        </w:rPr>
                        <w:t>.</w:t>
                      </w:r>
                    </w:p>
                    <w:p w14:paraId="4860CEBA" w14:textId="77777777" w:rsidR="001501D6" w:rsidRPr="00525C9B" w:rsidRDefault="001501D6" w:rsidP="00525C9B">
                      <w:pPr>
                        <w:rPr>
                          <w:color w:val="000000"/>
                        </w:rPr>
                      </w:pPr>
                    </w:p>
                    <w:p w14:paraId="72425C2B" w14:textId="3194886B" w:rsidR="001501D6" w:rsidRDefault="001501D6" w:rsidP="006C34CF">
                      <w:pPr>
                        <w:pStyle w:val="Paragraphedeliste"/>
                        <w:numPr>
                          <w:ilvl w:val="0"/>
                          <w:numId w:val="37"/>
                        </w:numPr>
                        <w:rPr>
                          <w:color w:val="000000"/>
                        </w:rPr>
                      </w:pPr>
                      <w:r>
                        <w:rPr>
                          <w:color w:val="000000"/>
                        </w:rPr>
                        <w:t>(</w:t>
                      </w:r>
                      <w:r w:rsidRPr="00075A56">
                        <w:rPr>
                          <w:color w:val="000000"/>
                        </w:rPr>
                        <w:t>L'âge</w:t>
                      </w:r>
                      <w:r>
                        <w:rPr>
                          <w:color w:val="000000"/>
                        </w:rPr>
                        <w:t xml:space="preserve"> sans pénalité actuarielle - </w:t>
                      </w:r>
                      <w:r w:rsidRPr="00075A56">
                        <w:rPr>
                          <w:color w:val="000000"/>
                        </w:rPr>
                        <w:t>L'âge</w:t>
                      </w:r>
                      <w:r>
                        <w:rPr>
                          <w:color w:val="000000"/>
                        </w:rPr>
                        <w:t xml:space="preserve"> au moment de la retraite) * </w:t>
                      </w:r>
                      <w:r w:rsidRPr="00525C9B">
                        <w:rPr>
                          <w:color w:val="000000"/>
                        </w:rPr>
                        <w:t>L</w:t>
                      </w:r>
                      <w:r>
                        <w:rPr>
                          <w:color w:val="000000"/>
                        </w:rPr>
                        <w:t>e pourcentage de la pénalité actuarielle annuelle</w:t>
                      </w:r>
                    </w:p>
                    <w:p w14:paraId="0144CE87" w14:textId="54F41736" w:rsidR="001501D6" w:rsidRDefault="001501D6" w:rsidP="00525C9B"/>
                    <w:p w14:paraId="47B3D2E8" w14:textId="77777777" w:rsidR="001501D6" w:rsidRDefault="001501D6" w:rsidP="00525C9B"/>
                    <w:p w14:paraId="58AEDB28" w14:textId="77777777" w:rsidR="001501D6" w:rsidRDefault="001501D6" w:rsidP="00525C9B"/>
                    <w:p w14:paraId="471A80C5" w14:textId="77777777" w:rsidR="001501D6" w:rsidRDefault="001501D6" w:rsidP="00525C9B"/>
                  </w:txbxContent>
                </v:textbox>
              </v:roundrect>
            </w:pict>
          </mc:Fallback>
        </mc:AlternateContent>
      </w:r>
    </w:p>
    <w:p w14:paraId="66747568" w14:textId="4E0F8CBE" w:rsidR="00675F47" w:rsidRDefault="00675F47" w:rsidP="00F23E8E"/>
    <w:p w14:paraId="1CC90933" w14:textId="32680434" w:rsidR="00675F47" w:rsidRDefault="00675F47" w:rsidP="00F23E8E"/>
    <w:p w14:paraId="6772AB03" w14:textId="0097BF30" w:rsidR="00675F47" w:rsidRDefault="009C6A7E" w:rsidP="00F23E8E">
      <w:r>
        <w:rPr>
          <w:noProof/>
          <w:lang w:eastAsia="fr-FR"/>
        </w:rPr>
        <mc:AlternateContent>
          <mc:Choice Requires="wps">
            <w:drawing>
              <wp:anchor distT="0" distB="0" distL="114300" distR="114300" simplePos="0" relativeHeight="252267520" behindDoc="0" locked="0" layoutInCell="1" allowOverlap="1" wp14:anchorId="374424C6" wp14:editId="5FE048EC">
                <wp:simplePos x="0" y="0"/>
                <wp:positionH relativeFrom="column">
                  <wp:posOffset>-685800</wp:posOffset>
                </wp:positionH>
                <wp:positionV relativeFrom="paragraph">
                  <wp:posOffset>107315</wp:posOffset>
                </wp:positionV>
                <wp:extent cx="1485265" cy="1485900"/>
                <wp:effectExtent l="0" t="0" r="13335" b="38100"/>
                <wp:wrapNone/>
                <wp:docPr id="279" name="Ellipse 279"/>
                <wp:cNvGraphicFramePr/>
                <a:graphic xmlns:a="http://schemas.openxmlformats.org/drawingml/2006/main">
                  <a:graphicData uri="http://schemas.microsoft.com/office/word/2010/wordprocessingShape">
                    <wps:wsp>
                      <wps:cNvSpPr/>
                      <wps:spPr>
                        <a:xfrm>
                          <a:off x="0" y="0"/>
                          <a:ext cx="1485265" cy="14859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FCEAD31" w14:textId="75EC49E4" w:rsidR="00573C95" w:rsidRDefault="00573C95" w:rsidP="00525C9B">
                            <w:pPr>
                              <w:jc w:val="center"/>
                            </w:pPr>
                            <w:r>
                              <w:t>Calcul de la pénalité actuarielle, si applicable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79" o:spid="_x0000_s1174" style="position:absolute;margin-left:-53.95pt;margin-top:8.45pt;width:116.95pt;height:117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" fillcolor="black [3213]" strokecolor="white [3212]" strokeweight="1pt">
                <v:textbox>
                  <w:txbxContent>
                    <w:p w14:paraId="5FCEAD31" w14:textId="75EC49E4" w:rsidR="001501D6" w:rsidRDefault="001501D6" w:rsidP="00525C9B">
                      <w:pPr>
                        <w:jc w:val="center"/>
                      </w:pPr>
                      <w:r>
                        <w:t>Calcul de la pénalité actuarielle, si applicable</w:t>
                      </w:r>
                    </w:p>
                  </w:txbxContent>
                </v:textbox>
              </v:oval>
            </w:pict>
          </mc:Fallback>
        </mc:AlternateContent>
      </w:r>
    </w:p>
    <w:p w14:paraId="351788DA" w14:textId="594E9218" w:rsidR="00675F47" w:rsidRDefault="00675F47" w:rsidP="00F23E8E"/>
    <w:p w14:paraId="62E9E936" w14:textId="0593CD69" w:rsidR="00675F47" w:rsidRDefault="009C6A7E" w:rsidP="00F23E8E">
      <w:r>
        <w:rPr>
          <w:noProof/>
          <w:lang w:eastAsia="fr-FR"/>
        </w:rPr>
        <mc:AlternateContent>
          <mc:Choice Requires="wps">
            <w:drawing>
              <wp:anchor distT="0" distB="0" distL="114300" distR="114300" simplePos="0" relativeHeight="252270592" behindDoc="0" locked="0" layoutInCell="1" allowOverlap="1" wp14:anchorId="07E0A18D" wp14:editId="3E465706">
                <wp:simplePos x="0" y="0"/>
                <wp:positionH relativeFrom="column">
                  <wp:posOffset>8229600</wp:posOffset>
                </wp:positionH>
                <wp:positionV relativeFrom="paragraph">
                  <wp:posOffset>76835</wp:posOffset>
                </wp:positionV>
                <wp:extent cx="914400" cy="914400"/>
                <wp:effectExtent l="0" t="0" r="0" b="0"/>
                <wp:wrapThrough wrapText="bothSides">
                  <wp:wrapPolygon edited="0">
                    <wp:start x="1200" y="6600"/>
                    <wp:lineTo x="1200" y="14400"/>
                    <wp:lineTo x="19800" y="14400"/>
                    <wp:lineTo x="19800" y="6600"/>
                    <wp:lineTo x="1200" y="6600"/>
                  </wp:wrapPolygon>
                </wp:wrapThrough>
                <wp:docPr id="282" name="Moins 282"/>
                <wp:cNvGraphicFramePr/>
                <a:graphic xmlns:a="http://schemas.openxmlformats.org/drawingml/2006/main">
                  <a:graphicData uri="http://schemas.microsoft.com/office/word/2010/wordprocessingShape">
                    <wps:wsp>
                      <wps:cNvSpPr/>
                      <wps:spPr>
                        <a:xfrm>
                          <a:off x="0" y="0"/>
                          <a:ext cx="914400" cy="9144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id="Moins 282" o:spid="_x0000_s1026" style="position:absolute;margin-left:9in;margin-top:6.05pt;width:1in;height:1in;z-index:252270592;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" path="m121204,349667l793196,349667,793196,564733,121204,564733,121204,349667xe" fillcolor="#a6a6a6" strokecolor="maroon" strokeweight="2.25pt">
                <v:path arrowok="t" o:connecttype="custom" o:connectlocs="121204,349667;793196,349667;793196,564733;121204,564733;121204,349667" o:connectangles="0,0,0,0,0"/>
                <w10:wrap type="through"/>
              </v:shape>
            </w:pict>
          </mc:Fallback>
        </mc:AlternateContent>
      </w:r>
    </w:p>
    <w:p w14:paraId="42A4AA8A" w14:textId="45270912" w:rsidR="00675F47" w:rsidRDefault="00675F47">
      <w:r>
        <w:br w:type="page"/>
      </w:r>
    </w:p>
    <w:p w14:paraId="2824EA70" w14:textId="3033A47D" w:rsidR="00525C9B" w:rsidRDefault="00ED6ACE" w:rsidP="00A60C77">
      <w:pPr>
        <w:ind w:left="360"/>
      </w:pPr>
      <w:r>
        <w:rPr>
          <w:noProof/>
          <w:lang w:eastAsia="fr-FR"/>
        </w:rPr>
        <w:lastRenderedPageBreak/>
        <mc:AlternateContent>
          <mc:Choice Requires="wps">
            <w:drawing>
              <wp:anchor distT="0" distB="0" distL="114300" distR="114300" simplePos="0" relativeHeight="252302336" behindDoc="0" locked="0" layoutInCell="1" allowOverlap="1" wp14:anchorId="4307D4FE" wp14:editId="1AD5F2C6">
                <wp:simplePos x="0" y="0"/>
                <wp:positionH relativeFrom="column">
                  <wp:posOffset>2857500</wp:posOffset>
                </wp:positionH>
                <wp:positionV relativeFrom="paragraph">
                  <wp:posOffset>5372100</wp:posOffset>
                </wp:positionV>
                <wp:extent cx="800100" cy="571500"/>
                <wp:effectExtent l="76200" t="76200" r="38100" b="63500"/>
                <wp:wrapThrough wrapText="bothSides">
                  <wp:wrapPolygon edited="0">
                    <wp:start x="11657" y="-2880"/>
                    <wp:lineTo x="-2057" y="-960"/>
                    <wp:lineTo x="-2057" y="14400"/>
                    <wp:lineTo x="10971" y="21120"/>
                    <wp:lineTo x="11657" y="23040"/>
                    <wp:lineTo x="15771" y="23040"/>
                    <wp:lineTo x="16457" y="21120"/>
                    <wp:lineTo x="21943" y="12480"/>
                    <wp:lineTo x="19886" y="5760"/>
                    <wp:lineTo x="15771" y="-2880"/>
                    <wp:lineTo x="11657" y="-2880"/>
                  </wp:wrapPolygon>
                </wp:wrapThrough>
                <wp:docPr id="304" name="Flèche vers la droite 304"/>
                <wp:cNvGraphicFramePr/>
                <a:graphic xmlns:a="http://schemas.openxmlformats.org/drawingml/2006/main">
                  <a:graphicData uri="http://schemas.microsoft.com/office/word/2010/wordprocessingShape">
                    <wps:wsp>
                      <wps:cNvSpPr/>
                      <wps:spPr>
                        <a:xfrm>
                          <a:off x="0" y="0"/>
                          <a:ext cx="800100" cy="571500"/>
                        </a:xfrm>
                        <a:prstGeom prst="rightArrow">
                          <a:avLst/>
                        </a:prstGeom>
                        <a:solidFill>
                          <a:schemeClr val="tx1"/>
                        </a:solidFill>
                        <a:ln>
                          <a:solidFill>
                            <a:schemeClr val="bg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7054B9E" w14:textId="5FFDD118" w:rsidR="00573C95" w:rsidRDefault="00573C95" w:rsidP="00ED6ACE">
                            <w:pPr>
                              <w:jc w:val="center"/>
                            </w:pPr>
                            <w:r>
                              <w:t>2015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304" o:spid="_x0000_s1175" type="#_x0000_t13" style="position:absolute;left:0;text-align:left;margin-left:225pt;margin-top:423pt;width:63pt;height:4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" adj="13886" fillcolor="black [3213]" strokecolor="white [3212]">
                <v:textbox>
                  <w:txbxContent>
                    <w:p w14:paraId="27054B9E" w14:textId="5FFDD118" w:rsidR="001501D6" w:rsidRDefault="001501D6" w:rsidP="00ED6ACE">
                      <w:pPr>
                        <w:jc w:val="center"/>
                      </w:pPr>
                      <w:r>
                        <w:t>2015</w:t>
                      </w:r>
                    </w:p>
                  </w:txbxContent>
                </v:textbox>
                <w10:wrap type="through"/>
              </v:shape>
            </w:pict>
          </mc:Fallback>
        </mc:AlternateContent>
      </w:r>
      <w:r w:rsidR="005167EB">
        <w:rPr>
          <w:noProof/>
          <w:lang w:eastAsia="fr-FR"/>
        </w:rPr>
        <mc:AlternateContent>
          <mc:Choice Requires="wps">
            <w:drawing>
              <wp:anchor distT="0" distB="0" distL="114300" distR="114300" simplePos="0" relativeHeight="252290048" behindDoc="0" locked="0" layoutInCell="1" allowOverlap="1" wp14:anchorId="44D98283" wp14:editId="1CCF5B3E">
                <wp:simplePos x="0" y="0"/>
                <wp:positionH relativeFrom="column">
                  <wp:posOffset>342900</wp:posOffset>
                </wp:positionH>
                <wp:positionV relativeFrom="paragraph">
                  <wp:posOffset>6057900</wp:posOffset>
                </wp:positionV>
                <wp:extent cx="7772400" cy="914400"/>
                <wp:effectExtent l="0" t="0" r="0" b="0"/>
                <wp:wrapSquare wrapText="bothSides"/>
                <wp:docPr id="294" name="Zone de texte 294"/>
                <wp:cNvGraphicFramePr/>
                <a:graphic xmlns:a="http://schemas.openxmlformats.org/drawingml/2006/main">
                  <a:graphicData uri="http://schemas.microsoft.com/office/word/2010/wordprocessingShape">
                    <wps:wsp>
                      <wps:cNvSpPr txBox="1"/>
                      <wps:spPr>
                        <a:xfrm>
                          <a:off x="0" y="0"/>
                          <a:ext cx="77724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51D59D" w14:textId="25D33A07" w:rsidR="00573C95" w:rsidRDefault="00573C95">
                            <w:r>
                              <w:t>Il faut noter que s’il y a une pénalité actuarielle qui s’applique au calcul de la rente de retraite, celle-ci aura un effet permanent jusqu’au décès du contribuable et de son conjoint.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94" o:spid="_x0000_s1176" type="#_x0000_t202" style="position:absolute;left:0;text-align:left;margin-left:27pt;margin-top:477pt;width:612pt;height:1in;z-index:25229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" filled="f" stroked="f">
                <v:textbox>
                  <w:txbxContent>
                    <w:p w14:paraId="6951D59D" w14:textId="25D33A07" w:rsidR="001501D6" w:rsidRDefault="001501D6">
                      <w:r>
                        <w:t>Il faut noter que s’il y a une pénalité actuarielle qui s’applique au calcul de la rente de retraite, celle-ci aura un effet permanent jusqu’au décès du contribuable et de son conjoint.</w:t>
                      </w:r>
                    </w:p>
                  </w:txbxContent>
                </v:textbox>
                <w10:wrap type="square"/>
              </v:shape>
            </w:pict>
          </mc:Fallback>
        </mc:AlternateContent>
      </w:r>
      <w:r w:rsidR="005167EB">
        <w:rPr>
          <w:noProof/>
          <w:lang w:eastAsia="fr-FR"/>
        </w:rPr>
        <mc:AlternateContent>
          <mc:Choice Requires="wps">
            <w:drawing>
              <wp:anchor distT="0" distB="0" distL="114300" distR="114300" simplePos="0" relativeHeight="252296192" behindDoc="0" locked="0" layoutInCell="1" allowOverlap="1" wp14:anchorId="096A3016" wp14:editId="59EC0DAC">
                <wp:simplePos x="0" y="0"/>
                <wp:positionH relativeFrom="column">
                  <wp:posOffset>7886700</wp:posOffset>
                </wp:positionH>
                <wp:positionV relativeFrom="paragraph">
                  <wp:posOffset>4800600</wp:posOffset>
                </wp:positionV>
                <wp:extent cx="457200" cy="457200"/>
                <wp:effectExtent l="0" t="0" r="25400" b="25400"/>
                <wp:wrapNone/>
                <wp:docPr id="300" name="Ellipse 30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5574ACA" w14:textId="04A6C15C" w:rsidR="00573C95" w:rsidRDefault="00573C95" w:rsidP="00D60030">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0" o:spid="_x0000_s1177" style="position:absolute;left:0;text-align:left;margin-left:621pt;margin-top:378pt;width:36pt;height:36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" fillcolor="black [3213]" strokecolor="white [3212]" strokeweight="1pt">
                <v:textbox>
                  <w:txbxContent>
                    <w:p w14:paraId="05574ACA" w14:textId="04A6C15C" w:rsidR="001501D6" w:rsidRDefault="001501D6" w:rsidP="00D60030">
                      <w:pPr>
                        <w:jc w:val="center"/>
                      </w:pPr>
                      <w:r>
                        <w:t>6</w:t>
                      </w:r>
                    </w:p>
                  </w:txbxContent>
                </v:textbox>
              </v:oval>
            </w:pict>
          </mc:Fallback>
        </mc:AlternateContent>
      </w:r>
      <w:r w:rsidR="005167EB">
        <w:rPr>
          <w:noProof/>
          <w:lang w:eastAsia="fr-FR"/>
        </w:rPr>
        <mc:AlternateContent>
          <mc:Choice Requires="wps">
            <w:drawing>
              <wp:anchor distT="0" distB="0" distL="114300" distR="114300" simplePos="0" relativeHeight="252298240" behindDoc="0" locked="0" layoutInCell="1" allowOverlap="1" wp14:anchorId="114757D5" wp14:editId="4FD56982">
                <wp:simplePos x="0" y="0"/>
                <wp:positionH relativeFrom="column">
                  <wp:posOffset>8343900</wp:posOffset>
                </wp:positionH>
                <wp:positionV relativeFrom="paragraph">
                  <wp:posOffset>4914900</wp:posOffset>
                </wp:positionV>
                <wp:extent cx="822960" cy="822960"/>
                <wp:effectExtent l="0" t="0" r="0" b="0"/>
                <wp:wrapThrough wrapText="bothSides">
                  <wp:wrapPolygon edited="0">
                    <wp:start x="667" y="2667"/>
                    <wp:lineTo x="667" y="18667"/>
                    <wp:lineTo x="20000" y="18667"/>
                    <wp:lineTo x="20000" y="2667"/>
                    <wp:lineTo x="667" y="2667"/>
                  </wp:wrapPolygon>
                </wp:wrapThrough>
                <wp:docPr id="302" name="Égal 302"/>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chemeClr val="bg1">
                            <a:lumMod val="65000"/>
                          </a:schemeClr>
                        </a:solidFill>
                        <a:ln w="28575"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Égal 302" o:spid="_x0000_s1026" style="position:absolute;margin-left:657pt;margin-top:387pt;width:64.8pt;height:64.8pt;z-index:252298240;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" path="m109083,169530l713877,169530,713877,363090,109083,363090,109083,169530xm109083,459870l713877,459870,713877,653430,109083,653430,109083,459870xe" fillcolor="#a5a5a5 [2092]" strokecolor="black [3213]" strokeweight="2.25pt">
                <v:path arrowok="t" o:connecttype="custom" o:connectlocs="109083,169530;713877,169530;713877,363090;109083,363090;109083,169530;109083,459870;713877,459870;713877,653430;109083,653430;109083,459870" o:connectangles="0,0,0,0,0,0,0,0,0,0"/>
                <w10:wrap type="through"/>
              </v:shape>
            </w:pict>
          </mc:Fallback>
        </mc:AlternateContent>
      </w:r>
      <w:r w:rsidR="005167EB">
        <w:rPr>
          <w:noProof/>
          <w:lang w:eastAsia="fr-FR"/>
        </w:rPr>
        <mc:AlternateContent>
          <mc:Choice Requires="wps">
            <w:drawing>
              <wp:anchor distT="0" distB="0" distL="114300" distR="114300" simplePos="0" relativeHeight="252294144" behindDoc="0" locked="0" layoutInCell="1" allowOverlap="1" wp14:anchorId="4C10A5AD" wp14:editId="493D7AE4">
                <wp:simplePos x="0" y="0"/>
                <wp:positionH relativeFrom="column">
                  <wp:posOffset>457200</wp:posOffset>
                </wp:positionH>
                <wp:positionV relativeFrom="paragraph">
                  <wp:posOffset>4914900</wp:posOffset>
                </wp:positionV>
                <wp:extent cx="7772400" cy="1028700"/>
                <wp:effectExtent l="76200" t="76200" r="76200" b="63500"/>
                <wp:wrapNone/>
                <wp:docPr id="298" name="Rectangle à coins arrondis 298"/>
                <wp:cNvGraphicFramePr/>
                <a:graphic xmlns:a="http://schemas.openxmlformats.org/drawingml/2006/main">
                  <a:graphicData uri="http://schemas.microsoft.com/office/word/2010/wordprocessingShape">
                    <wps:wsp>
                      <wps:cNvSpPr/>
                      <wps:spPr>
                        <a:xfrm>
                          <a:off x="0" y="0"/>
                          <a:ext cx="7772400" cy="1028700"/>
                        </a:xfrm>
                        <a:prstGeom prst="roundRect">
                          <a:avLst/>
                        </a:prstGeom>
                        <a:solidFill>
                          <a:srgbClr val="A6A6A6"/>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183CF5E" w14:textId="2AD2EC4E" w:rsidR="00573C95" w:rsidRDefault="00573C95" w:rsidP="00D60030">
                            <w:r>
                              <w:rPr>
                                <w:color w:val="000000"/>
                              </w:rPr>
                              <w:t>La valeur de la rente de retraite = Le moindre de</w:t>
                            </w:r>
                          </w:p>
                          <w:p w14:paraId="38B6FA3A" w14:textId="588A282E" w:rsidR="00573C95" w:rsidRPr="0032109F" w:rsidRDefault="00573C95" w:rsidP="006C34CF">
                            <w:pPr>
                              <w:pStyle w:val="Paragraphedeliste"/>
                              <w:numPr>
                                <w:ilvl w:val="0"/>
                                <w:numId w:val="39"/>
                              </w:numPr>
                              <w:rPr>
                                <w:color w:val="000000"/>
                              </w:rPr>
                            </w:pPr>
                            <w:r w:rsidRPr="0032109F">
                              <w:rPr>
                                <w:color w:val="000000"/>
                              </w:rPr>
                              <w:t>Le résultat obtenu après l’étape</w:t>
                            </w:r>
                          </w:p>
                          <w:p w14:paraId="78C032FD" w14:textId="552A5866" w:rsidR="00573C95" w:rsidRPr="0032109F" w:rsidRDefault="00573C95" w:rsidP="006C34CF">
                            <w:pPr>
                              <w:pStyle w:val="Paragraphedeliste"/>
                              <w:numPr>
                                <w:ilvl w:val="0"/>
                                <w:numId w:val="39"/>
                              </w:numPr>
                              <w:rPr>
                                <w:color w:val="000000"/>
                              </w:rPr>
                            </w:pPr>
                            <w:r w:rsidRPr="0032109F">
                              <w:rPr>
                                <w:color w:val="000000"/>
                              </w:rPr>
                              <w:t>Le maximum permis par la LIR</w:t>
                            </w:r>
                          </w:p>
                          <w:p w14:paraId="28F6FB94" w14:textId="01A0ACC6" w:rsidR="00573C95" w:rsidRPr="0032109F" w:rsidRDefault="00573C95" w:rsidP="005167EB">
                            <w:pPr>
                              <w:ind w:left="4247"/>
                              <w:rPr>
                                <w:color w:val="000000"/>
                              </w:rPr>
                            </w:pPr>
                            <w:r w:rsidRPr="0032109F">
                              <w:rPr>
                                <w:color w:val="000000"/>
                              </w:rPr>
                              <w:tab/>
                            </w:r>
                            <w:r w:rsidRPr="0032109F">
                              <w:rPr>
                                <w:color w:val="000000"/>
                              </w:rPr>
                              <w:tab/>
                              <w:t>(2 819 $ * nombre d'années de 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98" o:spid="_x0000_s1178" style="position:absolute;left:0;text-align:left;margin-left:36pt;margin-top:387pt;width:612pt;height:81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" fillcolor="#a6a6a6" strokecolor="black [3213]">
                <v:textbox>
                  <w:txbxContent>
                    <w:p w14:paraId="0183CF5E" w14:textId="2AD2EC4E" w:rsidR="001501D6" w:rsidRDefault="001501D6" w:rsidP="00D60030">
                      <w:r>
                        <w:rPr>
                          <w:color w:val="000000"/>
                        </w:rPr>
                        <w:t>La valeur de la rente de retraite = Le moindre de</w:t>
                      </w:r>
                    </w:p>
                    <w:p w14:paraId="38B6FA3A" w14:textId="588A282E" w:rsidR="001501D6" w:rsidRPr="0032109F" w:rsidRDefault="001501D6" w:rsidP="006C34CF">
                      <w:pPr>
                        <w:pStyle w:val="Paragraphedeliste"/>
                        <w:numPr>
                          <w:ilvl w:val="0"/>
                          <w:numId w:val="39"/>
                        </w:numPr>
                        <w:rPr>
                          <w:color w:val="000000"/>
                        </w:rPr>
                      </w:pPr>
                      <w:r w:rsidRPr="0032109F">
                        <w:rPr>
                          <w:color w:val="000000"/>
                        </w:rPr>
                        <w:t>Le résultat obtenu après l’étape</w:t>
                      </w:r>
                    </w:p>
                    <w:p w14:paraId="78C032FD" w14:textId="552A5866" w:rsidR="001501D6" w:rsidRPr="0032109F" w:rsidRDefault="001501D6" w:rsidP="006C34CF">
                      <w:pPr>
                        <w:pStyle w:val="Paragraphedeliste"/>
                        <w:numPr>
                          <w:ilvl w:val="0"/>
                          <w:numId w:val="39"/>
                        </w:numPr>
                        <w:rPr>
                          <w:color w:val="000000"/>
                        </w:rPr>
                      </w:pPr>
                      <w:r w:rsidRPr="0032109F">
                        <w:rPr>
                          <w:color w:val="000000"/>
                        </w:rPr>
                        <w:t>Le maximum permis par la LIR</w:t>
                      </w:r>
                    </w:p>
                    <w:p w14:paraId="28F6FB94" w14:textId="01A0ACC6" w:rsidR="001501D6" w:rsidRPr="0032109F" w:rsidRDefault="001501D6" w:rsidP="005167EB">
                      <w:pPr>
                        <w:ind w:left="4247"/>
                        <w:rPr>
                          <w:color w:val="000000"/>
                        </w:rPr>
                      </w:pPr>
                      <w:r w:rsidRPr="0032109F">
                        <w:rPr>
                          <w:color w:val="000000"/>
                        </w:rPr>
                        <w:tab/>
                      </w:r>
                      <w:r w:rsidRPr="0032109F">
                        <w:rPr>
                          <w:color w:val="000000"/>
                        </w:rPr>
                        <w:tab/>
                        <w:t>(2 819 $ * nombre d'années de service)</w:t>
                      </w:r>
                    </w:p>
                  </w:txbxContent>
                </v:textbox>
              </v:roundrect>
            </w:pict>
          </mc:Fallback>
        </mc:AlternateContent>
      </w:r>
      <w:r w:rsidR="005167EB">
        <w:rPr>
          <w:noProof/>
          <w:lang w:eastAsia="fr-FR"/>
        </w:rPr>
        <mc:AlternateContent>
          <mc:Choice Requires="wps">
            <w:drawing>
              <wp:anchor distT="0" distB="0" distL="114300" distR="114300" simplePos="0" relativeHeight="252300288" behindDoc="0" locked="0" layoutInCell="1" allowOverlap="1" wp14:anchorId="271CEC8C" wp14:editId="56A04E6D">
                <wp:simplePos x="0" y="0"/>
                <wp:positionH relativeFrom="column">
                  <wp:posOffset>6172200</wp:posOffset>
                </wp:positionH>
                <wp:positionV relativeFrom="paragraph">
                  <wp:posOffset>5029200</wp:posOffset>
                </wp:positionV>
                <wp:extent cx="457200" cy="457200"/>
                <wp:effectExtent l="0" t="0" r="25400" b="25400"/>
                <wp:wrapNone/>
                <wp:docPr id="303" name="Ellipse 30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78B7D53C" w14:textId="77777777" w:rsidR="00573C95" w:rsidRDefault="00573C95" w:rsidP="005167EB">
                            <w:pPr>
                              <w:jc w:val="center"/>
                            </w:pPr>
                            <w:r>
                              <w:t>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3" o:spid="_x0000_s1179" style="position:absolute;left:0;text-align:left;margin-left:486pt;margin-top:396pt;width:36pt;height:36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" fillcolor="black [3213]" strokecolor="white [3212]" strokeweight="1pt">
                <v:textbox>
                  <w:txbxContent>
                    <w:p w14:paraId="78B7D53C" w14:textId="77777777" w:rsidR="001501D6" w:rsidRDefault="001501D6" w:rsidP="005167EB">
                      <w:pPr>
                        <w:jc w:val="center"/>
                      </w:pPr>
                      <w:r>
                        <w:t>51</w:t>
                      </w:r>
                    </w:p>
                  </w:txbxContent>
                </v:textbox>
              </v:oval>
            </w:pict>
          </mc:Fallback>
        </mc:AlternateContent>
      </w:r>
      <w:r w:rsidR="00D60030">
        <w:rPr>
          <w:noProof/>
          <w:lang w:eastAsia="fr-FR"/>
        </w:rPr>
        <mc:AlternateContent>
          <mc:Choice Requires="wps">
            <w:drawing>
              <wp:anchor distT="0" distB="0" distL="114300" distR="114300" simplePos="0" relativeHeight="252295168" behindDoc="0" locked="0" layoutInCell="1" allowOverlap="1" wp14:anchorId="5AF34509" wp14:editId="5EED7E04">
                <wp:simplePos x="0" y="0"/>
                <wp:positionH relativeFrom="column">
                  <wp:posOffset>-800100</wp:posOffset>
                </wp:positionH>
                <wp:positionV relativeFrom="paragraph">
                  <wp:posOffset>4686300</wp:posOffset>
                </wp:positionV>
                <wp:extent cx="1371600" cy="1371600"/>
                <wp:effectExtent l="0" t="0" r="25400" b="25400"/>
                <wp:wrapNone/>
                <wp:docPr id="299" name="Ellipse 299"/>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895D576" w14:textId="65DB92EE" w:rsidR="00573C95" w:rsidRDefault="00573C95" w:rsidP="00D60030">
                            <w:pPr>
                              <w:jc w:val="center"/>
                            </w:pPr>
                            <w:r>
                              <w:t>Comparer la rente avec le maximum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99" o:spid="_x0000_s1180" style="position:absolute;left:0;text-align:left;margin-left:-62.95pt;margin-top:369pt;width:108pt;height:108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" fillcolor="black [3213]" strokecolor="white [3212]" strokeweight="1pt">
                <v:textbox>
                  <w:txbxContent>
                    <w:p w14:paraId="4895D576" w14:textId="65DB92EE" w:rsidR="001501D6" w:rsidRDefault="001501D6" w:rsidP="00D60030">
                      <w:pPr>
                        <w:jc w:val="center"/>
                      </w:pPr>
                      <w:r>
                        <w:t>Comparer la rente avec le maximum</w:t>
                      </w:r>
                    </w:p>
                  </w:txbxContent>
                </v:textbox>
              </v:oval>
            </w:pict>
          </mc:Fallback>
        </mc:AlternateContent>
      </w:r>
      <w:r w:rsidR="00DF3582">
        <w:rPr>
          <w:noProof/>
          <w:lang w:eastAsia="fr-FR"/>
        </w:rPr>
        <mc:AlternateContent>
          <mc:Choice Requires="wps">
            <w:drawing>
              <wp:anchor distT="0" distB="0" distL="114300" distR="114300" simplePos="0" relativeHeight="252282880" behindDoc="0" locked="0" layoutInCell="1" allowOverlap="1" wp14:anchorId="43F04C12" wp14:editId="58085829">
                <wp:simplePos x="0" y="0"/>
                <wp:positionH relativeFrom="column">
                  <wp:posOffset>457200</wp:posOffset>
                </wp:positionH>
                <wp:positionV relativeFrom="paragraph">
                  <wp:posOffset>3200400</wp:posOffset>
                </wp:positionV>
                <wp:extent cx="7772400" cy="1485900"/>
                <wp:effectExtent l="76200" t="76200" r="76200" b="63500"/>
                <wp:wrapNone/>
                <wp:docPr id="291" name="Rectangle à coins arrondis 291"/>
                <wp:cNvGraphicFramePr/>
                <a:graphic xmlns:a="http://schemas.openxmlformats.org/drawingml/2006/main">
                  <a:graphicData uri="http://schemas.microsoft.com/office/word/2010/wordprocessingShape">
                    <wps:wsp>
                      <wps:cNvSpPr/>
                      <wps:spPr>
                        <a:xfrm>
                          <a:off x="0" y="0"/>
                          <a:ext cx="7772400" cy="14859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9F8A3C1" w14:textId="77777777" w:rsidR="00573C95" w:rsidRDefault="00573C95" w:rsidP="00DF3582">
                            <w:pPr>
                              <w:rPr>
                                <w:color w:val="000000"/>
                              </w:rPr>
                            </w:pPr>
                            <w:r w:rsidRPr="00525C9B">
                              <w:rPr>
                                <w:color w:val="000000"/>
                              </w:rPr>
                              <w:t xml:space="preserve">Le </w:t>
                            </w:r>
                            <w:r>
                              <w:rPr>
                                <w:color w:val="000000"/>
                              </w:rPr>
                              <w:t>calcul</w:t>
                            </w:r>
                            <w:r w:rsidRPr="00525C9B">
                              <w:rPr>
                                <w:color w:val="000000"/>
                              </w:rPr>
                              <w:t xml:space="preserve"> de la </w:t>
                            </w:r>
                            <w:r>
                              <w:rPr>
                                <w:color w:val="000000"/>
                              </w:rPr>
                              <w:t>réduction de la rente suite à la synchronisation avec le RRQ s'ef</w:t>
                            </w:r>
                            <w:r w:rsidRPr="00525C9B">
                              <w:rPr>
                                <w:color w:val="000000"/>
                              </w:rPr>
                              <w:t xml:space="preserve">fectue </w:t>
                            </w:r>
                            <w:r>
                              <w:rPr>
                                <w:color w:val="000000"/>
                              </w:rPr>
                              <w:t xml:space="preserve">de la </w:t>
                            </w:r>
                          </w:p>
                          <w:p w14:paraId="7F8BDD00" w14:textId="72AEE533" w:rsidR="00573C95" w:rsidRPr="00525C9B" w:rsidRDefault="00573C95" w:rsidP="00DF3582">
                            <w:pPr>
                              <w:rPr>
                                <w:color w:val="000000"/>
                              </w:rPr>
                            </w:pPr>
                            <w:proofErr w:type="gramStart"/>
                            <w:r>
                              <w:rPr>
                                <w:color w:val="000000"/>
                              </w:rPr>
                              <w:t>manière</w:t>
                            </w:r>
                            <w:proofErr w:type="gramEnd"/>
                            <w:r>
                              <w:rPr>
                                <w:color w:val="000000"/>
                              </w:rPr>
                              <w:t xml:space="preserve"> suivante</w:t>
                            </w:r>
                            <w:r w:rsidRPr="00525C9B">
                              <w:rPr>
                                <w:color w:val="000000"/>
                              </w:rPr>
                              <w:t>.</w:t>
                            </w:r>
                          </w:p>
                          <w:p w14:paraId="7595668B" w14:textId="77777777" w:rsidR="00573C95" w:rsidRDefault="00573C95" w:rsidP="00DF3582">
                            <w:pPr>
                              <w:jc w:val="center"/>
                              <w:rPr>
                                <w:color w:val="000000"/>
                              </w:rPr>
                            </w:pPr>
                          </w:p>
                          <w:p w14:paraId="5EEC0ED6" w14:textId="77777777" w:rsidR="00573C95" w:rsidRPr="00BD06F2" w:rsidRDefault="00573C95" w:rsidP="00DF3582">
                            <w:pPr>
                              <w:jc w:val="center"/>
                              <w:rPr>
                                <w:color w:val="000000"/>
                              </w:rPr>
                            </w:pPr>
                            <w:r w:rsidRPr="00BD06F2">
                              <w:rPr>
                                <w:color w:val="000000"/>
                              </w:rPr>
                              <w:t>,7 % * nombre d'</w:t>
                            </w:r>
                            <w:r w:rsidRPr="00BD06F2">
                              <w:rPr>
                                <w:color w:val="000000"/>
                                <w:u w:val="single"/>
                              </w:rPr>
                              <w:t>années créditées</w:t>
                            </w:r>
                            <w:r>
                              <w:rPr>
                                <w:color w:val="000000"/>
                                <w:u w:val="single"/>
                              </w:rPr>
                              <w:t xml:space="preserve"> </w:t>
                            </w:r>
                            <w:r w:rsidRPr="00BD06F2">
                              <w:rPr>
                                <w:color w:val="000000"/>
                              </w:rPr>
                              <w:t xml:space="preserve">* (moindre du </w:t>
                            </w:r>
                            <w:r w:rsidRPr="00BD06F2">
                              <w:rPr>
                                <w:color w:val="000000"/>
                                <w:u w:val="single"/>
                              </w:rPr>
                              <w:t>MGA moyen</w:t>
                            </w:r>
                            <w:r w:rsidRPr="00BD06F2">
                              <w:rPr>
                                <w:color w:val="000000"/>
                              </w:rPr>
                              <w:t xml:space="preserve"> ou du </w:t>
                            </w:r>
                            <w:r w:rsidRPr="00BD06F2">
                              <w:rPr>
                                <w:color w:val="000000"/>
                                <w:u w:val="single"/>
                              </w:rPr>
                              <w:t>salaire final</w:t>
                            </w:r>
                            <w:r w:rsidRPr="00BD06F2">
                              <w:rPr>
                                <w:color w:val="000000"/>
                              </w:rPr>
                              <w:t>)</w:t>
                            </w:r>
                          </w:p>
                          <w:p w14:paraId="22727680" w14:textId="3D436E52" w:rsidR="00573C95" w:rsidRPr="00525C9B" w:rsidRDefault="00573C95" w:rsidP="00BD2484">
                            <w:pPr>
                              <w:rPr>
                                <w:color w:val="000000"/>
                              </w:rPr>
                            </w:pPr>
                          </w:p>
                          <w:p w14:paraId="1C38D4A9" w14:textId="77777777" w:rsidR="00573C95" w:rsidRDefault="00573C95" w:rsidP="00BD2484"/>
                          <w:p w14:paraId="4B4307CC" w14:textId="77777777" w:rsidR="00573C95" w:rsidRDefault="00573C95" w:rsidP="00BD2484"/>
                          <w:p w14:paraId="658F03FC" w14:textId="77777777" w:rsidR="00573C95" w:rsidRDefault="00573C95" w:rsidP="00BD2484"/>
                          <w:p w14:paraId="3A98C372" w14:textId="77777777" w:rsidR="00573C95" w:rsidRDefault="00573C95" w:rsidP="00BD24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91" o:spid="_x0000_s1181" style="position:absolute;left:0;text-align:left;margin-left:36pt;margin-top:252pt;width:612pt;height:117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" fillcolor="#94c691" strokecolor="black [3213]">
                <v:textbox>
                  <w:txbxContent>
                    <w:p w14:paraId="19F8A3C1" w14:textId="77777777" w:rsidR="001501D6" w:rsidRDefault="001501D6" w:rsidP="00DF3582">
                      <w:pPr>
                        <w:rPr>
                          <w:color w:val="000000"/>
                        </w:rPr>
                      </w:pPr>
                      <w:r w:rsidRPr="00525C9B">
                        <w:rPr>
                          <w:color w:val="000000"/>
                        </w:rPr>
                        <w:t xml:space="preserve">Le </w:t>
                      </w:r>
                      <w:r>
                        <w:rPr>
                          <w:color w:val="000000"/>
                        </w:rPr>
                        <w:t>calcul</w:t>
                      </w:r>
                      <w:r w:rsidRPr="00525C9B">
                        <w:rPr>
                          <w:color w:val="000000"/>
                        </w:rPr>
                        <w:t xml:space="preserve"> de la </w:t>
                      </w:r>
                      <w:r>
                        <w:rPr>
                          <w:color w:val="000000"/>
                        </w:rPr>
                        <w:t>réduction de la rente suite à la synchronisation avec le RRQ s'ef</w:t>
                      </w:r>
                      <w:r w:rsidRPr="00525C9B">
                        <w:rPr>
                          <w:color w:val="000000"/>
                        </w:rPr>
                        <w:t xml:space="preserve">fectue </w:t>
                      </w:r>
                      <w:r>
                        <w:rPr>
                          <w:color w:val="000000"/>
                        </w:rPr>
                        <w:t xml:space="preserve">de la </w:t>
                      </w:r>
                    </w:p>
                    <w:p w14:paraId="7F8BDD00" w14:textId="72AEE533" w:rsidR="001501D6" w:rsidRPr="00525C9B" w:rsidRDefault="001501D6" w:rsidP="00DF3582">
                      <w:pPr>
                        <w:rPr>
                          <w:color w:val="000000"/>
                        </w:rPr>
                      </w:pPr>
                      <w:proofErr w:type="gramStart"/>
                      <w:r>
                        <w:rPr>
                          <w:color w:val="000000"/>
                        </w:rPr>
                        <w:t>manière</w:t>
                      </w:r>
                      <w:proofErr w:type="gramEnd"/>
                      <w:r>
                        <w:rPr>
                          <w:color w:val="000000"/>
                        </w:rPr>
                        <w:t xml:space="preserve"> suivante</w:t>
                      </w:r>
                      <w:r w:rsidRPr="00525C9B">
                        <w:rPr>
                          <w:color w:val="000000"/>
                        </w:rPr>
                        <w:t>.</w:t>
                      </w:r>
                    </w:p>
                    <w:p w14:paraId="7595668B" w14:textId="77777777" w:rsidR="001501D6" w:rsidRDefault="001501D6" w:rsidP="00DF3582">
                      <w:pPr>
                        <w:jc w:val="center"/>
                        <w:rPr>
                          <w:color w:val="000000"/>
                        </w:rPr>
                      </w:pPr>
                    </w:p>
                    <w:p w14:paraId="5EEC0ED6" w14:textId="77777777" w:rsidR="001501D6" w:rsidRPr="00BD06F2" w:rsidRDefault="001501D6" w:rsidP="00DF3582">
                      <w:pPr>
                        <w:jc w:val="center"/>
                        <w:rPr>
                          <w:color w:val="000000"/>
                        </w:rPr>
                      </w:pPr>
                      <w:r w:rsidRPr="00BD06F2">
                        <w:rPr>
                          <w:color w:val="000000"/>
                        </w:rPr>
                        <w:t>,7 % * nombre d'</w:t>
                      </w:r>
                      <w:r w:rsidRPr="00BD06F2">
                        <w:rPr>
                          <w:color w:val="000000"/>
                          <w:u w:val="single"/>
                        </w:rPr>
                        <w:t>années créditées</w:t>
                      </w:r>
                      <w:r>
                        <w:rPr>
                          <w:color w:val="000000"/>
                          <w:u w:val="single"/>
                        </w:rPr>
                        <w:t xml:space="preserve"> </w:t>
                      </w:r>
                      <w:r w:rsidRPr="00BD06F2">
                        <w:rPr>
                          <w:color w:val="000000"/>
                        </w:rPr>
                        <w:t xml:space="preserve">* (moindre du </w:t>
                      </w:r>
                      <w:r w:rsidRPr="00BD06F2">
                        <w:rPr>
                          <w:color w:val="000000"/>
                          <w:u w:val="single"/>
                        </w:rPr>
                        <w:t>MGA moyen</w:t>
                      </w:r>
                      <w:r w:rsidRPr="00BD06F2">
                        <w:rPr>
                          <w:color w:val="000000"/>
                        </w:rPr>
                        <w:t xml:space="preserve"> ou du </w:t>
                      </w:r>
                      <w:r w:rsidRPr="00BD06F2">
                        <w:rPr>
                          <w:color w:val="000000"/>
                          <w:u w:val="single"/>
                        </w:rPr>
                        <w:t>salaire final</w:t>
                      </w:r>
                      <w:r w:rsidRPr="00BD06F2">
                        <w:rPr>
                          <w:color w:val="000000"/>
                        </w:rPr>
                        <w:t>)</w:t>
                      </w:r>
                    </w:p>
                    <w:p w14:paraId="22727680" w14:textId="3D436E52" w:rsidR="001501D6" w:rsidRPr="00525C9B" w:rsidRDefault="001501D6" w:rsidP="00BD2484">
                      <w:pPr>
                        <w:rPr>
                          <w:color w:val="000000"/>
                        </w:rPr>
                      </w:pPr>
                    </w:p>
                    <w:p w14:paraId="1C38D4A9" w14:textId="77777777" w:rsidR="001501D6" w:rsidRDefault="001501D6" w:rsidP="00BD2484"/>
                    <w:p w14:paraId="4B4307CC" w14:textId="77777777" w:rsidR="001501D6" w:rsidRDefault="001501D6" w:rsidP="00BD2484"/>
                    <w:p w14:paraId="658F03FC" w14:textId="77777777" w:rsidR="001501D6" w:rsidRDefault="001501D6" w:rsidP="00BD2484"/>
                    <w:p w14:paraId="3A98C372" w14:textId="77777777" w:rsidR="001501D6" w:rsidRDefault="001501D6" w:rsidP="00BD2484"/>
                  </w:txbxContent>
                </v:textbox>
              </v:roundrect>
            </w:pict>
          </mc:Fallback>
        </mc:AlternateContent>
      </w:r>
      <w:r w:rsidR="00DF3582">
        <w:rPr>
          <w:noProof/>
          <w:lang w:eastAsia="fr-FR"/>
        </w:rPr>
        <mc:AlternateContent>
          <mc:Choice Requires="wps">
            <w:drawing>
              <wp:anchor distT="0" distB="0" distL="114300" distR="114300" simplePos="0" relativeHeight="252283904" behindDoc="0" locked="0" layoutInCell="1" allowOverlap="1" wp14:anchorId="32DDBC93" wp14:editId="532B0EA3">
                <wp:simplePos x="0" y="0"/>
                <wp:positionH relativeFrom="column">
                  <wp:posOffset>-800100</wp:posOffset>
                </wp:positionH>
                <wp:positionV relativeFrom="paragraph">
                  <wp:posOffset>3200400</wp:posOffset>
                </wp:positionV>
                <wp:extent cx="1485900" cy="1485900"/>
                <wp:effectExtent l="0" t="0" r="38100" b="38100"/>
                <wp:wrapNone/>
                <wp:docPr id="292" name="Ellipse 292"/>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F0D69A1" w14:textId="494A4AED" w:rsidR="00573C95" w:rsidRDefault="00573C95" w:rsidP="00BD2484">
                            <w:pPr>
                              <w:jc w:val="center"/>
                            </w:pPr>
                            <w:r>
                              <w:t>Réduction suite à la synchro avec le RRQ à 65 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92" o:spid="_x0000_s1182" style="position:absolute;left:0;text-align:left;margin-left:-62.95pt;margin-top:252pt;width:117pt;height:117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" fillcolor="black [3213]" strokecolor="white [3212]" strokeweight="1pt">
                <v:textbox>
                  <w:txbxContent>
                    <w:p w14:paraId="2F0D69A1" w14:textId="494A4AED" w:rsidR="001501D6" w:rsidRDefault="001501D6" w:rsidP="00BD2484">
                      <w:pPr>
                        <w:jc w:val="center"/>
                      </w:pPr>
                      <w:r>
                        <w:t>Réduction suite à la synchro avec le RRQ à 65 ans</w:t>
                      </w:r>
                    </w:p>
                  </w:txbxContent>
                </v:textbox>
              </v:oval>
            </w:pict>
          </mc:Fallback>
        </mc:AlternateContent>
      </w:r>
      <w:r w:rsidR="00DF3582">
        <w:rPr>
          <w:noProof/>
          <w:lang w:eastAsia="fr-FR"/>
        </w:rPr>
        <mc:AlternateContent>
          <mc:Choice Requires="wps">
            <w:drawing>
              <wp:anchor distT="0" distB="0" distL="114300" distR="114300" simplePos="0" relativeHeight="252289024" behindDoc="0" locked="0" layoutInCell="1" allowOverlap="1" wp14:anchorId="0FD90F9D" wp14:editId="35DD52B7">
                <wp:simplePos x="0" y="0"/>
                <wp:positionH relativeFrom="column">
                  <wp:posOffset>8229600</wp:posOffset>
                </wp:positionH>
                <wp:positionV relativeFrom="paragraph">
                  <wp:posOffset>3314700</wp:posOffset>
                </wp:positionV>
                <wp:extent cx="914400" cy="914400"/>
                <wp:effectExtent l="0" t="0" r="0" b="0"/>
                <wp:wrapThrough wrapText="bothSides">
                  <wp:wrapPolygon edited="0">
                    <wp:start x="1200" y="6600"/>
                    <wp:lineTo x="1200" y="14400"/>
                    <wp:lineTo x="19800" y="14400"/>
                    <wp:lineTo x="19800" y="6600"/>
                    <wp:lineTo x="1200" y="6600"/>
                  </wp:wrapPolygon>
                </wp:wrapThrough>
                <wp:docPr id="296" name="Moins 296"/>
                <wp:cNvGraphicFramePr/>
                <a:graphic xmlns:a="http://schemas.openxmlformats.org/drawingml/2006/main">
                  <a:graphicData uri="http://schemas.microsoft.com/office/word/2010/wordprocessingShape">
                    <wps:wsp>
                      <wps:cNvSpPr/>
                      <wps:spPr>
                        <a:xfrm>
                          <a:off x="0" y="0"/>
                          <a:ext cx="914400" cy="9144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id="Moins 296" o:spid="_x0000_s1026" style="position:absolute;margin-left:9in;margin-top:261pt;width:1in;height:1in;z-index:252289024;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" path="m121204,349667l793196,349667,793196,564733,121204,564733,121204,349667xe" fillcolor="#a6a6a6" strokecolor="maroon" strokeweight="2.25pt">
                <v:path arrowok="t" o:connecttype="custom" o:connectlocs="121204,349667;793196,349667;793196,564733;121204,564733;121204,349667" o:connectangles="0,0,0,0,0"/>
                <w10:wrap type="through"/>
              </v:shape>
            </w:pict>
          </mc:Fallback>
        </mc:AlternateContent>
      </w:r>
      <w:r w:rsidR="00A60C77">
        <w:rPr>
          <w:noProof/>
          <w:lang w:eastAsia="fr-FR"/>
        </w:rPr>
        <mc:AlternateContent>
          <mc:Choice Requires="wps">
            <w:drawing>
              <wp:anchor distT="0" distB="0" distL="114300" distR="114300" simplePos="0" relativeHeight="252286976" behindDoc="0" locked="0" layoutInCell="1" allowOverlap="1" wp14:anchorId="5AFDD68C" wp14:editId="06BB059C">
                <wp:simplePos x="0" y="0"/>
                <wp:positionH relativeFrom="column">
                  <wp:posOffset>8229600</wp:posOffset>
                </wp:positionH>
                <wp:positionV relativeFrom="paragraph">
                  <wp:posOffset>1714500</wp:posOffset>
                </wp:positionV>
                <wp:extent cx="914400" cy="914400"/>
                <wp:effectExtent l="0" t="0" r="0" b="0"/>
                <wp:wrapThrough wrapText="bothSides">
                  <wp:wrapPolygon edited="0">
                    <wp:start x="1200" y="6600"/>
                    <wp:lineTo x="1200" y="14400"/>
                    <wp:lineTo x="19800" y="14400"/>
                    <wp:lineTo x="19800" y="6600"/>
                    <wp:lineTo x="1200" y="6600"/>
                  </wp:wrapPolygon>
                </wp:wrapThrough>
                <wp:docPr id="295" name="Moins 295"/>
                <wp:cNvGraphicFramePr/>
                <a:graphic xmlns:a="http://schemas.openxmlformats.org/drawingml/2006/main">
                  <a:graphicData uri="http://schemas.microsoft.com/office/word/2010/wordprocessingShape">
                    <wps:wsp>
                      <wps:cNvSpPr/>
                      <wps:spPr>
                        <a:xfrm>
                          <a:off x="0" y="0"/>
                          <a:ext cx="914400" cy="9144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id="Moins 295" o:spid="_x0000_s1026" style="position:absolute;margin-left:9in;margin-top:135pt;width:1in;height:1in;z-index:252286976;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" path="m121204,349667l793196,349667,793196,564733,121204,564733,121204,349667xe" fillcolor="#a6a6a6" strokecolor="maroon" strokeweight="2.25pt">
                <v:path arrowok="t" o:connecttype="custom" o:connectlocs="121204,349667;793196,349667;793196,564733;121204,564733;121204,349667" o:connectangles="0,0,0,0,0"/>
                <w10:wrap type="through"/>
              </v:shape>
            </w:pict>
          </mc:Fallback>
        </mc:AlternateContent>
      </w:r>
      <w:r w:rsidR="00BD2484">
        <w:rPr>
          <w:noProof/>
          <w:lang w:eastAsia="fr-FR"/>
        </w:rPr>
        <mc:AlternateContent>
          <mc:Choice Requires="wps">
            <w:drawing>
              <wp:anchor distT="0" distB="0" distL="114300" distR="114300" simplePos="0" relativeHeight="252284928" behindDoc="0" locked="0" layoutInCell="1" allowOverlap="1" wp14:anchorId="0A7A074E" wp14:editId="4FD2DDF4">
                <wp:simplePos x="0" y="0"/>
                <wp:positionH relativeFrom="column">
                  <wp:posOffset>7886700</wp:posOffset>
                </wp:positionH>
                <wp:positionV relativeFrom="paragraph">
                  <wp:posOffset>3200400</wp:posOffset>
                </wp:positionV>
                <wp:extent cx="457200" cy="457200"/>
                <wp:effectExtent l="0" t="0" r="25400" b="25400"/>
                <wp:wrapNone/>
                <wp:docPr id="293" name="Ellipse 29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1BC81B1" w14:textId="147D4802" w:rsidR="00573C95" w:rsidRDefault="00573C95" w:rsidP="00BD2484">
                            <w:pPr>
                              <w:jc w:val="center"/>
                            </w:pPr>
                            <w:r>
                              <w:t>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93" o:spid="_x0000_s1183" style="position:absolute;left:0;text-align:left;margin-left:621pt;margin-top:252pt;width:36pt;height:36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" fillcolor="black [3213]" strokecolor="white [3212]" strokeweight="1pt">
                <v:textbox>
                  <w:txbxContent>
                    <w:p w14:paraId="21BC81B1" w14:textId="147D4802" w:rsidR="001501D6" w:rsidRDefault="001501D6" w:rsidP="00BD2484">
                      <w:pPr>
                        <w:jc w:val="center"/>
                      </w:pPr>
                      <w:r>
                        <w:t>51</w:t>
                      </w:r>
                    </w:p>
                  </w:txbxContent>
                </v:textbox>
              </v:oval>
            </w:pict>
          </mc:Fallback>
        </mc:AlternateContent>
      </w:r>
      <w:r w:rsidR="00BD2484">
        <w:rPr>
          <w:noProof/>
          <w:lang w:eastAsia="fr-FR"/>
        </w:rPr>
        <mc:AlternateContent>
          <mc:Choice Requires="wps">
            <w:drawing>
              <wp:anchor distT="0" distB="0" distL="114300" distR="114300" simplePos="0" relativeHeight="252277760" behindDoc="0" locked="0" layoutInCell="1" allowOverlap="1" wp14:anchorId="2EB5B049" wp14:editId="6799C0E4">
                <wp:simplePos x="0" y="0"/>
                <wp:positionH relativeFrom="column">
                  <wp:posOffset>457200</wp:posOffset>
                </wp:positionH>
                <wp:positionV relativeFrom="paragraph">
                  <wp:posOffset>1371600</wp:posOffset>
                </wp:positionV>
                <wp:extent cx="7772400" cy="1600200"/>
                <wp:effectExtent l="76200" t="76200" r="76200" b="76200"/>
                <wp:wrapNone/>
                <wp:docPr id="287" name="Rectangle à coins arrondis 287"/>
                <wp:cNvGraphicFramePr/>
                <a:graphic xmlns:a="http://schemas.openxmlformats.org/drawingml/2006/main">
                  <a:graphicData uri="http://schemas.microsoft.com/office/word/2010/wordprocessingShape">
                    <wps:wsp>
                      <wps:cNvSpPr/>
                      <wps:spPr>
                        <a:xfrm>
                          <a:off x="0" y="0"/>
                          <a:ext cx="7772400" cy="16002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6CA7AA6" w14:textId="2F81B636" w:rsidR="00573C95" w:rsidRDefault="00573C95" w:rsidP="00BD2484">
                            <w:pPr>
                              <w:rPr>
                                <w:color w:val="000000"/>
                              </w:rPr>
                            </w:pPr>
                            <w:r>
                              <w:rPr>
                                <w:color w:val="000000"/>
                              </w:rPr>
                              <w:t>Le contribuable peut ajouter des clauses supplémentaires à son régime de base, par exemple:</w:t>
                            </w:r>
                          </w:p>
                          <w:p w14:paraId="30D00A46" w14:textId="77777777" w:rsidR="00573C95" w:rsidRPr="00525C9B" w:rsidRDefault="00573C95" w:rsidP="00BD2484">
                            <w:pPr>
                              <w:rPr>
                                <w:color w:val="000000"/>
                              </w:rPr>
                            </w:pPr>
                          </w:p>
                          <w:p w14:paraId="3826DC59" w14:textId="49581753" w:rsidR="00573C95" w:rsidRPr="00525C9B" w:rsidRDefault="00573C95" w:rsidP="006C34CF">
                            <w:pPr>
                              <w:pStyle w:val="Paragraphedeliste"/>
                              <w:numPr>
                                <w:ilvl w:val="0"/>
                                <w:numId w:val="37"/>
                              </w:numPr>
                              <w:rPr>
                                <w:color w:val="000000"/>
                              </w:rPr>
                            </w:pPr>
                            <w:r>
                              <w:rPr>
                                <w:color w:val="000000"/>
                              </w:rPr>
                              <w:t>Augmenter la rente réversible à 70 % au conjoint, en cas de décès</w:t>
                            </w:r>
                          </w:p>
                          <w:p w14:paraId="45E00FA8" w14:textId="1C68D3AA" w:rsidR="00573C95" w:rsidRDefault="00573C95" w:rsidP="006C34CF">
                            <w:pPr>
                              <w:pStyle w:val="Paragraphedeliste"/>
                              <w:numPr>
                                <w:ilvl w:val="0"/>
                                <w:numId w:val="37"/>
                              </w:numPr>
                              <w:rPr>
                                <w:color w:val="000000"/>
                              </w:rPr>
                            </w:pPr>
                            <w:r>
                              <w:rPr>
                                <w:color w:val="000000"/>
                              </w:rPr>
                              <w:t>Augmenter la rente garantie de 15 ans, en cas de décès</w:t>
                            </w:r>
                          </w:p>
                          <w:p w14:paraId="7C8CD2BB" w14:textId="417D560E" w:rsidR="00573C95" w:rsidRDefault="00573C95" w:rsidP="006C34CF">
                            <w:pPr>
                              <w:pStyle w:val="Paragraphedeliste"/>
                              <w:numPr>
                                <w:ilvl w:val="0"/>
                                <w:numId w:val="37"/>
                              </w:numPr>
                              <w:rPr>
                                <w:color w:val="000000"/>
                              </w:rPr>
                            </w:pPr>
                            <w:r>
                              <w:rPr>
                                <w:color w:val="000000"/>
                              </w:rPr>
                              <w:t>Prévoir une indexation de la rente de retraite (si elle n'est pas prévue au régime de base)</w:t>
                            </w:r>
                          </w:p>
                          <w:p w14:paraId="3FC58B41" w14:textId="77777777" w:rsidR="00573C95" w:rsidRDefault="00573C95" w:rsidP="00BD2484">
                            <w:pPr>
                              <w:rPr>
                                <w:color w:val="000000"/>
                              </w:rPr>
                            </w:pPr>
                          </w:p>
                          <w:p w14:paraId="187C13AF" w14:textId="552DFF43" w:rsidR="00573C95" w:rsidRPr="00525C9B" w:rsidRDefault="00573C95" w:rsidP="00BD2484">
                            <w:pPr>
                              <w:rPr>
                                <w:color w:val="000000"/>
                              </w:rPr>
                            </w:pPr>
                            <w:r w:rsidRPr="00525C9B">
                              <w:rPr>
                                <w:color w:val="000000"/>
                              </w:rPr>
                              <w:t>C</w:t>
                            </w:r>
                            <w:r>
                              <w:rPr>
                                <w:color w:val="000000"/>
                              </w:rPr>
                              <w:t>ette réduction de la rente de retraite suite à ces ajouts fait l'objet de calculs actuariels.</w:t>
                            </w:r>
                          </w:p>
                          <w:p w14:paraId="6B0BD698" w14:textId="77777777" w:rsidR="00573C95" w:rsidRDefault="00573C95" w:rsidP="00BD2484"/>
                          <w:p w14:paraId="403483FF" w14:textId="77777777" w:rsidR="00573C95" w:rsidRDefault="00573C95" w:rsidP="00BD2484"/>
                          <w:p w14:paraId="39B8B45D" w14:textId="77777777" w:rsidR="00573C95" w:rsidRDefault="00573C95" w:rsidP="00BD2484"/>
                          <w:p w14:paraId="7DEC2EBF" w14:textId="77777777" w:rsidR="00573C95" w:rsidRDefault="00573C95" w:rsidP="00BD24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87" o:spid="_x0000_s1184" style="position:absolute;left:0;text-align:left;margin-left:36pt;margin-top:108pt;width:612pt;height:126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" fillcolor="#94c691" strokecolor="black [3213]">
                <v:textbox>
                  <w:txbxContent>
                    <w:p w14:paraId="56CA7AA6" w14:textId="2F81B636" w:rsidR="001501D6" w:rsidRDefault="001501D6" w:rsidP="00BD2484">
                      <w:pPr>
                        <w:rPr>
                          <w:color w:val="000000"/>
                        </w:rPr>
                      </w:pPr>
                      <w:r>
                        <w:rPr>
                          <w:color w:val="000000"/>
                        </w:rPr>
                        <w:t>Le contribuable peut ajouter des clauses supplémentaires à son régime de base, par exemple:</w:t>
                      </w:r>
                    </w:p>
                    <w:p w14:paraId="30D00A46" w14:textId="77777777" w:rsidR="001501D6" w:rsidRPr="00525C9B" w:rsidRDefault="001501D6" w:rsidP="00BD2484">
                      <w:pPr>
                        <w:rPr>
                          <w:color w:val="000000"/>
                        </w:rPr>
                      </w:pPr>
                    </w:p>
                    <w:p w14:paraId="3826DC59" w14:textId="49581753" w:rsidR="001501D6" w:rsidRPr="00525C9B" w:rsidRDefault="001501D6" w:rsidP="006C34CF">
                      <w:pPr>
                        <w:pStyle w:val="Paragraphedeliste"/>
                        <w:numPr>
                          <w:ilvl w:val="0"/>
                          <w:numId w:val="37"/>
                        </w:numPr>
                        <w:rPr>
                          <w:color w:val="000000"/>
                        </w:rPr>
                      </w:pPr>
                      <w:r>
                        <w:rPr>
                          <w:color w:val="000000"/>
                        </w:rPr>
                        <w:t>Augmenter la rente réversible à 70 % au conjoint, en cas de décès</w:t>
                      </w:r>
                    </w:p>
                    <w:p w14:paraId="45E00FA8" w14:textId="1C68D3AA" w:rsidR="001501D6" w:rsidRDefault="001501D6" w:rsidP="006C34CF">
                      <w:pPr>
                        <w:pStyle w:val="Paragraphedeliste"/>
                        <w:numPr>
                          <w:ilvl w:val="0"/>
                          <w:numId w:val="37"/>
                        </w:numPr>
                        <w:rPr>
                          <w:color w:val="000000"/>
                        </w:rPr>
                      </w:pPr>
                      <w:r>
                        <w:rPr>
                          <w:color w:val="000000"/>
                        </w:rPr>
                        <w:t>Augmenter la rente garantie de 15 ans, en cas de décès</w:t>
                      </w:r>
                    </w:p>
                    <w:p w14:paraId="7C8CD2BB" w14:textId="417D560E" w:rsidR="001501D6" w:rsidRDefault="001501D6" w:rsidP="006C34CF">
                      <w:pPr>
                        <w:pStyle w:val="Paragraphedeliste"/>
                        <w:numPr>
                          <w:ilvl w:val="0"/>
                          <w:numId w:val="37"/>
                        </w:numPr>
                        <w:rPr>
                          <w:color w:val="000000"/>
                        </w:rPr>
                      </w:pPr>
                      <w:r>
                        <w:rPr>
                          <w:color w:val="000000"/>
                        </w:rPr>
                        <w:t>Prévoir une indexation de la rente de retraite (si elle n'est pas prévue au régime de base)</w:t>
                      </w:r>
                    </w:p>
                    <w:p w14:paraId="3FC58B41" w14:textId="77777777" w:rsidR="001501D6" w:rsidRDefault="001501D6" w:rsidP="00BD2484">
                      <w:pPr>
                        <w:rPr>
                          <w:color w:val="000000"/>
                        </w:rPr>
                      </w:pPr>
                    </w:p>
                    <w:p w14:paraId="187C13AF" w14:textId="552DFF43" w:rsidR="001501D6" w:rsidRPr="00525C9B" w:rsidRDefault="001501D6" w:rsidP="00BD2484">
                      <w:pPr>
                        <w:rPr>
                          <w:color w:val="000000"/>
                        </w:rPr>
                      </w:pPr>
                      <w:r w:rsidRPr="00525C9B">
                        <w:rPr>
                          <w:color w:val="000000"/>
                        </w:rPr>
                        <w:t>C</w:t>
                      </w:r>
                      <w:r>
                        <w:rPr>
                          <w:color w:val="000000"/>
                        </w:rPr>
                        <w:t>ette réduction de la rente de retraite suite à ces ajouts fait l'objet de calculs actuariels.</w:t>
                      </w:r>
                    </w:p>
                    <w:p w14:paraId="6B0BD698" w14:textId="77777777" w:rsidR="001501D6" w:rsidRDefault="001501D6" w:rsidP="00BD2484"/>
                    <w:p w14:paraId="403483FF" w14:textId="77777777" w:rsidR="001501D6" w:rsidRDefault="001501D6" w:rsidP="00BD2484"/>
                    <w:p w14:paraId="39B8B45D" w14:textId="77777777" w:rsidR="001501D6" w:rsidRDefault="001501D6" w:rsidP="00BD2484"/>
                    <w:p w14:paraId="7DEC2EBF" w14:textId="77777777" w:rsidR="001501D6" w:rsidRDefault="001501D6" w:rsidP="00BD2484"/>
                  </w:txbxContent>
                </v:textbox>
              </v:roundrect>
            </w:pict>
          </mc:Fallback>
        </mc:AlternateContent>
      </w:r>
      <w:r w:rsidR="00BD2484">
        <w:rPr>
          <w:noProof/>
          <w:lang w:eastAsia="fr-FR"/>
        </w:rPr>
        <mc:AlternateContent>
          <mc:Choice Requires="wps">
            <w:drawing>
              <wp:anchor distT="0" distB="0" distL="114300" distR="114300" simplePos="0" relativeHeight="252278784" behindDoc="0" locked="0" layoutInCell="1" allowOverlap="1" wp14:anchorId="185843DC" wp14:editId="1089D036">
                <wp:simplePos x="0" y="0"/>
                <wp:positionH relativeFrom="column">
                  <wp:posOffset>-800100</wp:posOffset>
                </wp:positionH>
                <wp:positionV relativeFrom="paragraph">
                  <wp:posOffset>1371600</wp:posOffset>
                </wp:positionV>
                <wp:extent cx="1485900" cy="1485900"/>
                <wp:effectExtent l="0" t="0" r="38100" b="38100"/>
                <wp:wrapNone/>
                <wp:docPr id="288" name="Ellipse 288"/>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3273B3EF" w14:textId="304462ED" w:rsidR="00573C95" w:rsidRDefault="00573C95" w:rsidP="00BD2484">
                            <w:pPr>
                              <w:jc w:val="center"/>
                            </w:pPr>
                            <w:r>
                              <w:t>Ajout aux  clauses de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88" o:spid="_x0000_s1185" style="position:absolute;left:0;text-align:left;margin-left:-62.95pt;margin-top:108pt;width:117pt;height:117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" fillcolor="black [3213]" strokecolor="white [3212]" strokeweight="1pt">
                <v:textbox>
                  <w:txbxContent>
                    <w:p w14:paraId="3273B3EF" w14:textId="304462ED" w:rsidR="001501D6" w:rsidRDefault="001501D6" w:rsidP="00BD2484">
                      <w:pPr>
                        <w:jc w:val="center"/>
                      </w:pPr>
                      <w:r>
                        <w:t>Ajout aux  clauses de base</w:t>
                      </w:r>
                    </w:p>
                  </w:txbxContent>
                </v:textbox>
              </v:oval>
            </w:pict>
          </mc:Fallback>
        </mc:AlternateContent>
      </w:r>
      <w:r w:rsidR="00BD2484">
        <w:rPr>
          <w:noProof/>
          <w:lang w:eastAsia="fr-FR"/>
        </w:rPr>
        <mc:AlternateContent>
          <mc:Choice Requires="wps">
            <w:drawing>
              <wp:anchor distT="0" distB="0" distL="114300" distR="114300" simplePos="0" relativeHeight="252279808" behindDoc="0" locked="0" layoutInCell="1" allowOverlap="1" wp14:anchorId="053D9BB7" wp14:editId="120551E1">
                <wp:simplePos x="0" y="0"/>
                <wp:positionH relativeFrom="column">
                  <wp:posOffset>7886700</wp:posOffset>
                </wp:positionH>
                <wp:positionV relativeFrom="paragraph">
                  <wp:posOffset>1371600</wp:posOffset>
                </wp:positionV>
                <wp:extent cx="457200" cy="457200"/>
                <wp:effectExtent l="0" t="0" r="25400" b="25400"/>
                <wp:wrapNone/>
                <wp:docPr id="289" name="Ellipse 289"/>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A33F6C0" w14:textId="36FDAACA" w:rsidR="00573C95" w:rsidRDefault="00573C95" w:rsidP="00BD2484">
                            <w:pPr>
                              <w:jc w:val="center"/>
                            </w:pPr>
                            <w: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89" o:spid="_x0000_s1186" style="position:absolute;left:0;text-align:left;margin-left:621pt;margin-top:108pt;width:36pt;height:36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" fillcolor="black [3213]" strokecolor="white [3212]" strokeweight="1pt">
                <v:textbox>
                  <w:txbxContent>
                    <w:p w14:paraId="4A33F6C0" w14:textId="36FDAACA" w:rsidR="001501D6" w:rsidRDefault="001501D6" w:rsidP="00BD2484">
                      <w:pPr>
                        <w:jc w:val="center"/>
                      </w:pPr>
                      <w:r>
                        <w:t>41</w:t>
                      </w:r>
                    </w:p>
                  </w:txbxContent>
                </v:textbox>
              </v:oval>
            </w:pict>
          </mc:Fallback>
        </mc:AlternateContent>
      </w:r>
      <w:r w:rsidR="00B3054C">
        <w:rPr>
          <w:noProof/>
          <w:lang w:eastAsia="fr-FR"/>
        </w:rPr>
        <mc:AlternateContent>
          <mc:Choice Requires="wps">
            <w:drawing>
              <wp:anchor distT="0" distB="0" distL="114300" distR="114300" simplePos="0" relativeHeight="252275712" behindDoc="0" locked="0" layoutInCell="1" allowOverlap="1" wp14:anchorId="2E9EFD68" wp14:editId="7122E94C">
                <wp:simplePos x="0" y="0"/>
                <wp:positionH relativeFrom="column">
                  <wp:posOffset>8229600</wp:posOffset>
                </wp:positionH>
                <wp:positionV relativeFrom="paragraph">
                  <wp:posOffset>-228600</wp:posOffset>
                </wp:positionV>
                <wp:extent cx="914400" cy="914400"/>
                <wp:effectExtent l="0" t="0" r="0" b="0"/>
                <wp:wrapThrough wrapText="bothSides">
                  <wp:wrapPolygon edited="0">
                    <wp:start x="6000" y="1800"/>
                    <wp:lineTo x="6000" y="3600"/>
                    <wp:lineTo x="1200" y="12600"/>
                    <wp:lineTo x="5400" y="18600"/>
                    <wp:lineTo x="6000" y="19800"/>
                    <wp:lineTo x="15000" y="19800"/>
                    <wp:lineTo x="19800" y="15600"/>
                    <wp:lineTo x="19800" y="9000"/>
                    <wp:lineTo x="15000" y="1800"/>
                    <wp:lineTo x="6000" y="1800"/>
                  </wp:wrapPolygon>
                </wp:wrapThrough>
                <wp:docPr id="286" name="Croix 286"/>
                <wp:cNvGraphicFramePr/>
                <a:graphic xmlns:a="http://schemas.openxmlformats.org/drawingml/2006/main">
                  <a:graphicData uri="http://schemas.microsoft.com/office/word/2010/wordprocessingShape">
                    <wps:wsp>
                      <wps:cNvSpPr/>
                      <wps:spPr>
                        <a:xfrm>
                          <a:off x="0" y="0"/>
                          <a:ext cx="914400" cy="914400"/>
                        </a:xfrm>
                        <a:prstGeom prst="mathPlus">
                          <a:avLst/>
                        </a:prstGeom>
                        <a:solidFill>
                          <a:schemeClr val="bg1">
                            <a:lumMod val="65000"/>
                          </a:schemeClr>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id="Croix 286" o:spid="_x0000_s1026" style="position:absolute;margin-left:9in;margin-top:-17.95pt;width:1in;height:1in;z-index:252275712;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" path="m121204,349667l349667,349667,349667,121204,564733,121204,564733,349667,793196,349667,793196,564733,564733,564733,564733,793196,349667,793196,349667,564733,121204,564733,121204,349667xe" fillcolor="#a5a5a5 [2092]" strokecolor="green" strokeweight="2.25pt">
                <v:path arrowok="t" o:connecttype="custom" o:connectlocs="121204,349667;349667,349667;349667,121204;564733,121204;564733,349667;793196,349667;793196,564733;564733,564733;564733,793196;349667,793196;349667,564733;121204,564733;121204,349667" o:connectangles="0,0,0,0,0,0,0,0,0,0,0,0,0"/>
                <w10:wrap type="through"/>
              </v:shape>
            </w:pict>
          </mc:Fallback>
        </mc:AlternateContent>
      </w:r>
      <w:r w:rsidR="00A16A41">
        <w:rPr>
          <w:noProof/>
          <w:lang w:eastAsia="fr-FR"/>
        </w:rPr>
        <mc:AlternateContent>
          <mc:Choice Requires="wps">
            <w:drawing>
              <wp:anchor distT="0" distB="0" distL="114300" distR="114300" simplePos="0" relativeHeight="252274688" behindDoc="0" locked="0" layoutInCell="1" allowOverlap="1" wp14:anchorId="5FE7F16F" wp14:editId="635CEA2A">
                <wp:simplePos x="0" y="0"/>
                <wp:positionH relativeFrom="column">
                  <wp:posOffset>7886700</wp:posOffset>
                </wp:positionH>
                <wp:positionV relativeFrom="paragraph">
                  <wp:posOffset>-457200</wp:posOffset>
                </wp:positionV>
                <wp:extent cx="457200" cy="457200"/>
                <wp:effectExtent l="0" t="0" r="25400" b="25400"/>
                <wp:wrapNone/>
                <wp:docPr id="285" name="Ellipse 28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7184336B" w14:textId="7D01B6A2" w:rsidR="00573C95" w:rsidRDefault="00573C95" w:rsidP="000E2729">
                            <w:pPr>
                              <w:jc w:val="center"/>
                            </w:pPr>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85" o:spid="_x0000_s1187" style="position:absolute;left:0;text-align:left;margin-left:621pt;margin-top:-35.95pt;width:36pt;height:36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" fillcolor="black [3213]" strokecolor="white [3212]" strokeweight="1pt">
                <v:textbox>
                  <w:txbxContent>
                    <w:p w14:paraId="7184336B" w14:textId="7D01B6A2" w:rsidR="001501D6" w:rsidRDefault="001501D6" w:rsidP="000E2729">
                      <w:pPr>
                        <w:jc w:val="center"/>
                      </w:pPr>
                      <w:r>
                        <w:t>31</w:t>
                      </w:r>
                    </w:p>
                  </w:txbxContent>
                </v:textbox>
              </v:oval>
            </w:pict>
          </mc:Fallback>
        </mc:AlternateContent>
      </w:r>
      <w:r w:rsidR="00A16A41">
        <w:rPr>
          <w:noProof/>
          <w:lang w:eastAsia="fr-FR"/>
        </w:rPr>
        <mc:AlternateContent>
          <mc:Choice Requires="wps">
            <w:drawing>
              <wp:anchor distT="0" distB="0" distL="114300" distR="114300" simplePos="0" relativeHeight="252273664" behindDoc="0" locked="0" layoutInCell="1" allowOverlap="1" wp14:anchorId="1D475958" wp14:editId="3A5A68B7">
                <wp:simplePos x="0" y="0"/>
                <wp:positionH relativeFrom="column">
                  <wp:posOffset>-800100</wp:posOffset>
                </wp:positionH>
                <wp:positionV relativeFrom="paragraph">
                  <wp:posOffset>-457200</wp:posOffset>
                </wp:positionV>
                <wp:extent cx="1485900" cy="1485900"/>
                <wp:effectExtent l="0" t="0" r="38100" b="38100"/>
                <wp:wrapNone/>
                <wp:docPr id="284" name="Ellipse 284"/>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651C941E" w14:textId="223FD3B9" w:rsidR="00573C95" w:rsidRDefault="00573C95" w:rsidP="000E2729">
                            <w:pPr>
                              <w:jc w:val="center"/>
                            </w:pPr>
                            <w:r>
                              <w:t>Abandon des clauses de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84" o:spid="_x0000_s1188" style="position:absolute;left:0;text-align:left;margin-left:-62.95pt;margin-top:-35.95pt;width:117pt;height:117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" fillcolor="black [3213]" strokecolor="white [3212]" strokeweight="1pt">
                <v:textbox>
                  <w:txbxContent>
                    <w:p w14:paraId="651C941E" w14:textId="223FD3B9" w:rsidR="001501D6" w:rsidRDefault="001501D6" w:rsidP="000E2729">
                      <w:pPr>
                        <w:jc w:val="center"/>
                      </w:pPr>
                      <w:r>
                        <w:t>Abandon des clauses de base</w:t>
                      </w:r>
                    </w:p>
                  </w:txbxContent>
                </v:textbox>
              </v:oval>
            </w:pict>
          </mc:Fallback>
        </mc:AlternateContent>
      </w:r>
      <w:r w:rsidR="00A16A41">
        <w:rPr>
          <w:noProof/>
          <w:lang w:eastAsia="fr-FR"/>
        </w:rPr>
        <mc:AlternateContent>
          <mc:Choice Requires="wps">
            <w:drawing>
              <wp:anchor distT="0" distB="0" distL="114300" distR="114300" simplePos="0" relativeHeight="252272640" behindDoc="0" locked="0" layoutInCell="1" allowOverlap="1" wp14:anchorId="44630EDF" wp14:editId="5B98272D">
                <wp:simplePos x="0" y="0"/>
                <wp:positionH relativeFrom="column">
                  <wp:posOffset>457200</wp:posOffset>
                </wp:positionH>
                <wp:positionV relativeFrom="paragraph">
                  <wp:posOffset>-457200</wp:posOffset>
                </wp:positionV>
                <wp:extent cx="7772400" cy="1600200"/>
                <wp:effectExtent l="76200" t="76200" r="76200" b="76200"/>
                <wp:wrapNone/>
                <wp:docPr id="283" name="Rectangle à coins arrondis 283"/>
                <wp:cNvGraphicFramePr/>
                <a:graphic xmlns:a="http://schemas.openxmlformats.org/drawingml/2006/main">
                  <a:graphicData uri="http://schemas.microsoft.com/office/word/2010/wordprocessingShape">
                    <wps:wsp>
                      <wps:cNvSpPr/>
                      <wps:spPr>
                        <a:xfrm>
                          <a:off x="0" y="0"/>
                          <a:ext cx="7772400" cy="160020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0611C84" w14:textId="1A9524B0" w:rsidR="00573C95" w:rsidRDefault="00573C95" w:rsidP="00F01B21">
                            <w:pPr>
                              <w:rPr>
                                <w:color w:val="000000"/>
                              </w:rPr>
                            </w:pPr>
                            <w:r>
                              <w:rPr>
                                <w:color w:val="000000"/>
                              </w:rPr>
                              <w:t>Le conjoint peut renoncer à deux clauses obligatoires qui sont prévues par la LRCR, soit:</w:t>
                            </w:r>
                          </w:p>
                          <w:p w14:paraId="66AD3A85" w14:textId="77777777" w:rsidR="00573C95" w:rsidRPr="00525C9B" w:rsidRDefault="00573C95" w:rsidP="00F01B21">
                            <w:pPr>
                              <w:rPr>
                                <w:color w:val="000000"/>
                              </w:rPr>
                            </w:pPr>
                          </w:p>
                          <w:p w14:paraId="788FBF67" w14:textId="7D27547E" w:rsidR="00573C95" w:rsidRPr="00525C9B" w:rsidRDefault="00573C95" w:rsidP="006C34CF">
                            <w:pPr>
                              <w:pStyle w:val="Paragraphedeliste"/>
                              <w:numPr>
                                <w:ilvl w:val="0"/>
                                <w:numId w:val="37"/>
                              </w:numPr>
                              <w:rPr>
                                <w:color w:val="000000"/>
                              </w:rPr>
                            </w:pPr>
                            <w:r w:rsidRPr="00525C9B">
                              <w:rPr>
                                <w:color w:val="000000"/>
                              </w:rPr>
                              <w:t>L</w:t>
                            </w:r>
                            <w:r>
                              <w:rPr>
                                <w:color w:val="000000"/>
                              </w:rPr>
                              <w:t>a rente réversible à 60 % au conjoint, en cas de décès</w:t>
                            </w:r>
                          </w:p>
                          <w:p w14:paraId="14275DB6" w14:textId="3F42EB1C" w:rsidR="00573C95" w:rsidRDefault="00573C95" w:rsidP="006C34CF">
                            <w:pPr>
                              <w:pStyle w:val="Paragraphedeliste"/>
                              <w:numPr>
                                <w:ilvl w:val="0"/>
                                <w:numId w:val="37"/>
                              </w:numPr>
                              <w:rPr>
                                <w:color w:val="000000"/>
                              </w:rPr>
                            </w:pPr>
                            <w:r w:rsidRPr="00525C9B">
                              <w:rPr>
                                <w:color w:val="000000"/>
                              </w:rPr>
                              <w:t>L</w:t>
                            </w:r>
                            <w:r>
                              <w:rPr>
                                <w:color w:val="000000"/>
                              </w:rPr>
                              <w:t>a rente garantie de 10 ans, en cas de décès</w:t>
                            </w:r>
                          </w:p>
                          <w:p w14:paraId="7B102C9C" w14:textId="77777777" w:rsidR="00573C95" w:rsidRDefault="00573C95" w:rsidP="000E2729">
                            <w:pPr>
                              <w:rPr>
                                <w:color w:val="000000"/>
                              </w:rPr>
                            </w:pPr>
                          </w:p>
                          <w:p w14:paraId="3A84C00D" w14:textId="019B8CD8" w:rsidR="00573C95" w:rsidRPr="00525C9B" w:rsidRDefault="00573C95" w:rsidP="000E2729">
                            <w:pPr>
                              <w:rPr>
                                <w:color w:val="000000"/>
                              </w:rPr>
                            </w:pPr>
                            <w:r w:rsidRPr="00525C9B">
                              <w:rPr>
                                <w:color w:val="000000"/>
                              </w:rPr>
                              <w:t>C</w:t>
                            </w:r>
                            <w:r>
                              <w:rPr>
                                <w:color w:val="000000"/>
                              </w:rPr>
                              <w:t>ette bonification de la rente de retraite suite à ces renonciations fait l'objet de calculs actuariels.</w:t>
                            </w:r>
                          </w:p>
                          <w:p w14:paraId="11C87616" w14:textId="77777777" w:rsidR="00573C95" w:rsidRDefault="00573C95" w:rsidP="000E2729"/>
                          <w:p w14:paraId="5266E8C8" w14:textId="77777777" w:rsidR="00573C95" w:rsidRDefault="00573C95" w:rsidP="000E2729"/>
                          <w:p w14:paraId="50FD22BD" w14:textId="77777777" w:rsidR="00573C95" w:rsidRDefault="00573C95" w:rsidP="000E2729"/>
                          <w:p w14:paraId="1A2A7D96" w14:textId="77777777" w:rsidR="00573C95" w:rsidRDefault="00573C95" w:rsidP="000E27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83" o:spid="_x0000_s1189" style="position:absolute;left:0;text-align:left;margin-left:36pt;margin-top:-35.95pt;width:612pt;height:126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" fillcolor="#94c6c7" strokecolor="black [3213]">
                <v:textbox>
                  <w:txbxContent>
                    <w:p w14:paraId="10611C84" w14:textId="1A9524B0" w:rsidR="001501D6" w:rsidRDefault="001501D6" w:rsidP="00F01B21">
                      <w:pPr>
                        <w:rPr>
                          <w:color w:val="000000"/>
                        </w:rPr>
                      </w:pPr>
                      <w:r>
                        <w:rPr>
                          <w:color w:val="000000"/>
                        </w:rPr>
                        <w:t>Le conjoint peut renoncer à deux clauses obligatoires qui sont prévues par la LRCR, soit:</w:t>
                      </w:r>
                    </w:p>
                    <w:p w14:paraId="66AD3A85" w14:textId="77777777" w:rsidR="001501D6" w:rsidRPr="00525C9B" w:rsidRDefault="001501D6" w:rsidP="00F01B21">
                      <w:pPr>
                        <w:rPr>
                          <w:color w:val="000000"/>
                        </w:rPr>
                      </w:pPr>
                    </w:p>
                    <w:p w14:paraId="788FBF67" w14:textId="7D27547E" w:rsidR="001501D6" w:rsidRPr="00525C9B" w:rsidRDefault="001501D6" w:rsidP="006C34CF">
                      <w:pPr>
                        <w:pStyle w:val="Paragraphedeliste"/>
                        <w:numPr>
                          <w:ilvl w:val="0"/>
                          <w:numId w:val="37"/>
                        </w:numPr>
                        <w:rPr>
                          <w:color w:val="000000"/>
                        </w:rPr>
                      </w:pPr>
                      <w:r w:rsidRPr="00525C9B">
                        <w:rPr>
                          <w:color w:val="000000"/>
                        </w:rPr>
                        <w:t>L</w:t>
                      </w:r>
                      <w:r>
                        <w:rPr>
                          <w:color w:val="000000"/>
                        </w:rPr>
                        <w:t>a rente réversible à 60 % au conjoint, en cas de décès</w:t>
                      </w:r>
                    </w:p>
                    <w:p w14:paraId="14275DB6" w14:textId="3F42EB1C" w:rsidR="001501D6" w:rsidRDefault="001501D6" w:rsidP="006C34CF">
                      <w:pPr>
                        <w:pStyle w:val="Paragraphedeliste"/>
                        <w:numPr>
                          <w:ilvl w:val="0"/>
                          <w:numId w:val="37"/>
                        </w:numPr>
                        <w:rPr>
                          <w:color w:val="000000"/>
                        </w:rPr>
                      </w:pPr>
                      <w:r w:rsidRPr="00525C9B">
                        <w:rPr>
                          <w:color w:val="000000"/>
                        </w:rPr>
                        <w:t>L</w:t>
                      </w:r>
                      <w:r>
                        <w:rPr>
                          <w:color w:val="000000"/>
                        </w:rPr>
                        <w:t>a rente garantie de 10 ans, en cas de décès</w:t>
                      </w:r>
                    </w:p>
                    <w:p w14:paraId="7B102C9C" w14:textId="77777777" w:rsidR="001501D6" w:rsidRDefault="001501D6" w:rsidP="000E2729">
                      <w:pPr>
                        <w:rPr>
                          <w:color w:val="000000"/>
                        </w:rPr>
                      </w:pPr>
                    </w:p>
                    <w:p w14:paraId="3A84C00D" w14:textId="019B8CD8" w:rsidR="001501D6" w:rsidRPr="00525C9B" w:rsidRDefault="001501D6" w:rsidP="000E2729">
                      <w:pPr>
                        <w:rPr>
                          <w:color w:val="000000"/>
                        </w:rPr>
                      </w:pPr>
                      <w:r w:rsidRPr="00525C9B">
                        <w:rPr>
                          <w:color w:val="000000"/>
                        </w:rPr>
                        <w:t>C</w:t>
                      </w:r>
                      <w:r>
                        <w:rPr>
                          <w:color w:val="000000"/>
                        </w:rPr>
                        <w:t>ette bonification de la rente de retraite suite à ces renonciations fait l'objet de calculs actuariels.</w:t>
                      </w:r>
                    </w:p>
                    <w:p w14:paraId="11C87616" w14:textId="77777777" w:rsidR="001501D6" w:rsidRDefault="001501D6" w:rsidP="000E2729"/>
                    <w:p w14:paraId="5266E8C8" w14:textId="77777777" w:rsidR="001501D6" w:rsidRDefault="001501D6" w:rsidP="000E2729"/>
                    <w:p w14:paraId="50FD22BD" w14:textId="77777777" w:rsidR="001501D6" w:rsidRDefault="001501D6" w:rsidP="000E2729"/>
                    <w:p w14:paraId="1A2A7D96" w14:textId="77777777" w:rsidR="001501D6" w:rsidRDefault="001501D6" w:rsidP="000E2729"/>
                  </w:txbxContent>
                </v:textbox>
              </v:roundrect>
            </w:pict>
          </mc:Fallback>
        </mc:AlternateContent>
      </w:r>
      <w:r w:rsidR="00525C9B">
        <w:br w:type="page"/>
      </w:r>
    </w:p>
    <w:p w14:paraId="4765EC8D" w14:textId="123AD05A" w:rsidR="006C73EF" w:rsidRDefault="00E55578" w:rsidP="006C34CF">
      <w:pPr>
        <w:pStyle w:val="Titre4"/>
        <w:numPr>
          <w:ilvl w:val="3"/>
          <w:numId w:val="26"/>
        </w:numPr>
      </w:pPr>
      <w:bookmarkStart w:id="62" w:name="_Toc314397838"/>
      <w:bookmarkStart w:id="63" w:name="_Toc443569382"/>
      <w:r>
        <w:lastRenderedPageBreak/>
        <w:t>Le transfert avant la retraite</w:t>
      </w:r>
      <w:bookmarkEnd w:id="62"/>
      <w:bookmarkEnd w:id="63"/>
    </w:p>
    <w:p w14:paraId="326C3659" w14:textId="77777777" w:rsidR="008E6D73" w:rsidRDefault="008E6D73" w:rsidP="008E6D73"/>
    <w:p w14:paraId="7C6DC4E0" w14:textId="1CE4803A" w:rsidR="008E6D73" w:rsidRDefault="008E4A38" w:rsidP="008E4A38">
      <w:pPr>
        <w:jc w:val="both"/>
      </w:pPr>
      <w:r>
        <w:t>Puisque les RPAPD et les RPACD sont tous les deux des régimes compléme</w:t>
      </w:r>
      <w:r w:rsidR="0006527F">
        <w:t>n</w:t>
      </w:r>
      <w:r>
        <w:t xml:space="preserve">taires de retraite soumis à la LRCR, les modalités qui sont prévues en cas de transfert avant la retraite sont essentiellement les mêmes (voir </w:t>
      </w:r>
      <w:r w:rsidRPr="008E4A38">
        <w:rPr>
          <w:color w:val="008000"/>
        </w:rPr>
        <w:t>SECTION 3.2.1.4.</w:t>
      </w:r>
      <w:r>
        <w:t>)</w:t>
      </w:r>
    </w:p>
    <w:p w14:paraId="4D5DC856" w14:textId="77777777" w:rsidR="008E4A38" w:rsidRDefault="008E4A38" w:rsidP="008E4A38">
      <w:pPr>
        <w:jc w:val="both"/>
      </w:pPr>
    </w:p>
    <w:p w14:paraId="27F1DE1C" w14:textId="712CCA99" w:rsidR="008E4A38" w:rsidRDefault="008E4A38" w:rsidP="008E4A38">
      <w:pPr>
        <w:jc w:val="both"/>
      </w:pPr>
      <w:r>
        <w:t>Qu’il s’agisse de transfert hâtif pour cause de cessation d’emploi, de décès ou de divorce les enje</w:t>
      </w:r>
      <w:r w:rsidR="001F0723">
        <w:t>u</w:t>
      </w:r>
      <w:r>
        <w:t xml:space="preserve">x sont identiques. L’élément distinctif entre les deux types de régimes s’impose </w:t>
      </w:r>
      <w:r w:rsidR="001F0723">
        <w:t>lors du</w:t>
      </w:r>
      <w:r>
        <w:t xml:space="preserve"> calcul de </w:t>
      </w:r>
      <w:r w:rsidR="001F0723">
        <w:t xml:space="preserve">la </w:t>
      </w:r>
      <w:r>
        <w:t xml:space="preserve">valeur du régime à utiliser </w:t>
      </w:r>
      <w:r w:rsidR="0006527F">
        <w:t>aux</w:t>
      </w:r>
      <w:r w:rsidR="001F0723">
        <w:t xml:space="preserve"> fins de</w:t>
      </w:r>
      <w:r>
        <w:t xml:space="preserve"> transfert. </w:t>
      </w:r>
    </w:p>
    <w:p w14:paraId="054D2BDD" w14:textId="77777777" w:rsidR="008E4A38" w:rsidRDefault="008E4A38" w:rsidP="008E4A38">
      <w:pPr>
        <w:jc w:val="both"/>
      </w:pPr>
    </w:p>
    <w:p w14:paraId="09898E34" w14:textId="257B0998" w:rsidR="008E4A38" w:rsidRDefault="008E4A38" w:rsidP="008E4A38">
      <w:pPr>
        <w:jc w:val="both"/>
      </w:pPr>
      <w:r>
        <w:t>Dans le cas du RPACD, le calcul tient compte :</w:t>
      </w:r>
    </w:p>
    <w:p w14:paraId="7C2BC636" w14:textId="7A8089CE" w:rsidR="008E4A38" w:rsidRDefault="008E4A38" w:rsidP="008E4A38">
      <w:pPr>
        <w:jc w:val="both"/>
      </w:pPr>
    </w:p>
    <w:p w14:paraId="365FF616" w14:textId="545D29A4" w:rsidR="008E4A38" w:rsidRDefault="008E4A38" w:rsidP="006C34CF">
      <w:pPr>
        <w:pStyle w:val="Paragraphedeliste"/>
        <w:numPr>
          <w:ilvl w:val="0"/>
          <w:numId w:val="32"/>
        </w:numPr>
        <w:jc w:val="both"/>
      </w:pPr>
      <w:r>
        <w:t>Des cotisations de l’employé</w:t>
      </w:r>
      <w:r w:rsidR="00295977">
        <w:t>;</w:t>
      </w:r>
    </w:p>
    <w:p w14:paraId="3699A934" w14:textId="15136561" w:rsidR="008E4A38" w:rsidRDefault="008E4A38" w:rsidP="006C34CF">
      <w:pPr>
        <w:pStyle w:val="Paragraphedeliste"/>
        <w:numPr>
          <w:ilvl w:val="0"/>
          <w:numId w:val="32"/>
        </w:numPr>
        <w:jc w:val="both"/>
      </w:pPr>
      <w:r>
        <w:t>Des cotisations de l’employeur</w:t>
      </w:r>
      <w:r w:rsidR="00295977">
        <w:t>;</w:t>
      </w:r>
    </w:p>
    <w:p w14:paraId="252CE254" w14:textId="2424FAD4" w:rsidR="008E4A38" w:rsidRDefault="008E4A38" w:rsidP="006C34CF">
      <w:pPr>
        <w:pStyle w:val="Paragraphedeliste"/>
        <w:numPr>
          <w:ilvl w:val="0"/>
          <w:numId w:val="32"/>
        </w:numPr>
        <w:jc w:val="both"/>
      </w:pPr>
      <w:r>
        <w:t>Le rendement du régime sur ces cotisations</w:t>
      </w:r>
      <w:r w:rsidR="00295977">
        <w:t>.</w:t>
      </w:r>
    </w:p>
    <w:p w14:paraId="28A2B2AB" w14:textId="77777777" w:rsidR="008E4A38" w:rsidRDefault="008E4A38" w:rsidP="008E4A38">
      <w:pPr>
        <w:jc w:val="both"/>
      </w:pPr>
    </w:p>
    <w:p w14:paraId="0F015755" w14:textId="1AAA3216" w:rsidR="008E4A38" w:rsidRDefault="008E4A38" w:rsidP="008E4A38">
      <w:pPr>
        <w:jc w:val="both"/>
      </w:pPr>
      <w:r>
        <w:t>Dans le cas du RPA</w:t>
      </w:r>
      <w:r w:rsidR="007F6B6A">
        <w:t>PD</w:t>
      </w:r>
      <w:r>
        <w:t>, le calcul tient compte</w:t>
      </w:r>
      <w:r w:rsidR="00563D3D">
        <w:rPr>
          <w:rStyle w:val="Marquenotebasdepage"/>
        </w:rPr>
        <w:footnoteReference w:customMarkFollows="1" w:id="42"/>
        <w:t>39</w:t>
      </w:r>
      <w:r>
        <w:t> :</w:t>
      </w:r>
    </w:p>
    <w:p w14:paraId="7C7EFB99" w14:textId="77777777" w:rsidR="008E4A38" w:rsidRDefault="008E4A38" w:rsidP="008E4A38">
      <w:pPr>
        <w:jc w:val="both"/>
      </w:pPr>
    </w:p>
    <w:p w14:paraId="05354B7E" w14:textId="39B76085" w:rsidR="007F6B6A" w:rsidRDefault="007F6B6A" w:rsidP="006C34CF">
      <w:pPr>
        <w:pStyle w:val="Paragraphedeliste"/>
        <w:numPr>
          <w:ilvl w:val="0"/>
          <w:numId w:val="38"/>
        </w:numPr>
        <w:jc w:val="both"/>
      </w:pPr>
      <w:r>
        <w:t>De la rente acquise</w:t>
      </w:r>
      <w:r w:rsidR="00295977">
        <w:t>;</w:t>
      </w:r>
    </w:p>
    <w:p w14:paraId="5B0C0231" w14:textId="4AFEAF6C" w:rsidR="007F6B6A" w:rsidRDefault="007F6B6A" w:rsidP="006C34CF">
      <w:pPr>
        <w:pStyle w:val="Paragraphedeliste"/>
        <w:numPr>
          <w:ilvl w:val="0"/>
          <w:numId w:val="38"/>
        </w:numPr>
        <w:jc w:val="both"/>
      </w:pPr>
      <w:r>
        <w:t>De l’âge du contribuable</w:t>
      </w:r>
      <w:r w:rsidR="00295977">
        <w:t>;</w:t>
      </w:r>
    </w:p>
    <w:p w14:paraId="67FB2B4E" w14:textId="279CABA9" w:rsidR="007F6B6A" w:rsidRDefault="007F6B6A" w:rsidP="006C34CF">
      <w:pPr>
        <w:pStyle w:val="Paragraphedeliste"/>
        <w:numPr>
          <w:ilvl w:val="0"/>
          <w:numId w:val="38"/>
        </w:numPr>
        <w:jc w:val="both"/>
      </w:pPr>
      <w:r>
        <w:t>Du taux rendement anticipé</w:t>
      </w:r>
      <w:r w:rsidR="00295977">
        <w:t>.</w:t>
      </w:r>
    </w:p>
    <w:p w14:paraId="77316F54" w14:textId="77777777" w:rsidR="008E4A38" w:rsidRDefault="008E4A38" w:rsidP="008E4A38">
      <w:pPr>
        <w:jc w:val="both"/>
      </w:pPr>
    </w:p>
    <w:p w14:paraId="21DB5BCB" w14:textId="6B289FFD" w:rsidR="008E4A38" w:rsidRDefault="00563D3D" w:rsidP="008E4A38">
      <w:pPr>
        <w:jc w:val="both"/>
      </w:pPr>
      <w:r>
        <w:t>C’est dans l’</w:t>
      </w:r>
      <w:r w:rsidR="0006527F">
        <w:t>ordre</w:t>
      </w:r>
      <w:r>
        <w:t xml:space="preserve"> des choses de constater que le calcul vi</w:t>
      </w:r>
      <w:r w:rsidR="00F840D3">
        <w:t>s</w:t>
      </w:r>
      <w:r>
        <w:t>ant à établir la valeur de transfert d’un RPAPD est plus complexe puisqu’il doit s’appuyer en partie sur des hypothèses</w:t>
      </w:r>
      <w:r w:rsidR="001F0723">
        <w:t>,</w:t>
      </w:r>
      <w:r>
        <w:t xml:space="preserve"> des évaluations</w:t>
      </w:r>
      <w:r w:rsidR="001F0723">
        <w:t xml:space="preserve"> et des calculs</w:t>
      </w:r>
      <w:r>
        <w:t xml:space="preserve"> actuariels.</w:t>
      </w:r>
    </w:p>
    <w:p w14:paraId="7F8A13F3" w14:textId="77777777" w:rsidR="00563D3D" w:rsidRDefault="00563D3D" w:rsidP="008E4A38">
      <w:pPr>
        <w:jc w:val="both"/>
      </w:pPr>
    </w:p>
    <w:p w14:paraId="6F2C5EAA" w14:textId="77777777" w:rsidR="00563D3D" w:rsidRDefault="00563D3D" w:rsidP="008E4A38">
      <w:pPr>
        <w:jc w:val="both"/>
      </w:pPr>
    </w:p>
    <w:p w14:paraId="143896AC" w14:textId="77777777" w:rsidR="00563D3D" w:rsidRPr="008E6D73" w:rsidRDefault="00563D3D" w:rsidP="008E4A38">
      <w:pPr>
        <w:jc w:val="both"/>
      </w:pPr>
    </w:p>
    <w:p w14:paraId="3C2FA78B" w14:textId="77777777" w:rsidR="000D15C0" w:rsidRPr="000D15C0" w:rsidRDefault="000D15C0" w:rsidP="000D15C0"/>
    <w:p w14:paraId="48A348B9" w14:textId="4476ED5E" w:rsidR="000421B2" w:rsidRDefault="005D54AA" w:rsidP="006C34CF">
      <w:pPr>
        <w:pStyle w:val="Titre4"/>
        <w:numPr>
          <w:ilvl w:val="3"/>
          <w:numId w:val="21"/>
        </w:numPr>
      </w:pPr>
      <w:bookmarkStart w:id="64" w:name="_Toc314397839"/>
      <w:bookmarkStart w:id="65" w:name="_Toc443569383"/>
      <w:r>
        <w:lastRenderedPageBreak/>
        <w:t>Exemple</w:t>
      </w:r>
      <w:bookmarkEnd w:id="64"/>
      <w:bookmarkEnd w:id="65"/>
    </w:p>
    <w:p w14:paraId="4B1B47BF" w14:textId="6D19A6B3" w:rsidR="000D15C0" w:rsidRDefault="000D15C0" w:rsidP="000421B2"/>
    <w:p w14:paraId="7D2CF948" w14:textId="00A7F404" w:rsidR="0067479B" w:rsidRDefault="0067479B" w:rsidP="007A697E">
      <w:pPr>
        <w:pStyle w:val="Paragraphedeliste"/>
        <w:numPr>
          <w:ilvl w:val="0"/>
          <w:numId w:val="131"/>
        </w:numPr>
        <w:jc w:val="both"/>
        <w:rPr>
          <w:color w:val="FF6700" w:themeColor="accent3"/>
        </w:rPr>
      </w:pPr>
      <w:r w:rsidRPr="000F289D">
        <w:rPr>
          <w:color w:val="FF6700" w:themeColor="accent3"/>
        </w:rPr>
        <w:t>EXEMPLE 7-</w:t>
      </w:r>
      <w:r>
        <w:rPr>
          <w:color w:val="FF6700" w:themeColor="accent3"/>
        </w:rPr>
        <w:t>10</w:t>
      </w:r>
    </w:p>
    <w:p w14:paraId="112B0522" w14:textId="77777777" w:rsidR="00B245F3" w:rsidRPr="00B245F3" w:rsidRDefault="00B245F3" w:rsidP="00B245F3">
      <w:pPr>
        <w:ind w:left="709"/>
        <w:jc w:val="both"/>
        <w:rPr>
          <w:color w:val="FF6700" w:themeColor="accent3"/>
        </w:rPr>
      </w:pPr>
    </w:p>
    <w:p w14:paraId="3D0507FF" w14:textId="378D41B4" w:rsidR="0067479B" w:rsidRDefault="0067479B" w:rsidP="0067479B">
      <w:pPr>
        <w:jc w:val="both"/>
      </w:pPr>
      <w:r>
        <w:t xml:space="preserve">Vous vous retrouvez devant </w:t>
      </w:r>
      <w:r w:rsidR="00A14A80">
        <w:t>des informations</w:t>
      </w:r>
      <w:r>
        <w:t xml:space="preserve"> à partir desquel</w:t>
      </w:r>
      <w:r w:rsidR="00A14A80">
        <w:t>le</w:t>
      </w:r>
      <w:r>
        <w:t>s nous vous demandons de répondre à la question suivante:</w:t>
      </w:r>
    </w:p>
    <w:p w14:paraId="560AD584" w14:textId="1FEAE39F" w:rsidR="00B47A8F" w:rsidRDefault="00E532D6" w:rsidP="0067479B">
      <w:pPr>
        <w:jc w:val="both"/>
      </w:pPr>
      <w:r>
        <w:tab/>
      </w:r>
      <w:r>
        <w:tab/>
      </w:r>
      <w:r>
        <w:tab/>
      </w:r>
      <w:r w:rsidR="0067479B">
        <w:t xml:space="preserve">Quel sera le solde approximatif </w:t>
      </w:r>
      <w:r w:rsidR="00B47A8F">
        <w:t>des</w:t>
      </w:r>
      <w:r w:rsidR="0067479B">
        <w:t xml:space="preserve"> rente</w:t>
      </w:r>
      <w:r w:rsidR="00B47A8F">
        <w:t>s</w:t>
      </w:r>
      <w:r w:rsidR="0067479B">
        <w:t xml:space="preserve"> annuelle</w:t>
      </w:r>
      <w:r w:rsidR="00B47A8F">
        <w:t>s de retraite au</w:t>
      </w:r>
      <w:r w:rsidR="00B245F3">
        <w:t>x</w:t>
      </w:r>
      <w:r w:rsidR="00B47A8F">
        <w:t xml:space="preserve"> moment</w:t>
      </w:r>
      <w:r w:rsidR="00B245F3">
        <w:t>s</w:t>
      </w:r>
      <w:r w:rsidR="00B47A8F">
        <w:t> :</w:t>
      </w:r>
    </w:p>
    <w:p w14:paraId="48296659" w14:textId="33CCD7E6" w:rsidR="00B47A8F" w:rsidRDefault="00B47A8F" w:rsidP="006C34CF">
      <w:pPr>
        <w:pStyle w:val="Paragraphedeliste"/>
        <w:numPr>
          <w:ilvl w:val="3"/>
          <w:numId w:val="10"/>
        </w:numPr>
        <w:jc w:val="both"/>
      </w:pPr>
      <w:r>
        <w:t>De la retraite de Pierre</w:t>
      </w:r>
    </w:p>
    <w:p w14:paraId="23162720" w14:textId="2FD72993" w:rsidR="00B47A8F" w:rsidRDefault="00B47A8F" w:rsidP="006C34CF">
      <w:pPr>
        <w:pStyle w:val="Paragraphedeliste"/>
        <w:numPr>
          <w:ilvl w:val="3"/>
          <w:numId w:val="10"/>
        </w:numPr>
        <w:jc w:val="both"/>
      </w:pPr>
      <w:r>
        <w:t>Pour Jeanne (conjointe), au décès de Pierre</w:t>
      </w:r>
    </w:p>
    <w:p w14:paraId="7A7F27A7" w14:textId="05D43899" w:rsidR="0067479B" w:rsidRDefault="00B47A8F" w:rsidP="006C34CF">
      <w:pPr>
        <w:pStyle w:val="Paragraphedeliste"/>
        <w:numPr>
          <w:ilvl w:val="3"/>
          <w:numId w:val="10"/>
        </w:numPr>
        <w:jc w:val="both"/>
      </w:pPr>
      <w:r>
        <w:t>Pour Jeanne, une année avant son décès</w:t>
      </w:r>
    </w:p>
    <w:p w14:paraId="398C0ABE" w14:textId="77777777" w:rsidR="00E532D6" w:rsidRDefault="00E532D6" w:rsidP="00E532D6">
      <w:pPr>
        <w:ind w:left="360"/>
        <w:jc w:val="both"/>
      </w:pPr>
    </w:p>
    <w:tbl>
      <w:tblPr>
        <w:tblStyle w:val="Grille"/>
        <w:tblW w:w="0" w:type="auto"/>
        <w:tblLook w:val="04A0" w:firstRow="1" w:lastRow="0" w:firstColumn="1" w:lastColumn="0" w:noHBand="0" w:noVBand="1"/>
      </w:tblPr>
      <w:tblGrid>
        <w:gridCol w:w="8330"/>
        <w:gridCol w:w="2268"/>
      </w:tblGrid>
      <w:tr w:rsidR="0067479B" w14:paraId="43242E1A" w14:textId="77777777" w:rsidTr="00A14A80">
        <w:tc>
          <w:tcPr>
            <w:tcW w:w="10598" w:type="dxa"/>
            <w:gridSpan w:val="2"/>
            <w:shd w:val="clear" w:color="auto" w:fill="BFBF1A"/>
          </w:tcPr>
          <w:p w14:paraId="7B212F65" w14:textId="647A058E" w:rsidR="0067479B" w:rsidRDefault="0067479B" w:rsidP="00A14A80">
            <w:pPr>
              <w:jc w:val="both"/>
            </w:pPr>
            <w:r>
              <w:t xml:space="preserve">Les </w:t>
            </w:r>
            <w:r w:rsidR="00A14A80">
              <w:t>informations</w:t>
            </w:r>
            <w:r w:rsidR="008014C6">
              <w:rPr>
                <w:rStyle w:val="Marquenotebasdepage"/>
              </w:rPr>
              <w:footnoteReference w:customMarkFollows="1" w:id="43"/>
              <w:t>40</w:t>
            </w:r>
          </w:p>
        </w:tc>
      </w:tr>
      <w:tr w:rsidR="0067479B" w14:paraId="2F0205E1" w14:textId="77777777" w:rsidTr="00A14A80">
        <w:tc>
          <w:tcPr>
            <w:tcW w:w="8330" w:type="dxa"/>
            <w:shd w:val="clear" w:color="auto" w:fill="BBB9FF"/>
          </w:tcPr>
          <w:p w14:paraId="5E097163" w14:textId="3F72E8D5" w:rsidR="0067479B" w:rsidRDefault="0067479B" w:rsidP="0067479B">
            <w:pPr>
              <w:jc w:val="both"/>
            </w:pPr>
            <w:r>
              <w:t>Âge début - RPAPD</w:t>
            </w:r>
          </w:p>
        </w:tc>
        <w:tc>
          <w:tcPr>
            <w:tcW w:w="2268" w:type="dxa"/>
            <w:shd w:val="clear" w:color="auto" w:fill="BBB9FF"/>
          </w:tcPr>
          <w:p w14:paraId="2B4FC9EB" w14:textId="3E2A5483" w:rsidR="0067479B" w:rsidRDefault="000410A5" w:rsidP="00F75078">
            <w:pPr>
              <w:jc w:val="both"/>
            </w:pPr>
            <w:r>
              <w:t>3</w:t>
            </w:r>
            <w:r w:rsidR="00F75078">
              <w:t>1</w:t>
            </w:r>
            <w:r w:rsidR="0067479B">
              <w:t xml:space="preserve"> ans</w:t>
            </w:r>
          </w:p>
        </w:tc>
      </w:tr>
      <w:tr w:rsidR="0067479B" w14:paraId="6A178E86" w14:textId="77777777" w:rsidTr="00A14A80">
        <w:tc>
          <w:tcPr>
            <w:tcW w:w="8330" w:type="dxa"/>
            <w:shd w:val="clear" w:color="auto" w:fill="BBB9FF"/>
          </w:tcPr>
          <w:p w14:paraId="7BA8437B" w14:textId="4AADE0A2" w:rsidR="0067479B" w:rsidRPr="002C5B51" w:rsidRDefault="0067479B" w:rsidP="0067479B">
            <w:pPr>
              <w:jc w:val="both"/>
            </w:pPr>
            <w:r>
              <w:t>Âge fin - RPAPD</w:t>
            </w:r>
          </w:p>
        </w:tc>
        <w:tc>
          <w:tcPr>
            <w:tcW w:w="2268" w:type="dxa"/>
            <w:shd w:val="clear" w:color="auto" w:fill="BBB9FF"/>
          </w:tcPr>
          <w:p w14:paraId="0131AF1D" w14:textId="14D5E1E3" w:rsidR="0067479B" w:rsidRDefault="0067479B" w:rsidP="000410A5">
            <w:pPr>
              <w:jc w:val="both"/>
            </w:pPr>
            <w:r>
              <w:t>5</w:t>
            </w:r>
            <w:r w:rsidR="000410A5">
              <w:t>8</w:t>
            </w:r>
            <w:r>
              <w:t xml:space="preserve"> ans</w:t>
            </w:r>
          </w:p>
        </w:tc>
      </w:tr>
      <w:tr w:rsidR="0067479B" w14:paraId="3C798E44" w14:textId="77777777" w:rsidTr="00A14A80">
        <w:tc>
          <w:tcPr>
            <w:tcW w:w="8330" w:type="dxa"/>
            <w:shd w:val="clear" w:color="auto" w:fill="BBB9FF"/>
          </w:tcPr>
          <w:p w14:paraId="24C3A437" w14:textId="5292C6B3" w:rsidR="0067479B" w:rsidRDefault="0067479B" w:rsidP="00F45829">
            <w:pPr>
              <w:jc w:val="both"/>
            </w:pPr>
            <w:r>
              <w:t xml:space="preserve">Âge de </w:t>
            </w:r>
            <w:r w:rsidR="00F45829">
              <w:t>Pierre à son</w:t>
            </w:r>
            <w:r>
              <w:t xml:space="preserve"> décès</w:t>
            </w:r>
          </w:p>
        </w:tc>
        <w:tc>
          <w:tcPr>
            <w:tcW w:w="2268" w:type="dxa"/>
            <w:shd w:val="clear" w:color="auto" w:fill="BBB9FF"/>
          </w:tcPr>
          <w:p w14:paraId="007FA8C0" w14:textId="0AA7C44C" w:rsidR="0067479B" w:rsidRDefault="00B47A8F" w:rsidP="00B47A8F">
            <w:pPr>
              <w:jc w:val="both"/>
            </w:pPr>
            <w:r>
              <w:t>6</w:t>
            </w:r>
            <w:r w:rsidR="0067479B">
              <w:t>6 ans</w:t>
            </w:r>
          </w:p>
        </w:tc>
      </w:tr>
      <w:tr w:rsidR="0067479B" w14:paraId="6BE6613A" w14:textId="77777777" w:rsidTr="00A14A80">
        <w:tc>
          <w:tcPr>
            <w:tcW w:w="8330" w:type="dxa"/>
            <w:shd w:val="clear" w:color="auto" w:fill="BBB9FF"/>
          </w:tcPr>
          <w:p w14:paraId="1E53893E" w14:textId="11E34E00" w:rsidR="0067479B" w:rsidRDefault="0067479B" w:rsidP="00F45829">
            <w:pPr>
              <w:jc w:val="both"/>
            </w:pPr>
            <w:r>
              <w:t xml:space="preserve">Âge de </w:t>
            </w:r>
            <w:r w:rsidR="00F45829">
              <w:t>Jeanne</w:t>
            </w:r>
            <w:r>
              <w:t xml:space="preserve"> à son décès</w:t>
            </w:r>
          </w:p>
        </w:tc>
        <w:tc>
          <w:tcPr>
            <w:tcW w:w="2268" w:type="dxa"/>
            <w:shd w:val="clear" w:color="auto" w:fill="BBB9FF"/>
          </w:tcPr>
          <w:p w14:paraId="05C4D9DB" w14:textId="0619EDB6" w:rsidR="0067479B" w:rsidRDefault="00B47A8F" w:rsidP="00B47A8F">
            <w:pPr>
              <w:jc w:val="both"/>
            </w:pPr>
            <w:r>
              <w:t>84</w:t>
            </w:r>
            <w:r w:rsidR="0067479B">
              <w:t xml:space="preserve"> ans</w:t>
            </w:r>
          </w:p>
        </w:tc>
      </w:tr>
      <w:tr w:rsidR="0067479B" w14:paraId="5C1B14A3" w14:textId="77777777" w:rsidTr="00A14A80">
        <w:tc>
          <w:tcPr>
            <w:tcW w:w="8330" w:type="dxa"/>
            <w:shd w:val="clear" w:color="auto" w:fill="BBB9FF"/>
          </w:tcPr>
          <w:p w14:paraId="52489898" w14:textId="2BC116F1" w:rsidR="0067479B" w:rsidRDefault="00A14A80" w:rsidP="0067479B">
            <w:pPr>
              <w:jc w:val="both"/>
            </w:pPr>
            <w:r>
              <w:t xml:space="preserve">Clauses de base, sans </w:t>
            </w:r>
            <w:r w:rsidR="00B47A8F">
              <w:t xml:space="preserve">aucune </w:t>
            </w:r>
            <w:r>
              <w:t>renonciation du conjoint</w:t>
            </w:r>
          </w:p>
        </w:tc>
        <w:tc>
          <w:tcPr>
            <w:tcW w:w="2268" w:type="dxa"/>
            <w:shd w:val="clear" w:color="auto" w:fill="BBB9FF"/>
          </w:tcPr>
          <w:p w14:paraId="4612D8FC" w14:textId="77777777" w:rsidR="0067479B" w:rsidRDefault="0067479B" w:rsidP="0067479B">
            <w:pPr>
              <w:jc w:val="both"/>
            </w:pPr>
            <w:r>
              <w:t>3 %</w:t>
            </w:r>
          </w:p>
        </w:tc>
      </w:tr>
      <w:tr w:rsidR="0067479B" w14:paraId="6F07DC81" w14:textId="77777777" w:rsidTr="00A14A80">
        <w:tc>
          <w:tcPr>
            <w:tcW w:w="8330" w:type="dxa"/>
            <w:shd w:val="clear" w:color="auto" w:fill="BBB9FF"/>
          </w:tcPr>
          <w:p w14:paraId="15F389EF" w14:textId="484B53FF" w:rsidR="0067479B" w:rsidRDefault="00A14A80" w:rsidP="00A14A80">
            <w:pPr>
              <w:jc w:val="both"/>
            </w:pPr>
            <w:r>
              <w:t>Indexation de la rente</w:t>
            </w:r>
          </w:p>
        </w:tc>
        <w:tc>
          <w:tcPr>
            <w:tcW w:w="2268" w:type="dxa"/>
            <w:shd w:val="clear" w:color="auto" w:fill="BBB9FF"/>
          </w:tcPr>
          <w:p w14:paraId="3AFF4BB3" w14:textId="5EA7C748" w:rsidR="0067479B" w:rsidRDefault="00A14A80" w:rsidP="00A14A80">
            <w:pPr>
              <w:jc w:val="both"/>
            </w:pPr>
            <w:r>
              <w:t>2</w:t>
            </w:r>
            <w:r w:rsidR="0067479B">
              <w:t xml:space="preserve"> %</w:t>
            </w:r>
          </w:p>
        </w:tc>
      </w:tr>
      <w:tr w:rsidR="0067479B" w14:paraId="5D7AED3D" w14:textId="77777777" w:rsidTr="00A14A80">
        <w:tc>
          <w:tcPr>
            <w:tcW w:w="8330" w:type="dxa"/>
            <w:shd w:val="clear" w:color="auto" w:fill="BBB9FF"/>
          </w:tcPr>
          <w:p w14:paraId="1BA32FD6" w14:textId="40D99534" w:rsidR="0067479B" w:rsidRDefault="00A14A80" w:rsidP="00A14A80">
            <w:pPr>
              <w:jc w:val="both"/>
            </w:pPr>
            <w:r>
              <w:t>Crédit de rente acquise par année de participation</w:t>
            </w:r>
          </w:p>
        </w:tc>
        <w:tc>
          <w:tcPr>
            <w:tcW w:w="2268" w:type="dxa"/>
            <w:shd w:val="clear" w:color="auto" w:fill="BBB9FF"/>
          </w:tcPr>
          <w:p w14:paraId="5E6ED8AA" w14:textId="3A9DEB31" w:rsidR="0067479B" w:rsidRDefault="00A14A80" w:rsidP="00A14A80">
            <w:pPr>
              <w:jc w:val="both"/>
            </w:pPr>
            <w:r>
              <w:t>2</w:t>
            </w:r>
            <w:r w:rsidR="0067479B">
              <w:t xml:space="preserve"> %</w:t>
            </w:r>
          </w:p>
        </w:tc>
      </w:tr>
      <w:tr w:rsidR="0067479B" w14:paraId="5C9668A1" w14:textId="77777777" w:rsidTr="00A14A80">
        <w:tc>
          <w:tcPr>
            <w:tcW w:w="8330" w:type="dxa"/>
            <w:shd w:val="clear" w:color="auto" w:fill="BBB9FF"/>
          </w:tcPr>
          <w:p w14:paraId="4FEC2430" w14:textId="40156466" w:rsidR="0067479B" w:rsidRDefault="00B47A8F" w:rsidP="00F45829">
            <w:pPr>
              <w:jc w:val="both"/>
            </w:pPr>
            <w:r>
              <w:t xml:space="preserve">Rente calculée sur la moyenne des </w:t>
            </w:r>
            <w:r w:rsidR="00F45829">
              <w:t>cinq</w:t>
            </w:r>
            <w:r>
              <w:t xml:space="preserve"> meilleures années (salaire)</w:t>
            </w:r>
          </w:p>
        </w:tc>
        <w:tc>
          <w:tcPr>
            <w:tcW w:w="2268" w:type="dxa"/>
            <w:shd w:val="clear" w:color="auto" w:fill="BBB9FF"/>
          </w:tcPr>
          <w:p w14:paraId="313515E9" w14:textId="399A11F4" w:rsidR="0067479B" w:rsidRDefault="000F6A66" w:rsidP="000F6A66">
            <w:pPr>
              <w:jc w:val="both"/>
            </w:pPr>
            <w:r>
              <w:t>180</w:t>
            </w:r>
            <w:r w:rsidR="00B47A8F">
              <w:t xml:space="preserve"> 000 $</w:t>
            </w:r>
          </w:p>
        </w:tc>
      </w:tr>
      <w:tr w:rsidR="00B47A8F" w14:paraId="7BA0B693" w14:textId="77777777" w:rsidTr="00A14A80">
        <w:tc>
          <w:tcPr>
            <w:tcW w:w="8330" w:type="dxa"/>
            <w:shd w:val="clear" w:color="auto" w:fill="BBB9FF"/>
          </w:tcPr>
          <w:p w14:paraId="7C73D0FF" w14:textId="243685F1" w:rsidR="00B47A8F" w:rsidRDefault="00B47A8F" w:rsidP="00A14A80">
            <w:pPr>
              <w:jc w:val="both"/>
            </w:pPr>
            <w:r>
              <w:t>Rendement de votre RPAPD</w:t>
            </w:r>
          </w:p>
        </w:tc>
        <w:tc>
          <w:tcPr>
            <w:tcW w:w="2268" w:type="dxa"/>
            <w:shd w:val="clear" w:color="auto" w:fill="BBB9FF"/>
          </w:tcPr>
          <w:p w14:paraId="0225B516" w14:textId="5ABD465E" w:rsidR="00B47A8F" w:rsidRDefault="00B47A8F" w:rsidP="0067479B">
            <w:pPr>
              <w:jc w:val="both"/>
            </w:pPr>
            <w:r>
              <w:t>5 %</w:t>
            </w:r>
          </w:p>
        </w:tc>
      </w:tr>
      <w:tr w:rsidR="00B47A8F" w14:paraId="4B2C42E6" w14:textId="77777777" w:rsidTr="00A14A80">
        <w:tc>
          <w:tcPr>
            <w:tcW w:w="8330" w:type="dxa"/>
            <w:shd w:val="clear" w:color="auto" w:fill="BBB9FF"/>
          </w:tcPr>
          <w:p w14:paraId="69B2BB58" w14:textId="45EE6F48" w:rsidR="00B47A8F" w:rsidRDefault="00B47A8F" w:rsidP="00F45829">
            <w:pPr>
              <w:jc w:val="both"/>
            </w:pPr>
            <w:r>
              <w:t xml:space="preserve">Synchronisation avec le RRQ </w:t>
            </w:r>
          </w:p>
        </w:tc>
        <w:tc>
          <w:tcPr>
            <w:tcW w:w="2268" w:type="dxa"/>
            <w:shd w:val="clear" w:color="auto" w:fill="BBB9FF"/>
          </w:tcPr>
          <w:p w14:paraId="08CA1249" w14:textId="672FF1F9" w:rsidR="00B47A8F" w:rsidRDefault="00F45829" w:rsidP="0067479B">
            <w:pPr>
              <w:jc w:val="both"/>
            </w:pPr>
            <w:r>
              <w:t>À 65 ans</w:t>
            </w:r>
          </w:p>
        </w:tc>
      </w:tr>
      <w:tr w:rsidR="00B47A8F" w14:paraId="50D198D9" w14:textId="77777777" w:rsidTr="00A14A80">
        <w:tc>
          <w:tcPr>
            <w:tcW w:w="8330" w:type="dxa"/>
            <w:shd w:val="clear" w:color="auto" w:fill="BBB9FF"/>
          </w:tcPr>
          <w:p w14:paraId="4751C227" w14:textId="665AB552" w:rsidR="00B47A8F" w:rsidRDefault="00F45829" w:rsidP="00A14A80">
            <w:pPr>
              <w:jc w:val="both"/>
            </w:pPr>
            <w:r>
              <w:t>MGA moyen des cinq dernières années</w:t>
            </w:r>
          </w:p>
        </w:tc>
        <w:tc>
          <w:tcPr>
            <w:tcW w:w="2268" w:type="dxa"/>
            <w:shd w:val="clear" w:color="auto" w:fill="BBB9FF"/>
          </w:tcPr>
          <w:p w14:paraId="26922CE8" w14:textId="0FB97759" w:rsidR="00B47A8F" w:rsidRDefault="00F45829" w:rsidP="0067479B">
            <w:pPr>
              <w:jc w:val="both"/>
            </w:pPr>
            <w:r>
              <w:t>49 000 $</w:t>
            </w:r>
          </w:p>
        </w:tc>
      </w:tr>
      <w:tr w:rsidR="00B47A8F" w14:paraId="6DDDF671" w14:textId="77777777" w:rsidTr="00A14A80">
        <w:tc>
          <w:tcPr>
            <w:tcW w:w="8330" w:type="dxa"/>
            <w:shd w:val="clear" w:color="auto" w:fill="BBB9FF"/>
          </w:tcPr>
          <w:p w14:paraId="6E2922C2" w14:textId="59244016" w:rsidR="00B47A8F" w:rsidRDefault="00F45829" w:rsidP="00A14A80">
            <w:pPr>
              <w:jc w:val="both"/>
            </w:pPr>
            <w:r>
              <w:t>Pénalité actuarielle</w:t>
            </w:r>
          </w:p>
        </w:tc>
        <w:tc>
          <w:tcPr>
            <w:tcW w:w="2268" w:type="dxa"/>
            <w:shd w:val="clear" w:color="auto" w:fill="BBB9FF"/>
          </w:tcPr>
          <w:p w14:paraId="3B274DBC" w14:textId="5EBB7304" w:rsidR="00B47A8F" w:rsidRDefault="00F45829" w:rsidP="0067479B">
            <w:pPr>
              <w:jc w:val="both"/>
            </w:pPr>
            <w:r>
              <w:t>3,5 %</w:t>
            </w:r>
          </w:p>
        </w:tc>
      </w:tr>
      <w:tr w:rsidR="00B47A8F" w14:paraId="0E91958F" w14:textId="77777777" w:rsidTr="00A14A80">
        <w:tc>
          <w:tcPr>
            <w:tcW w:w="8330" w:type="dxa"/>
            <w:shd w:val="clear" w:color="auto" w:fill="BBB9FF"/>
          </w:tcPr>
          <w:p w14:paraId="5A20F794" w14:textId="58F9FC8D" w:rsidR="00B47A8F" w:rsidRDefault="00F45829" w:rsidP="00A14A80">
            <w:pPr>
              <w:jc w:val="both"/>
            </w:pPr>
            <w:r>
              <w:t xml:space="preserve">Mode de calcul de la pénalité actuarielle </w:t>
            </w:r>
            <w:r w:rsidR="00B245F3">
              <w:rPr>
                <w:rStyle w:val="Marquenotebasdepage"/>
              </w:rPr>
              <w:footnoteReference w:customMarkFollows="1" w:id="44"/>
              <w:t>41</w:t>
            </w:r>
          </w:p>
        </w:tc>
        <w:tc>
          <w:tcPr>
            <w:tcW w:w="2268" w:type="dxa"/>
            <w:shd w:val="clear" w:color="auto" w:fill="BBB9FF"/>
          </w:tcPr>
          <w:p w14:paraId="3DC6CC1F" w14:textId="44AC13B7" w:rsidR="00B47A8F" w:rsidRDefault="00B245F3" w:rsidP="00B245F3">
            <w:pPr>
              <w:jc w:val="both"/>
            </w:pPr>
            <w:r>
              <w:t>60, 32, 90</w:t>
            </w:r>
          </w:p>
        </w:tc>
      </w:tr>
    </w:tbl>
    <w:p w14:paraId="6CB438F4" w14:textId="02234FB1" w:rsidR="0067479B" w:rsidRDefault="0067479B" w:rsidP="0067479B">
      <w:pPr>
        <w:jc w:val="both"/>
      </w:pPr>
    </w:p>
    <w:p w14:paraId="3B29C2D7" w14:textId="392E070C" w:rsidR="000421B2" w:rsidRDefault="000421B2" w:rsidP="000421B2"/>
    <w:p w14:paraId="5538D27A" w14:textId="77777777" w:rsidR="00A874DC" w:rsidRDefault="00A874DC">
      <w:r>
        <w:t>Voici la solution proposée</w:t>
      </w:r>
    </w:p>
    <w:p w14:paraId="22CF87A2" w14:textId="77777777" w:rsidR="00A874DC" w:rsidRDefault="00A874DC"/>
    <w:p w14:paraId="33D509D7" w14:textId="1E095EF2" w:rsidR="00793320" w:rsidRDefault="002943D9">
      <w:r>
        <w:rPr>
          <w:noProof/>
          <w:lang w:eastAsia="fr-FR"/>
        </w:rPr>
        <mc:AlternateContent>
          <mc:Choice Requires="wps">
            <w:drawing>
              <wp:anchor distT="0" distB="0" distL="114300" distR="114300" simplePos="0" relativeHeight="252306432" behindDoc="0" locked="0" layoutInCell="1" allowOverlap="1" wp14:anchorId="03D4E625" wp14:editId="1D2B9152">
                <wp:simplePos x="0" y="0"/>
                <wp:positionH relativeFrom="column">
                  <wp:posOffset>381000</wp:posOffset>
                </wp:positionH>
                <wp:positionV relativeFrom="paragraph">
                  <wp:posOffset>125095</wp:posOffset>
                </wp:positionV>
                <wp:extent cx="1371600" cy="1371600"/>
                <wp:effectExtent l="0" t="0" r="25400" b="25400"/>
                <wp:wrapNone/>
                <wp:docPr id="308" name="Ellipse 308"/>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AEF5CFB" w14:textId="77777777" w:rsidR="00573C95" w:rsidRDefault="00573C95" w:rsidP="000F6A66">
                            <w:pPr>
                              <w:jc w:val="center"/>
                            </w:pPr>
                            <w:r>
                              <w:t>Calcul de la rente de retraite "normale"</w:t>
                            </w:r>
                          </w:p>
                          <w:p w14:paraId="1BCEBBB0" w14:textId="77777777" w:rsidR="00573C95" w:rsidRDefault="00573C95" w:rsidP="000F6A6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8" o:spid="_x0000_s1190" style="position:absolute;margin-left:30pt;margin-top:9.85pt;width:108pt;height:108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" fillcolor="black [3213]" strokecolor="white [3212]" strokeweight="1pt">
                <v:textbox>
                  <w:txbxContent>
                    <w:p w14:paraId="0AEF5CFB" w14:textId="77777777" w:rsidR="001501D6" w:rsidRDefault="001501D6" w:rsidP="000F6A66">
                      <w:pPr>
                        <w:jc w:val="center"/>
                      </w:pPr>
                      <w:r>
                        <w:t>Calcul de la rente de retraite "normale"</w:t>
                      </w:r>
                    </w:p>
                    <w:p w14:paraId="1BCEBBB0" w14:textId="77777777" w:rsidR="001501D6" w:rsidRDefault="001501D6" w:rsidP="000F6A66">
                      <w:pPr>
                        <w:jc w:val="center"/>
                      </w:pPr>
                    </w:p>
                  </w:txbxContent>
                </v:textbox>
              </v:oval>
            </w:pict>
          </mc:Fallback>
        </mc:AlternateContent>
      </w:r>
      <w:r>
        <w:rPr>
          <w:noProof/>
          <w:lang w:eastAsia="fr-FR"/>
        </w:rPr>
        <mc:AlternateContent>
          <mc:Choice Requires="wps">
            <w:drawing>
              <wp:anchor distT="0" distB="0" distL="114300" distR="114300" simplePos="0" relativeHeight="252305408" behindDoc="0" locked="0" layoutInCell="1" allowOverlap="1" wp14:anchorId="64F953AD" wp14:editId="43F806D9">
                <wp:simplePos x="0" y="0"/>
                <wp:positionH relativeFrom="column">
                  <wp:posOffset>1524000</wp:posOffset>
                </wp:positionH>
                <wp:positionV relativeFrom="paragraph">
                  <wp:posOffset>353695</wp:posOffset>
                </wp:positionV>
                <wp:extent cx="3657600" cy="925830"/>
                <wp:effectExtent l="76200" t="76200" r="76200" b="64770"/>
                <wp:wrapNone/>
                <wp:docPr id="307" name="Rectangle à coins arrondis 307"/>
                <wp:cNvGraphicFramePr/>
                <a:graphic xmlns:a="http://schemas.openxmlformats.org/drawingml/2006/main">
                  <a:graphicData uri="http://schemas.microsoft.com/office/word/2010/wordprocessingShape">
                    <wps:wsp>
                      <wps:cNvSpPr/>
                      <wps:spPr>
                        <a:xfrm>
                          <a:off x="0" y="0"/>
                          <a:ext cx="3657600" cy="92583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3C83ABC" w14:textId="77777777" w:rsidR="00573C95" w:rsidRDefault="00573C95" w:rsidP="000F6A66"/>
                          <w:p w14:paraId="53820E18" w14:textId="77777777" w:rsidR="00573C95" w:rsidRDefault="00573C95" w:rsidP="000F6A66"/>
                          <w:p w14:paraId="3F6399B7" w14:textId="1A6EFE6F" w:rsidR="00573C95" w:rsidRPr="000F6A66" w:rsidRDefault="00573C95" w:rsidP="00F75078">
                            <w:pPr>
                              <w:jc w:val="center"/>
                              <w:rPr>
                                <w:color w:val="000000"/>
                              </w:rPr>
                            </w:pPr>
                            <w:r w:rsidRPr="000F6A66">
                              <w:rPr>
                                <w:color w:val="000000"/>
                              </w:rPr>
                              <w:t xml:space="preserve">2 % * </w:t>
                            </w:r>
                            <w:r>
                              <w:rPr>
                                <w:color w:val="000000"/>
                              </w:rPr>
                              <w:t xml:space="preserve">180 </w:t>
                            </w:r>
                            <w:r w:rsidRPr="000F6A66">
                              <w:rPr>
                                <w:color w:val="000000"/>
                              </w:rPr>
                              <w:t>000 $ * 2</w:t>
                            </w:r>
                            <w:r>
                              <w:rPr>
                                <w:color w:val="000000"/>
                              </w:rPr>
                              <w:t>7</w:t>
                            </w:r>
                            <w:r w:rsidRPr="000F6A66">
                              <w:rPr>
                                <w:color w:val="000000"/>
                              </w:rPr>
                              <w:t xml:space="preserve"> années</w:t>
                            </w:r>
                            <w:r>
                              <w:rPr>
                                <w:color w:val="000000"/>
                              </w:rPr>
                              <w:t xml:space="preserve"> = 97 200 $</w:t>
                            </w:r>
                          </w:p>
                          <w:p w14:paraId="6B0CEA01" w14:textId="77777777" w:rsidR="00573C95" w:rsidRDefault="00573C95" w:rsidP="00F7507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07" o:spid="_x0000_s1191" style="position:absolute;margin-left:120pt;margin-top:27.85pt;width:4in;height:72.9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" fillcolor="#94c6c7" strokecolor="black [3213]">
                <v:textbox>
                  <w:txbxContent>
                    <w:p w14:paraId="23C83ABC" w14:textId="77777777" w:rsidR="001501D6" w:rsidRDefault="001501D6" w:rsidP="000F6A66"/>
                    <w:p w14:paraId="53820E18" w14:textId="77777777" w:rsidR="001501D6" w:rsidRDefault="001501D6" w:rsidP="000F6A66"/>
                    <w:p w14:paraId="3F6399B7" w14:textId="1A6EFE6F" w:rsidR="001501D6" w:rsidRPr="000F6A66" w:rsidRDefault="001501D6" w:rsidP="00F75078">
                      <w:pPr>
                        <w:jc w:val="center"/>
                        <w:rPr>
                          <w:color w:val="000000"/>
                        </w:rPr>
                      </w:pPr>
                      <w:r w:rsidRPr="000F6A66">
                        <w:rPr>
                          <w:color w:val="000000"/>
                        </w:rPr>
                        <w:t xml:space="preserve">2 % * </w:t>
                      </w:r>
                      <w:r>
                        <w:rPr>
                          <w:color w:val="000000"/>
                        </w:rPr>
                        <w:t xml:space="preserve">180 </w:t>
                      </w:r>
                      <w:r w:rsidRPr="000F6A66">
                        <w:rPr>
                          <w:color w:val="000000"/>
                        </w:rPr>
                        <w:t>000 $ * 2</w:t>
                      </w:r>
                      <w:r>
                        <w:rPr>
                          <w:color w:val="000000"/>
                        </w:rPr>
                        <w:t>7</w:t>
                      </w:r>
                      <w:r w:rsidRPr="000F6A66">
                        <w:rPr>
                          <w:color w:val="000000"/>
                        </w:rPr>
                        <w:t xml:space="preserve"> années</w:t>
                      </w:r>
                      <w:r>
                        <w:rPr>
                          <w:color w:val="000000"/>
                        </w:rPr>
                        <w:t xml:space="preserve"> = 97 200 $</w:t>
                      </w:r>
                    </w:p>
                    <w:p w14:paraId="6B0CEA01" w14:textId="77777777" w:rsidR="001501D6" w:rsidRDefault="001501D6" w:rsidP="00F75078">
                      <w:pPr>
                        <w:jc w:val="center"/>
                      </w:pPr>
                    </w:p>
                  </w:txbxContent>
                </v:textbox>
              </v:roundrect>
            </w:pict>
          </mc:Fallback>
        </mc:AlternateContent>
      </w:r>
      <w:r w:rsidR="003146E2">
        <w:rPr>
          <w:noProof/>
          <w:lang w:eastAsia="fr-FR"/>
        </w:rPr>
        <mc:AlternateContent>
          <mc:Choice Requires="wps">
            <w:drawing>
              <wp:anchor distT="0" distB="0" distL="114300" distR="114300" simplePos="0" relativeHeight="252322816" behindDoc="0" locked="0" layoutInCell="1" allowOverlap="1" wp14:anchorId="375ECDBB" wp14:editId="24B16430">
                <wp:simplePos x="0" y="0"/>
                <wp:positionH relativeFrom="column">
                  <wp:posOffset>4953000</wp:posOffset>
                </wp:positionH>
                <wp:positionV relativeFrom="paragraph">
                  <wp:posOffset>4582795</wp:posOffset>
                </wp:positionV>
                <wp:extent cx="457200" cy="457200"/>
                <wp:effectExtent l="0" t="0" r="25400" b="25400"/>
                <wp:wrapNone/>
                <wp:docPr id="321" name="Ellipse 321"/>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71F1483" w14:textId="1B6353F0" w:rsidR="00573C95" w:rsidRDefault="00573C95" w:rsidP="003146E2">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21" o:spid="_x0000_s1192" style="position:absolute;margin-left:390pt;margin-top:360.85pt;width:36pt;height:36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" fillcolor="black [3213]" strokecolor="white [3212]" strokeweight="1pt">
                <v:textbox>
                  <w:txbxContent>
                    <w:p w14:paraId="271F1483" w14:textId="1B6353F0" w:rsidR="001501D6" w:rsidRDefault="001501D6" w:rsidP="003146E2">
                      <w:pPr>
                        <w:jc w:val="center"/>
                      </w:pPr>
                      <w:r>
                        <w:t>4</w:t>
                      </w:r>
                    </w:p>
                  </w:txbxContent>
                </v:textbox>
              </v:oval>
            </w:pict>
          </mc:Fallback>
        </mc:AlternateContent>
      </w:r>
      <w:r w:rsidR="003146E2">
        <w:rPr>
          <w:noProof/>
          <w:lang w:eastAsia="fr-FR"/>
        </w:rPr>
        <mc:AlternateContent>
          <mc:Choice Requires="wps">
            <w:drawing>
              <wp:anchor distT="0" distB="0" distL="114300" distR="114300" simplePos="0" relativeHeight="252317696" behindDoc="0" locked="0" layoutInCell="1" allowOverlap="1" wp14:anchorId="0003D99C" wp14:editId="3A00586B">
                <wp:simplePos x="0" y="0"/>
                <wp:positionH relativeFrom="column">
                  <wp:posOffset>4953000</wp:posOffset>
                </wp:positionH>
                <wp:positionV relativeFrom="paragraph">
                  <wp:posOffset>3211195</wp:posOffset>
                </wp:positionV>
                <wp:extent cx="457200" cy="457200"/>
                <wp:effectExtent l="0" t="0" r="25400" b="25400"/>
                <wp:wrapNone/>
                <wp:docPr id="317" name="Ellipse 317"/>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F1AFF17" w14:textId="77777777" w:rsidR="00573C95" w:rsidRDefault="00573C95" w:rsidP="003146E2">
                            <w:pPr>
                              <w:jc w:val="center"/>
                            </w:pPr>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17" o:spid="_x0000_s1193" style="position:absolute;margin-left:390pt;margin-top:252.85pt;width:36pt;height:36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" fillcolor="black [3213]" strokecolor="white [3212]" strokeweight="1pt">
                <v:textbox>
                  <w:txbxContent>
                    <w:p w14:paraId="0F1AFF17" w14:textId="77777777" w:rsidR="001501D6" w:rsidRDefault="001501D6" w:rsidP="003146E2">
                      <w:pPr>
                        <w:jc w:val="center"/>
                      </w:pPr>
                      <w:r>
                        <w:t>31</w:t>
                      </w:r>
                    </w:p>
                  </w:txbxContent>
                </v:textbox>
              </v:oval>
            </w:pict>
          </mc:Fallback>
        </mc:AlternateContent>
      </w:r>
      <w:r w:rsidR="003146E2">
        <w:rPr>
          <w:noProof/>
          <w:lang w:eastAsia="fr-FR"/>
        </w:rPr>
        <mc:AlternateContent>
          <mc:Choice Requires="wps">
            <w:drawing>
              <wp:anchor distT="0" distB="0" distL="114300" distR="114300" simplePos="0" relativeHeight="252324864" behindDoc="0" locked="0" layoutInCell="1" allowOverlap="1" wp14:anchorId="14DECBAA" wp14:editId="56D552C1">
                <wp:simplePos x="0" y="0"/>
                <wp:positionH relativeFrom="column">
                  <wp:posOffset>6858000</wp:posOffset>
                </wp:positionH>
                <wp:positionV relativeFrom="paragraph">
                  <wp:posOffset>4697095</wp:posOffset>
                </wp:positionV>
                <wp:extent cx="1143000" cy="685800"/>
                <wp:effectExtent l="0" t="0" r="0" b="0"/>
                <wp:wrapThrough wrapText="bothSides">
                  <wp:wrapPolygon edited="0">
                    <wp:start x="1440" y="5600"/>
                    <wp:lineTo x="1440" y="15200"/>
                    <wp:lineTo x="19680" y="15200"/>
                    <wp:lineTo x="19680" y="5600"/>
                    <wp:lineTo x="1440" y="5600"/>
                  </wp:wrapPolygon>
                </wp:wrapThrough>
                <wp:docPr id="323" name="Moins 323"/>
                <wp:cNvGraphicFramePr/>
                <a:graphic xmlns:a="http://schemas.openxmlformats.org/drawingml/2006/main">
                  <a:graphicData uri="http://schemas.microsoft.com/office/word/2010/wordprocessingShape">
                    <wps:wsp>
                      <wps:cNvSpPr/>
                      <wps:spPr>
                        <a:xfrm>
                          <a:off x="0" y="0"/>
                          <a:ext cx="1143000" cy="6858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Moins 323" o:spid="_x0000_s1026" style="position:absolute;margin-left:540pt;margin-top:369.85pt;width:90pt;height:54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" path="m151505,262250l991495,262250,991495,423550,151505,423550,151505,262250xe" fillcolor="#a6a6a6" strokecolor="maroon" strokeweight="2.25pt">
                <v:path arrowok="t" o:connecttype="custom" o:connectlocs="151505,262250;991495,262250;991495,423550;151505,423550;151505,262250" o:connectangles="0,0,0,0,0"/>
                <w10:wrap type="through"/>
              </v:shape>
            </w:pict>
          </mc:Fallback>
        </mc:AlternateContent>
      </w:r>
      <w:r w:rsidR="003146E2">
        <w:rPr>
          <w:noProof/>
          <w:lang w:eastAsia="fr-FR"/>
        </w:rPr>
        <mc:AlternateContent>
          <mc:Choice Requires="wps">
            <w:drawing>
              <wp:anchor distT="0" distB="0" distL="114300" distR="114300" simplePos="0" relativeHeight="252321792" behindDoc="0" locked="0" layoutInCell="1" allowOverlap="1" wp14:anchorId="0C6E9F25" wp14:editId="6F99A48E">
                <wp:simplePos x="0" y="0"/>
                <wp:positionH relativeFrom="column">
                  <wp:posOffset>381000</wp:posOffset>
                </wp:positionH>
                <wp:positionV relativeFrom="paragraph">
                  <wp:posOffset>4354195</wp:posOffset>
                </wp:positionV>
                <wp:extent cx="1485900" cy="1485900"/>
                <wp:effectExtent l="0" t="0" r="38100" b="38100"/>
                <wp:wrapNone/>
                <wp:docPr id="320" name="Ellipse 320"/>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78D4A9ED" w14:textId="4977C72E" w:rsidR="00573C95" w:rsidRDefault="00573C95" w:rsidP="003146E2">
                            <w:pPr>
                              <w:jc w:val="center"/>
                            </w:pPr>
                            <w:r>
                              <w:t>Ajout aux clauses de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20" o:spid="_x0000_s1194" style="position:absolute;margin-left:30pt;margin-top:342.85pt;width:117pt;height:117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" fillcolor="black [3213]" strokecolor="white [3212]" strokeweight="1pt">
                <v:textbox>
                  <w:txbxContent>
                    <w:p w14:paraId="78D4A9ED" w14:textId="4977C72E" w:rsidR="001501D6" w:rsidRDefault="001501D6" w:rsidP="003146E2">
                      <w:pPr>
                        <w:jc w:val="center"/>
                      </w:pPr>
                      <w:r>
                        <w:t>Ajout aux clauses de base</w:t>
                      </w:r>
                    </w:p>
                  </w:txbxContent>
                </v:textbox>
              </v:oval>
            </w:pict>
          </mc:Fallback>
        </mc:AlternateContent>
      </w:r>
      <w:r w:rsidR="003146E2">
        <w:rPr>
          <w:noProof/>
          <w:lang w:eastAsia="fr-FR"/>
        </w:rPr>
        <mc:AlternateContent>
          <mc:Choice Requires="wps">
            <w:drawing>
              <wp:anchor distT="0" distB="0" distL="114300" distR="114300" simplePos="0" relativeHeight="252320768" behindDoc="0" locked="0" layoutInCell="1" allowOverlap="1" wp14:anchorId="23904E19" wp14:editId="797B18A1">
                <wp:simplePos x="0" y="0"/>
                <wp:positionH relativeFrom="column">
                  <wp:posOffset>1638300</wp:posOffset>
                </wp:positionH>
                <wp:positionV relativeFrom="paragraph">
                  <wp:posOffset>4697095</wp:posOffset>
                </wp:positionV>
                <wp:extent cx="3657600" cy="762000"/>
                <wp:effectExtent l="76200" t="76200" r="50800" b="76200"/>
                <wp:wrapNone/>
                <wp:docPr id="319" name="Rectangle à coins arrondis 319"/>
                <wp:cNvGraphicFramePr/>
                <a:graphic xmlns:a="http://schemas.openxmlformats.org/drawingml/2006/main">
                  <a:graphicData uri="http://schemas.microsoft.com/office/word/2010/wordprocessingShape">
                    <wps:wsp>
                      <wps:cNvSpPr/>
                      <wps:spPr>
                        <a:xfrm>
                          <a:off x="0" y="0"/>
                          <a:ext cx="3657600" cy="7620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79903AA" w14:textId="24948424" w:rsidR="00573C95" w:rsidRPr="003146E2" w:rsidRDefault="00573C95" w:rsidP="00E56121">
                            <w:pPr>
                              <w:jc w:val="center"/>
                              <w:rPr>
                                <w:color w:val="000000"/>
                              </w:rPr>
                            </w:pPr>
                            <w:r w:rsidRPr="003146E2">
                              <w:rPr>
                                <w:color w:val="000000"/>
                              </w:rPr>
                              <w:t>S/O</w:t>
                            </w:r>
                          </w:p>
                          <w:p w14:paraId="042E614F" w14:textId="77777777" w:rsidR="00573C95" w:rsidRPr="003146E2" w:rsidRDefault="00573C95" w:rsidP="003146E2">
                            <w:pPr>
                              <w:jc w:val="center"/>
                              <w:rPr>
                                <w:color w:val="000000"/>
                              </w:rPr>
                            </w:pPr>
                            <w:r w:rsidRPr="003146E2">
                              <w:rPr>
                                <w:color w:val="000000"/>
                              </w:rPr>
                              <w:t>Aucune renonciation de Jeanne</w:t>
                            </w:r>
                          </w:p>
                          <w:p w14:paraId="0257D14B" w14:textId="77777777" w:rsidR="00573C95" w:rsidRDefault="00573C95" w:rsidP="003146E2"/>
                          <w:p w14:paraId="7E04E98F" w14:textId="77777777" w:rsidR="00573C95" w:rsidRDefault="00573C95" w:rsidP="003146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19" o:spid="_x0000_s1195" style="position:absolute;margin-left:129pt;margin-top:369.85pt;width:4in;height:60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" fillcolor="#94c691" strokecolor="black [3213]">
                <v:textbox>
                  <w:txbxContent>
                    <w:p w14:paraId="379903AA" w14:textId="24948424" w:rsidR="001501D6" w:rsidRPr="003146E2" w:rsidRDefault="001501D6" w:rsidP="00E56121">
                      <w:pPr>
                        <w:jc w:val="center"/>
                        <w:rPr>
                          <w:color w:val="000000"/>
                        </w:rPr>
                      </w:pPr>
                      <w:r w:rsidRPr="003146E2">
                        <w:rPr>
                          <w:color w:val="000000"/>
                        </w:rPr>
                        <w:t>S/O</w:t>
                      </w:r>
                    </w:p>
                    <w:p w14:paraId="042E614F" w14:textId="77777777" w:rsidR="001501D6" w:rsidRPr="003146E2" w:rsidRDefault="001501D6" w:rsidP="003146E2">
                      <w:pPr>
                        <w:jc w:val="center"/>
                        <w:rPr>
                          <w:color w:val="000000"/>
                        </w:rPr>
                      </w:pPr>
                      <w:r w:rsidRPr="003146E2">
                        <w:rPr>
                          <w:color w:val="000000"/>
                        </w:rPr>
                        <w:t>Aucune renonciation de Jeanne</w:t>
                      </w:r>
                    </w:p>
                    <w:p w14:paraId="0257D14B" w14:textId="77777777" w:rsidR="001501D6" w:rsidRDefault="001501D6" w:rsidP="003146E2"/>
                    <w:p w14:paraId="7E04E98F" w14:textId="77777777" w:rsidR="001501D6" w:rsidRDefault="001501D6" w:rsidP="003146E2"/>
                  </w:txbxContent>
                </v:textbox>
              </v:roundrect>
            </w:pict>
          </mc:Fallback>
        </mc:AlternateContent>
      </w:r>
      <w:r w:rsidR="003146E2">
        <w:rPr>
          <w:noProof/>
          <w:lang w:eastAsia="fr-FR"/>
        </w:rPr>
        <mc:AlternateContent>
          <mc:Choice Requires="wps">
            <w:drawing>
              <wp:anchor distT="0" distB="0" distL="114300" distR="114300" simplePos="0" relativeHeight="252316672" behindDoc="0" locked="0" layoutInCell="1" allowOverlap="1" wp14:anchorId="70CF8280" wp14:editId="1A7316C7">
                <wp:simplePos x="0" y="0"/>
                <wp:positionH relativeFrom="column">
                  <wp:posOffset>381000</wp:posOffset>
                </wp:positionH>
                <wp:positionV relativeFrom="paragraph">
                  <wp:posOffset>2982595</wp:posOffset>
                </wp:positionV>
                <wp:extent cx="1485900" cy="1485900"/>
                <wp:effectExtent l="0" t="0" r="38100" b="38100"/>
                <wp:wrapNone/>
                <wp:docPr id="316" name="Ellipse 316"/>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69F0303" w14:textId="77777777" w:rsidR="00573C95" w:rsidRDefault="00573C95" w:rsidP="003146E2">
                            <w:pPr>
                              <w:jc w:val="center"/>
                            </w:pPr>
                            <w:r>
                              <w:t>Abandon des clauses de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16" o:spid="_x0000_s1196" style="position:absolute;margin-left:30pt;margin-top:234.85pt;width:117pt;height:117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" fillcolor="black [3213]" strokecolor="white [3212]" strokeweight="1pt">
                <v:textbox>
                  <w:txbxContent>
                    <w:p w14:paraId="569F0303" w14:textId="77777777" w:rsidR="001501D6" w:rsidRDefault="001501D6" w:rsidP="003146E2">
                      <w:pPr>
                        <w:jc w:val="center"/>
                      </w:pPr>
                      <w:r>
                        <w:t>Abandon des clauses de base</w:t>
                      </w:r>
                    </w:p>
                  </w:txbxContent>
                </v:textbox>
              </v:oval>
            </w:pict>
          </mc:Fallback>
        </mc:AlternateContent>
      </w:r>
      <w:r w:rsidR="003146E2">
        <w:rPr>
          <w:noProof/>
          <w:lang w:eastAsia="fr-FR"/>
        </w:rPr>
        <mc:AlternateContent>
          <mc:Choice Requires="wps">
            <w:drawing>
              <wp:anchor distT="0" distB="0" distL="114300" distR="114300" simplePos="0" relativeHeight="252315648" behindDoc="0" locked="0" layoutInCell="1" allowOverlap="1" wp14:anchorId="79B00C32" wp14:editId="33B43DBE">
                <wp:simplePos x="0" y="0"/>
                <wp:positionH relativeFrom="column">
                  <wp:posOffset>1638300</wp:posOffset>
                </wp:positionH>
                <wp:positionV relativeFrom="paragraph">
                  <wp:posOffset>3325495</wp:posOffset>
                </wp:positionV>
                <wp:extent cx="3657600" cy="762000"/>
                <wp:effectExtent l="76200" t="76200" r="50800" b="76200"/>
                <wp:wrapNone/>
                <wp:docPr id="315" name="Rectangle à coins arrondis 315"/>
                <wp:cNvGraphicFramePr/>
                <a:graphic xmlns:a="http://schemas.openxmlformats.org/drawingml/2006/main">
                  <a:graphicData uri="http://schemas.microsoft.com/office/word/2010/wordprocessingShape">
                    <wps:wsp>
                      <wps:cNvSpPr/>
                      <wps:spPr>
                        <a:xfrm>
                          <a:off x="0" y="0"/>
                          <a:ext cx="3657600" cy="76200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EF6073B" w14:textId="36C18CA8" w:rsidR="00573C95" w:rsidRPr="003146E2" w:rsidRDefault="00573C95" w:rsidP="00E56121">
                            <w:pPr>
                              <w:jc w:val="center"/>
                              <w:rPr>
                                <w:color w:val="000000"/>
                              </w:rPr>
                            </w:pPr>
                            <w:r w:rsidRPr="003146E2">
                              <w:rPr>
                                <w:color w:val="000000"/>
                              </w:rPr>
                              <w:t>S/O</w:t>
                            </w:r>
                          </w:p>
                          <w:p w14:paraId="42D9127A" w14:textId="119C4E7F" w:rsidR="00573C95" w:rsidRPr="003146E2" w:rsidRDefault="00573C95" w:rsidP="003146E2">
                            <w:pPr>
                              <w:jc w:val="center"/>
                              <w:rPr>
                                <w:color w:val="000000"/>
                              </w:rPr>
                            </w:pPr>
                            <w:r w:rsidRPr="003146E2">
                              <w:rPr>
                                <w:color w:val="000000"/>
                              </w:rPr>
                              <w:t>Aucune renonciation de Jeanne</w:t>
                            </w:r>
                          </w:p>
                          <w:p w14:paraId="0F80226D" w14:textId="77777777" w:rsidR="00573C95" w:rsidRDefault="00573C95" w:rsidP="003146E2"/>
                          <w:p w14:paraId="41B567B8" w14:textId="77777777" w:rsidR="00573C95" w:rsidRDefault="00573C95" w:rsidP="003146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15" o:spid="_x0000_s1197" style="position:absolute;margin-left:129pt;margin-top:261.85pt;width:4in;height:60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" fillcolor="#94c6c7" strokecolor="black [3213]">
                <v:textbox>
                  <w:txbxContent>
                    <w:p w14:paraId="0EF6073B" w14:textId="36C18CA8" w:rsidR="001501D6" w:rsidRPr="003146E2" w:rsidRDefault="001501D6" w:rsidP="00E56121">
                      <w:pPr>
                        <w:jc w:val="center"/>
                        <w:rPr>
                          <w:color w:val="000000"/>
                        </w:rPr>
                      </w:pPr>
                      <w:r w:rsidRPr="003146E2">
                        <w:rPr>
                          <w:color w:val="000000"/>
                        </w:rPr>
                        <w:t>S/O</w:t>
                      </w:r>
                    </w:p>
                    <w:p w14:paraId="42D9127A" w14:textId="119C4E7F" w:rsidR="001501D6" w:rsidRPr="003146E2" w:rsidRDefault="001501D6" w:rsidP="003146E2">
                      <w:pPr>
                        <w:jc w:val="center"/>
                        <w:rPr>
                          <w:color w:val="000000"/>
                        </w:rPr>
                      </w:pPr>
                      <w:r w:rsidRPr="003146E2">
                        <w:rPr>
                          <w:color w:val="000000"/>
                        </w:rPr>
                        <w:t>Aucune renonciation de Jeanne</w:t>
                      </w:r>
                    </w:p>
                    <w:p w14:paraId="0F80226D" w14:textId="77777777" w:rsidR="001501D6" w:rsidRDefault="001501D6" w:rsidP="003146E2"/>
                    <w:p w14:paraId="41B567B8" w14:textId="77777777" w:rsidR="001501D6" w:rsidRDefault="001501D6" w:rsidP="003146E2"/>
                  </w:txbxContent>
                </v:textbox>
              </v:roundrect>
            </w:pict>
          </mc:Fallback>
        </mc:AlternateContent>
      </w:r>
      <w:r w:rsidR="003146E2">
        <w:rPr>
          <w:noProof/>
          <w:lang w:eastAsia="fr-FR"/>
        </w:rPr>
        <mc:AlternateContent>
          <mc:Choice Requires="wps">
            <w:drawing>
              <wp:anchor distT="0" distB="0" distL="114300" distR="114300" simplePos="0" relativeHeight="252318720" behindDoc="0" locked="0" layoutInCell="1" allowOverlap="1" wp14:anchorId="10BCA6DF" wp14:editId="2946CF52">
                <wp:simplePos x="0" y="0"/>
                <wp:positionH relativeFrom="column">
                  <wp:posOffset>6858000</wp:posOffset>
                </wp:positionH>
                <wp:positionV relativeFrom="paragraph">
                  <wp:posOffset>3211195</wp:posOffset>
                </wp:positionV>
                <wp:extent cx="914400" cy="914400"/>
                <wp:effectExtent l="0" t="0" r="0" b="0"/>
                <wp:wrapThrough wrapText="bothSides">
                  <wp:wrapPolygon edited="0">
                    <wp:start x="6000" y="1800"/>
                    <wp:lineTo x="6000" y="3600"/>
                    <wp:lineTo x="1200" y="12600"/>
                    <wp:lineTo x="5400" y="18600"/>
                    <wp:lineTo x="6000" y="19800"/>
                    <wp:lineTo x="15000" y="19800"/>
                    <wp:lineTo x="19800" y="15600"/>
                    <wp:lineTo x="19800" y="9000"/>
                    <wp:lineTo x="15000" y="1800"/>
                    <wp:lineTo x="6000" y="1800"/>
                  </wp:wrapPolygon>
                </wp:wrapThrough>
                <wp:docPr id="318" name="Croix 318"/>
                <wp:cNvGraphicFramePr/>
                <a:graphic xmlns:a="http://schemas.openxmlformats.org/drawingml/2006/main">
                  <a:graphicData uri="http://schemas.microsoft.com/office/word/2010/wordprocessingShape">
                    <wps:wsp>
                      <wps:cNvSpPr/>
                      <wps:spPr>
                        <a:xfrm>
                          <a:off x="0" y="0"/>
                          <a:ext cx="914400" cy="914400"/>
                        </a:xfrm>
                        <a:prstGeom prst="mathPlus">
                          <a:avLst/>
                        </a:prstGeom>
                        <a:solidFill>
                          <a:schemeClr val="bg1">
                            <a:lumMod val="65000"/>
                          </a:schemeClr>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id="Croix 318" o:spid="_x0000_s1026" style="position:absolute;margin-left:540pt;margin-top:252.85pt;width:1in;height:1in;z-index:252318720;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" path="m121204,349667l349667,349667,349667,121204,564733,121204,564733,349667,793196,349667,793196,564733,564733,564733,564733,793196,349667,793196,349667,564733,121204,564733,121204,349667xe" fillcolor="#a5a5a5 [2092]" strokecolor="green" strokeweight="2.25pt">
                <v:path arrowok="t" o:connecttype="custom" o:connectlocs="121204,349667;349667,349667;349667,121204;564733,121204;564733,349667;793196,349667;793196,564733;564733,564733;564733,793196;349667,793196;349667,564733;121204,564733;121204,349667" o:connectangles="0,0,0,0,0,0,0,0,0,0,0,0,0"/>
                <w10:wrap type="through"/>
              </v:shape>
            </w:pict>
          </mc:Fallback>
        </mc:AlternateContent>
      </w:r>
      <w:r w:rsidR="003146E2">
        <w:rPr>
          <w:noProof/>
          <w:lang w:eastAsia="fr-FR"/>
        </w:rPr>
        <mc:AlternateContent>
          <mc:Choice Requires="wps">
            <w:drawing>
              <wp:anchor distT="0" distB="0" distL="114300" distR="114300" simplePos="0" relativeHeight="252313600" behindDoc="0" locked="0" layoutInCell="1" allowOverlap="1" wp14:anchorId="49DDE554" wp14:editId="11D54D02">
                <wp:simplePos x="0" y="0"/>
                <wp:positionH relativeFrom="column">
                  <wp:posOffset>6743700</wp:posOffset>
                </wp:positionH>
                <wp:positionV relativeFrom="paragraph">
                  <wp:posOffset>1953895</wp:posOffset>
                </wp:positionV>
                <wp:extent cx="1143000" cy="685800"/>
                <wp:effectExtent l="0" t="0" r="0" b="0"/>
                <wp:wrapThrough wrapText="bothSides">
                  <wp:wrapPolygon edited="0">
                    <wp:start x="1440" y="5600"/>
                    <wp:lineTo x="1440" y="15200"/>
                    <wp:lineTo x="19680" y="15200"/>
                    <wp:lineTo x="19680" y="5600"/>
                    <wp:lineTo x="1440" y="5600"/>
                  </wp:wrapPolygon>
                </wp:wrapThrough>
                <wp:docPr id="314" name="Moins 314"/>
                <wp:cNvGraphicFramePr/>
                <a:graphic xmlns:a="http://schemas.openxmlformats.org/drawingml/2006/main">
                  <a:graphicData uri="http://schemas.microsoft.com/office/word/2010/wordprocessingShape">
                    <wps:wsp>
                      <wps:cNvSpPr/>
                      <wps:spPr>
                        <a:xfrm>
                          <a:off x="0" y="0"/>
                          <a:ext cx="1143000" cy="6858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Moins 314" o:spid="_x0000_s1026" style="position:absolute;margin-left:531pt;margin-top:153.85pt;width:90pt;height:54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" path="m151505,262250l991495,262250,991495,423550,151505,423550,151505,262250xe" fillcolor="#a6a6a6" strokecolor="maroon" strokeweight="2.25pt">
                <v:path arrowok="t" o:connecttype="custom" o:connectlocs="151505,262250;991495,262250;991495,423550;151505,423550;151505,262250" o:connectangles="0,0,0,0,0"/>
                <w10:wrap type="through"/>
              </v:shape>
            </w:pict>
          </mc:Fallback>
        </mc:AlternateContent>
      </w:r>
      <w:r w:rsidR="003146E2">
        <w:rPr>
          <w:noProof/>
          <w:lang w:eastAsia="fr-FR"/>
        </w:rPr>
        <mc:AlternateContent>
          <mc:Choice Requires="wps">
            <w:drawing>
              <wp:anchor distT="0" distB="0" distL="114300" distR="114300" simplePos="0" relativeHeight="252311552" behindDoc="0" locked="0" layoutInCell="1" allowOverlap="1" wp14:anchorId="459B013C" wp14:editId="3EF80903">
                <wp:simplePos x="0" y="0"/>
                <wp:positionH relativeFrom="column">
                  <wp:posOffset>381000</wp:posOffset>
                </wp:positionH>
                <wp:positionV relativeFrom="paragraph">
                  <wp:posOffset>1569085</wp:posOffset>
                </wp:positionV>
                <wp:extent cx="1445895" cy="1485900"/>
                <wp:effectExtent l="0" t="0" r="27305" b="38100"/>
                <wp:wrapNone/>
                <wp:docPr id="312" name="Ellipse 312"/>
                <wp:cNvGraphicFramePr/>
                <a:graphic xmlns:a="http://schemas.openxmlformats.org/drawingml/2006/main">
                  <a:graphicData uri="http://schemas.microsoft.com/office/word/2010/wordprocessingShape">
                    <wps:wsp>
                      <wps:cNvSpPr/>
                      <wps:spPr>
                        <a:xfrm>
                          <a:off x="0" y="0"/>
                          <a:ext cx="1445895" cy="14859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861BB7C" w14:textId="77777777" w:rsidR="00573C95" w:rsidRDefault="00573C95" w:rsidP="000F6A66">
                            <w:pPr>
                              <w:jc w:val="center"/>
                            </w:pPr>
                            <w:r>
                              <w:t>Calcul de la pénalité actuarielle, si applicable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12" o:spid="_x0000_s1198" style="position:absolute;margin-left:30pt;margin-top:123.55pt;width:113.85pt;height:117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" fillcolor="black [3213]" strokecolor="white [3212]" strokeweight="1pt">
                <v:textbox>
                  <w:txbxContent>
                    <w:p w14:paraId="4861BB7C" w14:textId="77777777" w:rsidR="001501D6" w:rsidRDefault="001501D6" w:rsidP="000F6A66">
                      <w:pPr>
                        <w:jc w:val="center"/>
                      </w:pPr>
                      <w:r>
                        <w:t>Calcul de la pénalité actuarielle, si applicable</w:t>
                      </w:r>
                    </w:p>
                  </w:txbxContent>
                </v:textbox>
              </v:oval>
            </w:pict>
          </mc:Fallback>
        </mc:AlternateContent>
      </w:r>
      <w:r w:rsidR="003146E2">
        <w:rPr>
          <w:noProof/>
          <w:lang w:eastAsia="fr-FR"/>
        </w:rPr>
        <mc:AlternateContent>
          <mc:Choice Requires="wps">
            <w:drawing>
              <wp:anchor distT="0" distB="0" distL="114300" distR="114300" simplePos="0" relativeHeight="252312576" behindDoc="0" locked="0" layoutInCell="1" allowOverlap="1" wp14:anchorId="06049C2A" wp14:editId="4C7E9646">
                <wp:simplePos x="0" y="0"/>
                <wp:positionH relativeFrom="column">
                  <wp:posOffset>4838700</wp:posOffset>
                </wp:positionH>
                <wp:positionV relativeFrom="paragraph">
                  <wp:posOffset>1454785</wp:posOffset>
                </wp:positionV>
                <wp:extent cx="457200" cy="457200"/>
                <wp:effectExtent l="0" t="0" r="25400" b="25400"/>
                <wp:wrapNone/>
                <wp:docPr id="313" name="Ellipse 31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2005065" w14:textId="77777777" w:rsidR="00573C95" w:rsidRDefault="00573C95" w:rsidP="000F6A66">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13" o:spid="_x0000_s1199" style="position:absolute;margin-left:381pt;margin-top:114.55pt;width:36pt;height:36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" fillcolor="black [3213]" strokecolor="white [3212]" strokeweight="1pt">
                <v:textbox>
                  <w:txbxContent>
                    <w:p w14:paraId="22005065" w14:textId="77777777" w:rsidR="001501D6" w:rsidRDefault="001501D6" w:rsidP="000F6A66">
                      <w:pPr>
                        <w:jc w:val="center"/>
                      </w:pPr>
                      <w:r>
                        <w:t>2</w:t>
                      </w:r>
                    </w:p>
                  </w:txbxContent>
                </v:textbox>
              </v:oval>
            </w:pict>
          </mc:Fallback>
        </mc:AlternateContent>
      </w:r>
      <w:r w:rsidR="003146E2">
        <w:rPr>
          <w:noProof/>
          <w:lang w:eastAsia="fr-FR"/>
        </w:rPr>
        <mc:AlternateContent>
          <mc:Choice Requires="wps">
            <w:drawing>
              <wp:anchor distT="0" distB="0" distL="114300" distR="114300" simplePos="0" relativeHeight="252310528" behindDoc="0" locked="0" layoutInCell="1" allowOverlap="1" wp14:anchorId="55E93216" wp14:editId="688C1A8A">
                <wp:simplePos x="0" y="0"/>
                <wp:positionH relativeFrom="column">
                  <wp:posOffset>1409700</wp:posOffset>
                </wp:positionH>
                <wp:positionV relativeFrom="paragraph">
                  <wp:posOffset>1496695</wp:posOffset>
                </wp:positionV>
                <wp:extent cx="3771900" cy="1672590"/>
                <wp:effectExtent l="76200" t="76200" r="63500" b="80010"/>
                <wp:wrapNone/>
                <wp:docPr id="311" name="Rectangle à coins arrondis 311"/>
                <wp:cNvGraphicFramePr/>
                <a:graphic xmlns:a="http://schemas.openxmlformats.org/drawingml/2006/main">
                  <a:graphicData uri="http://schemas.microsoft.com/office/word/2010/wordprocessingShape">
                    <wps:wsp>
                      <wps:cNvSpPr/>
                      <wps:spPr>
                        <a:xfrm>
                          <a:off x="0" y="0"/>
                          <a:ext cx="3771900" cy="167259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3C2EF83" w14:textId="4594A6B8" w:rsidR="00573C95" w:rsidRPr="004D2F79" w:rsidRDefault="00573C95" w:rsidP="000F6A66">
                            <w:pPr>
                              <w:rPr>
                                <w:color w:val="000000"/>
                              </w:rPr>
                            </w:pPr>
                            <w:r w:rsidRPr="004D2F79">
                              <w:rPr>
                                <w:color w:val="000000"/>
                              </w:rPr>
                              <w:tab/>
                              <w:t xml:space="preserve">Moindre de </w:t>
                            </w:r>
                          </w:p>
                          <w:p w14:paraId="4D63DFD4" w14:textId="37D7CD78" w:rsidR="00573C95" w:rsidRPr="004D2F79" w:rsidRDefault="00573C95" w:rsidP="006C34CF">
                            <w:pPr>
                              <w:pStyle w:val="Paragraphedeliste"/>
                              <w:numPr>
                                <w:ilvl w:val="0"/>
                                <w:numId w:val="40"/>
                              </w:numPr>
                              <w:rPr>
                                <w:color w:val="000000"/>
                              </w:rPr>
                            </w:pPr>
                            <w:r w:rsidRPr="004D2F79">
                              <w:rPr>
                                <w:color w:val="000000"/>
                              </w:rPr>
                              <w:t>60 ans</w:t>
                            </w:r>
                            <w:r>
                              <w:rPr>
                                <w:color w:val="000000"/>
                              </w:rPr>
                              <w:t>*</w:t>
                            </w:r>
                          </w:p>
                          <w:p w14:paraId="249C214F" w14:textId="076CD2FF" w:rsidR="00573C95" w:rsidRPr="004D2F79" w:rsidRDefault="00573C95" w:rsidP="006C34CF">
                            <w:pPr>
                              <w:pStyle w:val="Paragraphedeliste"/>
                              <w:numPr>
                                <w:ilvl w:val="0"/>
                                <w:numId w:val="40"/>
                              </w:numPr>
                              <w:rPr>
                                <w:color w:val="000000"/>
                              </w:rPr>
                            </w:pPr>
                            <w:r w:rsidRPr="004D2F79">
                              <w:rPr>
                                <w:color w:val="000000"/>
                              </w:rPr>
                              <w:t>(30 ans + 31 ans) = 61 ans</w:t>
                            </w:r>
                          </w:p>
                          <w:p w14:paraId="2F23B1E8" w14:textId="5143F9ED" w:rsidR="00573C95" w:rsidRDefault="00573C95" w:rsidP="006C34CF">
                            <w:pPr>
                              <w:pStyle w:val="Paragraphedeliste"/>
                              <w:numPr>
                                <w:ilvl w:val="0"/>
                                <w:numId w:val="40"/>
                              </w:numPr>
                              <w:rPr>
                                <w:color w:val="000000"/>
                              </w:rPr>
                            </w:pPr>
                            <w:r w:rsidRPr="004D2F79">
                              <w:rPr>
                                <w:color w:val="000000"/>
                                <w:u w:val="single"/>
                              </w:rPr>
                              <w:t>(63 ans</w:t>
                            </w:r>
                            <w:r w:rsidRPr="004D2F79">
                              <w:rPr>
                                <w:color w:val="000000"/>
                              </w:rPr>
                              <w:t xml:space="preserve"> + 27 ans) = 90</w:t>
                            </w:r>
                          </w:p>
                          <w:p w14:paraId="6CF23C4C" w14:textId="77777777" w:rsidR="00573C95" w:rsidRDefault="00573C95" w:rsidP="004D2F79"/>
                          <w:p w14:paraId="09471B95" w14:textId="6DC52BE3" w:rsidR="00573C95" w:rsidRPr="003146E2" w:rsidRDefault="00573C95" w:rsidP="003146E2">
                            <w:pPr>
                              <w:jc w:val="center"/>
                              <w:rPr>
                                <w:color w:val="000000"/>
                              </w:rPr>
                            </w:pPr>
                            <w:r w:rsidRPr="003146E2">
                              <w:rPr>
                                <w:color w:val="000000"/>
                              </w:rPr>
                              <w:t>(60 ans – 58 ans) * 3,5 % = 7 %</w:t>
                            </w:r>
                          </w:p>
                          <w:p w14:paraId="72FD02A6" w14:textId="6F5B7F01" w:rsidR="00573C95" w:rsidRPr="003146E2" w:rsidRDefault="00573C95" w:rsidP="003146E2">
                            <w:pPr>
                              <w:jc w:val="center"/>
                              <w:rPr>
                                <w:color w:val="000000"/>
                              </w:rPr>
                            </w:pPr>
                            <w:r w:rsidRPr="003146E2">
                              <w:rPr>
                                <w:color w:val="000000"/>
                              </w:rPr>
                              <w:t>Donc 7 % * 97 200 $ = 6 804 $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11" o:spid="_x0000_s1200" style="position:absolute;margin-left:111pt;margin-top:117.85pt;width:297pt;height:131.7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" fillcolor="#94c691" strokecolor="black [3213]">
                <v:textbox>
                  <w:txbxContent>
                    <w:p w14:paraId="53C2EF83" w14:textId="4594A6B8" w:rsidR="001501D6" w:rsidRPr="004D2F79" w:rsidRDefault="001501D6" w:rsidP="000F6A66">
                      <w:pPr>
                        <w:rPr>
                          <w:color w:val="000000"/>
                        </w:rPr>
                      </w:pPr>
                      <w:r w:rsidRPr="004D2F79">
                        <w:rPr>
                          <w:color w:val="000000"/>
                        </w:rPr>
                        <w:tab/>
                        <w:t xml:space="preserve">Moindre de </w:t>
                      </w:r>
                    </w:p>
                    <w:p w14:paraId="4D63DFD4" w14:textId="37D7CD78" w:rsidR="001501D6" w:rsidRPr="004D2F79" w:rsidRDefault="001501D6" w:rsidP="006C34CF">
                      <w:pPr>
                        <w:pStyle w:val="Paragraphedeliste"/>
                        <w:numPr>
                          <w:ilvl w:val="0"/>
                          <w:numId w:val="40"/>
                        </w:numPr>
                        <w:rPr>
                          <w:color w:val="000000"/>
                        </w:rPr>
                      </w:pPr>
                      <w:r w:rsidRPr="004D2F79">
                        <w:rPr>
                          <w:color w:val="000000"/>
                        </w:rPr>
                        <w:t>60 ans</w:t>
                      </w:r>
                      <w:r>
                        <w:rPr>
                          <w:color w:val="000000"/>
                        </w:rPr>
                        <w:t>*</w:t>
                      </w:r>
                    </w:p>
                    <w:p w14:paraId="249C214F" w14:textId="076CD2FF" w:rsidR="001501D6" w:rsidRPr="004D2F79" w:rsidRDefault="001501D6" w:rsidP="006C34CF">
                      <w:pPr>
                        <w:pStyle w:val="Paragraphedeliste"/>
                        <w:numPr>
                          <w:ilvl w:val="0"/>
                          <w:numId w:val="40"/>
                        </w:numPr>
                        <w:rPr>
                          <w:color w:val="000000"/>
                        </w:rPr>
                      </w:pPr>
                      <w:r w:rsidRPr="004D2F79">
                        <w:rPr>
                          <w:color w:val="000000"/>
                        </w:rPr>
                        <w:t>(30 ans + 31 ans) = 61 ans</w:t>
                      </w:r>
                    </w:p>
                    <w:p w14:paraId="2F23B1E8" w14:textId="5143F9ED" w:rsidR="001501D6" w:rsidRDefault="001501D6" w:rsidP="006C34CF">
                      <w:pPr>
                        <w:pStyle w:val="Paragraphedeliste"/>
                        <w:numPr>
                          <w:ilvl w:val="0"/>
                          <w:numId w:val="40"/>
                        </w:numPr>
                        <w:rPr>
                          <w:color w:val="000000"/>
                        </w:rPr>
                      </w:pPr>
                      <w:r w:rsidRPr="004D2F79">
                        <w:rPr>
                          <w:color w:val="000000"/>
                          <w:u w:val="single"/>
                        </w:rPr>
                        <w:t>(63 ans</w:t>
                      </w:r>
                      <w:r w:rsidRPr="004D2F79">
                        <w:rPr>
                          <w:color w:val="000000"/>
                        </w:rPr>
                        <w:t xml:space="preserve"> + 27 ans) = 90</w:t>
                      </w:r>
                    </w:p>
                    <w:p w14:paraId="6CF23C4C" w14:textId="77777777" w:rsidR="001501D6" w:rsidRDefault="001501D6" w:rsidP="004D2F79"/>
                    <w:p w14:paraId="09471B95" w14:textId="6DC52BE3" w:rsidR="001501D6" w:rsidRPr="003146E2" w:rsidRDefault="001501D6" w:rsidP="003146E2">
                      <w:pPr>
                        <w:jc w:val="center"/>
                        <w:rPr>
                          <w:color w:val="000000"/>
                        </w:rPr>
                      </w:pPr>
                      <w:r w:rsidRPr="003146E2">
                        <w:rPr>
                          <w:color w:val="000000"/>
                        </w:rPr>
                        <w:t>(60 ans – 58 ans) * 3,5 % = 7 %</w:t>
                      </w:r>
                    </w:p>
                    <w:p w14:paraId="72FD02A6" w14:textId="6F5B7F01" w:rsidR="001501D6" w:rsidRPr="003146E2" w:rsidRDefault="001501D6" w:rsidP="003146E2">
                      <w:pPr>
                        <w:jc w:val="center"/>
                        <w:rPr>
                          <w:color w:val="000000"/>
                        </w:rPr>
                      </w:pPr>
                      <w:r w:rsidRPr="003146E2">
                        <w:rPr>
                          <w:color w:val="000000"/>
                        </w:rPr>
                        <w:t>Donc 7 % * 97 200 $ = 6 804 $</w:t>
                      </w:r>
                    </w:p>
                  </w:txbxContent>
                </v:textbox>
              </v:roundrect>
            </w:pict>
          </mc:Fallback>
        </mc:AlternateContent>
      </w:r>
      <w:r w:rsidR="000F6A66">
        <w:rPr>
          <w:noProof/>
          <w:lang w:eastAsia="fr-FR"/>
        </w:rPr>
        <mc:AlternateContent>
          <mc:Choice Requires="wps">
            <w:drawing>
              <wp:anchor distT="0" distB="0" distL="114300" distR="114300" simplePos="0" relativeHeight="252307456" behindDoc="0" locked="0" layoutInCell="1" allowOverlap="1" wp14:anchorId="6E3AB937" wp14:editId="61E31BEA">
                <wp:simplePos x="0" y="0"/>
                <wp:positionH relativeFrom="column">
                  <wp:posOffset>4838700</wp:posOffset>
                </wp:positionH>
                <wp:positionV relativeFrom="paragraph">
                  <wp:posOffset>281305</wp:posOffset>
                </wp:positionV>
                <wp:extent cx="457200" cy="457200"/>
                <wp:effectExtent l="0" t="0" r="25400" b="25400"/>
                <wp:wrapNone/>
                <wp:docPr id="309" name="Ellipse 309"/>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1F311FD" w14:textId="77777777" w:rsidR="00573C95" w:rsidRDefault="00573C95" w:rsidP="000F6A66">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9" o:spid="_x0000_s1201" style="position:absolute;margin-left:381pt;margin-top:22.15pt;width:36pt;height:36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" fillcolor="black [3213]" strokecolor="white [3212]" strokeweight="1pt">
                <v:textbox>
                  <w:txbxContent>
                    <w:p w14:paraId="41F311FD" w14:textId="77777777" w:rsidR="001501D6" w:rsidRDefault="001501D6" w:rsidP="000F6A66">
                      <w:pPr>
                        <w:jc w:val="center"/>
                      </w:pPr>
                      <w:r>
                        <w:t>1</w:t>
                      </w:r>
                    </w:p>
                  </w:txbxContent>
                </v:textbox>
              </v:oval>
            </w:pict>
          </mc:Fallback>
        </mc:AlternateContent>
      </w:r>
      <w:r w:rsidR="000F6A66">
        <w:rPr>
          <w:noProof/>
          <w:lang w:eastAsia="fr-FR"/>
        </w:rPr>
        <mc:AlternateContent>
          <mc:Choice Requires="wps">
            <w:drawing>
              <wp:anchor distT="0" distB="0" distL="114300" distR="114300" simplePos="0" relativeHeight="252308480" behindDoc="0" locked="0" layoutInCell="1" allowOverlap="1" wp14:anchorId="0539F4A3" wp14:editId="60B2BC8B">
                <wp:simplePos x="0" y="0"/>
                <wp:positionH relativeFrom="column">
                  <wp:posOffset>6743700</wp:posOffset>
                </wp:positionH>
                <wp:positionV relativeFrom="paragraph">
                  <wp:posOffset>395605</wp:posOffset>
                </wp:positionV>
                <wp:extent cx="914400" cy="914400"/>
                <wp:effectExtent l="0" t="0" r="0" b="0"/>
                <wp:wrapThrough wrapText="bothSides">
                  <wp:wrapPolygon edited="0">
                    <wp:start x="6000" y="1800"/>
                    <wp:lineTo x="6000" y="3600"/>
                    <wp:lineTo x="1200" y="12600"/>
                    <wp:lineTo x="5400" y="18600"/>
                    <wp:lineTo x="6000" y="19800"/>
                    <wp:lineTo x="15000" y="19800"/>
                    <wp:lineTo x="19800" y="15600"/>
                    <wp:lineTo x="19800" y="9000"/>
                    <wp:lineTo x="15000" y="1800"/>
                    <wp:lineTo x="6000" y="1800"/>
                  </wp:wrapPolygon>
                </wp:wrapThrough>
                <wp:docPr id="310" name="Croix 310"/>
                <wp:cNvGraphicFramePr/>
                <a:graphic xmlns:a="http://schemas.openxmlformats.org/drawingml/2006/main">
                  <a:graphicData uri="http://schemas.microsoft.com/office/word/2010/wordprocessingShape">
                    <wps:wsp>
                      <wps:cNvSpPr/>
                      <wps:spPr>
                        <a:xfrm>
                          <a:off x="0" y="0"/>
                          <a:ext cx="914400" cy="914400"/>
                        </a:xfrm>
                        <a:prstGeom prst="mathPlus">
                          <a:avLst/>
                        </a:prstGeom>
                        <a:solidFill>
                          <a:schemeClr val="bg1">
                            <a:lumMod val="65000"/>
                          </a:schemeClr>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Croix 310" o:spid="_x0000_s1026" style="position:absolute;margin-left:531pt;margin-top:31.15pt;width:1in;height:1in;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4400,914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" path="m121204,349667l349667,349667,349667,121204,564733,121204,564733,349667,793196,349667,793196,564733,564733,564733,564733,793196,349667,793196,349667,564733,121204,564733,121204,349667xe" fillcolor="#a5a5a5 [2092]" strokecolor="green" strokeweight="2.25pt">
                <v:path arrowok="t" o:connecttype="custom" o:connectlocs="121204,349667;349667,349667;349667,121204;564733,121204;564733,349667;793196,349667;793196,564733;564733,564733;564733,793196;349667,793196;349667,564733;121204,564733;121204,349667" o:connectangles="0,0,0,0,0,0,0,0,0,0,0,0,0"/>
                <w10:wrap type="through"/>
              </v:shape>
            </w:pict>
          </mc:Fallback>
        </mc:AlternateContent>
      </w:r>
      <w:r w:rsidR="00297E24">
        <w:rPr>
          <w:noProof/>
          <w:lang w:eastAsia="fr-FR"/>
        </w:rPr>
        <mc:AlternateContent>
          <mc:Choice Requires="wps">
            <w:drawing>
              <wp:anchor distT="0" distB="0" distL="114300" distR="114300" simplePos="0" relativeHeight="252303360" behindDoc="0" locked="0" layoutInCell="1" allowOverlap="1" wp14:anchorId="3F8C3DBE" wp14:editId="0AFB84A3">
                <wp:simplePos x="0" y="0"/>
                <wp:positionH relativeFrom="column">
                  <wp:posOffset>-114300</wp:posOffset>
                </wp:positionH>
                <wp:positionV relativeFrom="paragraph">
                  <wp:posOffset>52705</wp:posOffset>
                </wp:positionV>
                <wp:extent cx="1371600" cy="1371600"/>
                <wp:effectExtent l="76200" t="76200" r="76200" b="76200"/>
                <wp:wrapSquare wrapText="bothSides"/>
                <wp:docPr id="306" name="Parchemin vertical 306"/>
                <wp:cNvGraphicFramePr/>
                <a:graphic xmlns:a="http://schemas.openxmlformats.org/drawingml/2006/main">
                  <a:graphicData uri="http://schemas.microsoft.com/office/word/2010/wordprocessingShape">
                    <wps:wsp>
                      <wps:cNvSpPr/>
                      <wps:spPr>
                        <a:xfrm>
                          <a:off x="0" y="0"/>
                          <a:ext cx="1371600" cy="1371600"/>
                        </a:xfrm>
                        <a:prstGeom prst="verticalScroll">
                          <a:avLst/>
                        </a:prstGeom>
                        <a:solidFill>
                          <a:schemeClr val="bg1">
                            <a:lumMod val="75000"/>
                          </a:schemeClr>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B2450F3" w14:textId="3BD8469B" w:rsidR="00573C95" w:rsidRPr="000F6A66" w:rsidRDefault="00573C95" w:rsidP="00297E24">
                            <w:pPr>
                              <w:jc w:val="center"/>
                              <w:rPr>
                                <w:color w:val="000000"/>
                              </w:rPr>
                            </w:pPr>
                            <w:r w:rsidRPr="000F6A66">
                              <w:rPr>
                                <w:color w:val="000000"/>
                              </w:rPr>
                              <w:t>Au moment de la retraite de Pierre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0qx@1@2l@1@0@2@0qx0@7@2,21600l@9,21600qx@10@7l@10@1@11@1qx21600@2@11,0xem@5,0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Parchemin vertical 306" o:spid="_x0000_s1202" type="#_x0000_t97" style="position:absolute;margin-left:-8.95pt;margin-top:4.15pt;width:108pt;height:108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" fillcolor="#bfbfbf [2412]" strokecolor="black [3213]">
                <v:textbox>
                  <w:txbxContent>
                    <w:p w14:paraId="3B2450F3" w14:textId="3BD8469B" w:rsidR="001501D6" w:rsidRPr="000F6A66" w:rsidRDefault="001501D6" w:rsidP="00297E24">
                      <w:pPr>
                        <w:jc w:val="center"/>
                        <w:rPr>
                          <w:color w:val="000000"/>
                        </w:rPr>
                      </w:pPr>
                      <w:r w:rsidRPr="000F6A66">
                        <w:rPr>
                          <w:color w:val="000000"/>
                        </w:rPr>
                        <w:t>Au moment de la retraite de Pierre</w:t>
                      </w:r>
                    </w:p>
                  </w:txbxContent>
                </v:textbox>
                <w10:wrap type="square"/>
              </v:shape>
            </w:pict>
          </mc:Fallback>
        </mc:AlternateContent>
      </w:r>
      <w:r w:rsidR="00793320">
        <w:br w:type="page"/>
      </w:r>
    </w:p>
    <w:p w14:paraId="0BDB79FD" w14:textId="43938628" w:rsidR="00E54A5B" w:rsidRDefault="00E54A5B">
      <w:r>
        <w:rPr>
          <w:noProof/>
          <w:lang w:eastAsia="fr-FR"/>
        </w:rPr>
        <w:lastRenderedPageBreak/>
        <mc:AlternateContent>
          <mc:Choice Requires="wps">
            <w:drawing>
              <wp:anchor distT="0" distB="0" distL="114300" distR="114300" simplePos="0" relativeHeight="252334080" behindDoc="0" locked="0" layoutInCell="1" allowOverlap="1" wp14:anchorId="29966A04" wp14:editId="2EE054F1">
                <wp:simplePos x="0" y="0"/>
                <wp:positionH relativeFrom="column">
                  <wp:posOffset>6400800</wp:posOffset>
                </wp:positionH>
                <wp:positionV relativeFrom="paragraph">
                  <wp:posOffset>1485900</wp:posOffset>
                </wp:positionV>
                <wp:extent cx="457200" cy="457200"/>
                <wp:effectExtent l="0" t="0" r="25400" b="25400"/>
                <wp:wrapNone/>
                <wp:docPr id="330" name="Ellipse 33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11902ED" w14:textId="2D413890" w:rsidR="00573C95" w:rsidRDefault="00573C95" w:rsidP="00AD4D3D">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30" o:spid="_x0000_s1203" style="position:absolute;margin-left:7in;margin-top:117pt;width:36pt;height:36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" fillcolor="black [3213]" strokecolor="white [3212]" strokeweight="1pt">
                <v:textbox>
                  <w:txbxContent>
                    <w:p w14:paraId="211902ED" w14:textId="2D413890" w:rsidR="001501D6" w:rsidRDefault="001501D6" w:rsidP="00AD4D3D">
                      <w:pPr>
                        <w:jc w:val="center"/>
                      </w:pPr>
                      <w:r>
                        <w:t>6</w:t>
                      </w:r>
                    </w:p>
                  </w:txbxContent>
                </v:textbox>
              </v:oval>
            </w:pict>
          </mc:Fallback>
        </mc:AlternateContent>
      </w:r>
      <w:r>
        <w:rPr>
          <w:noProof/>
          <w:lang w:eastAsia="fr-FR"/>
        </w:rPr>
        <mc:AlternateContent>
          <mc:Choice Requires="wps">
            <w:drawing>
              <wp:anchor distT="0" distB="0" distL="114300" distR="114300" simplePos="0" relativeHeight="252333056" behindDoc="0" locked="0" layoutInCell="1" allowOverlap="1" wp14:anchorId="07FC88D0" wp14:editId="2A558BC9">
                <wp:simplePos x="0" y="0"/>
                <wp:positionH relativeFrom="column">
                  <wp:posOffset>1828800</wp:posOffset>
                </wp:positionH>
                <wp:positionV relativeFrom="paragraph">
                  <wp:posOffset>1257300</wp:posOffset>
                </wp:positionV>
                <wp:extent cx="1485900" cy="1485900"/>
                <wp:effectExtent l="0" t="0" r="38100" b="38100"/>
                <wp:wrapNone/>
                <wp:docPr id="329" name="Ellipse 329"/>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102D003E" w14:textId="0FFAAFC8" w:rsidR="00573C95" w:rsidRDefault="00573C95" w:rsidP="00AD4D3D">
                            <w:pPr>
                              <w:jc w:val="center"/>
                            </w:pPr>
                            <w:r>
                              <w:t>Comparer la rente avec le maximum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29" o:spid="_x0000_s1204" style="position:absolute;margin-left:2in;margin-top:99pt;width:117pt;height:117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" fillcolor="black [3213]" strokecolor="white [3212]" strokeweight="1pt">
                <v:textbox>
                  <w:txbxContent>
                    <w:p w14:paraId="102D003E" w14:textId="0FFAAFC8" w:rsidR="001501D6" w:rsidRDefault="001501D6" w:rsidP="00AD4D3D">
                      <w:pPr>
                        <w:jc w:val="center"/>
                      </w:pPr>
                      <w:r>
                        <w:t>Comparer la rente avec le maximum</w:t>
                      </w:r>
                    </w:p>
                  </w:txbxContent>
                </v:textbox>
              </v:oval>
            </w:pict>
          </mc:Fallback>
        </mc:AlternateContent>
      </w:r>
      <w:r>
        <w:rPr>
          <w:noProof/>
          <w:lang w:eastAsia="fr-FR"/>
        </w:rPr>
        <mc:AlternateContent>
          <mc:Choice Requires="wps">
            <w:drawing>
              <wp:anchor distT="0" distB="0" distL="114300" distR="114300" simplePos="0" relativeHeight="252332032" behindDoc="0" locked="0" layoutInCell="1" allowOverlap="1" wp14:anchorId="1B7A7B99" wp14:editId="34653957">
                <wp:simplePos x="0" y="0"/>
                <wp:positionH relativeFrom="column">
                  <wp:posOffset>3086100</wp:posOffset>
                </wp:positionH>
                <wp:positionV relativeFrom="paragraph">
                  <wp:posOffset>1600200</wp:posOffset>
                </wp:positionV>
                <wp:extent cx="3657600" cy="762000"/>
                <wp:effectExtent l="76200" t="76200" r="50800" b="76200"/>
                <wp:wrapNone/>
                <wp:docPr id="328" name="Rectangle à coins arrondis 328"/>
                <wp:cNvGraphicFramePr/>
                <a:graphic xmlns:a="http://schemas.openxmlformats.org/drawingml/2006/main">
                  <a:graphicData uri="http://schemas.microsoft.com/office/word/2010/wordprocessingShape">
                    <wps:wsp>
                      <wps:cNvSpPr/>
                      <wps:spPr>
                        <a:xfrm>
                          <a:off x="0" y="0"/>
                          <a:ext cx="3657600" cy="762000"/>
                        </a:xfrm>
                        <a:prstGeom prst="roundRect">
                          <a:avLst/>
                        </a:prstGeom>
                        <a:solidFill>
                          <a:schemeClr val="bg1">
                            <a:lumMod val="65000"/>
                          </a:schemeClr>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2882712" w14:textId="5F648483" w:rsidR="00573C95" w:rsidRDefault="00573C95" w:rsidP="00AD4D3D">
                            <w:pPr>
                              <w:rPr>
                                <w:color w:val="000000"/>
                              </w:rPr>
                            </w:pPr>
                            <w:r>
                              <w:rPr>
                                <w:color w:val="000000"/>
                              </w:rPr>
                              <w:t xml:space="preserve">   Le moindre de</w:t>
                            </w:r>
                          </w:p>
                          <w:p w14:paraId="377BA029" w14:textId="1B97EF77" w:rsidR="00573C95" w:rsidRPr="00B264BC" w:rsidRDefault="00573C95" w:rsidP="006C34CF">
                            <w:pPr>
                              <w:pStyle w:val="Paragraphedeliste"/>
                              <w:numPr>
                                <w:ilvl w:val="0"/>
                                <w:numId w:val="41"/>
                              </w:numPr>
                              <w:rPr>
                                <w:color w:val="000000"/>
                              </w:rPr>
                            </w:pPr>
                            <w:r w:rsidRPr="00B264BC">
                              <w:rPr>
                                <w:color w:val="000000"/>
                              </w:rPr>
                              <w:t>90 396 $ après étape</w:t>
                            </w:r>
                          </w:p>
                          <w:p w14:paraId="5C4FAE63" w14:textId="7929B211" w:rsidR="00573C95" w:rsidRDefault="00573C95" w:rsidP="006C34CF">
                            <w:pPr>
                              <w:pStyle w:val="Paragraphedeliste"/>
                              <w:numPr>
                                <w:ilvl w:val="0"/>
                                <w:numId w:val="41"/>
                              </w:numPr>
                            </w:pPr>
                            <w:r w:rsidRPr="00B264BC">
                              <w:rPr>
                                <w:color w:val="000000"/>
                              </w:rPr>
                              <w:t>76 113 $ (2 819 $ * 27)</w:t>
                            </w:r>
                          </w:p>
                          <w:p w14:paraId="77E1E56D" w14:textId="77777777" w:rsidR="00573C95" w:rsidRDefault="00573C95" w:rsidP="00AD4D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28" o:spid="_x0000_s1205" style="position:absolute;margin-left:243pt;margin-top:126pt;width:4in;height:60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" fillcolor="#a5a5a5 [2092]" strokecolor="black [3213]">
                <v:textbox>
                  <w:txbxContent>
                    <w:p w14:paraId="22882712" w14:textId="5F648483" w:rsidR="001501D6" w:rsidRDefault="001501D6" w:rsidP="00AD4D3D">
                      <w:pPr>
                        <w:rPr>
                          <w:color w:val="000000"/>
                        </w:rPr>
                      </w:pPr>
                      <w:r>
                        <w:rPr>
                          <w:color w:val="000000"/>
                        </w:rPr>
                        <w:t xml:space="preserve">   Le moindre de</w:t>
                      </w:r>
                    </w:p>
                    <w:p w14:paraId="377BA029" w14:textId="1B97EF77" w:rsidR="001501D6" w:rsidRPr="00B264BC" w:rsidRDefault="001501D6" w:rsidP="006C34CF">
                      <w:pPr>
                        <w:pStyle w:val="Paragraphedeliste"/>
                        <w:numPr>
                          <w:ilvl w:val="0"/>
                          <w:numId w:val="41"/>
                        </w:numPr>
                        <w:rPr>
                          <w:color w:val="000000"/>
                        </w:rPr>
                      </w:pPr>
                      <w:r w:rsidRPr="00B264BC">
                        <w:rPr>
                          <w:color w:val="000000"/>
                        </w:rPr>
                        <w:t>90 396 $ après étape</w:t>
                      </w:r>
                    </w:p>
                    <w:p w14:paraId="5C4FAE63" w14:textId="7929B211" w:rsidR="001501D6" w:rsidRDefault="001501D6" w:rsidP="006C34CF">
                      <w:pPr>
                        <w:pStyle w:val="Paragraphedeliste"/>
                        <w:numPr>
                          <w:ilvl w:val="0"/>
                          <w:numId w:val="41"/>
                        </w:numPr>
                      </w:pPr>
                      <w:r w:rsidRPr="00B264BC">
                        <w:rPr>
                          <w:color w:val="000000"/>
                        </w:rPr>
                        <w:t>76 113 $ (2 819 $ * 27)</w:t>
                      </w:r>
                    </w:p>
                    <w:p w14:paraId="77E1E56D" w14:textId="77777777" w:rsidR="001501D6" w:rsidRDefault="001501D6" w:rsidP="00AD4D3D"/>
                  </w:txbxContent>
                </v:textbox>
              </v:roundrect>
            </w:pict>
          </mc:Fallback>
        </mc:AlternateContent>
      </w:r>
      <w:r>
        <w:rPr>
          <w:noProof/>
          <w:lang w:eastAsia="fr-FR"/>
        </w:rPr>
        <mc:AlternateContent>
          <mc:Choice Requires="wps">
            <w:drawing>
              <wp:anchor distT="0" distB="0" distL="114300" distR="114300" simplePos="0" relativeHeight="252336128" behindDoc="0" locked="0" layoutInCell="1" allowOverlap="1" wp14:anchorId="06C0FFB9" wp14:editId="3DB06D7D">
                <wp:simplePos x="0" y="0"/>
                <wp:positionH relativeFrom="column">
                  <wp:posOffset>6972300</wp:posOffset>
                </wp:positionH>
                <wp:positionV relativeFrom="paragraph">
                  <wp:posOffset>1485900</wp:posOffset>
                </wp:positionV>
                <wp:extent cx="822960" cy="822960"/>
                <wp:effectExtent l="0" t="0" r="0" b="0"/>
                <wp:wrapThrough wrapText="bothSides">
                  <wp:wrapPolygon edited="0">
                    <wp:start x="667" y="2667"/>
                    <wp:lineTo x="667" y="18667"/>
                    <wp:lineTo x="20000" y="18667"/>
                    <wp:lineTo x="20000" y="2667"/>
                    <wp:lineTo x="667" y="2667"/>
                  </wp:wrapPolygon>
                </wp:wrapThrough>
                <wp:docPr id="331" name="Égal 331"/>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chemeClr val="bg1">
                            <a:lumMod val="65000"/>
                          </a:schemeClr>
                        </a:solidFill>
                        <a:ln w="28575"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Égal 331" o:spid="_x0000_s1026" style="position:absolute;margin-left:549pt;margin-top:117pt;width:64.8pt;height:64.8pt;z-index:252336128;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" path="m109083,169530l713877,169530,713877,363090,109083,363090,109083,169530xm109083,459870l713877,459870,713877,653430,109083,653430,109083,459870xe" fillcolor="#a5a5a5 [2092]" strokecolor="black [3213]" strokeweight="2.25pt">
                <v:path arrowok="t" o:connecttype="custom" o:connectlocs="109083,169530;713877,169530;713877,363090;109083,363090;109083,169530;109083,459870;713877,459870;713877,653430;109083,653430;109083,459870" o:connectangles="0,0,0,0,0,0,0,0,0,0"/>
                <w10:wrap type="through"/>
              </v:shape>
            </w:pict>
          </mc:Fallback>
        </mc:AlternateContent>
      </w:r>
      <w:r>
        <w:rPr>
          <w:noProof/>
          <w:lang w:eastAsia="fr-FR"/>
        </w:rPr>
        <mc:AlternateContent>
          <mc:Choice Requires="wps">
            <w:drawing>
              <wp:anchor distT="0" distB="0" distL="114300" distR="114300" simplePos="0" relativeHeight="252338176" behindDoc="0" locked="0" layoutInCell="1" allowOverlap="1" wp14:anchorId="1BC7C53D" wp14:editId="7AAF99E9">
                <wp:simplePos x="0" y="0"/>
                <wp:positionH relativeFrom="column">
                  <wp:posOffset>5486400</wp:posOffset>
                </wp:positionH>
                <wp:positionV relativeFrom="paragraph">
                  <wp:posOffset>1714500</wp:posOffset>
                </wp:positionV>
                <wp:extent cx="457200" cy="457200"/>
                <wp:effectExtent l="0" t="0" r="25400" b="25400"/>
                <wp:wrapNone/>
                <wp:docPr id="332" name="Ellipse 33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558E835" w14:textId="77777777" w:rsidR="00573C95" w:rsidRDefault="00573C95" w:rsidP="00AD4D3D">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32" o:spid="_x0000_s1206" style="position:absolute;margin-left:6in;margin-top:135pt;width:36pt;height:36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" fillcolor="black [3213]" strokecolor="white [3212]" strokeweight="1pt">
                <v:textbox>
                  <w:txbxContent>
                    <w:p w14:paraId="4558E835" w14:textId="77777777" w:rsidR="001501D6" w:rsidRDefault="001501D6" w:rsidP="00AD4D3D">
                      <w:pPr>
                        <w:jc w:val="center"/>
                      </w:pPr>
                      <w:r>
                        <w:t>5</w:t>
                      </w:r>
                    </w:p>
                  </w:txbxContent>
                </v:textbox>
              </v:oval>
            </w:pict>
          </mc:Fallback>
        </mc:AlternateContent>
      </w:r>
      <w:r>
        <w:rPr>
          <w:noProof/>
          <w:lang w:eastAsia="fr-FR"/>
        </w:rPr>
        <mc:AlternateContent>
          <mc:Choice Requires="wps">
            <w:drawing>
              <wp:anchor distT="0" distB="0" distL="114300" distR="114300" simplePos="0" relativeHeight="252339200" behindDoc="0" locked="0" layoutInCell="1" allowOverlap="1" wp14:anchorId="6EDF66BA" wp14:editId="51FD3A3A">
                <wp:simplePos x="0" y="0"/>
                <wp:positionH relativeFrom="column">
                  <wp:posOffset>7772400</wp:posOffset>
                </wp:positionH>
                <wp:positionV relativeFrom="paragraph">
                  <wp:posOffset>1371600</wp:posOffset>
                </wp:positionV>
                <wp:extent cx="1371600" cy="914400"/>
                <wp:effectExtent l="0" t="0" r="0" b="0"/>
                <wp:wrapSquare wrapText="bothSides"/>
                <wp:docPr id="333" name="Zone de texte 333"/>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3EF46E" w14:textId="385AE99C" w:rsidR="00573C95" w:rsidRPr="00B264BC" w:rsidRDefault="00573C95" w:rsidP="00B264BC">
                            <w:pPr>
                              <w:jc w:val="center"/>
                              <w:rPr>
                                <w:sz w:val="40"/>
                                <w:szCs w:val="40"/>
                              </w:rPr>
                            </w:pPr>
                            <w:r w:rsidRPr="00B264BC">
                              <w:rPr>
                                <w:sz w:val="40"/>
                                <w:szCs w:val="40"/>
                              </w:rPr>
                              <w:t>76 113 $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Zone de texte 333" o:spid="_x0000_s1207" type="#_x0000_t202" style="position:absolute;margin-left:612pt;margin-top:108pt;width:108pt;height:1in;z-index:25233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" filled="f" stroked="f">
                <v:textbox>
                  <w:txbxContent>
                    <w:p w14:paraId="2E3EF46E" w14:textId="385AE99C" w:rsidR="001501D6" w:rsidRPr="00B264BC" w:rsidRDefault="001501D6" w:rsidP="00B264BC">
                      <w:pPr>
                        <w:jc w:val="center"/>
                        <w:rPr>
                          <w:sz w:val="40"/>
                          <w:szCs w:val="40"/>
                        </w:rPr>
                      </w:pPr>
                      <w:r w:rsidRPr="00B264BC">
                        <w:rPr>
                          <w:sz w:val="40"/>
                          <w:szCs w:val="40"/>
                        </w:rPr>
                        <w:t>76 113 $</w:t>
                      </w:r>
                    </w:p>
                  </w:txbxContent>
                </v:textbox>
                <w10:wrap type="square"/>
              </v:shape>
            </w:pict>
          </mc:Fallback>
        </mc:AlternateContent>
      </w:r>
      <w:r>
        <w:rPr>
          <w:noProof/>
          <w:lang w:eastAsia="fr-FR"/>
        </w:rPr>
        <mc:AlternateContent>
          <mc:Choice Requires="wps">
            <w:drawing>
              <wp:anchor distT="0" distB="0" distL="114300" distR="114300" simplePos="0" relativeHeight="252340224" behindDoc="0" locked="0" layoutInCell="1" allowOverlap="1" wp14:anchorId="59E357E2" wp14:editId="6192A628">
                <wp:simplePos x="0" y="0"/>
                <wp:positionH relativeFrom="column">
                  <wp:posOffset>1143000</wp:posOffset>
                </wp:positionH>
                <wp:positionV relativeFrom="paragraph">
                  <wp:posOffset>3543300</wp:posOffset>
                </wp:positionV>
                <wp:extent cx="7086600" cy="914400"/>
                <wp:effectExtent l="0" t="0" r="0" b="0"/>
                <wp:wrapSquare wrapText="bothSides"/>
                <wp:docPr id="334" name="Zone de texte 334"/>
                <wp:cNvGraphicFramePr/>
                <a:graphic xmlns:a="http://schemas.openxmlformats.org/drawingml/2006/main">
                  <a:graphicData uri="http://schemas.microsoft.com/office/word/2010/wordprocessingShape">
                    <wps:wsp>
                      <wps:cNvSpPr txBox="1"/>
                      <wps:spPr>
                        <a:xfrm>
                          <a:off x="0" y="0"/>
                          <a:ext cx="7086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A59DAD" w14:textId="761650C7" w:rsidR="00573C95" w:rsidRDefault="00573C95" w:rsidP="00E54A5B">
                            <w:pPr>
                              <w:jc w:val="both"/>
                            </w:pPr>
                            <w:r>
                              <w:t>Il est intéressant de noter que dans la présente situation les pénalités actuarielles n’ont, dans les faits, aucun impact puisque c’est la limite maximale en vertu de la LIR qui fixe la rente de retraite de Pierre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334" o:spid="_x0000_s1208" type="#_x0000_t202" style="position:absolute;margin-left:90pt;margin-top:279pt;width:558pt;height:1in;z-index:25234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" filled="f" stroked="f">
                <v:textbox>
                  <w:txbxContent>
                    <w:p w14:paraId="40A59DAD" w14:textId="761650C7" w:rsidR="001501D6" w:rsidRDefault="001501D6" w:rsidP="00E54A5B">
                      <w:pPr>
                        <w:jc w:val="both"/>
                      </w:pPr>
                      <w:r>
                        <w:t>Il est intéressant de noter que dans la présente situation les pénalités actuarielles n’ont, dans les faits, aucun impact puisque c’est la limite maximale en vertu de la LIR qui fixe la rente de retraite de Pierre</w:t>
                      </w:r>
                    </w:p>
                  </w:txbxContent>
                </v:textbox>
                <w10:wrap type="square"/>
              </v:shape>
            </w:pict>
          </mc:Fallback>
        </mc:AlternateContent>
      </w:r>
      <w:r w:rsidR="00AD2E8C">
        <w:rPr>
          <w:noProof/>
          <w:lang w:eastAsia="fr-FR"/>
        </w:rPr>
        <mc:AlternateContent>
          <mc:Choice Requires="wps">
            <w:drawing>
              <wp:anchor distT="0" distB="0" distL="114300" distR="114300" simplePos="0" relativeHeight="252326912" behindDoc="0" locked="0" layoutInCell="1" allowOverlap="1" wp14:anchorId="096181EB" wp14:editId="475500E8">
                <wp:simplePos x="0" y="0"/>
                <wp:positionH relativeFrom="column">
                  <wp:posOffset>3086100</wp:posOffset>
                </wp:positionH>
                <wp:positionV relativeFrom="paragraph">
                  <wp:posOffset>-228600</wp:posOffset>
                </wp:positionV>
                <wp:extent cx="3657600" cy="762000"/>
                <wp:effectExtent l="76200" t="76200" r="50800" b="76200"/>
                <wp:wrapNone/>
                <wp:docPr id="324" name="Rectangle à coins arrondis 324"/>
                <wp:cNvGraphicFramePr/>
                <a:graphic xmlns:a="http://schemas.openxmlformats.org/drawingml/2006/main">
                  <a:graphicData uri="http://schemas.microsoft.com/office/word/2010/wordprocessingShape">
                    <wps:wsp>
                      <wps:cNvSpPr/>
                      <wps:spPr>
                        <a:xfrm>
                          <a:off x="0" y="0"/>
                          <a:ext cx="3657600" cy="7620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630CFAE" w14:textId="7E1D29AC" w:rsidR="00573C95" w:rsidRPr="003146E2" w:rsidRDefault="00573C95" w:rsidP="00E56121">
                            <w:pPr>
                              <w:jc w:val="center"/>
                              <w:rPr>
                                <w:color w:val="000000"/>
                              </w:rPr>
                            </w:pPr>
                            <w:r w:rsidRPr="003146E2">
                              <w:rPr>
                                <w:color w:val="000000"/>
                              </w:rPr>
                              <w:t>S/O</w:t>
                            </w:r>
                          </w:p>
                          <w:p w14:paraId="699BF3EA" w14:textId="04356508" w:rsidR="00573C95" w:rsidRPr="003146E2" w:rsidRDefault="00573C95" w:rsidP="00AD2E8C">
                            <w:pPr>
                              <w:jc w:val="center"/>
                              <w:rPr>
                                <w:color w:val="000000"/>
                              </w:rPr>
                            </w:pPr>
                            <w:r>
                              <w:rPr>
                                <w:color w:val="000000"/>
                              </w:rPr>
                              <w:t>Pierre est âgé de 58 ans</w:t>
                            </w:r>
                          </w:p>
                          <w:p w14:paraId="1EE95092" w14:textId="77777777" w:rsidR="00573C95" w:rsidRDefault="00573C95" w:rsidP="00AD2E8C"/>
                          <w:p w14:paraId="77C4AE7A" w14:textId="77777777" w:rsidR="00573C95" w:rsidRDefault="00573C95" w:rsidP="00AD2E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24" o:spid="_x0000_s1209" style="position:absolute;margin-left:243pt;margin-top:-17.95pt;width:4in;height:60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" fillcolor="#94c691" strokecolor="black [3213]">
                <v:textbox>
                  <w:txbxContent>
                    <w:p w14:paraId="1630CFAE" w14:textId="7E1D29AC" w:rsidR="001501D6" w:rsidRPr="003146E2" w:rsidRDefault="001501D6" w:rsidP="00E56121">
                      <w:pPr>
                        <w:jc w:val="center"/>
                        <w:rPr>
                          <w:color w:val="000000"/>
                        </w:rPr>
                      </w:pPr>
                      <w:r w:rsidRPr="003146E2">
                        <w:rPr>
                          <w:color w:val="000000"/>
                        </w:rPr>
                        <w:t>S/O</w:t>
                      </w:r>
                    </w:p>
                    <w:p w14:paraId="699BF3EA" w14:textId="04356508" w:rsidR="001501D6" w:rsidRPr="003146E2" w:rsidRDefault="001501D6" w:rsidP="00AD2E8C">
                      <w:pPr>
                        <w:jc w:val="center"/>
                        <w:rPr>
                          <w:color w:val="000000"/>
                        </w:rPr>
                      </w:pPr>
                      <w:r>
                        <w:rPr>
                          <w:color w:val="000000"/>
                        </w:rPr>
                        <w:t>Pierre est âgé de 58 ans</w:t>
                      </w:r>
                    </w:p>
                    <w:p w14:paraId="1EE95092" w14:textId="77777777" w:rsidR="001501D6" w:rsidRDefault="001501D6" w:rsidP="00AD2E8C"/>
                    <w:p w14:paraId="77C4AE7A" w14:textId="77777777" w:rsidR="001501D6" w:rsidRDefault="001501D6" w:rsidP="00AD2E8C"/>
                  </w:txbxContent>
                </v:textbox>
              </v:roundrect>
            </w:pict>
          </mc:Fallback>
        </mc:AlternateContent>
      </w:r>
      <w:r w:rsidR="00AD2E8C">
        <w:rPr>
          <w:noProof/>
          <w:lang w:eastAsia="fr-FR"/>
        </w:rPr>
        <mc:AlternateContent>
          <mc:Choice Requires="wps">
            <w:drawing>
              <wp:anchor distT="0" distB="0" distL="114300" distR="114300" simplePos="0" relativeHeight="252327936" behindDoc="0" locked="0" layoutInCell="1" allowOverlap="1" wp14:anchorId="2FBDF148" wp14:editId="46E12BAA">
                <wp:simplePos x="0" y="0"/>
                <wp:positionH relativeFrom="column">
                  <wp:posOffset>1828800</wp:posOffset>
                </wp:positionH>
                <wp:positionV relativeFrom="paragraph">
                  <wp:posOffset>-571500</wp:posOffset>
                </wp:positionV>
                <wp:extent cx="1485900" cy="1485900"/>
                <wp:effectExtent l="0" t="0" r="38100" b="38100"/>
                <wp:wrapNone/>
                <wp:docPr id="325" name="Ellipse 325"/>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9C0300D" w14:textId="4748D0BC" w:rsidR="00573C95" w:rsidRDefault="00573C95" w:rsidP="00AD2E8C">
                            <w:pPr>
                              <w:jc w:val="center"/>
                            </w:pPr>
                            <w:r>
                              <w:t>Réduction suite à la synchro avec le RRQ à 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25" o:spid="_x0000_s1210" style="position:absolute;margin-left:2in;margin-top:-44.95pt;width:117pt;height:117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" fillcolor="black [3213]" strokecolor="white [3212]" strokeweight="1pt">
                <v:textbox>
                  <w:txbxContent>
                    <w:p w14:paraId="29C0300D" w14:textId="4748D0BC" w:rsidR="001501D6" w:rsidRDefault="001501D6" w:rsidP="00AD2E8C">
                      <w:pPr>
                        <w:jc w:val="center"/>
                      </w:pPr>
                      <w:r>
                        <w:t>Réduction suite à la synchro avec le RRQ à 65</w:t>
                      </w:r>
                    </w:p>
                  </w:txbxContent>
                </v:textbox>
              </v:oval>
            </w:pict>
          </mc:Fallback>
        </mc:AlternateContent>
      </w:r>
      <w:r w:rsidR="00AD2E8C">
        <w:rPr>
          <w:noProof/>
          <w:lang w:eastAsia="fr-FR"/>
        </w:rPr>
        <mc:AlternateContent>
          <mc:Choice Requires="wps">
            <w:drawing>
              <wp:anchor distT="0" distB="0" distL="114300" distR="114300" simplePos="0" relativeHeight="252328960" behindDoc="0" locked="0" layoutInCell="1" allowOverlap="1" wp14:anchorId="7B947219" wp14:editId="05314CFA">
                <wp:simplePos x="0" y="0"/>
                <wp:positionH relativeFrom="column">
                  <wp:posOffset>6400800</wp:posOffset>
                </wp:positionH>
                <wp:positionV relativeFrom="paragraph">
                  <wp:posOffset>-342900</wp:posOffset>
                </wp:positionV>
                <wp:extent cx="457200" cy="457200"/>
                <wp:effectExtent l="0" t="0" r="25400" b="25400"/>
                <wp:wrapNone/>
                <wp:docPr id="326" name="Ellipse 32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1866086F" w14:textId="5251FD1E" w:rsidR="00573C95" w:rsidRDefault="00573C95" w:rsidP="00AD2E8C">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26" o:spid="_x0000_s1211" style="position:absolute;margin-left:7in;margin-top:-26.95pt;width:36pt;height:36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" fillcolor="black [3213]" strokecolor="white [3212]" strokeweight="1pt">
                <v:textbox>
                  <w:txbxContent>
                    <w:p w14:paraId="1866086F" w14:textId="5251FD1E" w:rsidR="001501D6" w:rsidRDefault="001501D6" w:rsidP="00AD2E8C">
                      <w:pPr>
                        <w:jc w:val="center"/>
                      </w:pPr>
                      <w:r>
                        <w:t>5</w:t>
                      </w:r>
                    </w:p>
                  </w:txbxContent>
                </v:textbox>
              </v:oval>
            </w:pict>
          </mc:Fallback>
        </mc:AlternateContent>
      </w:r>
      <w:r w:rsidR="00AD2E8C">
        <w:rPr>
          <w:noProof/>
          <w:lang w:eastAsia="fr-FR"/>
        </w:rPr>
        <mc:AlternateContent>
          <mc:Choice Requires="wps">
            <w:drawing>
              <wp:anchor distT="0" distB="0" distL="114300" distR="114300" simplePos="0" relativeHeight="252329984" behindDoc="0" locked="0" layoutInCell="1" allowOverlap="1" wp14:anchorId="19477264" wp14:editId="4F62B630">
                <wp:simplePos x="0" y="0"/>
                <wp:positionH relativeFrom="column">
                  <wp:posOffset>6858000</wp:posOffset>
                </wp:positionH>
                <wp:positionV relativeFrom="paragraph">
                  <wp:posOffset>-228600</wp:posOffset>
                </wp:positionV>
                <wp:extent cx="1143000" cy="685800"/>
                <wp:effectExtent l="0" t="0" r="0" b="0"/>
                <wp:wrapThrough wrapText="bothSides">
                  <wp:wrapPolygon edited="0">
                    <wp:start x="1440" y="5600"/>
                    <wp:lineTo x="1440" y="15200"/>
                    <wp:lineTo x="19680" y="15200"/>
                    <wp:lineTo x="19680" y="5600"/>
                    <wp:lineTo x="1440" y="5600"/>
                  </wp:wrapPolygon>
                </wp:wrapThrough>
                <wp:docPr id="327" name="Moins 327"/>
                <wp:cNvGraphicFramePr/>
                <a:graphic xmlns:a="http://schemas.openxmlformats.org/drawingml/2006/main">
                  <a:graphicData uri="http://schemas.microsoft.com/office/word/2010/wordprocessingShape">
                    <wps:wsp>
                      <wps:cNvSpPr/>
                      <wps:spPr>
                        <a:xfrm>
                          <a:off x="0" y="0"/>
                          <a:ext cx="1143000" cy="6858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Moins 327" o:spid="_x0000_s1026" style="position:absolute;margin-left:540pt;margin-top:-17.95pt;width:90pt;height:54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" path="m151505,262250l991495,262250,991495,423550,151505,423550,151505,262250xe" fillcolor="#a6a6a6" strokecolor="maroon" strokeweight="2.25pt">
                <v:path arrowok="t" o:connecttype="custom" o:connectlocs="151505,262250;991495,262250;991495,423550;151505,423550;151505,262250" o:connectangles="0,0,0,0,0"/>
                <w10:wrap type="through"/>
              </v:shape>
            </w:pict>
          </mc:Fallback>
        </mc:AlternateContent>
      </w:r>
      <w:r w:rsidR="00FC3CDD">
        <w:br w:type="page"/>
      </w:r>
      <w:r w:rsidR="00696A45">
        <w:rPr>
          <w:noProof/>
          <w:lang w:eastAsia="fr-FR"/>
        </w:rPr>
        <w:lastRenderedPageBreak/>
        <mc:AlternateContent>
          <mc:Choice Requires="wps">
            <w:drawing>
              <wp:anchor distT="0" distB="0" distL="114300" distR="114300" simplePos="0" relativeHeight="252364800" behindDoc="0" locked="0" layoutInCell="1" allowOverlap="1" wp14:anchorId="2BB551DF" wp14:editId="66645645">
                <wp:simplePos x="0" y="0"/>
                <wp:positionH relativeFrom="column">
                  <wp:posOffset>1257300</wp:posOffset>
                </wp:positionH>
                <wp:positionV relativeFrom="paragraph">
                  <wp:posOffset>4800600</wp:posOffset>
                </wp:positionV>
                <wp:extent cx="7086600" cy="1257300"/>
                <wp:effectExtent l="0" t="0" r="0" b="12700"/>
                <wp:wrapSquare wrapText="bothSides"/>
                <wp:docPr id="346" name="Zone de texte 346"/>
                <wp:cNvGraphicFramePr/>
                <a:graphic xmlns:a="http://schemas.openxmlformats.org/drawingml/2006/main">
                  <a:graphicData uri="http://schemas.microsoft.com/office/word/2010/wordprocessingShape">
                    <wps:wsp>
                      <wps:cNvSpPr txBox="1"/>
                      <wps:spPr>
                        <a:xfrm>
                          <a:off x="0" y="0"/>
                          <a:ext cx="70866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370DB4" w14:textId="5125E591" w:rsidR="00573C95" w:rsidRDefault="00573C95" w:rsidP="007B18A9">
                            <w:pPr>
                              <w:jc w:val="both"/>
                            </w:pPr>
                            <w:r>
                              <w:t>Compte tenu de la clause obligatoire de la rente garantie 10 années, la  rente qui sera versée au cours des deux prochaines années à Jeanne sera entière (100 %). Par la suite, celle-ci sera réduite à 60 %. Encore une fois, dans la présente situation, la réduction suite à la synchronisation du RRQ n’a, dans les faits, aucun impact puisque c’est la limite maximale en vertu de la LIR qui fixe la rente de retraite de Pierre (et de Jeanne par la suite)</w:t>
                            </w:r>
                          </w:p>
                          <w:p w14:paraId="084B6717" w14:textId="105C8A6C" w:rsidR="00573C95" w:rsidRDefault="00573C95" w:rsidP="00696A4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6" o:spid="_x0000_s1212" type="#_x0000_t202" style="position:absolute;margin-left:99pt;margin-top:378pt;width:558pt;height:99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" filled="f" stroked="f">
                <v:textbox>
                  <w:txbxContent>
                    <w:p w14:paraId="49370DB4" w14:textId="5125E591" w:rsidR="001501D6" w:rsidRDefault="001501D6" w:rsidP="007B18A9">
                      <w:pPr>
                        <w:jc w:val="both"/>
                      </w:pPr>
                      <w:r>
                        <w:t>Compte tenu de la clause obligatoire de la rente garantie 10 années, la  rente qui sera versée au cours des deux prochaines années à Jeanne sera entière (100 %). Par la suite, celle-ci sera réduite à 60 %. Encore une fois, dans la présente situation, la réduction suite à la synchronisation du RRQ n’a, dans les faits, aucun impact puisque c’est la limite maximale en vertu de la LIR qui fixe la rente de retraite de Pierre (et de Jeanne par la suite)</w:t>
                      </w:r>
                    </w:p>
                    <w:p w14:paraId="084B6717" w14:textId="105C8A6C" w:rsidR="001501D6" w:rsidRDefault="001501D6" w:rsidP="00696A45">
                      <w:pPr>
                        <w:jc w:val="both"/>
                      </w:pPr>
                    </w:p>
                  </w:txbxContent>
                </v:textbox>
                <w10:wrap type="square"/>
              </v:shape>
            </w:pict>
          </mc:Fallback>
        </mc:AlternateContent>
      </w:r>
      <w:r w:rsidR="00C413A7">
        <w:rPr>
          <w:noProof/>
          <w:lang w:eastAsia="fr-FR"/>
        </w:rPr>
        <mc:AlternateContent>
          <mc:Choice Requires="wps">
            <w:drawing>
              <wp:anchor distT="0" distB="0" distL="114300" distR="114300" simplePos="0" relativeHeight="252362752" behindDoc="0" locked="0" layoutInCell="1" allowOverlap="1" wp14:anchorId="6B1DDE70" wp14:editId="23368920">
                <wp:simplePos x="0" y="0"/>
                <wp:positionH relativeFrom="column">
                  <wp:posOffset>7772400</wp:posOffset>
                </wp:positionH>
                <wp:positionV relativeFrom="paragraph">
                  <wp:posOffset>2857500</wp:posOffset>
                </wp:positionV>
                <wp:extent cx="1371600" cy="914400"/>
                <wp:effectExtent l="0" t="0" r="0" b="0"/>
                <wp:wrapSquare wrapText="bothSides"/>
                <wp:docPr id="345" name="Zone de texte 345"/>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29AE89" w14:textId="0CE53EE5" w:rsidR="00573C95" w:rsidRPr="00B264BC" w:rsidRDefault="00573C95" w:rsidP="00636668">
                            <w:pPr>
                              <w:jc w:val="center"/>
                              <w:rPr>
                                <w:sz w:val="40"/>
                                <w:szCs w:val="40"/>
                              </w:rPr>
                            </w:pPr>
                            <w:r>
                              <w:rPr>
                                <w:sz w:val="40"/>
                                <w:szCs w:val="40"/>
                              </w:rPr>
                              <w:t>89 179</w:t>
                            </w:r>
                            <w:r w:rsidRPr="00B264BC">
                              <w:rPr>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Zone de texte 345" o:spid="_x0000_s1213" type="#_x0000_t202" style="position:absolute;margin-left:612pt;margin-top:225pt;width:108pt;height:1in;z-index:25236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" filled="f" stroked="f">
                <v:textbox>
                  <w:txbxContent>
                    <w:p w14:paraId="4029AE89" w14:textId="0CE53EE5" w:rsidR="001501D6" w:rsidRPr="00B264BC" w:rsidRDefault="001501D6" w:rsidP="00636668">
                      <w:pPr>
                        <w:jc w:val="center"/>
                        <w:rPr>
                          <w:sz w:val="40"/>
                          <w:szCs w:val="40"/>
                        </w:rPr>
                      </w:pPr>
                      <w:r>
                        <w:rPr>
                          <w:sz w:val="40"/>
                          <w:szCs w:val="40"/>
                        </w:rPr>
                        <w:t>89 179</w:t>
                      </w:r>
                      <w:r w:rsidRPr="00B264BC">
                        <w:rPr>
                          <w:sz w:val="40"/>
                          <w:szCs w:val="40"/>
                        </w:rPr>
                        <w:t xml:space="preserve"> $</w:t>
                      </w:r>
                    </w:p>
                  </w:txbxContent>
                </v:textbox>
                <w10:wrap type="square"/>
              </v:shape>
            </w:pict>
          </mc:Fallback>
        </mc:AlternateContent>
      </w:r>
      <w:r w:rsidR="00C413A7">
        <w:rPr>
          <w:noProof/>
          <w:lang w:eastAsia="fr-FR"/>
        </w:rPr>
        <mc:AlternateContent>
          <mc:Choice Requires="wps">
            <w:drawing>
              <wp:anchor distT="0" distB="0" distL="114300" distR="114300" simplePos="0" relativeHeight="252360704" behindDoc="0" locked="0" layoutInCell="1" allowOverlap="1" wp14:anchorId="0F1925C4" wp14:editId="0CCEF16B">
                <wp:simplePos x="0" y="0"/>
                <wp:positionH relativeFrom="column">
                  <wp:posOffset>6972300</wp:posOffset>
                </wp:positionH>
                <wp:positionV relativeFrom="paragraph">
                  <wp:posOffset>2971800</wp:posOffset>
                </wp:positionV>
                <wp:extent cx="822960" cy="822960"/>
                <wp:effectExtent l="0" t="0" r="0" b="0"/>
                <wp:wrapThrough wrapText="bothSides">
                  <wp:wrapPolygon edited="0">
                    <wp:start x="667" y="2667"/>
                    <wp:lineTo x="667" y="18667"/>
                    <wp:lineTo x="20000" y="18667"/>
                    <wp:lineTo x="20000" y="2667"/>
                    <wp:lineTo x="667" y="2667"/>
                  </wp:wrapPolygon>
                </wp:wrapThrough>
                <wp:docPr id="343" name="Égal 343"/>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chemeClr val="bg1">
                            <a:lumMod val="65000"/>
                          </a:schemeClr>
                        </a:solidFill>
                        <a:ln w="28575"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Égal 343" o:spid="_x0000_s1026" style="position:absolute;margin-left:549pt;margin-top:234pt;width:64.8pt;height:64.8pt;z-index:25236070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" path="m109083,169530l713877,169530,713877,363090,109083,363090,109083,169530xm109083,459870l713877,459870,713877,653430,109083,653430,109083,459870xe" fillcolor="#a5a5a5 [2092]" strokecolor="black [3213]" strokeweight="2.25pt">
                <v:path arrowok="t" o:connecttype="custom" o:connectlocs="109083,169530;713877,169530;713877,363090;109083,363090;109083,169530;109083,459870;713877,459870;713877,653430;109083,653430;109083,459870" o:connectangles="0,0,0,0,0,0,0,0,0,0"/>
                <w10:wrap type="through"/>
              </v:shape>
            </w:pict>
          </mc:Fallback>
        </mc:AlternateContent>
      </w:r>
      <w:r w:rsidR="00C413A7">
        <w:rPr>
          <w:noProof/>
          <w:lang w:eastAsia="fr-FR"/>
        </w:rPr>
        <mc:AlternateContent>
          <mc:Choice Requires="wps">
            <w:drawing>
              <wp:anchor distT="0" distB="0" distL="114300" distR="114300" simplePos="0" relativeHeight="252359680" behindDoc="0" locked="0" layoutInCell="1" allowOverlap="1" wp14:anchorId="48D998F3" wp14:editId="043D9F60">
                <wp:simplePos x="0" y="0"/>
                <wp:positionH relativeFrom="column">
                  <wp:posOffset>5067300</wp:posOffset>
                </wp:positionH>
                <wp:positionV relativeFrom="paragraph">
                  <wp:posOffset>2514600</wp:posOffset>
                </wp:positionV>
                <wp:extent cx="457200" cy="457200"/>
                <wp:effectExtent l="0" t="0" r="25400" b="25400"/>
                <wp:wrapNone/>
                <wp:docPr id="342" name="Ellipse 34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92E4DE0" w14:textId="77777777" w:rsidR="00573C95" w:rsidRDefault="00573C95" w:rsidP="00636668">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42" o:spid="_x0000_s1214" style="position:absolute;margin-left:399pt;margin-top:198pt;width:36pt;height:36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" fillcolor="black [3213]" strokecolor="white [3212]" strokeweight="1pt">
                <v:textbox>
                  <w:txbxContent>
                    <w:p w14:paraId="292E4DE0" w14:textId="77777777" w:rsidR="001501D6" w:rsidRDefault="001501D6" w:rsidP="00636668">
                      <w:pPr>
                        <w:jc w:val="center"/>
                      </w:pPr>
                      <w:r>
                        <w:t>6</w:t>
                      </w:r>
                    </w:p>
                  </w:txbxContent>
                </v:textbox>
              </v:oval>
            </w:pict>
          </mc:Fallback>
        </mc:AlternateContent>
      </w:r>
      <w:r w:rsidR="00C413A7">
        <w:rPr>
          <w:noProof/>
          <w:lang w:eastAsia="fr-FR"/>
        </w:rPr>
        <mc:AlternateContent>
          <mc:Choice Requires="wps">
            <w:drawing>
              <wp:anchor distT="0" distB="0" distL="114300" distR="114300" simplePos="0" relativeHeight="252361728" behindDoc="0" locked="0" layoutInCell="1" allowOverlap="1" wp14:anchorId="3FF66731" wp14:editId="592C3277">
                <wp:simplePos x="0" y="0"/>
                <wp:positionH relativeFrom="column">
                  <wp:posOffset>4038600</wp:posOffset>
                </wp:positionH>
                <wp:positionV relativeFrom="paragraph">
                  <wp:posOffset>2743200</wp:posOffset>
                </wp:positionV>
                <wp:extent cx="457200" cy="457200"/>
                <wp:effectExtent l="0" t="0" r="25400" b="25400"/>
                <wp:wrapNone/>
                <wp:docPr id="344" name="Ellipse 34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1EE32DB" w14:textId="77777777" w:rsidR="00573C95" w:rsidRDefault="00573C95" w:rsidP="007C2CCC">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44" o:spid="_x0000_s1215" style="position:absolute;margin-left:318pt;margin-top:3in;width:36pt;height:36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" fillcolor="black [3213]" strokecolor="white [3212]" strokeweight="1pt">
                <v:textbox>
                  <w:txbxContent>
                    <w:p w14:paraId="51EE32DB" w14:textId="77777777" w:rsidR="001501D6" w:rsidRDefault="001501D6" w:rsidP="007C2CCC">
                      <w:r>
                        <w:t>5</w:t>
                      </w:r>
                    </w:p>
                  </w:txbxContent>
                </v:textbox>
              </v:oval>
            </w:pict>
          </mc:Fallback>
        </mc:AlternateContent>
      </w:r>
      <w:r w:rsidR="00C413A7">
        <w:rPr>
          <w:noProof/>
          <w:lang w:eastAsia="fr-FR"/>
        </w:rPr>
        <mc:AlternateContent>
          <mc:Choice Requires="wps">
            <w:drawing>
              <wp:anchor distT="0" distB="0" distL="114300" distR="114300" simplePos="0" relativeHeight="252357632" behindDoc="0" locked="0" layoutInCell="1" allowOverlap="1" wp14:anchorId="46A5609C" wp14:editId="64B967F3">
                <wp:simplePos x="0" y="0"/>
                <wp:positionH relativeFrom="column">
                  <wp:posOffset>1638300</wp:posOffset>
                </wp:positionH>
                <wp:positionV relativeFrom="paragraph">
                  <wp:posOffset>2628900</wp:posOffset>
                </wp:positionV>
                <wp:extent cx="3771900" cy="1600200"/>
                <wp:effectExtent l="76200" t="76200" r="63500" b="76200"/>
                <wp:wrapNone/>
                <wp:docPr id="340" name="Rectangle à coins arrondis 340"/>
                <wp:cNvGraphicFramePr/>
                <a:graphic xmlns:a="http://schemas.openxmlformats.org/drawingml/2006/main">
                  <a:graphicData uri="http://schemas.microsoft.com/office/word/2010/wordprocessingShape">
                    <wps:wsp>
                      <wps:cNvSpPr/>
                      <wps:spPr>
                        <a:xfrm>
                          <a:off x="0" y="0"/>
                          <a:ext cx="3771900" cy="1600200"/>
                        </a:xfrm>
                        <a:prstGeom prst="roundRect">
                          <a:avLst/>
                        </a:prstGeom>
                        <a:solidFill>
                          <a:schemeClr val="bg1">
                            <a:lumMod val="65000"/>
                          </a:schemeClr>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17DEF2B" w14:textId="315F8B75" w:rsidR="00573C95" w:rsidRDefault="00573C95" w:rsidP="007C2CCC">
                            <w:pPr>
                              <w:rPr>
                                <w:color w:val="000000"/>
                              </w:rPr>
                            </w:pPr>
                            <w:r>
                              <w:rPr>
                                <w:color w:val="000000"/>
                              </w:rPr>
                              <w:tab/>
                              <w:t>Le moindre de</w:t>
                            </w:r>
                          </w:p>
                          <w:p w14:paraId="274D006A" w14:textId="3128C246" w:rsidR="00573C95" w:rsidRPr="00B264BC" w:rsidRDefault="00573C95" w:rsidP="006C34CF">
                            <w:pPr>
                              <w:pStyle w:val="Paragraphedeliste"/>
                              <w:numPr>
                                <w:ilvl w:val="0"/>
                                <w:numId w:val="41"/>
                              </w:numPr>
                              <w:rPr>
                                <w:color w:val="000000"/>
                              </w:rPr>
                            </w:pPr>
                            <w:r>
                              <w:rPr>
                                <w:color w:val="000000"/>
                              </w:rPr>
                              <w:t>81 135</w:t>
                            </w:r>
                            <w:r w:rsidRPr="00B264BC">
                              <w:rPr>
                                <w:color w:val="000000"/>
                              </w:rPr>
                              <w:t xml:space="preserve"> $ après étape</w:t>
                            </w:r>
                          </w:p>
                          <w:p w14:paraId="5015BA66" w14:textId="77777777" w:rsidR="00573C95" w:rsidRDefault="00573C95" w:rsidP="006C34CF">
                            <w:pPr>
                              <w:pStyle w:val="Paragraphedeliste"/>
                              <w:numPr>
                                <w:ilvl w:val="0"/>
                                <w:numId w:val="41"/>
                              </w:numPr>
                            </w:pPr>
                            <w:r w:rsidRPr="00B264BC">
                              <w:rPr>
                                <w:color w:val="000000"/>
                              </w:rPr>
                              <w:t>76 113 $ (2 819 $ * 27)</w:t>
                            </w:r>
                          </w:p>
                          <w:p w14:paraId="6C9CB75D" w14:textId="62D0B097" w:rsidR="00573C95" w:rsidRDefault="00573C95" w:rsidP="00636668">
                            <w:r>
                              <w:tab/>
                            </w:r>
                          </w:p>
                          <w:p w14:paraId="3EBC8F42" w14:textId="5CD12D8E" w:rsidR="00573C95" w:rsidRPr="00C413A7" w:rsidRDefault="00573C95" w:rsidP="00636668">
                            <w:pPr>
                              <w:rPr>
                                <w:color w:val="000000"/>
                              </w:rPr>
                            </w:pPr>
                            <w:r>
                              <w:tab/>
                            </w:r>
                            <w:r w:rsidRPr="00C413A7">
                              <w:rPr>
                                <w:color w:val="000000"/>
                              </w:rPr>
                              <w:t>Après indexation (n = 8, i = 2 %)</w:t>
                            </w:r>
                          </w:p>
                          <w:p w14:paraId="4A9BF9F6" w14:textId="4649E517" w:rsidR="00573C95" w:rsidRPr="00C413A7" w:rsidRDefault="00573C95" w:rsidP="006C34CF">
                            <w:pPr>
                              <w:pStyle w:val="Paragraphedeliste"/>
                              <w:numPr>
                                <w:ilvl w:val="0"/>
                                <w:numId w:val="42"/>
                              </w:numPr>
                              <w:rPr>
                                <w:color w:val="000000"/>
                              </w:rPr>
                            </w:pPr>
                            <w:r w:rsidRPr="00C413A7">
                              <w:rPr>
                                <w:color w:val="000000"/>
                              </w:rPr>
                              <w:t>95 062 $</w:t>
                            </w:r>
                          </w:p>
                          <w:p w14:paraId="62C54DE3" w14:textId="31252059" w:rsidR="00573C95" w:rsidRPr="00C413A7" w:rsidRDefault="00573C95" w:rsidP="006C34CF">
                            <w:pPr>
                              <w:pStyle w:val="Paragraphedeliste"/>
                              <w:numPr>
                                <w:ilvl w:val="0"/>
                                <w:numId w:val="42"/>
                              </w:numPr>
                              <w:rPr>
                                <w:color w:val="000000"/>
                              </w:rPr>
                            </w:pPr>
                            <w:r w:rsidRPr="00C413A7">
                              <w:rPr>
                                <w:color w:val="000000"/>
                              </w:rPr>
                              <w:t>89 179 $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40" o:spid="_x0000_s1216" style="position:absolute;margin-left:129pt;margin-top:207pt;width:297pt;height:126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" fillcolor="#a5a5a5 [2092]" strokecolor="black [3213]">
                <v:textbox>
                  <w:txbxContent>
                    <w:p w14:paraId="117DEF2B" w14:textId="315F8B75" w:rsidR="001501D6" w:rsidRDefault="001501D6" w:rsidP="007C2CCC">
                      <w:pPr>
                        <w:rPr>
                          <w:color w:val="000000"/>
                        </w:rPr>
                      </w:pPr>
                      <w:r>
                        <w:rPr>
                          <w:color w:val="000000"/>
                        </w:rPr>
                        <w:tab/>
                        <w:t>Le moindre de</w:t>
                      </w:r>
                    </w:p>
                    <w:p w14:paraId="274D006A" w14:textId="3128C246" w:rsidR="001501D6" w:rsidRPr="00B264BC" w:rsidRDefault="001501D6" w:rsidP="006C34CF">
                      <w:pPr>
                        <w:pStyle w:val="Paragraphedeliste"/>
                        <w:numPr>
                          <w:ilvl w:val="0"/>
                          <w:numId w:val="41"/>
                        </w:numPr>
                        <w:rPr>
                          <w:color w:val="000000"/>
                        </w:rPr>
                      </w:pPr>
                      <w:r>
                        <w:rPr>
                          <w:color w:val="000000"/>
                        </w:rPr>
                        <w:t>81 135</w:t>
                      </w:r>
                      <w:r w:rsidRPr="00B264BC">
                        <w:rPr>
                          <w:color w:val="000000"/>
                        </w:rPr>
                        <w:t xml:space="preserve"> $ après étape</w:t>
                      </w:r>
                    </w:p>
                    <w:p w14:paraId="5015BA66" w14:textId="77777777" w:rsidR="001501D6" w:rsidRDefault="001501D6" w:rsidP="006C34CF">
                      <w:pPr>
                        <w:pStyle w:val="Paragraphedeliste"/>
                        <w:numPr>
                          <w:ilvl w:val="0"/>
                          <w:numId w:val="41"/>
                        </w:numPr>
                      </w:pPr>
                      <w:r w:rsidRPr="00B264BC">
                        <w:rPr>
                          <w:color w:val="000000"/>
                        </w:rPr>
                        <w:t>76 113 $ (2 819 $ * 27)</w:t>
                      </w:r>
                    </w:p>
                    <w:p w14:paraId="6C9CB75D" w14:textId="62D0B097" w:rsidR="001501D6" w:rsidRDefault="001501D6" w:rsidP="00636668">
                      <w:r>
                        <w:tab/>
                      </w:r>
                    </w:p>
                    <w:p w14:paraId="3EBC8F42" w14:textId="5CD12D8E" w:rsidR="001501D6" w:rsidRPr="00C413A7" w:rsidRDefault="001501D6" w:rsidP="00636668">
                      <w:pPr>
                        <w:rPr>
                          <w:color w:val="000000"/>
                        </w:rPr>
                      </w:pPr>
                      <w:r>
                        <w:tab/>
                      </w:r>
                      <w:r w:rsidRPr="00C413A7">
                        <w:rPr>
                          <w:color w:val="000000"/>
                        </w:rPr>
                        <w:t>Après indexation (n = 8, i = 2 %)</w:t>
                      </w:r>
                    </w:p>
                    <w:p w14:paraId="4A9BF9F6" w14:textId="4649E517" w:rsidR="001501D6" w:rsidRPr="00C413A7" w:rsidRDefault="001501D6" w:rsidP="006C34CF">
                      <w:pPr>
                        <w:pStyle w:val="Paragraphedeliste"/>
                        <w:numPr>
                          <w:ilvl w:val="0"/>
                          <w:numId w:val="42"/>
                        </w:numPr>
                        <w:rPr>
                          <w:color w:val="000000"/>
                        </w:rPr>
                      </w:pPr>
                      <w:r w:rsidRPr="00C413A7">
                        <w:rPr>
                          <w:color w:val="000000"/>
                        </w:rPr>
                        <w:t>95 062 $</w:t>
                      </w:r>
                    </w:p>
                    <w:p w14:paraId="62C54DE3" w14:textId="31252059" w:rsidR="001501D6" w:rsidRPr="00C413A7" w:rsidRDefault="001501D6" w:rsidP="006C34CF">
                      <w:pPr>
                        <w:pStyle w:val="Paragraphedeliste"/>
                        <w:numPr>
                          <w:ilvl w:val="0"/>
                          <w:numId w:val="42"/>
                        </w:numPr>
                        <w:rPr>
                          <w:color w:val="000000"/>
                        </w:rPr>
                      </w:pPr>
                      <w:r w:rsidRPr="00C413A7">
                        <w:rPr>
                          <w:color w:val="000000"/>
                        </w:rPr>
                        <w:t>89 179 $</w:t>
                      </w:r>
                    </w:p>
                  </w:txbxContent>
                </v:textbox>
              </v:roundrect>
            </w:pict>
          </mc:Fallback>
        </mc:AlternateContent>
      </w:r>
      <w:r w:rsidR="00C413A7">
        <w:rPr>
          <w:noProof/>
          <w:lang w:eastAsia="fr-FR"/>
        </w:rPr>
        <mc:AlternateContent>
          <mc:Choice Requires="wps">
            <w:drawing>
              <wp:anchor distT="0" distB="0" distL="114300" distR="114300" simplePos="0" relativeHeight="252358656" behindDoc="0" locked="0" layoutInCell="1" allowOverlap="1" wp14:anchorId="06C64EF7" wp14:editId="66019561">
                <wp:simplePos x="0" y="0"/>
                <wp:positionH relativeFrom="column">
                  <wp:posOffset>381000</wp:posOffset>
                </wp:positionH>
                <wp:positionV relativeFrom="paragraph">
                  <wp:posOffset>2628900</wp:posOffset>
                </wp:positionV>
                <wp:extent cx="1485900" cy="1485900"/>
                <wp:effectExtent l="0" t="0" r="38100" b="38100"/>
                <wp:wrapNone/>
                <wp:docPr id="341" name="Ellipse 341"/>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755A4C23" w14:textId="77777777" w:rsidR="00573C95" w:rsidRDefault="00573C95" w:rsidP="00636668">
                            <w:pPr>
                              <w:jc w:val="center"/>
                            </w:pPr>
                            <w:r>
                              <w:t>Comparer la rente avec le maximum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41" o:spid="_x0000_s1217" style="position:absolute;margin-left:30pt;margin-top:207pt;width:117pt;height:117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" fillcolor="black [3213]" strokecolor="white [3212]" strokeweight="1pt">
                <v:textbox>
                  <w:txbxContent>
                    <w:p w14:paraId="755A4C23" w14:textId="77777777" w:rsidR="001501D6" w:rsidRDefault="001501D6" w:rsidP="00636668">
                      <w:pPr>
                        <w:jc w:val="center"/>
                      </w:pPr>
                      <w:r>
                        <w:t>Comparer la rente avec le maximum</w:t>
                      </w:r>
                    </w:p>
                  </w:txbxContent>
                </v:textbox>
              </v:oval>
            </w:pict>
          </mc:Fallback>
        </mc:AlternateContent>
      </w:r>
      <w:r w:rsidR="005703AB">
        <w:rPr>
          <w:noProof/>
          <w:lang w:eastAsia="fr-FR"/>
        </w:rPr>
        <mc:AlternateContent>
          <mc:Choice Requires="wps">
            <w:drawing>
              <wp:anchor distT="0" distB="0" distL="114300" distR="114300" simplePos="0" relativeHeight="252350464" behindDoc="0" locked="0" layoutInCell="1" allowOverlap="1" wp14:anchorId="0A3B5357" wp14:editId="59BA909E">
                <wp:simplePos x="0" y="0"/>
                <wp:positionH relativeFrom="column">
                  <wp:posOffset>6858000</wp:posOffset>
                </wp:positionH>
                <wp:positionV relativeFrom="paragraph">
                  <wp:posOffset>-342900</wp:posOffset>
                </wp:positionV>
                <wp:extent cx="1028700" cy="1028700"/>
                <wp:effectExtent l="0" t="0" r="0" b="0"/>
                <wp:wrapThrough wrapText="bothSides">
                  <wp:wrapPolygon edited="0">
                    <wp:start x="6400" y="1067"/>
                    <wp:lineTo x="5867" y="2667"/>
                    <wp:lineTo x="1067" y="10667"/>
                    <wp:lineTo x="1067" y="11733"/>
                    <wp:lineTo x="5867" y="18667"/>
                    <wp:lineTo x="6400" y="19733"/>
                    <wp:lineTo x="14400" y="19733"/>
                    <wp:lineTo x="19733" y="14933"/>
                    <wp:lineTo x="19733" y="8533"/>
                    <wp:lineTo x="14400" y="1067"/>
                    <wp:lineTo x="6400" y="1067"/>
                  </wp:wrapPolygon>
                </wp:wrapThrough>
                <wp:docPr id="322" name="Croix 322"/>
                <wp:cNvGraphicFramePr/>
                <a:graphic xmlns:a="http://schemas.openxmlformats.org/drawingml/2006/main">
                  <a:graphicData uri="http://schemas.microsoft.com/office/word/2010/wordprocessingShape">
                    <wps:wsp>
                      <wps:cNvSpPr/>
                      <wps:spPr>
                        <a:xfrm>
                          <a:off x="0" y="0"/>
                          <a:ext cx="1028700" cy="1028700"/>
                        </a:xfrm>
                        <a:prstGeom prst="mathPlus">
                          <a:avLst/>
                        </a:prstGeom>
                        <a:solidFill>
                          <a:schemeClr val="bg1">
                            <a:lumMod val="65000"/>
                          </a:schemeClr>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Croix 322" o:spid="_x0000_s1026" style="position:absolute;margin-left:540pt;margin-top:-26.95pt;width:81pt;height:81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" path="m136354,393375l393375,393375,393375,136354,635325,136354,635325,393375,892346,393375,892346,635325,635325,635325,635325,892346,393375,892346,393375,635325,136354,635325,136354,393375xe" fillcolor="#a5a5a5 [2092]" strokecolor="green" strokeweight="2.25pt">
                <v:path arrowok="t" o:connecttype="custom" o:connectlocs="136354,393375;393375,393375;393375,136354;635325,136354;635325,393375;892346,393375;892346,635325;635325,635325;635325,892346;393375,892346;393375,635325;136354,635325;136354,393375" o:connectangles="0,0,0,0,0,0,0,0,0,0,0,0,0"/>
                <w10:wrap type="through"/>
              </v:shape>
            </w:pict>
          </mc:Fallback>
        </mc:AlternateContent>
      </w:r>
      <w:r w:rsidR="005703AB">
        <w:rPr>
          <w:noProof/>
          <w:lang w:eastAsia="fr-FR"/>
        </w:rPr>
        <mc:AlternateContent>
          <mc:Choice Requires="wps">
            <w:drawing>
              <wp:anchor distT="0" distB="0" distL="114300" distR="114300" simplePos="0" relativeHeight="252355584" behindDoc="0" locked="0" layoutInCell="1" allowOverlap="1" wp14:anchorId="0795F6E4" wp14:editId="2EB581B4">
                <wp:simplePos x="0" y="0"/>
                <wp:positionH relativeFrom="column">
                  <wp:posOffset>6858000</wp:posOffset>
                </wp:positionH>
                <wp:positionV relativeFrom="paragraph">
                  <wp:posOffset>1485900</wp:posOffset>
                </wp:positionV>
                <wp:extent cx="1143000" cy="685800"/>
                <wp:effectExtent l="0" t="0" r="0" b="0"/>
                <wp:wrapThrough wrapText="bothSides">
                  <wp:wrapPolygon edited="0">
                    <wp:start x="1440" y="5600"/>
                    <wp:lineTo x="1440" y="15200"/>
                    <wp:lineTo x="19680" y="15200"/>
                    <wp:lineTo x="19680" y="5600"/>
                    <wp:lineTo x="1440" y="5600"/>
                  </wp:wrapPolygon>
                </wp:wrapThrough>
                <wp:docPr id="339" name="Moins 339"/>
                <wp:cNvGraphicFramePr/>
                <a:graphic xmlns:a="http://schemas.openxmlformats.org/drawingml/2006/main">
                  <a:graphicData uri="http://schemas.microsoft.com/office/word/2010/wordprocessingShape">
                    <wps:wsp>
                      <wps:cNvSpPr/>
                      <wps:spPr>
                        <a:xfrm>
                          <a:off x="0" y="0"/>
                          <a:ext cx="1143000" cy="6858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Moins 339" o:spid="_x0000_s1026" style="position:absolute;margin-left:540pt;margin-top:117pt;width:90pt;height:54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" path="m151505,262250l991495,262250,991495,423550,151505,423550,151505,262250xe" fillcolor="#a6a6a6" strokecolor="maroon" strokeweight="2.25pt">
                <v:path arrowok="t" o:connecttype="custom" o:connectlocs="151505,262250;991495,262250;991495,423550;151505,423550;151505,262250" o:connectangles="0,0,0,0,0"/>
                <w10:wrap type="through"/>
              </v:shape>
            </w:pict>
          </mc:Fallback>
        </mc:AlternateContent>
      </w:r>
      <w:r w:rsidR="007C2CCC">
        <w:rPr>
          <w:noProof/>
          <w:lang w:eastAsia="fr-FR"/>
        </w:rPr>
        <mc:AlternateContent>
          <mc:Choice Requires="wps">
            <w:drawing>
              <wp:anchor distT="0" distB="0" distL="114300" distR="114300" simplePos="0" relativeHeight="252354560" behindDoc="0" locked="0" layoutInCell="1" allowOverlap="1" wp14:anchorId="6F4905CF" wp14:editId="7166818F">
                <wp:simplePos x="0" y="0"/>
                <wp:positionH relativeFrom="column">
                  <wp:posOffset>5067300</wp:posOffset>
                </wp:positionH>
                <wp:positionV relativeFrom="paragraph">
                  <wp:posOffset>1485900</wp:posOffset>
                </wp:positionV>
                <wp:extent cx="457200" cy="457200"/>
                <wp:effectExtent l="0" t="0" r="25400" b="25400"/>
                <wp:wrapNone/>
                <wp:docPr id="338" name="Ellipse 338"/>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3C7668B6" w14:textId="77777777" w:rsidR="00573C95" w:rsidRDefault="00573C95" w:rsidP="004825A8">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38" o:spid="_x0000_s1218" style="position:absolute;margin-left:399pt;margin-top:117pt;width:36pt;height:36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" fillcolor="black [3213]" strokecolor="white [3212]" strokeweight="1pt">
                <v:textbox>
                  <w:txbxContent>
                    <w:p w14:paraId="3C7668B6" w14:textId="77777777" w:rsidR="001501D6" w:rsidRDefault="001501D6" w:rsidP="004825A8">
                      <w:pPr>
                        <w:jc w:val="center"/>
                      </w:pPr>
                      <w:r>
                        <w:t>5</w:t>
                      </w:r>
                    </w:p>
                  </w:txbxContent>
                </v:textbox>
              </v:oval>
            </w:pict>
          </mc:Fallback>
        </mc:AlternateContent>
      </w:r>
      <w:r w:rsidR="007C2CCC">
        <w:rPr>
          <w:noProof/>
          <w:lang w:eastAsia="fr-FR"/>
        </w:rPr>
        <mc:AlternateContent>
          <mc:Choice Requires="wps">
            <w:drawing>
              <wp:anchor distT="0" distB="0" distL="114300" distR="114300" simplePos="0" relativeHeight="252352512" behindDoc="0" locked="0" layoutInCell="1" allowOverlap="1" wp14:anchorId="561C5689" wp14:editId="02099480">
                <wp:simplePos x="0" y="0"/>
                <wp:positionH relativeFrom="column">
                  <wp:posOffset>1524000</wp:posOffset>
                </wp:positionH>
                <wp:positionV relativeFrom="paragraph">
                  <wp:posOffset>1600200</wp:posOffset>
                </wp:positionV>
                <wp:extent cx="3886200" cy="571500"/>
                <wp:effectExtent l="50800" t="76200" r="50800" b="63500"/>
                <wp:wrapNone/>
                <wp:docPr id="336" name="Rectangle à coins arrondis 336"/>
                <wp:cNvGraphicFramePr/>
                <a:graphic xmlns:a="http://schemas.openxmlformats.org/drawingml/2006/main">
                  <a:graphicData uri="http://schemas.microsoft.com/office/word/2010/wordprocessingShape">
                    <wps:wsp>
                      <wps:cNvSpPr/>
                      <wps:spPr>
                        <a:xfrm>
                          <a:off x="0" y="0"/>
                          <a:ext cx="3886200" cy="5715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03E67BB" w14:textId="4E8CBD95" w:rsidR="00573C95" w:rsidRPr="002C2BDC" w:rsidRDefault="00573C95" w:rsidP="00677BB2">
                            <w:pPr>
                              <w:jc w:val="center"/>
                              <w:rPr>
                                <w:color w:val="000000"/>
                              </w:rPr>
                            </w:pPr>
                            <w:r w:rsidRPr="002C2BDC">
                              <w:rPr>
                                <w:color w:val="000000"/>
                              </w:rPr>
                              <w:t>,7 % * 27 années * 49 000 $ = 9 261 $</w:t>
                            </w:r>
                          </w:p>
                          <w:p w14:paraId="7744F6EE" w14:textId="77777777" w:rsidR="00573C95" w:rsidRDefault="00573C95" w:rsidP="00677BB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36" o:spid="_x0000_s1219" style="position:absolute;margin-left:120pt;margin-top:126pt;width:306pt;height:4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" fillcolor="#94c691" strokecolor="black [3213]">
                <v:textbox>
                  <w:txbxContent>
                    <w:p w14:paraId="203E67BB" w14:textId="4E8CBD95" w:rsidR="001501D6" w:rsidRPr="002C2BDC" w:rsidRDefault="001501D6" w:rsidP="00677BB2">
                      <w:pPr>
                        <w:jc w:val="center"/>
                        <w:rPr>
                          <w:color w:val="000000"/>
                        </w:rPr>
                      </w:pPr>
                      <w:r w:rsidRPr="002C2BDC">
                        <w:rPr>
                          <w:color w:val="000000"/>
                        </w:rPr>
                        <w:t>,7 % * 27 années * 49 000 $ = 9 261 $</w:t>
                      </w:r>
                    </w:p>
                    <w:p w14:paraId="7744F6EE" w14:textId="77777777" w:rsidR="001501D6" w:rsidRDefault="001501D6" w:rsidP="00677BB2">
                      <w:pPr>
                        <w:jc w:val="center"/>
                      </w:pPr>
                    </w:p>
                  </w:txbxContent>
                </v:textbox>
              </v:roundrect>
            </w:pict>
          </mc:Fallback>
        </mc:AlternateContent>
      </w:r>
      <w:r w:rsidR="007C2CCC">
        <w:rPr>
          <w:noProof/>
          <w:lang w:eastAsia="fr-FR"/>
        </w:rPr>
        <mc:AlternateContent>
          <mc:Choice Requires="wps">
            <w:drawing>
              <wp:anchor distT="0" distB="0" distL="114300" distR="114300" simplePos="0" relativeHeight="252344320" behindDoc="0" locked="0" layoutInCell="1" allowOverlap="1" wp14:anchorId="30A0F569" wp14:editId="6EF08C86">
                <wp:simplePos x="0" y="0"/>
                <wp:positionH relativeFrom="column">
                  <wp:posOffset>1524000</wp:posOffset>
                </wp:positionH>
                <wp:positionV relativeFrom="paragraph">
                  <wp:posOffset>-114300</wp:posOffset>
                </wp:positionV>
                <wp:extent cx="3886200" cy="800100"/>
                <wp:effectExtent l="76200" t="76200" r="76200" b="63500"/>
                <wp:wrapNone/>
                <wp:docPr id="290" name="Rectangle à coins arrondis 290"/>
                <wp:cNvGraphicFramePr/>
                <a:graphic xmlns:a="http://schemas.openxmlformats.org/drawingml/2006/main">
                  <a:graphicData uri="http://schemas.microsoft.com/office/word/2010/wordprocessingShape">
                    <wps:wsp>
                      <wps:cNvSpPr/>
                      <wps:spPr>
                        <a:xfrm>
                          <a:off x="0" y="0"/>
                          <a:ext cx="3886200" cy="80010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59C8CFA" w14:textId="2B26B222" w:rsidR="00573C95" w:rsidRDefault="00573C95" w:rsidP="00DF51F7">
                            <w:pPr>
                              <w:jc w:val="center"/>
                              <w:rPr>
                                <w:color w:val="000000"/>
                              </w:rPr>
                            </w:pPr>
                            <w:r>
                              <w:rPr>
                                <w:color w:val="000000"/>
                              </w:rPr>
                              <w:t xml:space="preserve">90 396 $ après étape  </w:t>
                            </w:r>
                          </w:p>
                          <w:p w14:paraId="61D90432" w14:textId="77777777" w:rsidR="00573C95" w:rsidRDefault="00573C95" w:rsidP="00DF51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90" o:spid="_x0000_s1220" style="position:absolute;margin-left:120pt;margin-top:-8.95pt;width:306pt;height:63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" fillcolor="#94c6c7" strokecolor="black [3213]">
                <v:textbox>
                  <w:txbxContent>
                    <w:p w14:paraId="059C8CFA" w14:textId="2B26B222" w:rsidR="001501D6" w:rsidRDefault="001501D6" w:rsidP="00DF51F7">
                      <w:pPr>
                        <w:jc w:val="center"/>
                        <w:rPr>
                          <w:color w:val="000000"/>
                        </w:rPr>
                      </w:pPr>
                      <w:r>
                        <w:rPr>
                          <w:color w:val="000000"/>
                        </w:rPr>
                        <w:t xml:space="preserve">90 396 $ après étape  </w:t>
                      </w:r>
                    </w:p>
                    <w:p w14:paraId="61D90432" w14:textId="77777777" w:rsidR="001501D6" w:rsidRDefault="001501D6" w:rsidP="00DF51F7">
                      <w:pPr>
                        <w:jc w:val="center"/>
                      </w:pPr>
                    </w:p>
                  </w:txbxContent>
                </v:textbox>
              </v:roundrect>
            </w:pict>
          </mc:Fallback>
        </mc:AlternateContent>
      </w:r>
      <w:r w:rsidR="007C2CCC">
        <w:rPr>
          <w:noProof/>
          <w:lang w:eastAsia="fr-FR"/>
        </w:rPr>
        <mc:AlternateContent>
          <mc:Choice Requires="wps">
            <w:drawing>
              <wp:anchor distT="0" distB="0" distL="114300" distR="114300" simplePos="0" relativeHeight="252353536" behindDoc="0" locked="0" layoutInCell="1" allowOverlap="1" wp14:anchorId="1D146D96" wp14:editId="4583EEA1">
                <wp:simplePos x="0" y="0"/>
                <wp:positionH relativeFrom="column">
                  <wp:posOffset>381000</wp:posOffset>
                </wp:positionH>
                <wp:positionV relativeFrom="paragraph">
                  <wp:posOffset>1028700</wp:posOffset>
                </wp:positionV>
                <wp:extent cx="1485900" cy="1485900"/>
                <wp:effectExtent l="0" t="0" r="38100" b="38100"/>
                <wp:wrapNone/>
                <wp:docPr id="337" name="Ellipse 337"/>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3E59999" w14:textId="77777777" w:rsidR="00573C95" w:rsidRDefault="00573C95" w:rsidP="004825A8">
                            <w:pPr>
                              <w:jc w:val="center"/>
                            </w:pPr>
                            <w:r>
                              <w:t>Réduction suite à la synchro avec le RRQ à 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37" o:spid="_x0000_s1221" style="position:absolute;margin-left:30pt;margin-top:81pt;width:117pt;height:117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" fillcolor="black [3213]" strokecolor="white [3212]" strokeweight="1pt">
                <v:textbox>
                  <w:txbxContent>
                    <w:p w14:paraId="43E59999" w14:textId="77777777" w:rsidR="001501D6" w:rsidRDefault="001501D6" w:rsidP="004825A8">
                      <w:pPr>
                        <w:jc w:val="center"/>
                      </w:pPr>
                      <w:r>
                        <w:t>Réduction suite à la synchro avec le RRQ à 65</w:t>
                      </w:r>
                    </w:p>
                  </w:txbxContent>
                </v:textbox>
              </v:oval>
            </w:pict>
          </mc:Fallback>
        </mc:AlternateContent>
      </w:r>
      <w:r w:rsidR="007C2CCC">
        <w:rPr>
          <w:noProof/>
          <w:lang w:eastAsia="fr-FR"/>
        </w:rPr>
        <mc:AlternateContent>
          <mc:Choice Requires="wps">
            <w:drawing>
              <wp:anchor distT="0" distB="0" distL="114300" distR="114300" simplePos="0" relativeHeight="252346368" behindDoc="0" locked="0" layoutInCell="1" allowOverlap="1" wp14:anchorId="739145B0" wp14:editId="2CB2FD84">
                <wp:simplePos x="0" y="0"/>
                <wp:positionH relativeFrom="column">
                  <wp:posOffset>381000</wp:posOffset>
                </wp:positionH>
                <wp:positionV relativeFrom="paragraph">
                  <wp:posOffset>-457200</wp:posOffset>
                </wp:positionV>
                <wp:extent cx="1371600" cy="1371600"/>
                <wp:effectExtent l="0" t="0" r="25400" b="25400"/>
                <wp:wrapNone/>
                <wp:docPr id="297" name="Ellipse 297"/>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C3B2F5F" w14:textId="39F54950" w:rsidR="00573C95" w:rsidRDefault="00573C95" w:rsidP="00DF51F7">
                            <w:pPr>
                              <w:jc w:val="center"/>
                            </w:pPr>
                            <w:r>
                              <w:t>Calcul de la rente après l’étape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97" o:spid="_x0000_s1222" style="position:absolute;margin-left:30pt;margin-top:-35.95pt;width:108pt;height:108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" fillcolor="black [3213]" strokecolor="white [3212]" strokeweight="1pt">
                <v:textbox>
                  <w:txbxContent>
                    <w:p w14:paraId="2C3B2F5F" w14:textId="39F54950" w:rsidR="001501D6" w:rsidRDefault="001501D6" w:rsidP="00DF51F7">
                      <w:pPr>
                        <w:jc w:val="center"/>
                      </w:pPr>
                      <w:r>
                        <w:t>Calcul de la rente après l’étape 4</w:t>
                      </w:r>
                    </w:p>
                  </w:txbxContent>
                </v:textbox>
              </v:oval>
            </w:pict>
          </mc:Fallback>
        </mc:AlternateContent>
      </w:r>
      <w:r w:rsidR="007C2CCC">
        <w:rPr>
          <w:noProof/>
          <w:lang w:eastAsia="fr-FR"/>
        </w:rPr>
        <mc:AlternateContent>
          <mc:Choice Requires="wps">
            <w:drawing>
              <wp:anchor distT="0" distB="0" distL="114300" distR="114300" simplePos="0" relativeHeight="252348416" behindDoc="0" locked="0" layoutInCell="1" allowOverlap="1" wp14:anchorId="112101D0" wp14:editId="2EC8448E">
                <wp:simplePos x="0" y="0"/>
                <wp:positionH relativeFrom="column">
                  <wp:posOffset>4495800</wp:posOffset>
                </wp:positionH>
                <wp:positionV relativeFrom="paragraph">
                  <wp:posOffset>-114300</wp:posOffset>
                </wp:positionV>
                <wp:extent cx="457200" cy="457200"/>
                <wp:effectExtent l="0" t="0" r="25400" b="25400"/>
                <wp:wrapNone/>
                <wp:docPr id="305" name="Ellipse 30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779F158C" w14:textId="77777777" w:rsidR="00573C95" w:rsidRDefault="00573C95" w:rsidP="004B5CBB">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5" o:spid="_x0000_s1223" style="position:absolute;margin-left:354pt;margin-top:-8.95pt;width:36pt;height:36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" fillcolor="black [3213]" strokecolor="white [3212]" strokeweight="1pt">
                <v:textbox>
                  <w:txbxContent>
                    <w:p w14:paraId="779F158C" w14:textId="77777777" w:rsidR="001501D6" w:rsidRDefault="001501D6" w:rsidP="004B5CBB">
                      <w:pPr>
                        <w:jc w:val="center"/>
                      </w:pPr>
                      <w:r>
                        <w:t>4</w:t>
                      </w:r>
                    </w:p>
                  </w:txbxContent>
                </v:textbox>
              </v:oval>
            </w:pict>
          </mc:Fallback>
        </mc:AlternateContent>
      </w:r>
      <w:r w:rsidR="001550B9">
        <w:rPr>
          <w:noProof/>
          <w:lang w:eastAsia="fr-FR"/>
        </w:rPr>
        <mc:AlternateContent>
          <mc:Choice Requires="wps">
            <w:drawing>
              <wp:anchor distT="0" distB="0" distL="114300" distR="114300" simplePos="0" relativeHeight="252342272" behindDoc="0" locked="0" layoutInCell="1" allowOverlap="1" wp14:anchorId="2F2D4551" wp14:editId="7A77E8ED">
                <wp:simplePos x="0" y="0"/>
                <wp:positionH relativeFrom="column">
                  <wp:posOffset>-342900</wp:posOffset>
                </wp:positionH>
                <wp:positionV relativeFrom="paragraph">
                  <wp:posOffset>-457200</wp:posOffset>
                </wp:positionV>
                <wp:extent cx="1600200" cy="1600200"/>
                <wp:effectExtent l="76200" t="76200" r="76200" b="76200"/>
                <wp:wrapSquare wrapText="bothSides"/>
                <wp:docPr id="335" name="Parchemin vertical 335"/>
                <wp:cNvGraphicFramePr/>
                <a:graphic xmlns:a="http://schemas.openxmlformats.org/drawingml/2006/main">
                  <a:graphicData uri="http://schemas.microsoft.com/office/word/2010/wordprocessingShape">
                    <wps:wsp>
                      <wps:cNvSpPr/>
                      <wps:spPr>
                        <a:xfrm>
                          <a:off x="0" y="0"/>
                          <a:ext cx="1600200" cy="1600200"/>
                        </a:xfrm>
                        <a:prstGeom prst="verticalScroll">
                          <a:avLst/>
                        </a:prstGeom>
                        <a:solidFill>
                          <a:schemeClr val="accent4">
                            <a:lumMod val="75000"/>
                          </a:schemeClr>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5912980" w14:textId="2E8DFD6E" w:rsidR="00573C95" w:rsidRPr="001550B9" w:rsidRDefault="00573C95" w:rsidP="001550B9">
                            <w:pPr>
                              <w:jc w:val="center"/>
                              <w:rPr>
                                <w:color w:val="FFFFFF" w:themeColor="background1"/>
                              </w:rPr>
                            </w:pPr>
                            <w:r w:rsidRPr="001550B9">
                              <w:rPr>
                                <w:color w:val="FFFFFF" w:themeColor="background1"/>
                              </w:rPr>
                              <w:t>La rente de Jeanne au moment d</w:t>
                            </w:r>
                            <w:r>
                              <w:rPr>
                                <w:color w:val="FFFFFF" w:themeColor="background1"/>
                              </w:rPr>
                              <w:t xml:space="preserve">u décès </w:t>
                            </w:r>
                            <w:r w:rsidRPr="001550B9">
                              <w:rPr>
                                <w:color w:val="FFFFFF" w:themeColor="background1"/>
                              </w:rPr>
                              <w:t>de Pierre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archemin vertical 335" o:spid="_x0000_s1224" type="#_x0000_t97" style="position:absolute;margin-left:-26.95pt;margin-top:-35.95pt;width:126pt;height:126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" fillcolor="#6b6e4b [2407]" strokecolor="black [3213]">
                <v:textbox>
                  <w:txbxContent>
                    <w:p w14:paraId="25912980" w14:textId="2E8DFD6E" w:rsidR="001501D6" w:rsidRPr="001550B9" w:rsidRDefault="001501D6" w:rsidP="001550B9">
                      <w:pPr>
                        <w:jc w:val="center"/>
                        <w:rPr>
                          <w:color w:val="FFFFFF" w:themeColor="background1"/>
                        </w:rPr>
                      </w:pPr>
                      <w:r w:rsidRPr="001550B9">
                        <w:rPr>
                          <w:color w:val="FFFFFF" w:themeColor="background1"/>
                        </w:rPr>
                        <w:t>La rente de Jeanne au moment d</w:t>
                      </w:r>
                      <w:r>
                        <w:rPr>
                          <w:color w:val="FFFFFF" w:themeColor="background1"/>
                        </w:rPr>
                        <w:t xml:space="preserve">u décès </w:t>
                      </w:r>
                      <w:r w:rsidRPr="001550B9">
                        <w:rPr>
                          <w:color w:val="FFFFFF" w:themeColor="background1"/>
                        </w:rPr>
                        <w:t>de Pierre</w:t>
                      </w:r>
                    </w:p>
                  </w:txbxContent>
                </v:textbox>
                <w10:wrap type="square"/>
              </v:shape>
            </w:pict>
          </mc:Fallback>
        </mc:AlternateContent>
      </w:r>
      <w:r>
        <w:br w:type="page"/>
      </w:r>
    </w:p>
    <w:p w14:paraId="12F55593" w14:textId="4E48FC8C" w:rsidR="00375A4C" w:rsidRDefault="006F5084">
      <w:r>
        <w:rPr>
          <w:noProof/>
          <w:lang w:eastAsia="fr-FR"/>
        </w:rPr>
        <w:lastRenderedPageBreak/>
        <w:drawing>
          <wp:anchor distT="0" distB="0" distL="114300" distR="114300" simplePos="0" relativeHeight="252375040" behindDoc="0" locked="0" layoutInCell="1" allowOverlap="1" wp14:anchorId="1142CDE7" wp14:editId="67275E82">
            <wp:simplePos x="0" y="0"/>
            <wp:positionH relativeFrom="column">
              <wp:posOffset>990600</wp:posOffset>
            </wp:positionH>
            <wp:positionV relativeFrom="paragraph">
              <wp:posOffset>3086100</wp:posOffset>
            </wp:positionV>
            <wp:extent cx="685800" cy="681990"/>
            <wp:effectExtent l="0" t="0" r="0" b="3810"/>
            <wp:wrapNone/>
            <wp:docPr id="353" name="Image 353">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374016" behindDoc="0" locked="0" layoutInCell="1" allowOverlap="1" wp14:anchorId="5C4A26E9" wp14:editId="610D6651">
                <wp:simplePos x="0" y="0"/>
                <wp:positionH relativeFrom="column">
                  <wp:posOffset>228600</wp:posOffset>
                </wp:positionH>
                <wp:positionV relativeFrom="paragraph">
                  <wp:posOffset>2628900</wp:posOffset>
                </wp:positionV>
                <wp:extent cx="8115300" cy="2971800"/>
                <wp:effectExtent l="0" t="0" r="0" b="0"/>
                <wp:wrapSquare wrapText="bothSides"/>
                <wp:docPr id="352" name="Zone de texte 352"/>
                <wp:cNvGraphicFramePr/>
                <a:graphic xmlns:a="http://schemas.openxmlformats.org/drawingml/2006/main">
                  <a:graphicData uri="http://schemas.microsoft.com/office/word/2010/wordprocessingShape">
                    <wps:wsp>
                      <wps:cNvSpPr txBox="1"/>
                      <wps:spPr>
                        <a:xfrm>
                          <a:off x="0" y="0"/>
                          <a:ext cx="8115300" cy="2971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DACE4B" w14:textId="25D31B1C" w:rsidR="00573C95" w:rsidRDefault="00573C95" w:rsidP="00F005EF">
                            <w:pPr>
                              <w:jc w:val="both"/>
                            </w:pPr>
                            <w:r>
                              <w:t>Pour ceux et celles qui souhaitent étudier davantage la teneur d’un RPAPD, je vous suggère d’explorer le sommaire des dispositions du régime de retraite des employés de l’Université du Québec (RRUQ).</w:t>
                            </w:r>
                          </w:p>
                          <w:p w14:paraId="44AB5187" w14:textId="77777777" w:rsidR="00573C95" w:rsidRDefault="00573C95" w:rsidP="00F005EF">
                            <w:pPr>
                              <w:jc w:val="both"/>
                            </w:pPr>
                          </w:p>
                          <w:p w14:paraId="1DD24912" w14:textId="77777777" w:rsidR="00573C95" w:rsidRDefault="00573C95" w:rsidP="00F005EF">
                            <w:pPr>
                              <w:jc w:val="both"/>
                            </w:pPr>
                          </w:p>
                          <w:p w14:paraId="1A59B5BA" w14:textId="1B9C82E2" w:rsidR="00573C95" w:rsidRPr="00235F05" w:rsidRDefault="00573C95" w:rsidP="00A00C42">
                            <w:pPr>
                              <w:rPr>
                                <w:color w:val="FF6700" w:themeColor="accent3"/>
                              </w:rPr>
                            </w:pPr>
                            <w:hyperlink r:id="rId101" w:history="1">
                              <w:r w:rsidRPr="00235F05">
                                <w:rPr>
                                  <w:rStyle w:val="Lienhypertexte"/>
                                  <w:color w:val="FF6700" w:themeColor="accent3"/>
                                </w:rPr>
                                <w:t>Les dispositions du RRUQ</w:t>
                              </w:r>
                            </w:hyperlink>
                          </w:p>
                          <w:p w14:paraId="553789E6" w14:textId="77777777" w:rsidR="00573C95" w:rsidRDefault="00573C95" w:rsidP="00F005EF">
                            <w:pPr>
                              <w:jc w:val="both"/>
                            </w:pPr>
                          </w:p>
                          <w:p w14:paraId="1B28DF00" w14:textId="77777777" w:rsidR="00573C95" w:rsidRDefault="00573C95" w:rsidP="00F005EF">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2" o:spid="_x0000_s1225" type="#_x0000_t202" style="position:absolute;margin-left:18pt;margin-top:207pt;width:639pt;height:234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" filled="f" stroked="f">
                <v:textbox>
                  <w:txbxContent>
                    <w:p w14:paraId="2EDACE4B" w14:textId="25D31B1C" w:rsidR="001501D6" w:rsidRDefault="001501D6" w:rsidP="00F005EF">
                      <w:pPr>
                        <w:jc w:val="both"/>
                      </w:pPr>
                      <w:r>
                        <w:t>Pour ceux et celles qui souhaitent étudier davantage la teneur d’un RPAPD, je vous suggère d’explorer le sommaire des dispositions du régime de retraite des employés de l’Université du Québec (RRUQ).</w:t>
                      </w:r>
                    </w:p>
                    <w:p w14:paraId="44AB5187" w14:textId="77777777" w:rsidR="001501D6" w:rsidRDefault="001501D6" w:rsidP="00F005EF">
                      <w:pPr>
                        <w:jc w:val="both"/>
                      </w:pPr>
                    </w:p>
                    <w:p w14:paraId="1DD24912" w14:textId="77777777" w:rsidR="001501D6" w:rsidRDefault="001501D6" w:rsidP="00F005EF">
                      <w:pPr>
                        <w:jc w:val="both"/>
                      </w:pPr>
                    </w:p>
                    <w:p w14:paraId="1A59B5BA" w14:textId="1B9C82E2" w:rsidR="001501D6" w:rsidRPr="00235F05" w:rsidRDefault="00E21DC3" w:rsidP="00A00C42">
                      <w:pPr>
                        <w:rPr>
                          <w:color w:val="FF6700" w:themeColor="accent3"/>
                        </w:rPr>
                      </w:pPr>
                      <w:hyperlink r:id="rId102" w:history="1">
                        <w:r w:rsidR="001501D6" w:rsidRPr="00235F05">
                          <w:rPr>
                            <w:rStyle w:val="Lienhypertexte"/>
                            <w:color w:val="FF6700" w:themeColor="accent3"/>
                          </w:rPr>
                          <w:t>Les dispositions du RRUQ</w:t>
                        </w:r>
                      </w:hyperlink>
                    </w:p>
                    <w:p w14:paraId="553789E6" w14:textId="77777777" w:rsidR="001501D6" w:rsidRDefault="001501D6" w:rsidP="00F005EF">
                      <w:pPr>
                        <w:jc w:val="both"/>
                      </w:pPr>
                    </w:p>
                    <w:p w14:paraId="1B28DF00" w14:textId="77777777" w:rsidR="001501D6" w:rsidRDefault="001501D6" w:rsidP="00F005EF">
                      <w:pPr>
                        <w:jc w:val="both"/>
                      </w:pPr>
                    </w:p>
                  </w:txbxContent>
                </v:textbox>
                <w10:wrap type="square"/>
              </v:shape>
            </w:pict>
          </mc:Fallback>
        </mc:AlternateContent>
      </w:r>
      <w:r w:rsidR="00826242">
        <w:rPr>
          <w:noProof/>
          <w:lang w:eastAsia="fr-FR"/>
        </w:rPr>
        <mc:AlternateContent>
          <mc:Choice Requires="wps">
            <w:drawing>
              <wp:anchor distT="0" distB="0" distL="114300" distR="114300" simplePos="0" relativeHeight="252369920" behindDoc="0" locked="0" layoutInCell="1" allowOverlap="1" wp14:anchorId="534B9EC3" wp14:editId="76F1F433">
                <wp:simplePos x="0" y="0"/>
                <wp:positionH relativeFrom="column">
                  <wp:posOffset>76200</wp:posOffset>
                </wp:positionH>
                <wp:positionV relativeFrom="paragraph">
                  <wp:posOffset>0</wp:posOffset>
                </wp:positionV>
                <wp:extent cx="1485900" cy="1485900"/>
                <wp:effectExtent l="0" t="0" r="38100" b="38100"/>
                <wp:wrapNone/>
                <wp:docPr id="349" name="Ellipse 349"/>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C84BF5F" w14:textId="46C7C8FB" w:rsidR="00573C95" w:rsidRDefault="00573C95" w:rsidP="005F0667">
                            <w:pPr>
                              <w:jc w:val="center"/>
                            </w:pPr>
                            <w:r>
                              <w:t xml:space="preserve">Calcul </w:t>
                            </w:r>
                            <w:r w:rsidRPr="005F0667">
                              <w:rPr>
                                <w:i/>
                              </w:rPr>
                              <w:t>EXPRESS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49" o:spid="_x0000_s1226" style="position:absolute;margin-left:6pt;margin-top:0;width:117pt;height:117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" fillcolor="black [3213]" strokecolor="white [3212]" strokeweight="1pt">
                <v:textbox>
                  <w:txbxContent>
                    <w:p w14:paraId="4C84BF5F" w14:textId="46C7C8FB" w:rsidR="001501D6" w:rsidRDefault="001501D6" w:rsidP="005F0667">
                      <w:pPr>
                        <w:jc w:val="center"/>
                      </w:pPr>
                      <w:r>
                        <w:t xml:space="preserve">Calcul </w:t>
                      </w:r>
                      <w:r w:rsidRPr="005F0667">
                        <w:rPr>
                          <w:i/>
                        </w:rPr>
                        <w:t>EXPRESS</w:t>
                      </w:r>
                    </w:p>
                  </w:txbxContent>
                </v:textbox>
              </v:oval>
            </w:pict>
          </mc:Fallback>
        </mc:AlternateContent>
      </w:r>
      <w:r w:rsidR="00D42B16">
        <w:rPr>
          <w:noProof/>
          <w:lang w:eastAsia="fr-FR"/>
        </w:rPr>
        <mc:AlternateContent>
          <mc:Choice Requires="wps">
            <w:drawing>
              <wp:anchor distT="0" distB="0" distL="114300" distR="114300" simplePos="0" relativeHeight="252371968" behindDoc="0" locked="0" layoutInCell="1" allowOverlap="1" wp14:anchorId="332229E5" wp14:editId="14515802">
                <wp:simplePos x="0" y="0"/>
                <wp:positionH relativeFrom="column">
                  <wp:posOffset>7429500</wp:posOffset>
                </wp:positionH>
                <wp:positionV relativeFrom="paragraph">
                  <wp:posOffset>342900</wp:posOffset>
                </wp:positionV>
                <wp:extent cx="1371600" cy="914400"/>
                <wp:effectExtent l="0" t="0" r="0" b="0"/>
                <wp:wrapSquare wrapText="bothSides"/>
                <wp:docPr id="351" name="Zone de texte 351"/>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88EB51" w14:textId="246CB48F" w:rsidR="00573C95" w:rsidRPr="00B264BC" w:rsidRDefault="00573C95" w:rsidP="005F0667">
                            <w:pPr>
                              <w:jc w:val="center"/>
                              <w:rPr>
                                <w:sz w:val="40"/>
                                <w:szCs w:val="40"/>
                              </w:rPr>
                            </w:pPr>
                            <w:r>
                              <w:rPr>
                                <w:sz w:val="40"/>
                                <w:szCs w:val="40"/>
                              </w:rPr>
                              <w:t>74 923</w:t>
                            </w:r>
                            <w:r w:rsidRPr="00B264BC">
                              <w:rPr>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Zone de texte 351" o:spid="_x0000_s1227" type="#_x0000_t202" style="position:absolute;margin-left:585pt;margin-top:27pt;width:108pt;height:1in;z-index:25237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" filled="f" stroked="f">
                <v:textbox>
                  <w:txbxContent>
                    <w:p w14:paraId="1188EB51" w14:textId="246CB48F" w:rsidR="001501D6" w:rsidRPr="00B264BC" w:rsidRDefault="001501D6" w:rsidP="005F0667">
                      <w:pPr>
                        <w:jc w:val="center"/>
                        <w:rPr>
                          <w:sz w:val="40"/>
                          <w:szCs w:val="40"/>
                        </w:rPr>
                      </w:pPr>
                      <w:r>
                        <w:rPr>
                          <w:sz w:val="40"/>
                          <w:szCs w:val="40"/>
                        </w:rPr>
                        <w:t>74 923</w:t>
                      </w:r>
                      <w:r w:rsidRPr="00B264BC">
                        <w:rPr>
                          <w:sz w:val="40"/>
                          <w:szCs w:val="40"/>
                        </w:rPr>
                        <w:t xml:space="preserve"> $</w:t>
                      </w:r>
                    </w:p>
                  </w:txbxContent>
                </v:textbox>
                <w10:wrap type="square"/>
              </v:shape>
            </w:pict>
          </mc:Fallback>
        </mc:AlternateContent>
      </w:r>
      <w:r w:rsidR="00D42B16">
        <w:rPr>
          <w:noProof/>
          <w:lang w:eastAsia="fr-FR"/>
        </w:rPr>
        <mc:AlternateContent>
          <mc:Choice Requires="wps">
            <w:drawing>
              <wp:anchor distT="0" distB="0" distL="114300" distR="114300" simplePos="0" relativeHeight="252370944" behindDoc="0" locked="0" layoutInCell="1" allowOverlap="1" wp14:anchorId="56F1FC6C" wp14:editId="1571A156">
                <wp:simplePos x="0" y="0"/>
                <wp:positionH relativeFrom="column">
                  <wp:posOffset>6515100</wp:posOffset>
                </wp:positionH>
                <wp:positionV relativeFrom="paragraph">
                  <wp:posOffset>457200</wp:posOffset>
                </wp:positionV>
                <wp:extent cx="822960" cy="822960"/>
                <wp:effectExtent l="0" t="0" r="0" b="0"/>
                <wp:wrapThrough wrapText="bothSides">
                  <wp:wrapPolygon edited="0">
                    <wp:start x="667" y="2667"/>
                    <wp:lineTo x="667" y="18667"/>
                    <wp:lineTo x="20000" y="18667"/>
                    <wp:lineTo x="20000" y="2667"/>
                    <wp:lineTo x="667" y="2667"/>
                  </wp:wrapPolygon>
                </wp:wrapThrough>
                <wp:docPr id="350" name="Égal 350"/>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chemeClr val="bg1">
                            <a:lumMod val="65000"/>
                          </a:schemeClr>
                        </a:solidFill>
                        <a:ln w="28575"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Égal 350" o:spid="_x0000_s1026" style="position:absolute;margin-left:513pt;margin-top:36pt;width:64.8pt;height:64.8pt;z-index:25237094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" path="m109083,169530l713877,169530,713877,363090,109083,363090,109083,169530xm109083,459870l713877,459870,713877,653430,109083,653430,109083,459870xe" fillcolor="#a5a5a5 [2092]" strokecolor="black [3213]" strokeweight="2.25pt">
                <v:path arrowok="t" o:connecttype="custom" o:connectlocs="109083,169530;713877,169530;713877,363090;109083,363090;109083,169530;109083,459870;713877,459870;713877,653430;109083,653430;109083,459870" o:connectangles="0,0,0,0,0,0,0,0,0,0"/>
                <w10:wrap type="through"/>
              </v:shape>
            </w:pict>
          </mc:Fallback>
        </mc:AlternateContent>
      </w:r>
      <w:r w:rsidR="005F0667">
        <w:rPr>
          <w:noProof/>
          <w:lang w:eastAsia="fr-FR"/>
        </w:rPr>
        <mc:AlternateContent>
          <mc:Choice Requires="wps">
            <w:drawing>
              <wp:anchor distT="0" distB="0" distL="114300" distR="114300" simplePos="0" relativeHeight="252368896" behindDoc="0" locked="0" layoutInCell="1" allowOverlap="1" wp14:anchorId="05B511D0" wp14:editId="766E0CE7">
                <wp:simplePos x="0" y="0"/>
                <wp:positionH relativeFrom="column">
                  <wp:posOffset>1333500</wp:posOffset>
                </wp:positionH>
                <wp:positionV relativeFrom="paragraph">
                  <wp:posOffset>-457200</wp:posOffset>
                </wp:positionV>
                <wp:extent cx="3771900" cy="2400300"/>
                <wp:effectExtent l="76200" t="76200" r="63500" b="63500"/>
                <wp:wrapNone/>
                <wp:docPr id="348" name="Rectangle à coins arrondis 348"/>
                <wp:cNvGraphicFramePr/>
                <a:graphic xmlns:a="http://schemas.openxmlformats.org/drawingml/2006/main">
                  <a:graphicData uri="http://schemas.microsoft.com/office/word/2010/wordprocessingShape">
                    <wps:wsp>
                      <wps:cNvSpPr/>
                      <wps:spPr>
                        <a:xfrm>
                          <a:off x="0" y="0"/>
                          <a:ext cx="3771900" cy="2400300"/>
                        </a:xfrm>
                        <a:prstGeom prst="roundRect">
                          <a:avLst/>
                        </a:prstGeom>
                        <a:solidFill>
                          <a:schemeClr val="bg1">
                            <a:lumMod val="65000"/>
                          </a:schemeClr>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6BDCC7A" w14:textId="56E1F604" w:rsidR="00573C95" w:rsidRDefault="00573C95" w:rsidP="005F0667">
                            <w:pPr>
                              <w:rPr>
                                <w:color w:val="000000"/>
                              </w:rPr>
                            </w:pPr>
                            <w:r>
                              <w:rPr>
                                <w:color w:val="000000"/>
                              </w:rPr>
                              <w:tab/>
                              <w:t>Rente établie lors du décès de Pierre</w:t>
                            </w:r>
                          </w:p>
                          <w:p w14:paraId="454E86CE" w14:textId="41B2B460" w:rsidR="00573C95" w:rsidRPr="00D42B16" w:rsidRDefault="00573C95" w:rsidP="006C34CF">
                            <w:pPr>
                              <w:pStyle w:val="Paragraphedeliste"/>
                              <w:numPr>
                                <w:ilvl w:val="0"/>
                                <w:numId w:val="43"/>
                              </w:numPr>
                              <w:rPr>
                                <w:color w:val="000000"/>
                              </w:rPr>
                            </w:pPr>
                            <w:r w:rsidRPr="00D42B16">
                              <w:rPr>
                                <w:color w:val="000000"/>
                              </w:rPr>
                              <w:t>89 179 $</w:t>
                            </w:r>
                          </w:p>
                          <w:p w14:paraId="6E04CD63" w14:textId="77777777" w:rsidR="00573C95" w:rsidRPr="00D42B16" w:rsidRDefault="00573C95" w:rsidP="005F0667">
                            <w:pPr>
                              <w:ind w:left="708"/>
                              <w:rPr>
                                <w:color w:val="000000"/>
                              </w:rPr>
                            </w:pPr>
                          </w:p>
                          <w:p w14:paraId="7104014C" w14:textId="37F285D3" w:rsidR="00573C95" w:rsidRPr="00D42B16" w:rsidRDefault="00573C95" w:rsidP="005F0667">
                            <w:pPr>
                              <w:rPr>
                                <w:color w:val="000000"/>
                              </w:rPr>
                            </w:pPr>
                            <w:r w:rsidRPr="00D42B16">
                              <w:rPr>
                                <w:color w:val="000000"/>
                              </w:rPr>
                              <w:tab/>
                              <w:t>Taux de réversibilité de la rente</w:t>
                            </w:r>
                          </w:p>
                          <w:p w14:paraId="4E7CA01A" w14:textId="3044A9AB" w:rsidR="00573C95" w:rsidRPr="00D42B16" w:rsidRDefault="00573C95" w:rsidP="006C34CF">
                            <w:pPr>
                              <w:pStyle w:val="Paragraphedeliste"/>
                              <w:numPr>
                                <w:ilvl w:val="0"/>
                                <w:numId w:val="43"/>
                              </w:numPr>
                              <w:rPr>
                                <w:color w:val="000000"/>
                              </w:rPr>
                            </w:pPr>
                            <w:r w:rsidRPr="00D42B16">
                              <w:rPr>
                                <w:color w:val="000000"/>
                              </w:rPr>
                              <w:t>60  %</w:t>
                            </w:r>
                          </w:p>
                          <w:p w14:paraId="1391C1EE" w14:textId="77777777" w:rsidR="00573C95" w:rsidRPr="00D42B16" w:rsidRDefault="00573C95" w:rsidP="005F0667">
                            <w:pPr>
                              <w:rPr>
                                <w:color w:val="000000"/>
                              </w:rPr>
                            </w:pPr>
                          </w:p>
                          <w:p w14:paraId="7E577F9C" w14:textId="68E48816" w:rsidR="00573C95" w:rsidRPr="00D42B16" w:rsidRDefault="00573C95" w:rsidP="005F0667">
                            <w:pPr>
                              <w:rPr>
                                <w:color w:val="000000"/>
                              </w:rPr>
                            </w:pPr>
                            <w:r w:rsidRPr="00D42B16">
                              <w:rPr>
                                <w:color w:val="000000"/>
                              </w:rPr>
                              <w:tab/>
                              <w:t>Montant de la rente</w:t>
                            </w:r>
                          </w:p>
                          <w:p w14:paraId="7DC77BC7" w14:textId="442EC82B" w:rsidR="00573C95" w:rsidRPr="00D42B16" w:rsidRDefault="00573C95" w:rsidP="006C34CF">
                            <w:pPr>
                              <w:pStyle w:val="Paragraphedeliste"/>
                              <w:numPr>
                                <w:ilvl w:val="0"/>
                                <w:numId w:val="43"/>
                              </w:numPr>
                              <w:rPr>
                                <w:color w:val="000000"/>
                              </w:rPr>
                            </w:pPr>
                            <w:r w:rsidRPr="00D42B16">
                              <w:rPr>
                                <w:color w:val="000000"/>
                              </w:rPr>
                              <w:t>89 179 $ * 60 % = 53 507 $</w:t>
                            </w:r>
                          </w:p>
                          <w:p w14:paraId="4A5A4C3F" w14:textId="77777777" w:rsidR="00573C95" w:rsidRPr="00D42B16" w:rsidRDefault="00573C95" w:rsidP="005F0667">
                            <w:pPr>
                              <w:rPr>
                                <w:color w:val="000000"/>
                              </w:rPr>
                            </w:pPr>
                            <w:r w:rsidRPr="00D42B16">
                              <w:rPr>
                                <w:color w:val="000000"/>
                              </w:rPr>
                              <w:tab/>
                            </w:r>
                          </w:p>
                          <w:p w14:paraId="052BE442" w14:textId="31F13F5B" w:rsidR="00573C95" w:rsidRPr="00C413A7" w:rsidRDefault="00573C95" w:rsidP="005F0667">
                            <w:pPr>
                              <w:rPr>
                                <w:color w:val="000000"/>
                              </w:rPr>
                            </w:pPr>
                            <w:r>
                              <w:tab/>
                            </w:r>
                            <w:r w:rsidRPr="00C413A7">
                              <w:rPr>
                                <w:color w:val="000000"/>
                              </w:rPr>
                              <w:t xml:space="preserve">Après indexation (n = </w:t>
                            </w:r>
                            <w:r>
                              <w:rPr>
                                <w:color w:val="000000"/>
                              </w:rPr>
                              <w:t>17</w:t>
                            </w:r>
                            <w:r w:rsidRPr="00C413A7">
                              <w:rPr>
                                <w:color w:val="000000"/>
                              </w:rPr>
                              <w:t>, i = 2 %)</w:t>
                            </w:r>
                          </w:p>
                          <w:p w14:paraId="7FE06382" w14:textId="1DD33A27" w:rsidR="00573C95" w:rsidRPr="00C413A7" w:rsidRDefault="00573C95" w:rsidP="006C34CF">
                            <w:pPr>
                              <w:pStyle w:val="Paragraphedeliste"/>
                              <w:numPr>
                                <w:ilvl w:val="0"/>
                                <w:numId w:val="42"/>
                              </w:numPr>
                              <w:rPr>
                                <w:color w:val="000000"/>
                              </w:rPr>
                            </w:pPr>
                            <w:r>
                              <w:rPr>
                                <w:color w:val="000000"/>
                              </w:rPr>
                              <w:t>74 923</w:t>
                            </w:r>
                            <w:r w:rsidRPr="00C413A7">
                              <w:rPr>
                                <w:color w:val="000000"/>
                              </w:rPr>
                              <w:t xml:space="preserve"> $</w:t>
                            </w:r>
                          </w:p>
                          <w:p w14:paraId="5E566085" w14:textId="77777777" w:rsidR="00573C95" w:rsidRPr="00C413A7" w:rsidRDefault="00573C95" w:rsidP="006C34CF">
                            <w:pPr>
                              <w:pStyle w:val="Paragraphedeliste"/>
                              <w:numPr>
                                <w:ilvl w:val="0"/>
                                <w:numId w:val="42"/>
                              </w:numPr>
                              <w:rPr>
                                <w:color w:val="000000"/>
                              </w:rPr>
                            </w:pPr>
                            <w:r w:rsidRPr="00C413A7">
                              <w:rPr>
                                <w:color w:val="000000"/>
                              </w:rPr>
                              <w:t>89 179 $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48" o:spid="_x0000_s1228" style="position:absolute;margin-left:105pt;margin-top:-35.95pt;width:297pt;height:189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" fillcolor="#a5a5a5 [2092]" strokecolor="black [3213]">
                <v:textbox>
                  <w:txbxContent>
                    <w:p w14:paraId="56BDCC7A" w14:textId="56E1F604" w:rsidR="001501D6" w:rsidRDefault="001501D6" w:rsidP="005F0667">
                      <w:pPr>
                        <w:rPr>
                          <w:color w:val="000000"/>
                        </w:rPr>
                      </w:pPr>
                      <w:r>
                        <w:rPr>
                          <w:color w:val="000000"/>
                        </w:rPr>
                        <w:tab/>
                        <w:t>Rente établie lors du décès de Pierre</w:t>
                      </w:r>
                    </w:p>
                    <w:p w14:paraId="454E86CE" w14:textId="41B2B460" w:rsidR="001501D6" w:rsidRPr="00D42B16" w:rsidRDefault="001501D6" w:rsidP="006C34CF">
                      <w:pPr>
                        <w:pStyle w:val="Paragraphedeliste"/>
                        <w:numPr>
                          <w:ilvl w:val="0"/>
                          <w:numId w:val="43"/>
                        </w:numPr>
                        <w:rPr>
                          <w:color w:val="000000"/>
                        </w:rPr>
                      </w:pPr>
                      <w:r w:rsidRPr="00D42B16">
                        <w:rPr>
                          <w:color w:val="000000"/>
                        </w:rPr>
                        <w:t>89 179 $</w:t>
                      </w:r>
                    </w:p>
                    <w:p w14:paraId="6E04CD63" w14:textId="77777777" w:rsidR="001501D6" w:rsidRPr="00D42B16" w:rsidRDefault="001501D6" w:rsidP="005F0667">
                      <w:pPr>
                        <w:ind w:left="708"/>
                        <w:rPr>
                          <w:color w:val="000000"/>
                        </w:rPr>
                      </w:pPr>
                    </w:p>
                    <w:p w14:paraId="7104014C" w14:textId="37F285D3" w:rsidR="001501D6" w:rsidRPr="00D42B16" w:rsidRDefault="001501D6" w:rsidP="005F0667">
                      <w:pPr>
                        <w:rPr>
                          <w:color w:val="000000"/>
                        </w:rPr>
                      </w:pPr>
                      <w:r w:rsidRPr="00D42B16">
                        <w:rPr>
                          <w:color w:val="000000"/>
                        </w:rPr>
                        <w:tab/>
                        <w:t>Taux de réversibilité de la rente</w:t>
                      </w:r>
                    </w:p>
                    <w:p w14:paraId="4E7CA01A" w14:textId="3044A9AB" w:rsidR="001501D6" w:rsidRPr="00D42B16" w:rsidRDefault="001501D6" w:rsidP="006C34CF">
                      <w:pPr>
                        <w:pStyle w:val="Paragraphedeliste"/>
                        <w:numPr>
                          <w:ilvl w:val="0"/>
                          <w:numId w:val="43"/>
                        </w:numPr>
                        <w:rPr>
                          <w:color w:val="000000"/>
                        </w:rPr>
                      </w:pPr>
                      <w:r w:rsidRPr="00D42B16">
                        <w:rPr>
                          <w:color w:val="000000"/>
                        </w:rPr>
                        <w:t>60  %</w:t>
                      </w:r>
                    </w:p>
                    <w:p w14:paraId="1391C1EE" w14:textId="77777777" w:rsidR="001501D6" w:rsidRPr="00D42B16" w:rsidRDefault="001501D6" w:rsidP="005F0667">
                      <w:pPr>
                        <w:rPr>
                          <w:color w:val="000000"/>
                        </w:rPr>
                      </w:pPr>
                    </w:p>
                    <w:p w14:paraId="7E577F9C" w14:textId="68E48816" w:rsidR="001501D6" w:rsidRPr="00D42B16" w:rsidRDefault="001501D6" w:rsidP="005F0667">
                      <w:pPr>
                        <w:rPr>
                          <w:color w:val="000000"/>
                        </w:rPr>
                      </w:pPr>
                      <w:r w:rsidRPr="00D42B16">
                        <w:rPr>
                          <w:color w:val="000000"/>
                        </w:rPr>
                        <w:tab/>
                        <w:t>Montant de la rente</w:t>
                      </w:r>
                    </w:p>
                    <w:p w14:paraId="7DC77BC7" w14:textId="442EC82B" w:rsidR="001501D6" w:rsidRPr="00D42B16" w:rsidRDefault="001501D6" w:rsidP="006C34CF">
                      <w:pPr>
                        <w:pStyle w:val="Paragraphedeliste"/>
                        <w:numPr>
                          <w:ilvl w:val="0"/>
                          <w:numId w:val="43"/>
                        </w:numPr>
                        <w:rPr>
                          <w:color w:val="000000"/>
                        </w:rPr>
                      </w:pPr>
                      <w:r w:rsidRPr="00D42B16">
                        <w:rPr>
                          <w:color w:val="000000"/>
                        </w:rPr>
                        <w:t>89 179 $ * 60 % = 53 507 $</w:t>
                      </w:r>
                    </w:p>
                    <w:p w14:paraId="4A5A4C3F" w14:textId="77777777" w:rsidR="001501D6" w:rsidRPr="00D42B16" w:rsidRDefault="001501D6" w:rsidP="005F0667">
                      <w:pPr>
                        <w:rPr>
                          <w:color w:val="000000"/>
                        </w:rPr>
                      </w:pPr>
                      <w:r w:rsidRPr="00D42B16">
                        <w:rPr>
                          <w:color w:val="000000"/>
                        </w:rPr>
                        <w:tab/>
                      </w:r>
                    </w:p>
                    <w:p w14:paraId="052BE442" w14:textId="31F13F5B" w:rsidR="001501D6" w:rsidRPr="00C413A7" w:rsidRDefault="001501D6" w:rsidP="005F0667">
                      <w:pPr>
                        <w:rPr>
                          <w:color w:val="000000"/>
                        </w:rPr>
                      </w:pPr>
                      <w:r>
                        <w:tab/>
                      </w:r>
                      <w:r w:rsidRPr="00C413A7">
                        <w:rPr>
                          <w:color w:val="000000"/>
                        </w:rPr>
                        <w:t xml:space="preserve">Après indexation (n = </w:t>
                      </w:r>
                      <w:r>
                        <w:rPr>
                          <w:color w:val="000000"/>
                        </w:rPr>
                        <w:t>17</w:t>
                      </w:r>
                      <w:r w:rsidRPr="00C413A7">
                        <w:rPr>
                          <w:color w:val="000000"/>
                        </w:rPr>
                        <w:t>, i = 2 %)</w:t>
                      </w:r>
                    </w:p>
                    <w:p w14:paraId="7FE06382" w14:textId="1DD33A27" w:rsidR="001501D6" w:rsidRPr="00C413A7" w:rsidRDefault="001501D6" w:rsidP="006C34CF">
                      <w:pPr>
                        <w:pStyle w:val="Paragraphedeliste"/>
                        <w:numPr>
                          <w:ilvl w:val="0"/>
                          <w:numId w:val="42"/>
                        </w:numPr>
                        <w:rPr>
                          <w:color w:val="000000"/>
                        </w:rPr>
                      </w:pPr>
                      <w:r>
                        <w:rPr>
                          <w:color w:val="000000"/>
                        </w:rPr>
                        <w:t>74 923</w:t>
                      </w:r>
                      <w:r w:rsidRPr="00C413A7">
                        <w:rPr>
                          <w:color w:val="000000"/>
                        </w:rPr>
                        <w:t xml:space="preserve"> $</w:t>
                      </w:r>
                    </w:p>
                    <w:p w14:paraId="5E566085" w14:textId="77777777" w:rsidR="001501D6" w:rsidRPr="00C413A7" w:rsidRDefault="001501D6" w:rsidP="006C34CF">
                      <w:pPr>
                        <w:pStyle w:val="Paragraphedeliste"/>
                        <w:numPr>
                          <w:ilvl w:val="0"/>
                          <w:numId w:val="42"/>
                        </w:numPr>
                        <w:rPr>
                          <w:color w:val="000000"/>
                        </w:rPr>
                      </w:pPr>
                      <w:r w:rsidRPr="00C413A7">
                        <w:rPr>
                          <w:color w:val="000000"/>
                        </w:rPr>
                        <w:t>89 179 $</w:t>
                      </w:r>
                    </w:p>
                  </w:txbxContent>
                </v:textbox>
              </v:roundrect>
            </w:pict>
          </mc:Fallback>
        </mc:AlternateContent>
      </w:r>
      <w:r w:rsidR="00AA3353">
        <w:rPr>
          <w:noProof/>
          <w:lang w:eastAsia="fr-FR"/>
        </w:rPr>
        <mc:AlternateContent>
          <mc:Choice Requires="wps">
            <w:drawing>
              <wp:anchor distT="0" distB="0" distL="114300" distR="114300" simplePos="0" relativeHeight="252366848" behindDoc="0" locked="0" layoutInCell="1" allowOverlap="1" wp14:anchorId="6BE03919" wp14:editId="423020B5">
                <wp:simplePos x="0" y="0"/>
                <wp:positionH relativeFrom="column">
                  <wp:posOffset>-342900</wp:posOffset>
                </wp:positionH>
                <wp:positionV relativeFrom="paragraph">
                  <wp:posOffset>-342900</wp:posOffset>
                </wp:positionV>
                <wp:extent cx="1447800" cy="1447800"/>
                <wp:effectExtent l="76200" t="76200" r="76200" b="76200"/>
                <wp:wrapSquare wrapText="bothSides"/>
                <wp:docPr id="347" name="Parchemin vertical 347"/>
                <wp:cNvGraphicFramePr/>
                <a:graphic xmlns:a="http://schemas.openxmlformats.org/drawingml/2006/main">
                  <a:graphicData uri="http://schemas.microsoft.com/office/word/2010/wordprocessingShape">
                    <wps:wsp>
                      <wps:cNvSpPr/>
                      <wps:spPr>
                        <a:xfrm>
                          <a:off x="0" y="0"/>
                          <a:ext cx="1447800" cy="1447800"/>
                        </a:xfrm>
                        <a:prstGeom prst="verticalScroll">
                          <a:avLst/>
                        </a:prstGeom>
                        <a:solidFill>
                          <a:schemeClr val="tx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C9DB6A7" w14:textId="2585CF83" w:rsidR="00573C95" w:rsidRPr="001550B9" w:rsidRDefault="00573C95" w:rsidP="00AA3353">
                            <w:pPr>
                              <w:jc w:val="center"/>
                              <w:rPr>
                                <w:color w:val="FFFFFF" w:themeColor="background1"/>
                              </w:rPr>
                            </w:pPr>
                            <w:r w:rsidRPr="001550B9">
                              <w:rPr>
                                <w:color w:val="FFFFFF" w:themeColor="background1"/>
                              </w:rPr>
                              <w:t>La rente de Jeanne</w:t>
                            </w:r>
                            <w:r>
                              <w:rPr>
                                <w:color w:val="FFFFFF" w:themeColor="background1"/>
                              </w:rPr>
                              <w:t>,</w:t>
                            </w:r>
                            <w:r w:rsidRPr="001550B9">
                              <w:rPr>
                                <w:color w:val="FFFFFF" w:themeColor="background1"/>
                              </w:rPr>
                              <w:t xml:space="preserve"> </w:t>
                            </w:r>
                            <w:r>
                              <w:rPr>
                                <w:color w:val="FFFFFF" w:themeColor="background1"/>
                              </w:rPr>
                              <w:t xml:space="preserve">une année avant son décès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archemin vertical 347" o:spid="_x0000_s1229" type="#_x0000_t97" style="position:absolute;margin-left:-26.95pt;margin-top:-26.95pt;width:114pt;height:114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" fillcolor="black [3213]" strokecolor="black [3213]">
                <v:textbox>
                  <w:txbxContent>
                    <w:p w14:paraId="5C9DB6A7" w14:textId="2585CF83" w:rsidR="001501D6" w:rsidRPr="001550B9" w:rsidRDefault="001501D6" w:rsidP="00AA3353">
                      <w:pPr>
                        <w:jc w:val="center"/>
                        <w:rPr>
                          <w:color w:val="FFFFFF" w:themeColor="background1"/>
                        </w:rPr>
                      </w:pPr>
                      <w:r w:rsidRPr="001550B9">
                        <w:rPr>
                          <w:color w:val="FFFFFF" w:themeColor="background1"/>
                        </w:rPr>
                        <w:t>La rente de Jeanne</w:t>
                      </w:r>
                      <w:r>
                        <w:rPr>
                          <w:color w:val="FFFFFF" w:themeColor="background1"/>
                        </w:rPr>
                        <w:t>,</w:t>
                      </w:r>
                      <w:r w:rsidRPr="001550B9">
                        <w:rPr>
                          <w:color w:val="FFFFFF" w:themeColor="background1"/>
                        </w:rPr>
                        <w:t xml:space="preserve"> </w:t>
                      </w:r>
                      <w:r>
                        <w:rPr>
                          <w:color w:val="FFFFFF" w:themeColor="background1"/>
                        </w:rPr>
                        <w:t xml:space="preserve">une année avant son décès </w:t>
                      </w:r>
                    </w:p>
                  </w:txbxContent>
                </v:textbox>
                <w10:wrap type="square"/>
              </v:shape>
            </w:pict>
          </mc:Fallback>
        </mc:AlternateContent>
      </w:r>
      <w:r w:rsidR="00375A4C">
        <w:br w:type="page"/>
      </w:r>
    </w:p>
    <w:p w14:paraId="2D79DFDE" w14:textId="77777777" w:rsidR="00582D65" w:rsidRDefault="00582D65" w:rsidP="006C34CF">
      <w:pPr>
        <w:pStyle w:val="Titre3"/>
        <w:numPr>
          <w:ilvl w:val="2"/>
          <w:numId w:val="20"/>
        </w:numPr>
      </w:pPr>
      <w:bookmarkStart w:id="66" w:name="_Toc314397840"/>
      <w:bookmarkStart w:id="67" w:name="_Toc443569384"/>
      <w:r>
        <w:lastRenderedPageBreak/>
        <w:t>Le REÉR collectif</w:t>
      </w:r>
      <w:bookmarkEnd w:id="66"/>
      <w:bookmarkEnd w:id="67"/>
    </w:p>
    <w:p w14:paraId="1D49CD9F" w14:textId="77777777" w:rsidR="00582D65" w:rsidRDefault="00582D65" w:rsidP="00582D65"/>
    <w:p w14:paraId="3361FC31" w14:textId="58C0881F" w:rsidR="00582D65" w:rsidRDefault="00582D65" w:rsidP="00582D65">
      <w:pPr>
        <w:jc w:val="both"/>
      </w:pPr>
      <w:r>
        <w:t xml:space="preserve">Le REÉR collectif est un régime d'épargne mis en place par l'employeur afin de rassembler l'ensemble de ses employés participants sous un seul et même contrat d'épargne. Il s'agit donc d'un regroupement de REÉR individuels qui est réuni collectivement afin d'y réduire les frais de gestion et  de permettre un plus grand levier financier par une capitalisation plus grande. L'engagement et les obligations règlementaires de l'employeur sont limités, le régime étant géré par les nombreuses institutions financières </w:t>
      </w:r>
      <w:r w:rsidR="00FA7F15">
        <w:t>qui offrent</w:t>
      </w:r>
      <w:r>
        <w:t xml:space="preserve"> ce produit. </w:t>
      </w:r>
    </w:p>
    <w:p w14:paraId="5114BCD1" w14:textId="77777777" w:rsidR="00582D65" w:rsidRPr="00EE02D6" w:rsidRDefault="00582D65" w:rsidP="00582D65">
      <w:pPr>
        <w:jc w:val="both"/>
      </w:pPr>
    </w:p>
    <w:p w14:paraId="239C6FAD" w14:textId="77777777" w:rsidR="00582D65" w:rsidRDefault="00582D65" w:rsidP="006C34CF">
      <w:pPr>
        <w:pStyle w:val="Titre4"/>
        <w:numPr>
          <w:ilvl w:val="3"/>
          <w:numId w:val="27"/>
        </w:numPr>
      </w:pPr>
      <w:bookmarkStart w:id="68" w:name="_Toc314397841"/>
      <w:bookmarkStart w:id="69" w:name="_Toc443569385"/>
      <w:r>
        <w:t>Le fonctionnement</w:t>
      </w:r>
      <w:bookmarkEnd w:id="68"/>
      <w:bookmarkEnd w:id="69"/>
    </w:p>
    <w:p w14:paraId="4374F9D8" w14:textId="77777777" w:rsidR="00582D65" w:rsidRDefault="00582D65" w:rsidP="00582D65"/>
    <w:p w14:paraId="79A19D92" w14:textId="77777777" w:rsidR="00582D65" w:rsidRDefault="00582D65" w:rsidP="00582D65">
      <w:pPr>
        <w:jc w:val="both"/>
      </w:pPr>
      <w:r>
        <w:t>Le fonctionnement de ce régime à cotisation déterminée ressemble beaucoup à celui d'un RPACD ou d'un REÉR individuel. Pourtant, il existe quelques nuances importantes à soulever dans le traitement des cotisations qui sont versées dans un REÉR collectif:</w:t>
      </w:r>
    </w:p>
    <w:p w14:paraId="4826DC88" w14:textId="77777777" w:rsidR="00582D65" w:rsidRDefault="00582D65" w:rsidP="00582D65">
      <w:r>
        <w:rPr>
          <w:noProof/>
          <w:lang w:eastAsia="fr-FR"/>
        </w:rPr>
        <mc:AlternateContent>
          <mc:Choice Requires="wps">
            <w:drawing>
              <wp:anchor distT="0" distB="0" distL="114300" distR="114300" simplePos="0" relativeHeight="252377088" behindDoc="0" locked="0" layoutInCell="1" allowOverlap="1" wp14:anchorId="2BB41C08" wp14:editId="37A4172E">
                <wp:simplePos x="0" y="0"/>
                <wp:positionH relativeFrom="column">
                  <wp:posOffset>-571500</wp:posOffset>
                </wp:positionH>
                <wp:positionV relativeFrom="paragraph">
                  <wp:posOffset>99060</wp:posOffset>
                </wp:positionV>
                <wp:extent cx="457200" cy="457200"/>
                <wp:effectExtent l="0" t="0" r="25400" b="25400"/>
                <wp:wrapNone/>
                <wp:docPr id="236" name="Ellipse 23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FB64E7B" w14:textId="77777777" w:rsidR="00573C95" w:rsidRDefault="00573C95" w:rsidP="00582D65">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36" o:spid="_x0000_s1230" style="position:absolute;margin-left:-44.95pt;margin-top:7.8pt;width:36pt;height:36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" fillcolor="black [3213]" strokecolor="white [3212]" strokeweight="1pt">
                <v:textbox>
                  <w:txbxContent>
                    <w:p w14:paraId="2FB64E7B" w14:textId="77777777" w:rsidR="001501D6" w:rsidRDefault="001501D6" w:rsidP="00582D65">
                      <w:pPr>
                        <w:jc w:val="center"/>
                      </w:pPr>
                      <w:r>
                        <w:t>1</w:t>
                      </w:r>
                    </w:p>
                  </w:txbxContent>
                </v:textbox>
              </v:oval>
            </w:pict>
          </mc:Fallback>
        </mc:AlternateContent>
      </w:r>
    </w:p>
    <w:p w14:paraId="15E715DD" w14:textId="77777777" w:rsidR="00582D65" w:rsidRDefault="00582D65" w:rsidP="00582D65">
      <w:pPr>
        <w:jc w:val="both"/>
      </w:pPr>
      <w:r w:rsidRPr="006B4DD9">
        <w:rPr>
          <w:u w:val="single"/>
        </w:rPr>
        <w:t>Contrairement au</w:t>
      </w:r>
      <w:r>
        <w:t xml:space="preserve"> </w:t>
      </w:r>
      <w:r w:rsidRPr="006B4DD9">
        <w:rPr>
          <w:color w:val="FF6700" w:themeColor="accent3"/>
        </w:rPr>
        <w:t>RPACD</w:t>
      </w:r>
      <w:r>
        <w:t xml:space="preserve">, l'employeur ne peut pas verser de cotisations au régime. L'ensemble de celles-ci est le fruit des engagements de l'employé. Cette position demeure technique puisque l'employeur pourra convenir d'un pourcentage du salaire qu'il remettra au nom de l'employé à son REÉR collectif. Ce montant sera traité comme un revenu et une déduction </w:t>
      </w:r>
      <w:r w:rsidRPr="00115BA4">
        <w:rPr>
          <w:u w:val="single"/>
        </w:rPr>
        <w:t>alors que la cotisation d'un employeur à un RPACD</w:t>
      </w:r>
      <w:r>
        <w:t xml:space="preserve"> n'est pas considérée comme un avantage imposable pour l'employé, ce qui par le fait même, évite à l'employeur et l'employé de débourser les charges sociales (RRQ, AE, RGAP, FSSS, charges syndicales, etc.) sur ces cotisations. </w:t>
      </w:r>
    </w:p>
    <w:p w14:paraId="5D3E8B90" w14:textId="77777777" w:rsidR="00582D65" w:rsidRDefault="00582D65" w:rsidP="00582D65">
      <w:r>
        <w:rPr>
          <w:noProof/>
          <w:lang w:eastAsia="fr-FR"/>
        </w:rPr>
        <mc:AlternateContent>
          <mc:Choice Requires="wps">
            <w:drawing>
              <wp:anchor distT="0" distB="0" distL="114300" distR="114300" simplePos="0" relativeHeight="252378112" behindDoc="0" locked="0" layoutInCell="1" allowOverlap="1" wp14:anchorId="2D1A02FF" wp14:editId="59F1CED2">
                <wp:simplePos x="0" y="0"/>
                <wp:positionH relativeFrom="column">
                  <wp:posOffset>-571500</wp:posOffset>
                </wp:positionH>
                <wp:positionV relativeFrom="paragraph">
                  <wp:posOffset>120650</wp:posOffset>
                </wp:positionV>
                <wp:extent cx="457200" cy="457200"/>
                <wp:effectExtent l="0" t="0" r="25400" b="25400"/>
                <wp:wrapNone/>
                <wp:docPr id="301" name="Ellipse 301"/>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73B2B21" w14:textId="77777777" w:rsidR="00573C95" w:rsidRDefault="00573C95" w:rsidP="00582D65">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1" o:spid="_x0000_s1231" style="position:absolute;margin-left:-44.95pt;margin-top:9.5pt;width:36pt;height:36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" fillcolor="black [3213]" strokecolor="white [3212]" strokeweight="1pt">
                <v:textbox>
                  <w:txbxContent>
                    <w:p w14:paraId="573B2B21" w14:textId="77777777" w:rsidR="001501D6" w:rsidRDefault="001501D6" w:rsidP="00582D65">
                      <w:pPr>
                        <w:jc w:val="center"/>
                      </w:pPr>
                      <w:r>
                        <w:t>2</w:t>
                      </w:r>
                    </w:p>
                  </w:txbxContent>
                </v:textbox>
              </v:oval>
            </w:pict>
          </mc:Fallback>
        </mc:AlternateContent>
      </w:r>
    </w:p>
    <w:p w14:paraId="437CE9B4" w14:textId="16A478D9" w:rsidR="00582D65" w:rsidRDefault="00582D65" w:rsidP="00582D65">
      <w:pPr>
        <w:jc w:val="both"/>
      </w:pPr>
      <w:r w:rsidRPr="006B4DD9">
        <w:rPr>
          <w:u w:val="single"/>
        </w:rPr>
        <w:t>Contrairement au</w:t>
      </w:r>
      <w:r>
        <w:t xml:space="preserve"> </w:t>
      </w:r>
      <w:r w:rsidRPr="006B4DD9">
        <w:rPr>
          <w:color w:val="FF6700" w:themeColor="accent3"/>
        </w:rPr>
        <w:t>REÉR INDIVIDUEL</w:t>
      </w:r>
      <w:r>
        <w:t xml:space="preserve">, celui de type collectif permet à l'employeur de réduire, </w:t>
      </w:r>
      <w:r w:rsidRPr="008E7CB9">
        <w:rPr>
          <w:color w:val="FF6700" w:themeColor="accent3"/>
        </w:rPr>
        <w:t>AU FUR ET À MESURE</w:t>
      </w:r>
      <w:r>
        <w:t xml:space="preserve">, les déductions fiscales à la source de l'effet de la déduction fiscale dû aux cotisations versées au régime. En clair, l'impact favorable d'une cotisation à un REÉR individuel se matérialisera une seule fois, en avril, lors de la production de la déclaration fiscale alors que ce même impact se produira à chaque versement de paie dans le cas du REÉR collectif. Dans ce </w:t>
      </w:r>
      <w:r w:rsidR="00FA7F15">
        <w:t xml:space="preserve">dernier </w:t>
      </w:r>
      <w:r>
        <w:t xml:space="preserve">cas, l'avantage est double. Premièrement, il y a anticipation de la réduction d'impôt, deuxièmement, la réduction d'impôt à chaque paie est imperceptible au commun des mortels (ce qui est une bonne chose), alors que l'apparition d'un gros remboursement d'impôt au printemps, peut soulever des passions qui sont opposées à la raison du bon épargnant. N'oublions pas que ce remboursement d'impôts ne constitue qu'un report et que celui-ci devra être assumé au moment de la retraite. </w:t>
      </w:r>
      <w:r>
        <w:lastRenderedPageBreak/>
        <w:t>C</w:t>
      </w:r>
      <w:r w:rsidR="004B7C23">
        <w:t xml:space="preserve">ette </w:t>
      </w:r>
      <w:r w:rsidR="00BF3EF3">
        <w:t>tâche</w:t>
      </w:r>
      <w:r>
        <w:t xml:space="preserve"> sera difficile à accomplir si cette somme fortuite reçue par </w:t>
      </w:r>
      <w:r w:rsidRPr="00AF32A3">
        <w:rPr>
          <w:color w:val="FF0000"/>
        </w:rPr>
        <w:t>Jean Faucher</w:t>
      </w:r>
      <w:r>
        <w:rPr>
          <w:color w:val="FF0000"/>
        </w:rPr>
        <w:t xml:space="preserve"> </w:t>
      </w:r>
      <w:r>
        <w:t xml:space="preserve">s'est engloutie sur une plage dorée du Sud. </w:t>
      </w:r>
    </w:p>
    <w:p w14:paraId="6840054B" w14:textId="2E3BEE52" w:rsidR="00FA7F15" w:rsidRDefault="00FA7F15" w:rsidP="00582D65">
      <w:pPr>
        <w:jc w:val="both"/>
      </w:pPr>
      <w:r w:rsidRPr="00322911">
        <w:rPr>
          <w:noProof/>
          <w:lang w:eastAsia="fr-FR"/>
        </w:rPr>
        <w:drawing>
          <wp:anchor distT="0" distB="0" distL="114300" distR="114300" simplePos="0" relativeHeight="252379136" behindDoc="0" locked="0" layoutInCell="1" allowOverlap="1" wp14:anchorId="2C98347E" wp14:editId="4C328133">
            <wp:simplePos x="0" y="0"/>
            <wp:positionH relativeFrom="column">
              <wp:posOffset>-685800</wp:posOffset>
            </wp:positionH>
            <wp:positionV relativeFrom="paragraph">
              <wp:posOffset>-716915</wp:posOffset>
            </wp:positionV>
            <wp:extent cx="685800" cy="779145"/>
            <wp:effectExtent l="0" t="0" r="0" b="8255"/>
            <wp:wrapNone/>
            <wp:docPr id="354" name="Image 354"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A1E88CA" w14:textId="6DF553A3" w:rsidR="00582D65" w:rsidRDefault="00582D65" w:rsidP="00582D65">
      <w:pPr>
        <w:jc w:val="both"/>
      </w:pPr>
      <w:r>
        <w:t xml:space="preserve">Essentiellement, la constitution du capital et des revenus de retraite pour l'épargnant sont les mêmes que dans le cadre d'un REÉR individuel. Malgré l'appellation "collectif", ce type de régime permet à l'épargnant d'être actif et de personnaliser la gestion de son portefeuille en évaluant et choisissant parmi les nombreuses options qui lui </w:t>
      </w:r>
      <w:r w:rsidR="00041513">
        <w:t>sont</w:t>
      </w:r>
      <w:r>
        <w:t xml:space="preserve"> </w:t>
      </w:r>
      <w:r w:rsidR="0006527F">
        <w:t>offerte</w:t>
      </w:r>
      <w:r w:rsidR="00041513">
        <w:t xml:space="preserve">s </w:t>
      </w:r>
      <w:r>
        <w:t xml:space="preserve">par l'institution financière gestionnaire. </w:t>
      </w:r>
    </w:p>
    <w:p w14:paraId="70728486" w14:textId="77777777" w:rsidR="00582D65" w:rsidRDefault="00582D65" w:rsidP="00582D65">
      <w:pPr>
        <w:jc w:val="both"/>
      </w:pPr>
    </w:p>
    <w:p w14:paraId="7452EC08" w14:textId="77777777" w:rsidR="00582D65" w:rsidRDefault="00582D65" w:rsidP="006C34CF">
      <w:pPr>
        <w:pStyle w:val="Titre4"/>
        <w:numPr>
          <w:ilvl w:val="3"/>
          <w:numId w:val="28"/>
        </w:numPr>
      </w:pPr>
      <w:bookmarkStart w:id="70" w:name="_Toc314397842"/>
      <w:bookmarkStart w:id="71" w:name="_Toc443569386"/>
      <w:r>
        <w:t>Les particularités</w:t>
      </w:r>
      <w:bookmarkEnd w:id="70"/>
      <w:bookmarkEnd w:id="71"/>
    </w:p>
    <w:p w14:paraId="2C35E9B7" w14:textId="77777777" w:rsidR="00582D65" w:rsidRDefault="00582D65" w:rsidP="00582D65">
      <w:pPr>
        <w:jc w:val="both"/>
      </w:pPr>
    </w:p>
    <w:p w14:paraId="2B53E03B" w14:textId="77777777" w:rsidR="00582D65" w:rsidRDefault="00582D65" w:rsidP="00582D65">
      <w:pPr>
        <w:jc w:val="both"/>
      </w:pPr>
      <w:r>
        <w:t xml:space="preserve">La particularité la plus importante du REÉR collectif est la souplesse qui lui est conférée par l'absence de dispositions règlementaires qui lui incombe. Le REÉR collectif n'est pas soumis à la LRCR, ce qui est en fait pour les employeurs, une attrayante proposition dans la mise en place d'un régime de retraite. Le processus et les obligations sont beaucoup moins lourds que dans le cas des régimes qui sont soumis à l'application de la LRCR. </w:t>
      </w:r>
    </w:p>
    <w:p w14:paraId="4BCE0D9A" w14:textId="77777777" w:rsidR="00582D65" w:rsidRDefault="00582D65" w:rsidP="00582D65">
      <w:pPr>
        <w:jc w:val="both"/>
      </w:pPr>
    </w:p>
    <w:p w14:paraId="3AECA270" w14:textId="77777777" w:rsidR="00582D65" w:rsidRDefault="00582D65" w:rsidP="00582D65">
      <w:pPr>
        <w:jc w:val="both"/>
      </w:pPr>
      <w:r>
        <w:t>Puisque le REÉR collectif n'a pas à se conformer à la LRCR, il en découle les particularités suivantes:</w:t>
      </w:r>
    </w:p>
    <w:p w14:paraId="23208632" w14:textId="77777777" w:rsidR="00582D65" w:rsidRDefault="00582D65" w:rsidP="00582D65">
      <w:pPr>
        <w:jc w:val="both"/>
      </w:pPr>
    </w:p>
    <w:p w14:paraId="31C8E808" w14:textId="77777777" w:rsidR="00582D65" w:rsidRDefault="00582D65" w:rsidP="006C34CF">
      <w:pPr>
        <w:pStyle w:val="Paragraphedeliste"/>
        <w:numPr>
          <w:ilvl w:val="0"/>
          <w:numId w:val="44"/>
        </w:numPr>
        <w:jc w:val="both"/>
      </w:pPr>
      <w:r>
        <w:t xml:space="preserve">Toutes les cotisations et les rendements sont acquis dès le départ et </w:t>
      </w:r>
      <w:r w:rsidRPr="005C6ACD">
        <w:rPr>
          <w:u w:val="single"/>
        </w:rPr>
        <w:t>ne sont pas immobilisés</w:t>
      </w:r>
      <w:r>
        <w:t>, en cas de retrait avant l'âge de 55 ans</w:t>
      </w:r>
    </w:p>
    <w:p w14:paraId="037A59C5" w14:textId="77777777" w:rsidR="00582D65" w:rsidRDefault="00582D65" w:rsidP="00582D65">
      <w:pPr>
        <w:ind w:left="348"/>
        <w:jc w:val="both"/>
      </w:pPr>
    </w:p>
    <w:p w14:paraId="07D28C66" w14:textId="77777777" w:rsidR="00582D65" w:rsidRDefault="00582D65" w:rsidP="006C34CF">
      <w:pPr>
        <w:pStyle w:val="Paragraphedeliste"/>
        <w:numPr>
          <w:ilvl w:val="0"/>
          <w:numId w:val="44"/>
        </w:numPr>
        <w:jc w:val="both"/>
      </w:pPr>
      <w:r>
        <w:t>Possibilité d'utiliser des montants pour effectuer un RAP ou un REEP</w:t>
      </w:r>
    </w:p>
    <w:p w14:paraId="3360D084" w14:textId="77777777" w:rsidR="00582D65" w:rsidRDefault="00582D65" w:rsidP="00582D65">
      <w:pPr>
        <w:ind w:left="348"/>
        <w:jc w:val="both"/>
      </w:pPr>
    </w:p>
    <w:p w14:paraId="242C18EB" w14:textId="638FA3A8" w:rsidR="00582D65" w:rsidRDefault="00582D65" w:rsidP="006C34CF">
      <w:pPr>
        <w:pStyle w:val="Paragraphedeliste"/>
        <w:numPr>
          <w:ilvl w:val="0"/>
          <w:numId w:val="44"/>
        </w:numPr>
        <w:jc w:val="both"/>
      </w:pPr>
      <w:r>
        <w:t>Les clauses obligatoires, en cas de décès, quant à la réversibilité à 60 % des rentes au conjoint et la garantie 10 ans de la pleine rente ne s'</w:t>
      </w:r>
      <w:r w:rsidR="00041513">
        <w:t>appliquent</w:t>
      </w:r>
      <w:r>
        <w:t xml:space="preserve"> pas au REÉR collectif</w:t>
      </w:r>
    </w:p>
    <w:p w14:paraId="4AC4B55B" w14:textId="77777777" w:rsidR="00582D65" w:rsidRDefault="00582D65" w:rsidP="00582D65">
      <w:pPr>
        <w:ind w:left="348"/>
        <w:jc w:val="both"/>
      </w:pPr>
    </w:p>
    <w:p w14:paraId="776E308F" w14:textId="77777777" w:rsidR="00582D65" w:rsidRDefault="00582D65" w:rsidP="006C34CF">
      <w:pPr>
        <w:pStyle w:val="Paragraphedeliste"/>
        <w:numPr>
          <w:ilvl w:val="0"/>
          <w:numId w:val="44"/>
        </w:numPr>
        <w:jc w:val="both"/>
      </w:pPr>
      <w:r>
        <w:t>Les protections à l'égard du conjoint de fait sont inexistantes</w:t>
      </w:r>
    </w:p>
    <w:p w14:paraId="5949C93F" w14:textId="77777777" w:rsidR="00582D65" w:rsidRDefault="00582D65" w:rsidP="00582D65">
      <w:pPr>
        <w:ind w:left="348"/>
        <w:jc w:val="both"/>
      </w:pPr>
    </w:p>
    <w:p w14:paraId="7EBA53EB" w14:textId="75B7AF5D" w:rsidR="00582D65" w:rsidRDefault="00582D65" w:rsidP="00582D65">
      <w:pPr>
        <w:jc w:val="both"/>
      </w:pPr>
      <w:r>
        <w:t xml:space="preserve">En résumé, le REÉR collectif est un régime simple à mettre en place pour l'employeur et souple pour l'employé dans son usage des fonds, mais sans protection pour le conjoint de </w:t>
      </w:r>
      <w:r w:rsidR="00041513">
        <w:t>fait</w:t>
      </w:r>
      <w:r>
        <w:t>. La protection du patrimoine familial est quant à elle présente pour les conjoints mariés ou unis civilement.</w:t>
      </w:r>
    </w:p>
    <w:p w14:paraId="4D325D00" w14:textId="77777777" w:rsidR="00582D65" w:rsidRDefault="00582D65" w:rsidP="00582D65"/>
    <w:p w14:paraId="2026A1F1" w14:textId="77777777" w:rsidR="00582D65" w:rsidRPr="004B5E90" w:rsidRDefault="00582D65" w:rsidP="00582D65"/>
    <w:p w14:paraId="051F6555" w14:textId="77777777" w:rsidR="00582D65" w:rsidRDefault="00582D65" w:rsidP="006C34CF">
      <w:pPr>
        <w:pStyle w:val="Titre3"/>
        <w:numPr>
          <w:ilvl w:val="2"/>
          <w:numId w:val="20"/>
        </w:numPr>
      </w:pPr>
      <w:bookmarkStart w:id="72" w:name="_Toc314397843"/>
      <w:bookmarkStart w:id="73" w:name="_Toc443569387"/>
      <w:r>
        <w:t>Le régime volontaire d’épargne retraite (RVÉR)</w:t>
      </w:r>
      <w:bookmarkEnd w:id="72"/>
      <w:bookmarkEnd w:id="73"/>
    </w:p>
    <w:p w14:paraId="207F2BFF" w14:textId="77777777" w:rsidR="00582D65" w:rsidRDefault="00582D65" w:rsidP="00582D65"/>
    <w:p w14:paraId="49C79F5E" w14:textId="3942C225" w:rsidR="00582D65" w:rsidRDefault="0041379C" w:rsidP="00582D65">
      <w:pPr>
        <w:jc w:val="both"/>
      </w:pPr>
      <w:r>
        <w:t>Par</w:t>
      </w:r>
      <w:r w:rsidR="00582D65">
        <w:t xml:space="preserve"> la profonde réflexion de son ouvrage "Nudge"</w:t>
      </w:r>
      <w:r w:rsidR="00582D65">
        <w:rPr>
          <w:rStyle w:val="Marquenotebasdepage"/>
        </w:rPr>
        <w:footnoteReference w:customMarkFollows="1" w:id="45"/>
        <w:t>42</w:t>
      </w:r>
      <w:r w:rsidR="00582D65">
        <w:t xml:space="preserve"> (La méthode douce pour inspirer la bonne décision), l'économiste comportemental Richard Thaler expose tout un pan de pensée qui milite en faveur d'une intervention douce afin d'aider les gens à s'aider, tout en leur permettant de persévérer dans l'entêtement des mauvaises décisions</w:t>
      </w:r>
      <w:r w:rsidR="004B7C23">
        <w:t xml:space="preserve"> s'ils le souhaitent</w:t>
      </w:r>
      <w:r w:rsidR="00582D65">
        <w:t xml:space="preserve">. Il y présente, notamment, plusieurs cas où l'architecture d'un choix (le choix par défaut) a permis à des gens de prendre des décisions qui se sont avérées avantageuses (pour eux ou la collectivité). Il y cite une recherche effectuée par Brigitte Madrian et Dennis Shea (2001), où il a été démontré que dans le cas d'un régime de retraite où l'adhésion était facultative et exigeait de la part de l'employé de signifier activement son inscription (en remplissant notamment des formulaires), la participation au régime correspondait à 20% de l'ensemble des employés admissibles. Plus tard, en modifiant l'architecture du choix d'adhésion au régime, c'est à dire en inscrivant par défaut l'employé (tout en lui permettant de s'y soustraire, en remplissant notamment des formulaires), le taux de participation au régime a bondi à 90 %. </w:t>
      </w:r>
    </w:p>
    <w:p w14:paraId="0A39A8CD" w14:textId="77777777" w:rsidR="00582D65" w:rsidRDefault="00582D65" w:rsidP="00582D65">
      <w:pPr>
        <w:jc w:val="both"/>
      </w:pPr>
    </w:p>
    <w:p w14:paraId="610D772B" w14:textId="77777777" w:rsidR="00582D65" w:rsidRDefault="00582D65" w:rsidP="00582D65">
      <w:pPr>
        <w:jc w:val="both"/>
      </w:pPr>
      <w:r>
        <w:t>Essentiellement, l'objectif du régime volontaire d'épargne retraite, qui a été instauré le 1er juillet 2014 par le gouvernement québécois, est de s'inscrire dans cette même logique.</w:t>
      </w:r>
    </w:p>
    <w:p w14:paraId="5CA19D63" w14:textId="77777777" w:rsidR="00582D65" w:rsidRDefault="00582D65" w:rsidP="00582D65">
      <w:pPr>
        <w:jc w:val="both"/>
      </w:pPr>
    </w:p>
    <w:p w14:paraId="3F1FC6F7" w14:textId="77777777" w:rsidR="00582D65" w:rsidRPr="00580371" w:rsidRDefault="00582D65" w:rsidP="006C34CF">
      <w:pPr>
        <w:pStyle w:val="Titre4"/>
        <w:numPr>
          <w:ilvl w:val="3"/>
          <w:numId w:val="29"/>
        </w:numPr>
      </w:pPr>
      <w:bookmarkStart w:id="74" w:name="_Toc314397844"/>
      <w:bookmarkStart w:id="75" w:name="_Toc443569388"/>
      <w:r>
        <w:t>Le fonctionnement</w:t>
      </w:r>
      <w:bookmarkEnd w:id="74"/>
      <w:bookmarkEnd w:id="75"/>
    </w:p>
    <w:p w14:paraId="4120D011" w14:textId="77777777" w:rsidR="00582D65" w:rsidRDefault="00582D65" w:rsidP="00582D65">
      <w:pPr>
        <w:jc w:val="both"/>
      </w:pPr>
    </w:p>
    <w:p w14:paraId="22DAE9F4" w14:textId="2B91B0BC" w:rsidR="00582D65" w:rsidRDefault="00582D65" w:rsidP="00582D65">
      <w:pPr>
        <w:jc w:val="both"/>
      </w:pPr>
      <w:r>
        <w:t>Le RVÉR est un régime dont l'adhésion est facultative, mais l'offre (mise en place) est obligatoire pour les employeurs qui ne proposent pas d'autres régimes de retraite à leurs employés. Le fonctionnement au niveau fiscal du RVÉR est tout à fait semblable à celui du RPACD; l'ensemble des cotisations est limité au même plafond, les cotisation</w:t>
      </w:r>
      <w:r w:rsidR="0041379C">
        <w:t>s</w:t>
      </w:r>
      <w:r>
        <w:t xml:space="preserve"> de l'employeur (s'il y a lieu) ne sont pas considérées comme un avantage imposable (donc pas de charges sociales à payer sur celles-ci) et les cotisations au RVÉR réduisent d'autant l'espace cotisable au REÉR.</w:t>
      </w:r>
    </w:p>
    <w:p w14:paraId="434DFDF2" w14:textId="77777777" w:rsidR="00582D65" w:rsidRDefault="00582D65" w:rsidP="00582D65">
      <w:pPr>
        <w:jc w:val="both"/>
      </w:pPr>
    </w:p>
    <w:p w14:paraId="2214119F" w14:textId="77777777" w:rsidR="00582D65" w:rsidRDefault="00582D65" w:rsidP="00582D65">
      <w:pPr>
        <w:jc w:val="both"/>
      </w:pPr>
    </w:p>
    <w:p w14:paraId="76F4B908" w14:textId="77777777" w:rsidR="00582D65" w:rsidRDefault="00582D65" w:rsidP="00582D65">
      <w:pPr>
        <w:jc w:val="both"/>
      </w:pPr>
    </w:p>
    <w:p w14:paraId="256B518F" w14:textId="77777777" w:rsidR="00582D65" w:rsidRDefault="00582D65" w:rsidP="00582D65">
      <w:pPr>
        <w:jc w:val="both"/>
      </w:pPr>
    </w:p>
    <w:p w14:paraId="212492EC" w14:textId="77777777" w:rsidR="00582D65" w:rsidRDefault="00582D65" w:rsidP="00582D65">
      <w:pPr>
        <w:jc w:val="both"/>
      </w:pPr>
      <w:r>
        <w:t>Chronologiquement, les étapes du déploiement d'un RVÉR sont les suivantes:</w:t>
      </w:r>
    </w:p>
    <w:p w14:paraId="13253583" w14:textId="77777777" w:rsidR="00582D65" w:rsidRDefault="00582D65" w:rsidP="00582D65">
      <w:pPr>
        <w:jc w:val="both"/>
      </w:pPr>
    </w:p>
    <w:p w14:paraId="1582AAE6" w14:textId="77777777" w:rsidR="00582D65" w:rsidRDefault="00582D65" w:rsidP="00582D65">
      <w:pPr>
        <w:jc w:val="both"/>
      </w:pPr>
      <w:r>
        <w:rPr>
          <w:noProof/>
          <w:lang w:eastAsia="fr-FR"/>
        </w:rPr>
        <mc:AlternateContent>
          <mc:Choice Requires="wps">
            <w:drawing>
              <wp:anchor distT="0" distB="0" distL="114300" distR="114300" simplePos="0" relativeHeight="252387328" behindDoc="0" locked="0" layoutInCell="1" allowOverlap="1" wp14:anchorId="57EDABBE" wp14:editId="3D31A25B">
                <wp:simplePos x="0" y="0"/>
                <wp:positionH relativeFrom="column">
                  <wp:posOffset>8115300</wp:posOffset>
                </wp:positionH>
                <wp:positionV relativeFrom="paragraph">
                  <wp:posOffset>83185</wp:posOffset>
                </wp:positionV>
                <wp:extent cx="457200" cy="457200"/>
                <wp:effectExtent l="0" t="0" r="25400" b="25400"/>
                <wp:wrapNone/>
                <wp:docPr id="362" name="Ellipse 36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bg1"/>
                        </a:solidFill>
                        <a:ln>
                          <a:solidFill>
                            <a:srgbClr val="000000"/>
                          </a:solidFill>
                        </a:ln>
                        <a:extLst>
                          <a:ext uri="{FAA26D3D-D897-4be2-8F04-BA451C77F1D7}">
                            <ma14:placeholder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92973F5" w14:textId="77777777" w:rsidR="00573C95" w:rsidRPr="001B1FFB" w:rsidRDefault="00573C95" w:rsidP="00582D65">
                            <w:pPr>
                              <w:jc w:val="center"/>
                              <w:rPr>
                                <w:color w:val="000000" w:themeColor="text1"/>
                              </w:rPr>
                            </w:pPr>
                            <w:r w:rsidRPr="001B1FFB">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62" o:spid="_x0000_s1232" style="position:absolute;left:0;text-align:left;margin-left:639pt;margin-top:6.55pt;width:36pt;height:36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" fillcolor="white [3212]" strokeweight="1.75pt">
                <v:textbox>
                  <w:txbxContent>
                    <w:p w14:paraId="592973F5" w14:textId="77777777" w:rsidR="001501D6" w:rsidRPr="001B1FFB" w:rsidRDefault="001501D6" w:rsidP="00582D65">
                      <w:pPr>
                        <w:jc w:val="center"/>
                        <w:rPr>
                          <w:color w:val="000000" w:themeColor="text1"/>
                        </w:rPr>
                      </w:pPr>
                      <w:r w:rsidRPr="001B1FFB">
                        <w:rPr>
                          <w:color w:val="000000" w:themeColor="text1"/>
                        </w:rPr>
                        <w:t>4</w:t>
                      </w:r>
                    </w:p>
                  </w:txbxContent>
                </v:textbox>
              </v:oval>
            </w:pict>
          </mc:Fallback>
        </mc:AlternateContent>
      </w:r>
      <w:r>
        <w:rPr>
          <w:noProof/>
          <w:lang w:eastAsia="fr-FR"/>
        </w:rPr>
        <mc:AlternateContent>
          <mc:Choice Requires="wps">
            <w:drawing>
              <wp:anchor distT="0" distB="0" distL="114300" distR="114300" simplePos="0" relativeHeight="252386304" behindDoc="0" locked="0" layoutInCell="1" allowOverlap="1" wp14:anchorId="32FD2886" wp14:editId="1DBB8031">
                <wp:simplePos x="0" y="0"/>
                <wp:positionH relativeFrom="column">
                  <wp:posOffset>5715000</wp:posOffset>
                </wp:positionH>
                <wp:positionV relativeFrom="paragraph">
                  <wp:posOffset>83185</wp:posOffset>
                </wp:positionV>
                <wp:extent cx="457200" cy="457200"/>
                <wp:effectExtent l="0" t="0" r="25400" b="25400"/>
                <wp:wrapNone/>
                <wp:docPr id="361" name="Ellipse 361"/>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FFFFFF"/>
                        </a:solidFill>
                        <a:ln>
                          <a:solidFill>
                            <a:srgbClr val="000000"/>
                          </a:solidFill>
                        </a:ln>
                        <a:extLst>
                          <a:ext uri="{FAA26D3D-D897-4be2-8F04-BA451C77F1D7}">
                            <ma14:placeholder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42C3EB54" w14:textId="77777777" w:rsidR="00573C95" w:rsidRPr="00F45874" w:rsidRDefault="00573C95" w:rsidP="00582D65">
                            <w:pPr>
                              <w:jc w:val="center"/>
                              <w:rPr>
                                <w:color w:val="000000"/>
                              </w:rPr>
                            </w:pPr>
                            <w:r w:rsidRPr="00F45874">
                              <w:rPr>
                                <w:color w:val="0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61" o:spid="_x0000_s1233" style="position:absolute;left:0;text-align:left;margin-left:450pt;margin-top:6.55pt;width:36pt;height:36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" strokeweight="1.75pt">
                <v:textbox>
                  <w:txbxContent>
                    <w:p w14:paraId="42C3EB54" w14:textId="77777777" w:rsidR="001501D6" w:rsidRPr="00F45874" w:rsidRDefault="001501D6" w:rsidP="00582D65">
                      <w:pPr>
                        <w:jc w:val="center"/>
                        <w:rPr>
                          <w:color w:val="000000"/>
                        </w:rPr>
                      </w:pPr>
                      <w:r w:rsidRPr="00F45874">
                        <w:rPr>
                          <w:color w:val="000000"/>
                        </w:rPr>
                        <w:t>3</w:t>
                      </w:r>
                    </w:p>
                  </w:txbxContent>
                </v:textbox>
              </v:oval>
            </w:pict>
          </mc:Fallback>
        </mc:AlternateContent>
      </w:r>
      <w:r>
        <w:rPr>
          <w:noProof/>
          <w:lang w:eastAsia="fr-FR"/>
        </w:rPr>
        <mc:AlternateContent>
          <mc:Choice Requires="wps">
            <w:drawing>
              <wp:anchor distT="0" distB="0" distL="114300" distR="114300" simplePos="0" relativeHeight="252385280" behindDoc="0" locked="0" layoutInCell="1" allowOverlap="1" wp14:anchorId="20CE9CF5" wp14:editId="2D4A7D73">
                <wp:simplePos x="0" y="0"/>
                <wp:positionH relativeFrom="column">
                  <wp:posOffset>3429000</wp:posOffset>
                </wp:positionH>
                <wp:positionV relativeFrom="paragraph">
                  <wp:posOffset>83185</wp:posOffset>
                </wp:positionV>
                <wp:extent cx="457200" cy="457200"/>
                <wp:effectExtent l="0" t="0" r="25400" b="25400"/>
                <wp:wrapNone/>
                <wp:docPr id="360" name="Ellipse 36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FFFFFF"/>
                        </a:solidFill>
                        <a:ln>
                          <a:solidFill>
                            <a:srgbClr val="000000"/>
                          </a:solidFill>
                        </a:ln>
                        <a:extLst>
                          <a:ext uri="{FAA26D3D-D897-4be2-8F04-BA451C77F1D7}">
                            <ma14:placeholder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1CC6C4B4" w14:textId="77777777" w:rsidR="00573C95" w:rsidRPr="00F45874" w:rsidRDefault="00573C95" w:rsidP="00582D65">
                            <w:pPr>
                              <w:jc w:val="center"/>
                              <w:rPr>
                                <w:color w:val="000000"/>
                              </w:rPr>
                            </w:pPr>
                            <w:r w:rsidRPr="00F45874">
                              <w:rPr>
                                <w:color w:val="000000"/>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60" o:spid="_x0000_s1234" style="position:absolute;left:0;text-align:left;margin-left:270pt;margin-top:6.55pt;width:36pt;height:36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" strokeweight="1.75pt">
                <v:textbox>
                  <w:txbxContent>
                    <w:p w14:paraId="1CC6C4B4" w14:textId="77777777" w:rsidR="001501D6" w:rsidRPr="00F45874" w:rsidRDefault="001501D6" w:rsidP="00582D65">
                      <w:pPr>
                        <w:jc w:val="center"/>
                        <w:rPr>
                          <w:color w:val="000000"/>
                        </w:rPr>
                      </w:pPr>
                      <w:r w:rsidRPr="00F45874">
                        <w:rPr>
                          <w:color w:val="000000"/>
                        </w:rPr>
                        <w:t>21</w:t>
                      </w:r>
                    </w:p>
                  </w:txbxContent>
                </v:textbox>
              </v:oval>
            </w:pict>
          </mc:Fallback>
        </mc:AlternateContent>
      </w:r>
      <w:r>
        <w:rPr>
          <w:noProof/>
          <w:lang w:eastAsia="fr-FR"/>
        </w:rPr>
        <mc:AlternateContent>
          <mc:Choice Requires="wps">
            <w:drawing>
              <wp:anchor distT="0" distB="0" distL="114300" distR="114300" simplePos="0" relativeHeight="252384256" behindDoc="0" locked="0" layoutInCell="1" allowOverlap="1" wp14:anchorId="01F0F5D3" wp14:editId="66A399A7">
                <wp:simplePos x="0" y="0"/>
                <wp:positionH relativeFrom="column">
                  <wp:posOffset>1143000</wp:posOffset>
                </wp:positionH>
                <wp:positionV relativeFrom="paragraph">
                  <wp:posOffset>83185</wp:posOffset>
                </wp:positionV>
                <wp:extent cx="457200" cy="457200"/>
                <wp:effectExtent l="0" t="0" r="25400" b="25400"/>
                <wp:wrapNone/>
                <wp:docPr id="359" name="Ellipse 359"/>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bg1"/>
                        </a:solidFill>
                        <a:ln>
                          <a:solidFill>
                            <a:schemeClr val="tx1"/>
                          </a:solidFill>
                        </a:ln>
                        <a:extLst>
                          <a:ext uri="{FAA26D3D-D897-4be2-8F04-BA451C77F1D7}">
                            <ma14:placeholder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F33F2B2" w14:textId="77777777" w:rsidR="00573C95" w:rsidRPr="00F45874" w:rsidRDefault="00573C95" w:rsidP="00582D65">
                            <w:pPr>
                              <w:jc w:val="center"/>
                              <w:rPr>
                                <w:color w:val="000000"/>
                              </w:rPr>
                            </w:pPr>
                            <w:r w:rsidRPr="00F45874">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59" o:spid="_x0000_s1235" style="position:absolute;left:0;text-align:left;margin-left:90pt;margin-top:6.55pt;width:36pt;height:36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" fillcolor="white [3212]" strokecolor="black [3213]" strokeweight="1.75pt">
                <v:textbox>
                  <w:txbxContent>
                    <w:p w14:paraId="6F33F2B2" w14:textId="77777777" w:rsidR="001501D6" w:rsidRPr="00F45874" w:rsidRDefault="001501D6" w:rsidP="00582D65">
                      <w:pPr>
                        <w:jc w:val="center"/>
                        <w:rPr>
                          <w:color w:val="000000"/>
                        </w:rPr>
                      </w:pPr>
                      <w:r w:rsidRPr="00F45874">
                        <w:rPr>
                          <w:color w:val="000000"/>
                        </w:rPr>
                        <w:t>1</w:t>
                      </w:r>
                    </w:p>
                  </w:txbxContent>
                </v:textbox>
              </v:oval>
            </w:pict>
          </mc:Fallback>
        </mc:AlternateContent>
      </w:r>
      <w:r>
        <w:rPr>
          <w:noProof/>
          <w:lang w:eastAsia="fr-FR"/>
        </w:rPr>
        <mc:AlternateContent>
          <mc:Choice Requires="wps">
            <w:drawing>
              <wp:anchor distT="0" distB="0" distL="114300" distR="114300" simplePos="0" relativeHeight="252380160" behindDoc="0" locked="0" layoutInCell="1" allowOverlap="1" wp14:anchorId="43D37163" wp14:editId="21B1C37A">
                <wp:simplePos x="0" y="0"/>
                <wp:positionH relativeFrom="column">
                  <wp:posOffset>-457200</wp:posOffset>
                </wp:positionH>
                <wp:positionV relativeFrom="paragraph">
                  <wp:posOffset>83185</wp:posOffset>
                </wp:positionV>
                <wp:extent cx="2057400" cy="2077720"/>
                <wp:effectExtent l="0" t="0" r="25400" b="30480"/>
                <wp:wrapNone/>
                <wp:docPr id="355" name="Rectangle à coins arrondis 355"/>
                <wp:cNvGraphicFramePr/>
                <a:graphic xmlns:a="http://schemas.openxmlformats.org/drawingml/2006/main">
                  <a:graphicData uri="http://schemas.microsoft.com/office/word/2010/wordprocessingShape">
                    <wps:wsp>
                      <wps:cNvSpPr/>
                      <wps:spPr>
                        <a:xfrm>
                          <a:off x="0" y="0"/>
                          <a:ext cx="2057400" cy="2077720"/>
                        </a:xfrm>
                        <a:prstGeom prst="roundRect">
                          <a:avLst/>
                        </a:prstGeom>
                        <a:ln/>
                        <a:extLst>
                          <a:ext uri="{FAA26D3D-D897-4be2-8F04-BA451C77F1D7}">
                            <ma14:placeholderFlag xmlns:ma14="http://schemas.microsoft.com/office/mac/drawingml/2011/main"/>
                          </a:ext>
                        </a:extLst>
                      </wps:spPr>
                      <wps:style>
                        <a:lnRef idx="2">
                          <a:schemeClr val="accent4">
                            <a:shade val="50000"/>
                          </a:schemeClr>
                        </a:lnRef>
                        <a:fillRef idx="1">
                          <a:schemeClr val="accent4"/>
                        </a:fillRef>
                        <a:effectRef idx="0">
                          <a:schemeClr val="accent4"/>
                        </a:effectRef>
                        <a:fontRef idx="minor">
                          <a:schemeClr val="lt1"/>
                        </a:fontRef>
                      </wps:style>
                      <wps:txbx>
                        <w:txbxContent>
                          <w:p w14:paraId="1375D5B1" w14:textId="77777777" w:rsidR="00573C95" w:rsidRDefault="00573C95" w:rsidP="00582D65"/>
                          <w:p w14:paraId="2A93A425" w14:textId="77777777" w:rsidR="00573C95" w:rsidRDefault="00573C95" w:rsidP="00582D65"/>
                          <w:p w14:paraId="7D0CE5CC" w14:textId="22CF7E0B" w:rsidR="00573C95" w:rsidRPr="001B1FFB" w:rsidRDefault="00573C95" w:rsidP="00582D65">
                            <w:pPr>
                              <w:rPr>
                                <w:color w:val="000000" w:themeColor="text1"/>
                              </w:rPr>
                            </w:pPr>
                            <w:r>
                              <w:rPr>
                                <w:color w:val="000000" w:themeColor="text1"/>
                              </w:rPr>
                              <w:t>S'il n'offre pas de régime de retraite, l'employeur doit mettre en place un RVÉR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55" o:spid="_x0000_s1236" style="position:absolute;left:0;text-align:left;margin-left:-35.95pt;margin-top:6.55pt;width:162pt;height:163.6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" fillcolor="#909465 [3207]" strokecolor="#474932 [1607]" strokeweight="1.25pt">
                <v:textbox>
                  <w:txbxContent>
                    <w:p w14:paraId="1375D5B1" w14:textId="77777777" w:rsidR="001501D6" w:rsidRDefault="001501D6" w:rsidP="00582D65"/>
                    <w:p w14:paraId="2A93A425" w14:textId="77777777" w:rsidR="001501D6" w:rsidRDefault="001501D6" w:rsidP="00582D65"/>
                    <w:p w14:paraId="7D0CE5CC" w14:textId="22CF7E0B" w:rsidR="001501D6" w:rsidRPr="001B1FFB" w:rsidRDefault="001501D6" w:rsidP="00582D65">
                      <w:pPr>
                        <w:rPr>
                          <w:color w:val="000000" w:themeColor="text1"/>
                        </w:rPr>
                      </w:pPr>
                      <w:r>
                        <w:rPr>
                          <w:color w:val="000000" w:themeColor="text1"/>
                        </w:rPr>
                        <w:t>S'il n'offre pas de régime de retraite, l'employeur doit mettre en place un RVÉR</w:t>
                      </w:r>
                    </w:p>
                  </w:txbxContent>
                </v:textbox>
              </v:roundrect>
            </w:pict>
          </mc:Fallback>
        </mc:AlternateContent>
      </w:r>
      <w:r>
        <w:rPr>
          <w:noProof/>
          <w:lang w:eastAsia="fr-FR"/>
        </w:rPr>
        <mc:AlternateContent>
          <mc:Choice Requires="wps">
            <w:drawing>
              <wp:anchor distT="0" distB="0" distL="114300" distR="114300" simplePos="0" relativeHeight="252381184" behindDoc="0" locked="0" layoutInCell="1" allowOverlap="1" wp14:anchorId="3BA4D100" wp14:editId="3CF2B0E3">
                <wp:simplePos x="0" y="0"/>
                <wp:positionH relativeFrom="column">
                  <wp:posOffset>1828800</wp:posOffset>
                </wp:positionH>
                <wp:positionV relativeFrom="paragraph">
                  <wp:posOffset>83185</wp:posOffset>
                </wp:positionV>
                <wp:extent cx="2057400" cy="2057400"/>
                <wp:effectExtent l="0" t="0" r="25400" b="25400"/>
                <wp:wrapNone/>
                <wp:docPr id="356" name="Rectangle à coins arrondis 356"/>
                <wp:cNvGraphicFramePr/>
                <a:graphic xmlns:a="http://schemas.openxmlformats.org/drawingml/2006/main">
                  <a:graphicData uri="http://schemas.microsoft.com/office/word/2010/wordprocessingShape">
                    <wps:wsp>
                      <wps:cNvSpPr/>
                      <wps:spPr>
                        <a:xfrm>
                          <a:off x="0" y="0"/>
                          <a:ext cx="2057400" cy="2057400"/>
                        </a:xfrm>
                        <a:prstGeom prst="roundRect">
                          <a:avLst/>
                        </a:prstGeom>
                        <a:ln/>
                        <a:extLst>
                          <a:ext uri="{FAA26D3D-D897-4be2-8F04-BA451C77F1D7}">
                            <ma14:placeholderFlag xmlns:ma14="http://schemas.microsoft.com/office/mac/drawingml/2011/main"/>
                          </a:ext>
                        </a:extLst>
                      </wps:spPr>
                      <wps:style>
                        <a:lnRef idx="2">
                          <a:schemeClr val="accent3">
                            <a:shade val="50000"/>
                          </a:schemeClr>
                        </a:lnRef>
                        <a:fillRef idx="1">
                          <a:schemeClr val="accent3"/>
                        </a:fillRef>
                        <a:effectRef idx="0">
                          <a:schemeClr val="accent3"/>
                        </a:effectRef>
                        <a:fontRef idx="minor">
                          <a:schemeClr val="lt1"/>
                        </a:fontRef>
                      </wps:style>
                      <wps:txbx>
                        <w:txbxContent>
                          <w:p w14:paraId="7E42E2FB" w14:textId="77777777" w:rsidR="00573C95" w:rsidRDefault="00573C95" w:rsidP="00582D65"/>
                          <w:p w14:paraId="670AA51A" w14:textId="77777777" w:rsidR="00573C95" w:rsidRDefault="00573C95" w:rsidP="00582D65"/>
                          <w:p w14:paraId="1E6CC245" w14:textId="77777777" w:rsidR="00573C95" w:rsidRPr="001B1FFB" w:rsidRDefault="00573C95" w:rsidP="00582D65">
                            <w:pPr>
                              <w:rPr>
                                <w:color w:val="000000" w:themeColor="text1"/>
                              </w:rPr>
                            </w:pPr>
                            <w:r>
                              <w:rPr>
                                <w:color w:val="000000" w:themeColor="text1"/>
                              </w:rPr>
                              <w:t>Par défaut, un taux de cotisation salariale de 2 % est fixé pour l'employé. Celui-ci a 60 jours pour se désister du régime.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56" o:spid="_x0000_s1237" style="position:absolute;left:0;text-align:left;margin-left:2in;margin-top:6.55pt;width:162pt;height:162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" fillcolor="#ff6700 [3206]" strokecolor="#7f3300 [1606]" strokeweight="1.25pt">
                <v:textbox>
                  <w:txbxContent>
                    <w:p w14:paraId="7E42E2FB" w14:textId="77777777" w:rsidR="001501D6" w:rsidRDefault="001501D6" w:rsidP="00582D65"/>
                    <w:p w14:paraId="670AA51A" w14:textId="77777777" w:rsidR="001501D6" w:rsidRDefault="001501D6" w:rsidP="00582D65"/>
                    <w:p w14:paraId="1E6CC245" w14:textId="77777777" w:rsidR="001501D6" w:rsidRPr="001B1FFB" w:rsidRDefault="001501D6" w:rsidP="00582D65">
                      <w:pPr>
                        <w:rPr>
                          <w:color w:val="000000" w:themeColor="text1"/>
                        </w:rPr>
                      </w:pPr>
                      <w:r>
                        <w:rPr>
                          <w:color w:val="000000" w:themeColor="text1"/>
                        </w:rPr>
                        <w:t>Par défaut, un taux de cotisation salariale de 2 % est fixé pour l'employé. Celui-ci a 60 jours pour se désister du régime.</w:t>
                      </w:r>
                    </w:p>
                  </w:txbxContent>
                </v:textbox>
              </v:roundrect>
            </w:pict>
          </mc:Fallback>
        </mc:AlternateContent>
      </w:r>
      <w:r>
        <w:rPr>
          <w:noProof/>
          <w:lang w:eastAsia="fr-FR"/>
        </w:rPr>
        <mc:AlternateContent>
          <mc:Choice Requires="wps">
            <w:drawing>
              <wp:anchor distT="0" distB="0" distL="114300" distR="114300" simplePos="0" relativeHeight="252382208" behindDoc="0" locked="0" layoutInCell="1" allowOverlap="1" wp14:anchorId="4578BDAB" wp14:editId="441134B8">
                <wp:simplePos x="0" y="0"/>
                <wp:positionH relativeFrom="column">
                  <wp:posOffset>4114800</wp:posOffset>
                </wp:positionH>
                <wp:positionV relativeFrom="paragraph">
                  <wp:posOffset>83185</wp:posOffset>
                </wp:positionV>
                <wp:extent cx="2057400" cy="2057400"/>
                <wp:effectExtent l="0" t="0" r="25400" b="25400"/>
                <wp:wrapNone/>
                <wp:docPr id="357" name="Rectangle à coins arrondis 357"/>
                <wp:cNvGraphicFramePr/>
                <a:graphic xmlns:a="http://schemas.openxmlformats.org/drawingml/2006/main">
                  <a:graphicData uri="http://schemas.microsoft.com/office/word/2010/wordprocessingShape">
                    <wps:wsp>
                      <wps:cNvSpPr/>
                      <wps:spPr>
                        <a:xfrm>
                          <a:off x="0" y="0"/>
                          <a:ext cx="2057400" cy="2057400"/>
                        </a:xfrm>
                        <a:prstGeom prst="roundRect">
                          <a:avLst/>
                        </a:prstGeom>
                        <a:ln/>
                        <a:extLst>
                          <a:ext uri="{FAA26D3D-D897-4be2-8F04-BA451C77F1D7}">
                            <ma14:placeholderFlag xmlns:ma14="http://schemas.microsoft.com/office/mac/drawingml/2011/main"/>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CCB20F3" w14:textId="77777777" w:rsidR="00573C95" w:rsidRDefault="00573C95" w:rsidP="00582D65"/>
                          <w:p w14:paraId="27BBE5B1" w14:textId="77777777" w:rsidR="00573C95" w:rsidRDefault="00573C95" w:rsidP="00582D65"/>
                          <w:p w14:paraId="6E6781DA" w14:textId="77777777" w:rsidR="00573C95" w:rsidRPr="001B1FFB" w:rsidRDefault="00573C95" w:rsidP="00582D65">
                            <w:pPr>
                              <w:rPr>
                                <w:color w:val="000000" w:themeColor="text1"/>
                              </w:rPr>
                            </w:pPr>
                            <w:r w:rsidRPr="001B1FFB">
                              <w:rPr>
                                <w:color w:val="000000" w:themeColor="text1"/>
                              </w:rPr>
                              <w:t>L</w:t>
                            </w:r>
                            <w:r>
                              <w:rPr>
                                <w:color w:val="000000" w:themeColor="text1"/>
                              </w:rPr>
                              <w:t>'employeur peut cotiser au RVÉR de son employé. Cet engagement est facultatif.</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57" o:spid="_x0000_s1238" style="position:absolute;left:0;text-align:left;margin-left:324pt;margin-top:6.55pt;width:162pt;height:162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" fillcolor="#94c600 [3204]" strokecolor="#496200 [1604]" strokeweight="1.25pt">
                <v:textbox>
                  <w:txbxContent>
                    <w:p w14:paraId="4CCB20F3" w14:textId="77777777" w:rsidR="001501D6" w:rsidRDefault="001501D6" w:rsidP="00582D65"/>
                    <w:p w14:paraId="27BBE5B1" w14:textId="77777777" w:rsidR="001501D6" w:rsidRDefault="001501D6" w:rsidP="00582D65"/>
                    <w:p w14:paraId="6E6781DA" w14:textId="77777777" w:rsidR="001501D6" w:rsidRPr="001B1FFB" w:rsidRDefault="001501D6" w:rsidP="00582D65">
                      <w:pPr>
                        <w:rPr>
                          <w:color w:val="000000" w:themeColor="text1"/>
                        </w:rPr>
                      </w:pPr>
                      <w:r w:rsidRPr="001B1FFB">
                        <w:rPr>
                          <w:color w:val="000000" w:themeColor="text1"/>
                        </w:rPr>
                        <w:t>L</w:t>
                      </w:r>
                      <w:r>
                        <w:rPr>
                          <w:color w:val="000000" w:themeColor="text1"/>
                        </w:rPr>
                        <w:t>'employeur peut cotiser au RVÉR de son employé. Cet engagement est facultatif.</w:t>
                      </w:r>
                    </w:p>
                  </w:txbxContent>
                </v:textbox>
              </v:roundrect>
            </w:pict>
          </mc:Fallback>
        </mc:AlternateContent>
      </w:r>
      <w:r>
        <w:rPr>
          <w:noProof/>
          <w:lang w:eastAsia="fr-FR"/>
        </w:rPr>
        <mc:AlternateContent>
          <mc:Choice Requires="wps">
            <w:drawing>
              <wp:anchor distT="0" distB="0" distL="114300" distR="114300" simplePos="0" relativeHeight="252383232" behindDoc="0" locked="0" layoutInCell="1" allowOverlap="1" wp14:anchorId="63204A63" wp14:editId="68D2A61B">
                <wp:simplePos x="0" y="0"/>
                <wp:positionH relativeFrom="column">
                  <wp:posOffset>6515100</wp:posOffset>
                </wp:positionH>
                <wp:positionV relativeFrom="paragraph">
                  <wp:posOffset>83185</wp:posOffset>
                </wp:positionV>
                <wp:extent cx="2057400" cy="2057400"/>
                <wp:effectExtent l="0" t="0" r="25400" b="25400"/>
                <wp:wrapNone/>
                <wp:docPr id="358" name="Rectangle à coins arrondis 358"/>
                <wp:cNvGraphicFramePr/>
                <a:graphic xmlns:a="http://schemas.openxmlformats.org/drawingml/2006/main">
                  <a:graphicData uri="http://schemas.microsoft.com/office/word/2010/wordprocessingShape">
                    <wps:wsp>
                      <wps:cNvSpPr/>
                      <wps:spPr>
                        <a:xfrm>
                          <a:off x="0" y="0"/>
                          <a:ext cx="2057400" cy="2057400"/>
                        </a:xfrm>
                        <a:prstGeom prst="roundRect">
                          <a:avLst/>
                        </a:prstGeom>
                        <a:ln/>
                        <a:extLst>
                          <a:ext uri="{FAA26D3D-D897-4be2-8F04-BA451C77F1D7}">
                            <ma14:placeholderFlag xmlns:ma14="http://schemas.microsoft.com/office/mac/drawingml/2011/main"/>
                          </a:ext>
                        </a:extLst>
                      </wps:spPr>
                      <wps:style>
                        <a:lnRef idx="2">
                          <a:schemeClr val="dk1">
                            <a:shade val="50000"/>
                          </a:schemeClr>
                        </a:lnRef>
                        <a:fillRef idx="1">
                          <a:schemeClr val="dk1"/>
                        </a:fillRef>
                        <a:effectRef idx="0">
                          <a:schemeClr val="dk1"/>
                        </a:effectRef>
                        <a:fontRef idx="minor">
                          <a:schemeClr val="lt1"/>
                        </a:fontRef>
                      </wps:style>
                      <wps:txbx>
                        <w:txbxContent>
                          <w:p w14:paraId="190CB499" w14:textId="77777777" w:rsidR="00573C95" w:rsidRDefault="00573C95" w:rsidP="00582D65"/>
                          <w:p w14:paraId="177907AF" w14:textId="77777777" w:rsidR="00573C95" w:rsidRDefault="00573C95" w:rsidP="00582D65"/>
                          <w:p w14:paraId="19287D99" w14:textId="77777777" w:rsidR="00573C95" w:rsidRDefault="00573C95" w:rsidP="00582D65">
                            <w:r>
                              <w:t>L'employé peut à tout moment se retirer ou augmenter ses cotisations au régime.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58" o:spid="_x0000_s1239" style="position:absolute;left:0;text-align:left;margin-left:513pt;margin-top:6.55pt;width:162pt;height:162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" fillcolor="black [3200]" strokecolor="black [1600]" strokeweight="1.25pt">
                <v:textbox>
                  <w:txbxContent>
                    <w:p w14:paraId="190CB499" w14:textId="77777777" w:rsidR="001501D6" w:rsidRDefault="001501D6" w:rsidP="00582D65"/>
                    <w:p w14:paraId="177907AF" w14:textId="77777777" w:rsidR="001501D6" w:rsidRDefault="001501D6" w:rsidP="00582D65"/>
                    <w:p w14:paraId="19287D99" w14:textId="77777777" w:rsidR="001501D6" w:rsidRDefault="001501D6" w:rsidP="00582D65">
                      <w:r>
                        <w:t>L'employé peut à tout moment se retirer ou augmenter ses cotisations au régime.</w:t>
                      </w:r>
                    </w:p>
                  </w:txbxContent>
                </v:textbox>
              </v:roundrect>
            </w:pict>
          </mc:Fallback>
        </mc:AlternateContent>
      </w:r>
    </w:p>
    <w:p w14:paraId="50E2F7E5" w14:textId="77777777" w:rsidR="00582D65" w:rsidRDefault="00582D65" w:rsidP="00582D65">
      <w:pPr>
        <w:jc w:val="both"/>
      </w:pPr>
    </w:p>
    <w:p w14:paraId="2E4CEAD4" w14:textId="77777777" w:rsidR="00582D65" w:rsidRDefault="00582D65" w:rsidP="00582D65">
      <w:pPr>
        <w:jc w:val="both"/>
      </w:pPr>
    </w:p>
    <w:p w14:paraId="57D98A4D" w14:textId="77777777" w:rsidR="00582D65" w:rsidRDefault="00582D65" w:rsidP="00582D65">
      <w:pPr>
        <w:jc w:val="both"/>
      </w:pPr>
    </w:p>
    <w:p w14:paraId="4F9B8A28" w14:textId="77777777" w:rsidR="00582D65" w:rsidRDefault="00582D65" w:rsidP="00582D65">
      <w:pPr>
        <w:jc w:val="both"/>
      </w:pPr>
    </w:p>
    <w:p w14:paraId="1D1006BC" w14:textId="77777777" w:rsidR="00582D65" w:rsidRDefault="00582D65" w:rsidP="00582D65">
      <w:pPr>
        <w:jc w:val="both"/>
      </w:pPr>
    </w:p>
    <w:p w14:paraId="0ADF2AD9" w14:textId="77777777" w:rsidR="00582D65" w:rsidRDefault="00582D65" w:rsidP="00582D65">
      <w:pPr>
        <w:jc w:val="both"/>
      </w:pPr>
    </w:p>
    <w:p w14:paraId="2E7B846D" w14:textId="77777777" w:rsidR="00582D65" w:rsidRDefault="00582D65" w:rsidP="00582D65">
      <w:pPr>
        <w:jc w:val="both"/>
      </w:pPr>
    </w:p>
    <w:p w14:paraId="539408E9" w14:textId="77777777" w:rsidR="00582D65" w:rsidRDefault="00582D65" w:rsidP="00582D65">
      <w:pPr>
        <w:jc w:val="both"/>
      </w:pPr>
    </w:p>
    <w:p w14:paraId="7126BF23" w14:textId="77777777" w:rsidR="00582D65" w:rsidRDefault="00582D65" w:rsidP="00582D65">
      <w:pPr>
        <w:jc w:val="both"/>
      </w:pPr>
    </w:p>
    <w:p w14:paraId="767FA283" w14:textId="77777777" w:rsidR="00582D65" w:rsidRDefault="00582D65" w:rsidP="00582D65">
      <w:pPr>
        <w:jc w:val="both"/>
      </w:pPr>
    </w:p>
    <w:p w14:paraId="198A8516" w14:textId="77777777" w:rsidR="00582D65" w:rsidRDefault="00582D65" w:rsidP="00582D65">
      <w:pPr>
        <w:jc w:val="both"/>
      </w:pPr>
    </w:p>
    <w:p w14:paraId="72205C74" w14:textId="77777777" w:rsidR="00582D65" w:rsidRDefault="00582D65" w:rsidP="00582D65">
      <w:pPr>
        <w:jc w:val="both"/>
      </w:pPr>
    </w:p>
    <w:p w14:paraId="5E87C892" w14:textId="77777777" w:rsidR="00582D65" w:rsidRDefault="00582D65" w:rsidP="00582D65">
      <w:pPr>
        <w:jc w:val="both"/>
      </w:pPr>
    </w:p>
    <w:p w14:paraId="1A2681C0" w14:textId="77777777" w:rsidR="00582D65" w:rsidRDefault="00582D65" w:rsidP="00582D65">
      <w:pPr>
        <w:jc w:val="both"/>
      </w:pPr>
    </w:p>
    <w:p w14:paraId="524C6E21" w14:textId="77777777" w:rsidR="00582D65" w:rsidRPr="002639A1" w:rsidRDefault="00582D65" w:rsidP="006C34CF">
      <w:pPr>
        <w:pStyle w:val="Titre4"/>
        <w:numPr>
          <w:ilvl w:val="3"/>
          <w:numId w:val="30"/>
        </w:numPr>
      </w:pPr>
      <w:bookmarkStart w:id="76" w:name="_Toc314397845"/>
      <w:bookmarkStart w:id="77" w:name="_Toc443569389"/>
      <w:r>
        <w:t>Les particularités</w:t>
      </w:r>
      <w:bookmarkEnd w:id="76"/>
      <w:bookmarkEnd w:id="77"/>
    </w:p>
    <w:p w14:paraId="5929B77C" w14:textId="77777777" w:rsidR="00582D65" w:rsidRDefault="00582D65" w:rsidP="00582D65">
      <w:pPr>
        <w:jc w:val="both"/>
      </w:pPr>
    </w:p>
    <w:p w14:paraId="30710589" w14:textId="1C15C19C" w:rsidR="00582D65" w:rsidRDefault="00582D65" w:rsidP="00582D65">
      <w:pPr>
        <w:jc w:val="both"/>
      </w:pPr>
      <w:r>
        <w:t xml:space="preserve">Le RVÉR n'est pas soumis à la </w:t>
      </w:r>
      <w:r w:rsidR="00041513">
        <w:t>LRCR,</w:t>
      </w:r>
      <w:r>
        <w:t xml:space="preserve"> mais à la Loi sur les régimes volontaires d'épargne-retraite. Ce qui en fait une forme d'hybride entre le REÉR et le RPACD.</w:t>
      </w:r>
    </w:p>
    <w:p w14:paraId="7AEE2B6A" w14:textId="77777777" w:rsidR="00582D65" w:rsidRDefault="00582D65" w:rsidP="00582D65">
      <w:pPr>
        <w:jc w:val="both"/>
      </w:pPr>
    </w:p>
    <w:p w14:paraId="1E0468C3" w14:textId="77777777" w:rsidR="00582D65" w:rsidRDefault="00582D65" w:rsidP="00582D65">
      <w:pPr>
        <w:jc w:val="both"/>
      </w:pPr>
      <w:r>
        <w:t>Il en découle les particularités suivantes:</w:t>
      </w:r>
    </w:p>
    <w:p w14:paraId="2A33C002" w14:textId="77777777" w:rsidR="00582D65" w:rsidRDefault="00582D65" w:rsidP="00582D65">
      <w:pPr>
        <w:jc w:val="both"/>
      </w:pPr>
    </w:p>
    <w:p w14:paraId="1E59C4ED" w14:textId="77777777" w:rsidR="00582D65" w:rsidRDefault="00582D65" w:rsidP="006C34CF">
      <w:pPr>
        <w:pStyle w:val="Paragraphedeliste"/>
        <w:numPr>
          <w:ilvl w:val="0"/>
          <w:numId w:val="44"/>
        </w:numPr>
        <w:jc w:val="both"/>
      </w:pPr>
      <w:r>
        <w:t>Les cotisations de l</w:t>
      </w:r>
      <w:r w:rsidRPr="001C62C5">
        <w:rPr>
          <w:u w:val="single"/>
        </w:rPr>
        <w:t>'employé</w:t>
      </w:r>
      <w:r>
        <w:t xml:space="preserve"> et les rendements sont acquis dès le départ et </w:t>
      </w:r>
      <w:r w:rsidRPr="005C6ACD">
        <w:rPr>
          <w:u w:val="single"/>
        </w:rPr>
        <w:t>ne sont pas immobilisés</w:t>
      </w:r>
      <w:r>
        <w:t xml:space="preserve">, en cas de retrait avant l'âge de 55 ans </w:t>
      </w:r>
    </w:p>
    <w:p w14:paraId="74E47469" w14:textId="77777777" w:rsidR="00582D65" w:rsidRDefault="00582D65" w:rsidP="00582D65">
      <w:pPr>
        <w:ind w:left="708"/>
        <w:jc w:val="both"/>
      </w:pPr>
    </w:p>
    <w:p w14:paraId="7B52E8CF" w14:textId="6D66D418" w:rsidR="00582D65" w:rsidRDefault="00582D65" w:rsidP="006C34CF">
      <w:pPr>
        <w:pStyle w:val="Paragraphedeliste"/>
        <w:numPr>
          <w:ilvl w:val="0"/>
          <w:numId w:val="44"/>
        </w:numPr>
        <w:jc w:val="both"/>
      </w:pPr>
      <w:r>
        <w:t>Les cotisations de l</w:t>
      </w:r>
      <w:r w:rsidRPr="001C62C5">
        <w:rPr>
          <w:u w:val="single"/>
        </w:rPr>
        <w:t>'employ</w:t>
      </w:r>
      <w:r>
        <w:rPr>
          <w:u w:val="single"/>
        </w:rPr>
        <w:t>eur</w:t>
      </w:r>
      <w:r>
        <w:t xml:space="preserve"> et les rendements sont acquis dès le </w:t>
      </w:r>
      <w:r w:rsidR="00041513">
        <w:t>départ,</w:t>
      </w:r>
      <w:r>
        <w:t xml:space="preserve"> mais </w:t>
      </w:r>
      <w:r w:rsidRPr="005C6ACD">
        <w:rPr>
          <w:u w:val="single"/>
        </w:rPr>
        <w:t>sont immobilisés</w:t>
      </w:r>
      <w:r>
        <w:t>, en cas de retrait avant l'âge de 55 ans</w:t>
      </w:r>
    </w:p>
    <w:p w14:paraId="36BA5964" w14:textId="77777777" w:rsidR="00582D65" w:rsidRDefault="00582D65" w:rsidP="00582D65">
      <w:pPr>
        <w:ind w:left="708"/>
        <w:jc w:val="both"/>
      </w:pPr>
    </w:p>
    <w:p w14:paraId="26042579" w14:textId="77777777" w:rsidR="00582D65" w:rsidRDefault="00582D65" w:rsidP="00582D65">
      <w:pPr>
        <w:ind w:left="348"/>
        <w:jc w:val="both"/>
      </w:pPr>
    </w:p>
    <w:p w14:paraId="081E6C20" w14:textId="77777777" w:rsidR="00582D65" w:rsidRDefault="00582D65" w:rsidP="006C34CF">
      <w:pPr>
        <w:pStyle w:val="Paragraphedeliste"/>
        <w:numPr>
          <w:ilvl w:val="0"/>
          <w:numId w:val="44"/>
        </w:numPr>
        <w:jc w:val="both"/>
      </w:pPr>
      <w:r>
        <w:t>En cas de décès, les protections à l'égard du conjoint de fait s'appliquent (les règles du patrimoine familial s'appliquent aux conjoints mariés ou unis civilement)</w:t>
      </w:r>
    </w:p>
    <w:p w14:paraId="1226C0F3" w14:textId="77777777" w:rsidR="00582D65" w:rsidRDefault="00582D65" w:rsidP="00582D65">
      <w:pPr>
        <w:ind w:left="348"/>
        <w:jc w:val="both"/>
      </w:pPr>
    </w:p>
    <w:p w14:paraId="73C4DC07" w14:textId="076975B3" w:rsidR="00582D65" w:rsidRDefault="00582D65" w:rsidP="00582D65">
      <w:pPr>
        <w:jc w:val="both"/>
      </w:pPr>
      <w:r>
        <w:t>En résumé, le RVÉR  est un régime simple à mettre en place, comportant un minimum de frais de gestion et permettant à l'employé de se bâtir un patrimoine de retraite à l'abri de l'impôt</w:t>
      </w:r>
      <w:r w:rsidR="00041513">
        <w:t xml:space="preserve">. </w:t>
      </w:r>
      <w:r w:rsidR="0041379C">
        <w:t>C’est un régime à deux têtes</w:t>
      </w:r>
      <w:r w:rsidR="00C54AF2">
        <w:t>,</w:t>
      </w:r>
      <w:r w:rsidR="0041379C">
        <w:t xml:space="preserve"> dans le sens où les cotisations de l‘employeur génèrent un processus immobilisé, avant </w:t>
      </w:r>
      <w:r w:rsidR="00C54AF2">
        <w:t xml:space="preserve">l’âge de </w:t>
      </w:r>
      <w:r w:rsidR="0041379C">
        <w:t xml:space="preserve">55 ans et contrôlé (encaissement des revenus de retraite à même </w:t>
      </w:r>
      <w:r w:rsidR="00C54AF2">
        <w:t>un FRV ou l’achat d’une rente viagère)</w:t>
      </w:r>
      <w:r w:rsidR="006702F4">
        <w:t>,</w:t>
      </w:r>
      <w:r w:rsidR="00C54AF2">
        <w:t xml:space="preserve"> par la suite. Alors que la portion du </w:t>
      </w:r>
      <w:r w:rsidR="0041379C">
        <w:t xml:space="preserve">régime </w:t>
      </w:r>
      <w:r w:rsidR="00C54AF2">
        <w:t>qui est constituée à même les cotisations de l’employé f</w:t>
      </w:r>
      <w:r w:rsidR="006702F4">
        <w:t>ait</w:t>
      </w:r>
      <w:r w:rsidR="00C54AF2">
        <w:t xml:space="preserve"> l’objet d’aucune </w:t>
      </w:r>
      <w:r w:rsidR="00041513">
        <w:t>restriction</w:t>
      </w:r>
      <w:r w:rsidR="00C54AF2">
        <w:t xml:space="preserve"> quant à leurs retraits</w:t>
      </w:r>
      <w:r w:rsidR="006702F4">
        <w:t xml:space="preserve"> éventuels</w:t>
      </w:r>
      <w:r w:rsidR="00C54AF2">
        <w:t>.</w:t>
      </w:r>
      <w:r w:rsidR="0041379C">
        <w:t xml:space="preserve"> </w:t>
      </w:r>
    </w:p>
    <w:p w14:paraId="6C7F0393" w14:textId="77777777" w:rsidR="00582D65" w:rsidRDefault="00582D65" w:rsidP="00582D65">
      <w:pPr>
        <w:jc w:val="both"/>
      </w:pPr>
    </w:p>
    <w:p w14:paraId="5FB910AB" w14:textId="77777777" w:rsidR="00582D65" w:rsidRDefault="00582D65" w:rsidP="00582D65">
      <w:pPr>
        <w:jc w:val="both"/>
      </w:pPr>
    </w:p>
    <w:p w14:paraId="59C14A1C" w14:textId="77777777" w:rsidR="00582D65" w:rsidRDefault="00582D65" w:rsidP="00582D65">
      <w:pPr>
        <w:jc w:val="both"/>
      </w:pPr>
      <w:r>
        <w:rPr>
          <w:noProof/>
          <w:lang w:eastAsia="fr-FR"/>
        </w:rPr>
        <w:drawing>
          <wp:anchor distT="0" distB="0" distL="114300" distR="114300" simplePos="0" relativeHeight="252388352" behindDoc="0" locked="0" layoutInCell="1" allowOverlap="1" wp14:anchorId="743B5A75" wp14:editId="240A35FD">
            <wp:simplePos x="0" y="0"/>
            <wp:positionH relativeFrom="column">
              <wp:posOffset>4114800</wp:posOffset>
            </wp:positionH>
            <wp:positionV relativeFrom="paragraph">
              <wp:posOffset>33020</wp:posOffset>
            </wp:positionV>
            <wp:extent cx="579120" cy="571500"/>
            <wp:effectExtent l="0" t="0" r="5080" b="12700"/>
            <wp:wrapNone/>
            <wp:docPr id="363" name="Image 363">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744F3C7" w14:textId="77777777" w:rsidR="00582D65" w:rsidRDefault="00573C95" w:rsidP="00582D65">
      <w:pPr>
        <w:jc w:val="both"/>
      </w:pPr>
      <w:hyperlink r:id="rId104" w:history="1">
        <w:r w:rsidR="00582D65">
          <w:rPr>
            <w:rStyle w:val="Lienhypertexte"/>
            <w:color w:val="AF0013"/>
          </w:rPr>
          <w:t>Capsule 7-5 Le Régime volontaire d'épargne retraite</w:t>
        </w:r>
      </w:hyperlink>
    </w:p>
    <w:p w14:paraId="5B4910CD" w14:textId="77777777" w:rsidR="00582D65" w:rsidRDefault="00582D65" w:rsidP="00582D65">
      <w:pPr>
        <w:jc w:val="both"/>
      </w:pPr>
    </w:p>
    <w:p w14:paraId="1D167DD0" w14:textId="77777777" w:rsidR="00582D65" w:rsidRDefault="00582D65" w:rsidP="00582D65">
      <w:pPr>
        <w:jc w:val="both"/>
      </w:pPr>
    </w:p>
    <w:p w14:paraId="02E55947" w14:textId="77777777" w:rsidR="00582D65" w:rsidRDefault="00582D65" w:rsidP="00582D65">
      <w:pPr>
        <w:jc w:val="both"/>
      </w:pPr>
    </w:p>
    <w:p w14:paraId="339E9B90" w14:textId="77777777" w:rsidR="00582D65" w:rsidRDefault="00582D65" w:rsidP="00582D65">
      <w:pPr>
        <w:jc w:val="both"/>
      </w:pPr>
    </w:p>
    <w:p w14:paraId="66C2A194" w14:textId="77777777" w:rsidR="00582D65" w:rsidRDefault="00582D65" w:rsidP="00582D65">
      <w:pPr>
        <w:jc w:val="both"/>
      </w:pPr>
    </w:p>
    <w:p w14:paraId="53BD996F" w14:textId="77777777" w:rsidR="00582D65" w:rsidRDefault="00582D65" w:rsidP="00582D65">
      <w:pPr>
        <w:jc w:val="both"/>
      </w:pPr>
    </w:p>
    <w:p w14:paraId="4B574AE8" w14:textId="77777777" w:rsidR="00582D65" w:rsidRDefault="00582D65" w:rsidP="00582D65"/>
    <w:p w14:paraId="76A9B38E" w14:textId="77777777" w:rsidR="00582D65" w:rsidRDefault="00582D65">
      <w:r>
        <w:br w:type="page"/>
      </w:r>
    </w:p>
    <w:p w14:paraId="4A638EB4" w14:textId="77777777" w:rsidR="00582D65" w:rsidRDefault="00582D65" w:rsidP="006C34CF">
      <w:pPr>
        <w:pStyle w:val="Titre3"/>
        <w:numPr>
          <w:ilvl w:val="2"/>
          <w:numId w:val="20"/>
        </w:numPr>
      </w:pPr>
      <w:bookmarkStart w:id="78" w:name="_Toc314397846"/>
      <w:bookmarkStart w:id="79" w:name="_Toc443569390"/>
      <w:r>
        <w:lastRenderedPageBreak/>
        <w:t>Synthèse des régimes étudiés</w:t>
      </w:r>
      <w:bookmarkEnd w:id="78"/>
      <w:bookmarkEnd w:id="79"/>
    </w:p>
    <w:tbl>
      <w:tblPr>
        <w:tblStyle w:val="Grille"/>
        <w:tblpPr w:leftFromText="141" w:rightFromText="141" w:vertAnchor="page" w:horzAnchor="page" w:tblpX="446" w:tblpY="1958"/>
        <w:tblW w:w="15406" w:type="dxa"/>
        <w:tblLook w:val="04A0" w:firstRow="1" w:lastRow="0" w:firstColumn="1" w:lastColumn="0" w:noHBand="0" w:noVBand="1"/>
      </w:tblPr>
      <w:tblGrid>
        <w:gridCol w:w="7054"/>
        <w:gridCol w:w="1985"/>
        <w:gridCol w:w="1985"/>
        <w:gridCol w:w="2125"/>
        <w:gridCol w:w="2257"/>
      </w:tblGrid>
      <w:tr w:rsidR="00582D65" w14:paraId="2AA86F57" w14:textId="77777777" w:rsidTr="001F0723">
        <w:tc>
          <w:tcPr>
            <w:tcW w:w="7054" w:type="dxa"/>
            <w:tcBorders>
              <w:top w:val="nil"/>
              <w:left w:val="nil"/>
              <w:bottom w:val="nil"/>
              <w:right w:val="nil"/>
            </w:tcBorders>
            <w:shd w:val="clear" w:color="auto" w:fill="768A2A"/>
          </w:tcPr>
          <w:p w14:paraId="68665A3E" w14:textId="77777777" w:rsidR="00582D65" w:rsidRPr="0005030F" w:rsidRDefault="00582D65" w:rsidP="001F0723">
            <w:pPr>
              <w:jc w:val="center"/>
              <w:rPr>
                <w:color w:val="FFFFFF" w:themeColor="background1"/>
              </w:rPr>
            </w:pPr>
            <w:r w:rsidRPr="0005030F">
              <w:rPr>
                <w:color w:val="FFFFFF" w:themeColor="background1"/>
              </w:rPr>
              <w:t>Attributs</w:t>
            </w:r>
          </w:p>
        </w:tc>
        <w:tc>
          <w:tcPr>
            <w:tcW w:w="1985" w:type="dxa"/>
            <w:tcBorders>
              <w:top w:val="nil"/>
              <w:left w:val="nil"/>
              <w:bottom w:val="nil"/>
              <w:right w:val="nil"/>
            </w:tcBorders>
            <w:shd w:val="clear" w:color="auto" w:fill="768A2A"/>
          </w:tcPr>
          <w:p w14:paraId="39A0E7F9" w14:textId="77777777" w:rsidR="00582D65" w:rsidRPr="0005030F" w:rsidRDefault="00582D65" w:rsidP="001F0723">
            <w:pPr>
              <w:jc w:val="center"/>
              <w:rPr>
                <w:color w:val="FFFFFF" w:themeColor="background1"/>
              </w:rPr>
            </w:pPr>
            <w:r w:rsidRPr="0005030F">
              <w:rPr>
                <w:color w:val="FFFFFF" w:themeColor="background1"/>
              </w:rPr>
              <w:t>RPCD</w:t>
            </w:r>
          </w:p>
        </w:tc>
        <w:tc>
          <w:tcPr>
            <w:tcW w:w="1985" w:type="dxa"/>
            <w:tcBorders>
              <w:top w:val="nil"/>
              <w:left w:val="nil"/>
              <w:bottom w:val="nil"/>
              <w:right w:val="nil"/>
            </w:tcBorders>
            <w:shd w:val="clear" w:color="auto" w:fill="768A2A"/>
          </w:tcPr>
          <w:p w14:paraId="6CF00110" w14:textId="77777777" w:rsidR="00582D65" w:rsidRPr="0005030F" w:rsidRDefault="00582D65" w:rsidP="001F0723">
            <w:pPr>
              <w:jc w:val="center"/>
              <w:rPr>
                <w:color w:val="FFFFFF" w:themeColor="background1"/>
              </w:rPr>
            </w:pPr>
            <w:r w:rsidRPr="0005030F">
              <w:rPr>
                <w:color w:val="FFFFFF" w:themeColor="background1"/>
              </w:rPr>
              <w:t>RPAPD</w:t>
            </w:r>
          </w:p>
        </w:tc>
        <w:tc>
          <w:tcPr>
            <w:tcW w:w="2125" w:type="dxa"/>
            <w:tcBorders>
              <w:top w:val="nil"/>
              <w:left w:val="nil"/>
              <w:bottom w:val="nil"/>
              <w:right w:val="nil"/>
            </w:tcBorders>
            <w:shd w:val="clear" w:color="auto" w:fill="768A2A"/>
          </w:tcPr>
          <w:p w14:paraId="4E65B933" w14:textId="77777777" w:rsidR="00582D65" w:rsidRPr="0005030F" w:rsidRDefault="00582D65" w:rsidP="001F0723">
            <w:pPr>
              <w:jc w:val="center"/>
              <w:rPr>
                <w:color w:val="FFFFFF" w:themeColor="background1"/>
              </w:rPr>
            </w:pPr>
            <w:r w:rsidRPr="0005030F">
              <w:rPr>
                <w:color w:val="FFFFFF" w:themeColor="background1"/>
              </w:rPr>
              <w:t>REÉR Collectif</w:t>
            </w:r>
          </w:p>
        </w:tc>
        <w:tc>
          <w:tcPr>
            <w:tcW w:w="2257" w:type="dxa"/>
            <w:tcBorders>
              <w:top w:val="nil"/>
              <w:left w:val="nil"/>
              <w:bottom w:val="nil"/>
              <w:right w:val="nil"/>
            </w:tcBorders>
            <w:shd w:val="clear" w:color="auto" w:fill="768A2A"/>
          </w:tcPr>
          <w:p w14:paraId="2F7EB311" w14:textId="77777777" w:rsidR="00582D65" w:rsidRPr="0005030F" w:rsidRDefault="00582D65" w:rsidP="001F0723">
            <w:pPr>
              <w:jc w:val="center"/>
              <w:rPr>
                <w:color w:val="FFFFFF" w:themeColor="background1"/>
              </w:rPr>
            </w:pPr>
            <w:r w:rsidRPr="0005030F">
              <w:rPr>
                <w:color w:val="FFFFFF" w:themeColor="background1"/>
              </w:rPr>
              <w:t>RVÉR</w:t>
            </w:r>
          </w:p>
        </w:tc>
      </w:tr>
      <w:tr w:rsidR="00582D65" w14:paraId="13979BA2" w14:textId="77777777" w:rsidTr="001F0723">
        <w:tc>
          <w:tcPr>
            <w:tcW w:w="7054" w:type="dxa"/>
            <w:tcBorders>
              <w:top w:val="nil"/>
              <w:left w:val="nil"/>
              <w:bottom w:val="nil"/>
              <w:right w:val="nil"/>
            </w:tcBorders>
            <w:shd w:val="clear" w:color="auto" w:fill="FF5D72"/>
          </w:tcPr>
          <w:p w14:paraId="1AC4201E" w14:textId="4D224399" w:rsidR="00582D65" w:rsidRDefault="00582D65" w:rsidP="001F0723">
            <w:pPr>
              <w:rPr>
                <w:sz w:val="22"/>
                <w:szCs w:val="22"/>
              </w:rPr>
            </w:pPr>
            <w:r w:rsidRPr="00733E6C">
              <w:rPr>
                <w:sz w:val="22"/>
                <w:szCs w:val="22"/>
              </w:rPr>
              <w:t xml:space="preserve">LRCR, </w:t>
            </w:r>
            <w:r w:rsidR="00041513">
              <w:rPr>
                <w:sz w:val="22"/>
                <w:szCs w:val="22"/>
              </w:rPr>
              <w:t>applicable</w:t>
            </w:r>
          </w:p>
          <w:p w14:paraId="7110EB9F" w14:textId="77777777" w:rsidR="00582D65" w:rsidRPr="00733E6C" w:rsidRDefault="00582D65" w:rsidP="001F0723">
            <w:pPr>
              <w:rPr>
                <w:sz w:val="22"/>
                <w:szCs w:val="22"/>
              </w:rPr>
            </w:pPr>
          </w:p>
        </w:tc>
        <w:tc>
          <w:tcPr>
            <w:tcW w:w="1985" w:type="dxa"/>
            <w:tcBorders>
              <w:top w:val="nil"/>
              <w:left w:val="nil"/>
              <w:bottom w:val="nil"/>
              <w:right w:val="nil"/>
            </w:tcBorders>
            <w:shd w:val="clear" w:color="auto" w:fill="FF5D72"/>
          </w:tcPr>
          <w:p w14:paraId="312C32F7" w14:textId="77777777" w:rsidR="00582D65" w:rsidRPr="006E7A86" w:rsidRDefault="00582D65" w:rsidP="001F0723">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07ABFF7B" w14:textId="77777777" w:rsidR="00582D65" w:rsidRPr="006E7A86" w:rsidRDefault="00582D65" w:rsidP="001F0723">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6C74CBAD" w14:textId="77777777" w:rsidR="00582D65" w:rsidRPr="006E7A86" w:rsidRDefault="00582D65" w:rsidP="001F0723">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57B69C50" w14:textId="77777777" w:rsidR="00582D65" w:rsidRPr="006E7A86" w:rsidRDefault="00582D65" w:rsidP="001F0723">
            <w:pPr>
              <w:jc w:val="center"/>
              <w:rPr>
                <w:sz w:val="22"/>
                <w:szCs w:val="22"/>
              </w:rPr>
            </w:pPr>
            <w:r>
              <w:rPr>
                <w:sz w:val="22"/>
                <w:szCs w:val="22"/>
              </w:rPr>
              <w:t>Non</w:t>
            </w:r>
          </w:p>
        </w:tc>
      </w:tr>
      <w:tr w:rsidR="00582D65" w14:paraId="6B781BFA" w14:textId="77777777" w:rsidTr="001F0723">
        <w:tc>
          <w:tcPr>
            <w:tcW w:w="7054" w:type="dxa"/>
            <w:tcBorders>
              <w:top w:val="nil"/>
              <w:left w:val="nil"/>
              <w:bottom w:val="nil"/>
              <w:right w:val="nil"/>
            </w:tcBorders>
            <w:shd w:val="clear" w:color="auto" w:fill="FF5D72"/>
          </w:tcPr>
          <w:p w14:paraId="3A3A3EEA" w14:textId="77777777" w:rsidR="00582D65" w:rsidRDefault="00582D65" w:rsidP="001F0723">
            <w:pPr>
              <w:rPr>
                <w:sz w:val="22"/>
                <w:szCs w:val="22"/>
              </w:rPr>
            </w:pPr>
            <w:r w:rsidRPr="00733E6C">
              <w:rPr>
                <w:sz w:val="22"/>
                <w:szCs w:val="22"/>
              </w:rPr>
              <w:t>Abri fiscal</w:t>
            </w:r>
          </w:p>
          <w:p w14:paraId="678C5F29" w14:textId="77777777" w:rsidR="00582D65" w:rsidRPr="00733E6C" w:rsidRDefault="00582D65" w:rsidP="001F0723">
            <w:pPr>
              <w:rPr>
                <w:sz w:val="22"/>
                <w:szCs w:val="22"/>
              </w:rPr>
            </w:pPr>
          </w:p>
        </w:tc>
        <w:tc>
          <w:tcPr>
            <w:tcW w:w="1985" w:type="dxa"/>
            <w:tcBorders>
              <w:top w:val="nil"/>
              <w:left w:val="nil"/>
              <w:bottom w:val="nil"/>
              <w:right w:val="nil"/>
            </w:tcBorders>
            <w:shd w:val="clear" w:color="auto" w:fill="FF5D72"/>
          </w:tcPr>
          <w:p w14:paraId="0F2BA507" w14:textId="77777777" w:rsidR="00582D65" w:rsidRPr="006E7A86" w:rsidRDefault="00582D65" w:rsidP="001F0723">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1866BE0F" w14:textId="77777777" w:rsidR="00582D65" w:rsidRPr="006E7A86" w:rsidRDefault="00582D65" w:rsidP="001F0723">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389607FC" w14:textId="77777777" w:rsidR="00582D65" w:rsidRPr="006E7A86" w:rsidRDefault="00582D65" w:rsidP="001F0723">
            <w:pPr>
              <w:jc w:val="center"/>
              <w:rPr>
                <w:sz w:val="22"/>
                <w:szCs w:val="22"/>
              </w:rPr>
            </w:pPr>
            <w:r w:rsidRPr="006E7A86">
              <w:rPr>
                <w:sz w:val="22"/>
                <w:szCs w:val="22"/>
              </w:rPr>
              <w:t>Oui</w:t>
            </w:r>
          </w:p>
        </w:tc>
        <w:tc>
          <w:tcPr>
            <w:tcW w:w="2257" w:type="dxa"/>
            <w:tcBorders>
              <w:top w:val="nil"/>
              <w:left w:val="nil"/>
              <w:bottom w:val="nil"/>
              <w:right w:val="nil"/>
            </w:tcBorders>
            <w:shd w:val="clear" w:color="auto" w:fill="FF5D72"/>
          </w:tcPr>
          <w:p w14:paraId="6EBD33C6" w14:textId="77777777" w:rsidR="00582D65" w:rsidRPr="006E7A86" w:rsidRDefault="00582D65" w:rsidP="001F0723">
            <w:pPr>
              <w:jc w:val="center"/>
              <w:rPr>
                <w:sz w:val="22"/>
                <w:szCs w:val="22"/>
              </w:rPr>
            </w:pPr>
            <w:r w:rsidRPr="006E7A86">
              <w:rPr>
                <w:sz w:val="22"/>
                <w:szCs w:val="22"/>
              </w:rPr>
              <w:t>Oui</w:t>
            </w:r>
          </w:p>
        </w:tc>
      </w:tr>
      <w:tr w:rsidR="00582D65" w14:paraId="4D659252" w14:textId="77777777" w:rsidTr="001F0723">
        <w:tc>
          <w:tcPr>
            <w:tcW w:w="7054" w:type="dxa"/>
            <w:tcBorders>
              <w:top w:val="nil"/>
              <w:left w:val="nil"/>
              <w:bottom w:val="nil"/>
              <w:right w:val="nil"/>
            </w:tcBorders>
            <w:shd w:val="clear" w:color="auto" w:fill="FF5D72"/>
          </w:tcPr>
          <w:p w14:paraId="79D63922" w14:textId="77777777" w:rsidR="00582D65" w:rsidRDefault="00582D65" w:rsidP="001F0723">
            <w:pPr>
              <w:rPr>
                <w:sz w:val="22"/>
                <w:szCs w:val="22"/>
              </w:rPr>
            </w:pPr>
            <w:r>
              <w:rPr>
                <w:sz w:val="22"/>
                <w:szCs w:val="22"/>
              </w:rPr>
              <w:t>Montant des cotisations limité</w:t>
            </w:r>
          </w:p>
          <w:p w14:paraId="2A5ABC2C" w14:textId="77777777" w:rsidR="00582D65" w:rsidRPr="00733E6C" w:rsidRDefault="00582D65" w:rsidP="001F0723">
            <w:pPr>
              <w:rPr>
                <w:sz w:val="22"/>
                <w:szCs w:val="22"/>
              </w:rPr>
            </w:pPr>
          </w:p>
        </w:tc>
        <w:tc>
          <w:tcPr>
            <w:tcW w:w="1985" w:type="dxa"/>
            <w:tcBorders>
              <w:top w:val="nil"/>
              <w:left w:val="nil"/>
              <w:bottom w:val="nil"/>
              <w:right w:val="nil"/>
            </w:tcBorders>
            <w:shd w:val="clear" w:color="auto" w:fill="FF5D72"/>
          </w:tcPr>
          <w:p w14:paraId="75F1B055" w14:textId="77777777" w:rsidR="00582D65" w:rsidRPr="006E7A86" w:rsidRDefault="00582D65" w:rsidP="001F0723">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5406B09A" w14:textId="77777777" w:rsidR="00582D65" w:rsidRPr="006E7A86" w:rsidRDefault="00582D65" w:rsidP="001F0723">
            <w:pPr>
              <w:jc w:val="center"/>
              <w:rPr>
                <w:sz w:val="22"/>
                <w:szCs w:val="22"/>
              </w:rPr>
            </w:pPr>
            <w:r>
              <w:rPr>
                <w:sz w:val="22"/>
                <w:szCs w:val="22"/>
              </w:rPr>
              <w:t>Non</w:t>
            </w:r>
          </w:p>
        </w:tc>
        <w:tc>
          <w:tcPr>
            <w:tcW w:w="2125" w:type="dxa"/>
            <w:tcBorders>
              <w:top w:val="nil"/>
              <w:left w:val="nil"/>
              <w:bottom w:val="nil"/>
              <w:right w:val="nil"/>
            </w:tcBorders>
            <w:shd w:val="clear" w:color="auto" w:fill="FF5D72"/>
          </w:tcPr>
          <w:p w14:paraId="1FB1EA60" w14:textId="77777777" w:rsidR="00582D65" w:rsidRPr="006E7A86" w:rsidRDefault="00582D65" w:rsidP="001F0723">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077923F8" w14:textId="77777777" w:rsidR="00582D65" w:rsidRPr="006E7A86" w:rsidRDefault="00582D65" w:rsidP="001F0723">
            <w:pPr>
              <w:jc w:val="center"/>
              <w:rPr>
                <w:sz w:val="22"/>
                <w:szCs w:val="22"/>
              </w:rPr>
            </w:pPr>
            <w:r>
              <w:rPr>
                <w:sz w:val="22"/>
                <w:szCs w:val="22"/>
              </w:rPr>
              <w:t>Oui</w:t>
            </w:r>
          </w:p>
        </w:tc>
      </w:tr>
      <w:tr w:rsidR="00582D65" w14:paraId="6B4827B0" w14:textId="77777777" w:rsidTr="001F0723">
        <w:tc>
          <w:tcPr>
            <w:tcW w:w="7054" w:type="dxa"/>
            <w:tcBorders>
              <w:top w:val="nil"/>
              <w:left w:val="nil"/>
              <w:bottom w:val="nil"/>
              <w:right w:val="nil"/>
            </w:tcBorders>
            <w:shd w:val="clear" w:color="auto" w:fill="FF5D72"/>
          </w:tcPr>
          <w:p w14:paraId="4CAB3A97" w14:textId="77777777" w:rsidR="00582D65" w:rsidRDefault="00582D65" w:rsidP="001F0723">
            <w:pPr>
              <w:rPr>
                <w:sz w:val="22"/>
                <w:szCs w:val="22"/>
              </w:rPr>
            </w:pPr>
            <w:r w:rsidRPr="00733E6C">
              <w:rPr>
                <w:sz w:val="22"/>
                <w:szCs w:val="22"/>
              </w:rPr>
              <w:t xml:space="preserve">Cotisation </w:t>
            </w:r>
            <w:r>
              <w:rPr>
                <w:sz w:val="22"/>
                <w:szCs w:val="22"/>
              </w:rPr>
              <w:t>de l’</w:t>
            </w:r>
            <w:r w:rsidRPr="00733E6C">
              <w:rPr>
                <w:sz w:val="22"/>
                <w:szCs w:val="22"/>
              </w:rPr>
              <w:t>employeur</w:t>
            </w:r>
          </w:p>
          <w:p w14:paraId="5FF394C9" w14:textId="77777777" w:rsidR="00582D65" w:rsidRPr="00733E6C" w:rsidRDefault="00582D65" w:rsidP="001F0723">
            <w:pPr>
              <w:rPr>
                <w:sz w:val="22"/>
                <w:szCs w:val="22"/>
              </w:rPr>
            </w:pPr>
          </w:p>
        </w:tc>
        <w:tc>
          <w:tcPr>
            <w:tcW w:w="1985" w:type="dxa"/>
            <w:tcBorders>
              <w:top w:val="nil"/>
              <w:left w:val="nil"/>
              <w:bottom w:val="nil"/>
              <w:right w:val="nil"/>
            </w:tcBorders>
            <w:shd w:val="clear" w:color="auto" w:fill="FF5D72"/>
          </w:tcPr>
          <w:p w14:paraId="1E9FCC5F" w14:textId="77777777" w:rsidR="00582D65" w:rsidRPr="006E7A86" w:rsidRDefault="00582D65" w:rsidP="001F0723">
            <w:pPr>
              <w:jc w:val="center"/>
              <w:rPr>
                <w:sz w:val="22"/>
                <w:szCs w:val="22"/>
              </w:rPr>
            </w:pPr>
            <w:r w:rsidRPr="006E7A86">
              <w:rPr>
                <w:sz w:val="22"/>
                <w:szCs w:val="22"/>
              </w:rPr>
              <w:t>Obligatoire</w:t>
            </w:r>
            <w:r>
              <w:rPr>
                <w:sz w:val="22"/>
                <w:szCs w:val="22"/>
              </w:rPr>
              <w:t xml:space="preserve"> </w:t>
            </w:r>
            <w:r w:rsidRPr="006E7A86">
              <w:rPr>
                <w:sz w:val="22"/>
                <w:szCs w:val="22"/>
              </w:rPr>
              <w:t>50 %</w:t>
            </w:r>
          </w:p>
        </w:tc>
        <w:tc>
          <w:tcPr>
            <w:tcW w:w="1985" w:type="dxa"/>
            <w:tcBorders>
              <w:top w:val="nil"/>
              <w:left w:val="nil"/>
              <w:bottom w:val="nil"/>
              <w:right w:val="nil"/>
            </w:tcBorders>
            <w:shd w:val="clear" w:color="auto" w:fill="FF5D72"/>
          </w:tcPr>
          <w:p w14:paraId="73701AD2" w14:textId="77777777" w:rsidR="00582D65" w:rsidRPr="006E7A86" w:rsidRDefault="00582D65" w:rsidP="001F0723">
            <w:pPr>
              <w:jc w:val="center"/>
              <w:rPr>
                <w:sz w:val="22"/>
                <w:szCs w:val="22"/>
              </w:rPr>
            </w:pPr>
            <w:r w:rsidRPr="006E7A86">
              <w:rPr>
                <w:sz w:val="22"/>
                <w:szCs w:val="22"/>
              </w:rPr>
              <w:t>Obligatoire 50 %</w:t>
            </w:r>
          </w:p>
        </w:tc>
        <w:tc>
          <w:tcPr>
            <w:tcW w:w="2125" w:type="dxa"/>
            <w:tcBorders>
              <w:top w:val="nil"/>
              <w:left w:val="nil"/>
              <w:bottom w:val="nil"/>
              <w:right w:val="nil"/>
            </w:tcBorders>
            <w:shd w:val="clear" w:color="auto" w:fill="FF5D72"/>
          </w:tcPr>
          <w:p w14:paraId="2EC1E0FA" w14:textId="77777777" w:rsidR="00582D65" w:rsidRPr="006E7A86" w:rsidRDefault="00582D65" w:rsidP="001F0723">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5EE0A5DE" w14:textId="77777777" w:rsidR="00582D65" w:rsidRPr="006E7A86" w:rsidRDefault="00582D65" w:rsidP="001F0723">
            <w:pPr>
              <w:jc w:val="center"/>
              <w:rPr>
                <w:sz w:val="22"/>
                <w:szCs w:val="22"/>
              </w:rPr>
            </w:pPr>
            <w:r>
              <w:rPr>
                <w:sz w:val="22"/>
                <w:szCs w:val="22"/>
              </w:rPr>
              <w:t>Facultative</w:t>
            </w:r>
          </w:p>
        </w:tc>
      </w:tr>
      <w:tr w:rsidR="00582D65" w14:paraId="244E76BB" w14:textId="77777777" w:rsidTr="001F0723">
        <w:tc>
          <w:tcPr>
            <w:tcW w:w="7054" w:type="dxa"/>
            <w:tcBorders>
              <w:top w:val="nil"/>
              <w:left w:val="nil"/>
              <w:bottom w:val="nil"/>
              <w:right w:val="nil"/>
            </w:tcBorders>
            <w:shd w:val="clear" w:color="auto" w:fill="FF5D72"/>
          </w:tcPr>
          <w:p w14:paraId="4A27764F" w14:textId="77777777" w:rsidR="00582D65" w:rsidRDefault="00582D65" w:rsidP="001F0723">
            <w:pPr>
              <w:rPr>
                <w:sz w:val="22"/>
                <w:szCs w:val="22"/>
              </w:rPr>
            </w:pPr>
            <w:r w:rsidRPr="00733E6C">
              <w:rPr>
                <w:sz w:val="22"/>
                <w:szCs w:val="22"/>
              </w:rPr>
              <w:t xml:space="preserve">Cotisation </w:t>
            </w:r>
            <w:r>
              <w:rPr>
                <w:sz w:val="22"/>
                <w:szCs w:val="22"/>
              </w:rPr>
              <w:t>l’</w:t>
            </w:r>
            <w:r w:rsidRPr="00733E6C">
              <w:rPr>
                <w:sz w:val="22"/>
                <w:szCs w:val="22"/>
              </w:rPr>
              <w:t>employé</w:t>
            </w:r>
          </w:p>
          <w:p w14:paraId="66F299C7" w14:textId="77777777" w:rsidR="00582D65" w:rsidRPr="00733E6C" w:rsidRDefault="00582D65" w:rsidP="001F0723">
            <w:pPr>
              <w:rPr>
                <w:sz w:val="22"/>
                <w:szCs w:val="22"/>
              </w:rPr>
            </w:pPr>
          </w:p>
        </w:tc>
        <w:tc>
          <w:tcPr>
            <w:tcW w:w="1985" w:type="dxa"/>
            <w:tcBorders>
              <w:top w:val="nil"/>
              <w:left w:val="nil"/>
              <w:bottom w:val="nil"/>
              <w:right w:val="nil"/>
            </w:tcBorders>
            <w:shd w:val="clear" w:color="auto" w:fill="FF5D72"/>
          </w:tcPr>
          <w:p w14:paraId="04024269" w14:textId="77777777" w:rsidR="00582D65" w:rsidRPr="006E7A86" w:rsidRDefault="00582D65" w:rsidP="001F0723">
            <w:pPr>
              <w:jc w:val="center"/>
              <w:rPr>
                <w:sz w:val="22"/>
                <w:szCs w:val="22"/>
              </w:rPr>
            </w:pPr>
            <w:r w:rsidRPr="006E7A86">
              <w:rPr>
                <w:sz w:val="22"/>
                <w:szCs w:val="22"/>
              </w:rPr>
              <w:t>Facultative</w:t>
            </w:r>
          </w:p>
        </w:tc>
        <w:tc>
          <w:tcPr>
            <w:tcW w:w="1985" w:type="dxa"/>
            <w:tcBorders>
              <w:top w:val="nil"/>
              <w:left w:val="nil"/>
              <w:bottom w:val="nil"/>
              <w:right w:val="nil"/>
            </w:tcBorders>
            <w:shd w:val="clear" w:color="auto" w:fill="FF5D72"/>
          </w:tcPr>
          <w:p w14:paraId="65BA64D3" w14:textId="77777777" w:rsidR="00582D65" w:rsidRPr="006E7A86" w:rsidRDefault="00582D65" w:rsidP="001F0723">
            <w:pPr>
              <w:jc w:val="center"/>
              <w:rPr>
                <w:sz w:val="22"/>
                <w:szCs w:val="22"/>
              </w:rPr>
            </w:pPr>
            <w:r w:rsidRPr="006E7A86">
              <w:rPr>
                <w:sz w:val="22"/>
                <w:szCs w:val="22"/>
              </w:rPr>
              <w:t>Facultative</w:t>
            </w:r>
          </w:p>
        </w:tc>
        <w:tc>
          <w:tcPr>
            <w:tcW w:w="2125" w:type="dxa"/>
            <w:tcBorders>
              <w:top w:val="nil"/>
              <w:left w:val="nil"/>
              <w:bottom w:val="nil"/>
              <w:right w:val="nil"/>
            </w:tcBorders>
            <w:shd w:val="clear" w:color="auto" w:fill="FF5D72"/>
          </w:tcPr>
          <w:p w14:paraId="3ABAD2B6" w14:textId="77777777" w:rsidR="00582D65" w:rsidRPr="006E7A86" w:rsidRDefault="00582D65" w:rsidP="001F0723">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2C3264B6" w14:textId="77777777" w:rsidR="00582D65" w:rsidRPr="006E7A86" w:rsidRDefault="00582D65" w:rsidP="001F0723">
            <w:pPr>
              <w:jc w:val="center"/>
              <w:rPr>
                <w:sz w:val="22"/>
                <w:szCs w:val="22"/>
              </w:rPr>
            </w:pPr>
            <w:r>
              <w:rPr>
                <w:sz w:val="22"/>
                <w:szCs w:val="22"/>
              </w:rPr>
              <w:t>Oui</w:t>
            </w:r>
          </w:p>
        </w:tc>
      </w:tr>
      <w:tr w:rsidR="00582D65" w14:paraId="59107E3E" w14:textId="77777777" w:rsidTr="001F0723">
        <w:tc>
          <w:tcPr>
            <w:tcW w:w="7054" w:type="dxa"/>
            <w:tcBorders>
              <w:top w:val="nil"/>
              <w:left w:val="nil"/>
              <w:bottom w:val="nil"/>
              <w:right w:val="nil"/>
            </w:tcBorders>
            <w:shd w:val="clear" w:color="auto" w:fill="FF5D72"/>
          </w:tcPr>
          <w:p w14:paraId="712DAAE3" w14:textId="77777777" w:rsidR="00582D65" w:rsidRDefault="00582D65" w:rsidP="001F0723">
            <w:pPr>
              <w:rPr>
                <w:sz w:val="22"/>
                <w:szCs w:val="22"/>
              </w:rPr>
            </w:pPr>
            <w:r>
              <w:rPr>
                <w:sz w:val="22"/>
                <w:szCs w:val="22"/>
              </w:rPr>
              <w:t>Montant de la rente de retraite limité</w:t>
            </w:r>
          </w:p>
          <w:p w14:paraId="0001C732" w14:textId="77777777" w:rsidR="00582D65" w:rsidRPr="00733E6C" w:rsidRDefault="00582D65" w:rsidP="001F0723">
            <w:pPr>
              <w:rPr>
                <w:sz w:val="22"/>
                <w:szCs w:val="22"/>
              </w:rPr>
            </w:pPr>
          </w:p>
        </w:tc>
        <w:tc>
          <w:tcPr>
            <w:tcW w:w="1985" w:type="dxa"/>
            <w:tcBorders>
              <w:top w:val="nil"/>
              <w:left w:val="nil"/>
              <w:bottom w:val="nil"/>
              <w:right w:val="nil"/>
            </w:tcBorders>
            <w:shd w:val="clear" w:color="auto" w:fill="FF5D72"/>
          </w:tcPr>
          <w:p w14:paraId="5F437F09" w14:textId="77777777" w:rsidR="00582D65" w:rsidRPr="006E7A86" w:rsidRDefault="00582D65" w:rsidP="001F0723">
            <w:pPr>
              <w:jc w:val="center"/>
              <w:rPr>
                <w:sz w:val="22"/>
                <w:szCs w:val="22"/>
              </w:rPr>
            </w:pPr>
            <w:r w:rsidRPr="006E7A86">
              <w:rPr>
                <w:sz w:val="22"/>
                <w:szCs w:val="22"/>
              </w:rPr>
              <w:t>Non</w:t>
            </w:r>
          </w:p>
        </w:tc>
        <w:tc>
          <w:tcPr>
            <w:tcW w:w="1985" w:type="dxa"/>
            <w:tcBorders>
              <w:top w:val="nil"/>
              <w:left w:val="nil"/>
              <w:bottom w:val="nil"/>
              <w:right w:val="nil"/>
            </w:tcBorders>
            <w:shd w:val="clear" w:color="auto" w:fill="FF5D72"/>
          </w:tcPr>
          <w:p w14:paraId="3B6D6D1D" w14:textId="77777777" w:rsidR="00582D65" w:rsidRPr="006E7A86" w:rsidRDefault="00582D65" w:rsidP="001F0723">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6FFFC800" w14:textId="77777777" w:rsidR="00582D65" w:rsidRPr="006E7A86" w:rsidRDefault="00582D65" w:rsidP="001F0723">
            <w:pPr>
              <w:jc w:val="center"/>
              <w:rPr>
                <w:sz w:val="22"/>
                <w:szCs w:val="22"/>
              </w:rPr>
            </w:pPr>
            <w:r w:rsidRPr="006E7A86">
              <w:rPr>
                <w:sz w:val="22"/>
                <w:szCs w:val="22"/>
              </w:rPr>
              <w:t>Non</w:t>
            </w:r>
          </w:p>
        </w:tc>
        <w:tc>
          <w:tcPr>
            <w:tcW w:w="2257" w:type="dxa"/>
            <w:tcBorders>
              <w:top w:val="nil"/>
              <w:left w:val="nil"/>
              <w:bottom w:val="nil"/>
              <w:right w:val="nil"/>
            </w:tcBorders>
            <w:shd w:val="clear" w:color="auto" w:fill="FF5D72"/>
          </w:tcPr>
          <w:p w14:paraId="42A8995E" w14:textId="77777777" w:rsidR="00582D65" w:rsidRPr="006E7A86" w:rsidRDefault="00582D65" w:rsidP="001F0723">
            <w:pPr>
              <w:jc w:val="center"/>
              <w:rPr>
                <w:sz w:val="22"/>
                <w:szCs w:val="22"/>
              </w:rPr>
            </w:pPr>
            <w:r w:rsidRPr="006E7A86">
              <w:rPr>
                <w:sz w:val="22"/>
                <w:szCs w:val="22"/>
              </w:rPr>
              <w:t>Non</w:t>
            </w:r>
          </w:p>
        </w:tc>
      </w:tr>
      <w:tr w:rsidR="00582D65" w14:paraId="61525E14" w14:textId="77777777" w:rsidTr="001F0723">
        <w:tc>
          <w:tcPr>
            <w:tcW w:w="7054" w:type="dxa"/>
            <w:tcBorders>
              <w:top w:val="nil"/>
              <w:left w:val="nil"/>
              <w:bottom w:val="nil"/>
              <w:right w:val="nil"/>
            </w:tcBorders>
            <w:shd w:val="clear" w:color="auto" w:fill="FF5D72"/>
          </w:tcPr>
          <w:p w14:paraId="68C7FB38" w14:textId="77777777" w:rsidR="00582D65" w:rsidRDefault="00582D65" w:rsidP="001F0723">
            <w:pPr>
              <w:rPr>
                <w:sz w:val="22"/>
                <w:szCs w:val="22"/>
              </w:rPr>
            </w:pPr>
            <w:r w:rsidRPr="00733E6C">
              <w:rPr>
                <w:sz w:val="22"/>
                <w:szCs w:val="22"/>
              </w:rPr>
              <w:t>Régime immobilisé, avant 55 ans</w:t>
            </w:r>
          </w:p>
          <w:p w14:paraId="5AFD865B" w14:textId="77777777" w:rsidR="00582D65" w:rsidRPr="00733E6C" w:rsidRDefault="00582D65" w:rsidP="001F0723">
            <w:pPr>
              <w:rPr>
                <w:sz w:val="22"/>
                <w:szCs w:val="22"/>
              </w:rPr>
            </w:pPr>
          </w:p>
        </w:tc>
        <w:tc>
          <w:tcPr>
            <w:tcW w:w="1985" w:type="dxa"/>
            <w:tcBorders>
              <w:top w:val="nil"/>
              <w:left w:val="nil"/>
              <w:bottom w:val="nil"/>
              <w:right w:val="nil"/>
            </w:tcBorders>
            <w:shd w:val="clear" w:color="auto" w:fill="FF5D72"/>
          </w:tcPr>
          <w:p w14:paraId="4B184A4B" w14:textId="77777777" w:rsidR="00582D65" w:rsidRPr="006E7A86" w:rsidRDefault="00582D65" w:rsidP="001F0723">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7DE6F509" w14:textId="77777777" w:rsidR="00582D65" w:rsidRPr="006E7A86" w:rsidRDefault="00582D65" w:rsidP="001F0723">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205359A6" w14:textId="77777777" w:rsidR="00582D65" w:rsidRPr="006E7A86" w:rsidRDefault="00582D65" w:rsidP="001F0723">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38A3070D" w14:textId="77777777" w:rsidR="00582D65" w:rsidRPr="006E7A86" w:rsidRDefault="00582D65" w:rsidP="001F0723">
            <w:pPr>
              <w:jc w:val="center"/>
              <w:rPr>
                <w:sz w:val="22"/>
                <w:szCs w:val="22"/>
              </w:rPr>
            </w:pPr>
            <w:r>
              <w:rPr>
                <w:sz w:val="22"/>
                <w:szCs w:val="22"/>
              </w:rPr>
              <w:t>Portion employeur seulement</w:t>
            </w:r>
          </w:p>
        </w:tc>
      </w:tr>
      <w:tr w:rsidR="00582D65" w14:paraId="190A9088" w14:textId="77777777" w:rsidTr="001F0723">
        <w:tc>
          <w:tcPr>
            <w:tcW w:w="7054" w:type="dxa"/>
            <w:tcBorders>
              <w:top w:val="nil"/>
              <w:left w:val="nil"/>
              <w:bottom w:val="nil"/>
              <w:right w:val="nil"/>
            </w:tcBorders>
            <w:shd w:val="clear" w:color="auto" w:fill="FF5D72"/>
          </w:tcPr>
          <w:p w14:paraId="2FF015BC" w14:textId="77777777" w:rsidR="00582D65" w:rsidRDefault="00582D65" w:rsidP="001F0723">
            <w:pPr>
              <w:rPr>
                <w:sz w:val="22"/>
                <w:szCs w:val="22"/>
              </w:rPr>
            </w:pPr>
            <w:r w:rsidRPr="00733E6C">
              <w:rPr>
                <w:sz w:val="22"/>
                <w:szCs w:val="22"/>
              </w:rPr>
              <w:t>Divorce avant retraite, droit du conjoint marié protégé</w:t>
            </w:r>
          </w:p>
          <w:p w14:paraId="287E996D" w14:textId="77777777" w:rsidR="00582D65" w:rsidRPr="00733E6C" w:rsidRDefault="00582D65" w:rsidP="001F0723">
            <w:pPr>
              <w:rPr>
                <w:sz w:val="22"/>
                <w:szCs w:val="22"/>
              </w:rPr>
            </w:pPr>
          </w:p>
        </w:tc>
        <w:tc>
          <w:tcPr>
            <w:tcW w:w="1985" w:type="dxa"/>
            <w:tcBorders>
              <w:top w:val="nil"/>
              <w:left w:val="nil"/>
              <w:bottom w:val="nil"/>
              <w:right w:val="nil"/>
            </w:tcBorders>
            <w:shd w:val="clear" w:color="auto" w:fill="FF5D72"/>
          </w:tcPr>
          <w:p w14:paraId="1BD0B30E" w14:textId="77777777" w:rsidR="00582D65" w:rsidRPr="006E7A86" w:rsidRDefault="00582D65" w:rsidP="001F0723">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3071EC5D" w14:textId="77777777" w:rsidR="00582D65" w:rsidRPr="006E7A86" w:rsidRDefault="00582D65" w:rsidP="001F0723">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1D85822E" w14:textId="77777777" w:rsidR="00582D65" w:rsidRPr="006E7A86" w:rsidRDefault="00582D65" w:rsidP="001F0723">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25DFE2BF" w14:textId="77777777" w:rsidR="00582D65" w:rsidRPr="006E7A86" w:rsidRDefault="00582D65" w:rsidP="001F0723">
            <w:pPr>
              <w:jc w:val="center"/>
              <w:rPr>
                <w:sz w:val="22"/>
                <w:szCs w:val="22"/>
              </w:rPr>
            </w:pPr>
            <w:r>
              <w:rPr>
                <w:sz w:val="22"/>
                <w:szCs w:val="22"/>
              </w:rPr>
              <w:t>Oui</w:t>
            </w:r>
          </w:p>
        </w:tc>
      </w:tr>
      <w:tr w:rsidR="00582D65" w14:paraId="0408D603" w14:textId="77777777" w:rsidTr="001F0723">
        <w:tc>
          <w:tcPr>
            <w:tcW w:w="7054" w:type="dxa"/>
            <w:tcBorders>
              <w:top w:val="nil"/>
              <w:left w:val="nil"/>
              <w:bottom w:val="nil"/>
              <w:right w:val="nil"/>
            </w:tcBorders>
            <w:shd w:val="clear" w:color="auto" w:fill="FF5D72"/>
          </w:tcPr>
          <w:p w14:paraId="45576E66" w14:textId="77777777" w:rsidR="00582D65" w:rsidRDefault="00582D65" w:rsidP="001F0723">
            <w:pPr>
              <w:rPr>
                <w:sz w:val="22"/>
                <w:szCs w:val="22"/>
              </w:rPr>
            </w:pPr>
            <w:r w:rsidRPr="00733E6C">
              <w:rPr>
                <w:sz w:val="22"/>
                <w:szCs w:val="22"/>
              </w:rPr>
              <w:t xml:space="preserve">Divorce </w:t>
            </w:r>
            <w:r>
              <w:rPr>
                <w:sz w:val="22"/>
                <w:szCs w:val="22"/>
              </w:rPr>
              <w:t>pendant</w:t>
            </w:r>
            <w:r w:rsidRPr="00733E6C">
              <w:rPr>
                <w:sz w:val="22"/>
                <w:szCs w:val="22"/>
              </w:rPr>
              <w:t xml:space="preserve"> retraite, droit du conjoint marié protégé</w:t>
            </w:r>
          </w:p>
          <w:p w14:paraId="46331359" w14:textId="77777777" w:rsidR="00582D65" w:rsidRPr="00733E6C" w:rsidRDefault="00582D65" w:rsidP="001F0723">
            <w:pPr>
              <w:rPr>
                <w:sz w:val="22"/>
                <w:szCs w:val="22"/>
              </w:rPr>
            </w:pPr>
          </w:p>
        </w:tc>
        <w:tc>
          <w:tcPr>
            <w:tcW w:w="1985" w:type="dxa"/>
            <w:tcBorders>
              <w:top w:val="nil"/>
              <w:left w:val="nil"/>
              <w:bottom w:val="nil"/>
              <w:right w:val="nil"/>
            </w:tcBorders>
            <w:shd w:val="clear" w:color="auto" w:fill="FF5D72"/>
          </w:tcPr>
          <w:p w14:paraId="307A246F" w14:textId="77777777" w:rsidR="00582D65" w:rsidRPr="006E7A86" w:rsidRDefault="00582D65" w:rsidP="001F0723">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58D48DC4" w14:textId="77777777" w:rsidR="00582D65" w:rsidRPr="006E7A86" w:rsidRDefault="00582D65" w:rsidP="001F0723">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6D4F7111" w14:textId="77777777" w:rsidR="00582D65" w:rsidRPr="006E7A86" w:rsidRDefault="00582D65" w:rsidP="001F0723">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1BB1835A" w14:textId="77777777" w:rsidR="00582D65" w:rsidRPr="006E7A86" w:rsidRDefault="00582D65" w:rsidP="001F0723">
            <w:pPr>
              <w:jc w:val="center"/>
              <w:rPr>
                <w:sz w:val="22"/>
                <w:szCs w:val="22"/>
              </w:rPr>
            </w:pPr>
            <w:r>
              <w:rPr>
                <w:sz w:val="22"/>
                <w:szCs w:val="22"/>
              </w:rPr>
              <w:t>Oui</w:t>
            </w:r>
          </w:p>
        </w:tc>
      </w:tr>
      <w:tr w:rsidR="00582D65" w14:paraId="143ED6CB" w14:textId="77777777" w:rsidTr="001F0723">
        <w:tc>
          <w:tcPr>
            <w:tcW w:w="7054" w:type="dxa"/>
            <w:tcBorders>
              <w:top w:val="nil"/>
              <w:left w:val="nil"/>
              <w:bottom w:val="nil"/>
              <w:right w:val="nil"/>
            </w:tcBorders>
            <w:shd w:val="clear" w:color="auto" w:fill="FF5D72"/>
          </w:tcPr>
          <w:p w14:paraId="6206DB0C" w14:textId="5665DDF7" w:rsidR="00582D65" w:rsidRDefault="00582D65" w:rsidP="001F0723">
            <w:pPr>
              <w:rPr>
                <w:sz w:val="22"/>
                <w:szCs w:val="22"/>
              </w:rPr>
            </w:pPr>
            <w:r>
              <w:rPr>
                <w:sz w:val="22"/>
                <w:szCs w:val="22"/>
              </w:rPr>
              <w:t>Rupture</w:t>
            </w:r>
            <w:r w:rsidRPr="00733E6C">
              <w:rPr>
                <w:sz w:val="22"/>
                <w:szCs w:val="22"/>
              </w:rPr>
              <w:t xml:space="preserve"> avant retraite, droit du conjoint de fait protégé</w:t>
            </w:r>
            <w:r w:rsidR="006E53B4">
              <w:rPr>
                <w:rStyle w:val="Marquenotebasdepage"/>
                <w:sz w:val="22"/>
                <w:szCs w:val="22"/>
              </w:rPr>
              <w:footnoteReference w:customMarkFollows="1" w:id="46"/>
              <w:t>43</w:t>
            </w:r>
          </w:p>
          <w:p w14:paraId="3C0E50C6" w14:textId="77777777" w:rsidR="00582D65" w:rsidRPr="00733E6C" w:rsidRDefault="00582D65" w:rsidP="001F0723">
            <w:pPr>
              <w:rPr>
                <w:sz w:val="22"/>
                <w:szCs w:val="22"/>
              </w:rPr>
            </w:pPr>
          </w:p>
        </w:tc>
        <w:tc>
          <w:tcPr>
            <w:tcW w:w="1985" w:type="dxa"/>
            <w:tcBorders>
              <w:top w:val="nil"/>
              <w:left w:val="nil"/>
              <w:bottom w:val="nil"/>
              <w:right w:val="nil"/>
            </w:tcBorders>
            <w:shd w:val="clear" w:color="auto" w:fill="FF5D72"/>
          </w:tcPr>
          <w:p w14:paraId="0C3D879C" w14:textId="77777777" w:rsidR="00582D65" w:rsidRPr="006E7A86" w:rsidRDefault="00582D65" w:rsidP="001F0723">
            <w:pPr>
              <w:jc w:val="center"/>
              <w:rPr>
                <w:sz w:val="22"/>
                <w:szCs w:val="22"/>
              </w:rPr>
            </w:pPr>
            <w:r>
              <w:rPr>
                <w:sz w:val="22"/>
                <w:szCs w:val="22"/>
              </w:rPr>
              <w:t>Non</w:t>
            </w:r>
          </w:p>
        </w:tc>
        <w:tc>
          <w:tcPr>
            <w:tcW w:w="1985" w:type="dxa"/>
            <w:tcBorders>
              <w:top w:val="nil"/>
              <w:left w:val="nil"/>
              <w:bottom w:val="nil"/>
              <w:right w:val="nil"/>
            </w:tcBorders>
            <w:shd w:val="clear" w:color="auto" w:fill="FF5D72"/>
          </w:tcPr>
          <w:p w14:paraId="2F8830AF" w14:textId="77777777" w:rsidR="00582D65" w:rsidRPr="006E7A86" w:rsidRDefault="00582D65" w:rsidP="001F0723">
            <w:pPr>
              <w:jc w:val="center"/>
              <w:rPr>
                <w:sz w:val="22"/>
                <w:szCs w:val="22"/>
              </w:rPr>
            </w:pPr>
            <w:r>
              <w:rPr>
                <w:sz w:val="22"/>
                <w:szCs w:val="22"/>
              </w:rPr>
              <w:t>Non</w:t>
            </w:r>
          </w:p>
        </w:tc>
        <w:tc>
          <w:tcPr>
            <w:tcW w:w="2125" w:type="dxa"/>
            <w:tcBorders>
              <w:top w:val="nil"/>
              <w:left w:val="nil"/>
              <w:bottom w:val="nil"/>
              <w:right w:val="nil"/>
            </w:tcBorders>
            <w:shd w:val="clear" w:color="auto" w:fill="FF5D72"/>
          </w:tcPr>
          <w:p w14:paraId="16C06838" w14:textId="77777777" w:rsidR="00582D65" w:rsidRPr="006E7A86" w:rsidRDefault="00582D65" w:rsidP="001F0723">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6E6ADA1F" w14:textId="77777777" w:rsidR="00582D65" w:rsidRPr="006E7A86" w:rsidRDefault="00582D65" w:rsidP="001F0723">
            <w:pPr>
              <w:jc w:val="center"/>
              <w:rPr>
                <w:sz w:val="22"/>
                <w:szCs w:val="22"/>
              </w:rPr>
            </w:pPr>
            <w:r>
              <w:rPr>
                <w:sz w:val="22"/>
                <w:szCs w:val="22"/>
              </w:rPr>
              <w:t>Non</w:t>
            </w:r>
          </w:p>
        </w:tc>
      </w:tr>
      <w:tr w:rsidR="00582D65" w14:paraId="04B1FF53" w14:textId="77777777" w:rsidTr="001F0723">
        <w:tc>
          <w:tcPr>
            <w:tcW w:w="7054" w:type="dxa"/>
            <w:tcBorders>
              <w:top w:val="nil"/>
              <w:left w:val="nil"/>
              <w:bottom w:val="nil"/>
              <w:right w:val="nil"/>
            </w:tcBorders>
            <w:shd w:val="clear" w:color="auto" w:fill="FF5D72"/>
          </w:tcPr>
          <w:p w14:paraId="49C2E337" w14:textId="1D0126F2" w:rsidR="00582D65" w:rsidRDefault="00582D65" w:rsidP="001F0723">
            <w:pPr>
              <w:rPr>
                <w:sz w:val="22"/>
                <w:szCs w:val="22"/>
              </w:rPr>
            </w:pPr>
            <w:r>
              <w:rPr>
                <w:sz w:val="22"/>
                <w:szCs w:val="22"/>
              </w:rPr>
              <w:t>Rupture</w:t>
            </w:r>
            <w:r w:rsidRPr="00733E6C">
              <w:rPr>
                <w:sz w:val="22"/>
                <w:szCs w:val="22"/>
              </w:rPr>
              <w:t xml:space="preserve"> </w:t>
            </w:r>
            <w:r>
              <w:rPr>
                <w:sz w:val="22"/>
                <w:szCs w:val="22"/>
              </w:rPr>
              <w:t>pendant</w:t>
            </w:r>
            <w:r w:rsidRPr="00733E6C">
              <w:rPr>
                <w:sz w:val="22"/>
                <w:szCs w:val="22"/>
              </w:rPr>
              <w:t xml:space="preserve"> retraite, droit du conjoint de fait protégé</w:t>
            </w:r>
          </w:p>
          <w:p w14:paraId="54939B08" w14:textId="77777777" w:rsidR="00582D65" w:rsidRPr="00733E6C" w:rsidRDefault="00582D65" w:rsidP="001F0723">
            <w:pPr>
              <w:rPr>
                <w:sz w:val="22"/>
                <w:szCs w:val="22"/>
              </w:rPr>
            </w:pPr>
          </w:p>
        </w:tc>
        <w:tc>
          <w:tcPr>
            <w:tcW w:w="1985" w:type="dxa"/>
            <w:tcBorders>
              <w:top w:val="nil"/>
              <w:left w:val="nil"/>
              <w:bottom w:val="nil"/>
              <w:right w:val="nil"/>
            </w:tcBorders>
            <w:shd w:val="clear" w:color="auto" w:fill="FF5D72"/>
          </w:tcPr>
          <w:p w14:paraId="3DAF6AE2" w14:textId="77777777" w:rsidR="00582D65" w:rsidRPr="006E7A86" w:rsidRDefault="00582D65" w:rsidP="001F0723">
            <w:pPr>
              <w:jc w:val="center"/>
              <w:rPr>
                <w:sz w:val="22"/>
                <w:szCs w:val="22"/>
              </w:rPr>
            </w:pPr>
            <w:r>
              <w:rPr>
                <w:sz w:val="22"/>
                <w:szCs w:val="22"/>
              </w:rPr>
              <w:t>Non</w:t>
            </w:r>
          </w:p>
        </w:tc>
        <w:tc>
          <w:tcPr>
            <w:tcW w:w="1985" w:type="dxa"/>
            <w:tcBorders>
              <w:top w:val="nil"/>
              <w:left w:val="nil"/>
              <w:bottom w:val="nil"/>
              <w:right w:val="nil"/>
            </w:tcBorders>
            <w:shd w:val="clear" w:color="auto" w:fill="FF5D72"/>
          </w:tcPr>
          <w:p w14:paraId="0DA425F0" w14:textId="77777777" w:rsidR="00582D65" w:rsidRPr="006E7A86" w:rsidRDefault="00582D65" w:rsidP="001F0723">
            <w:pPr>
              <w:jc w:val="center"/>
              <w:rPr>
                <w:sz w:val="22"/>
                <w:szCs w:val="22"/>
              </w:rPr>
            </w:pPr>
            <w:r>
              <w:rPr>
                <w:sz w:val="22"/>
                <w:szCs w:val="22"/>
              </w:rPr>
              <w:t>Non</w:t>
            </w:r>
          </w:p>
        </w:tc>
        <w:tc>
          <w:tcPr>
            <w:tcW w:w="2125" w:type="dxa"/>
            <w:tcBorders>
              <w:top w:val="nil"/>
              <w:left w:val="nil"/>
              <w:bottom w:val="nil"/>
              <w:right w:val="nil"/>
            </w:tcBorders>
            <w:shd w:val="clear" w:color="auto" w:fill="FF5D72"/>
          </w:tcPr>
          <w:p w14:paraId="6D5026C0" w14:textId="77777777" w:rsidR="00582D65" w:rsidRPr="006E7A86" w:rsidRDefault="00582D65" w:rsidP="001F0723">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36EB874A" w14:textId="77777777" w:rsidR="00582D65" w:rsidRPr="006E7A86" w:rsidRDefault="00582D65" w:rsidP="001F0723">
            <w:pPr>
              <w:jc w:val="center"/>
              <w:rPr>
                <w:sz w:val="22"/>
                <w:szCs w:val="22"/>
              </w:rPr>
            </w:pPr>
            <w:r>
              <w:rPr>
                <w:sz w:val="22"/>
                <w:szCs w:val="22"/>
              </w:rPr>
              <w:t>Non</w:t>
            </w:r>
          </w:p>
        </w:tc>
      </w:tr>
      <w:tr w:rsidR="00582D65" w14:paraId="39AE16A2" w14:textId="77777777" w:rsidTr="001F0723">
        <w:tc>
          <w:tcPr>
            <w:tcW w:w="7054" w:type="dxa"/>
            <w:tcBorders>
              <w:top w:val="nil"/>
              <w:left w:val="nil"/>
              <w:bottom w:val="nil"/>
              <w:right w:val="nil"/>
            </w:tcBorders>
            <w:shd w:val="clear" w:color="auto" w:fill="FF5D72"/>
          </w:tcPr>
          <w:p w14:paraId="3B9CB3AC" w14:textId="77777777" w:rsidR="00582D65" w:rsidRDefault="00582D65" w:rsidP="001F0723">
            <w:pPr>
              <w:rPr>
                <w:sz w:val="22"/>
                <w:szCs w:val="22"/>
              </w:rPr>
            </w:pPr>
            <w:r w:rsidRPr="00733E6C">
              <w:rPr>
                <w:sz w:val="22"/>
                <w:szCs w:val="22"/>
              </w:rPr>
              <w:t>D</w:t>
            </w:r>
            <w:r>
              <w:rPr>
                <w:sz w:val="22"/>
                <w:szCs w:val="22"/>
              </w:rPr>
              <w:t>écès</w:t>
            </w:r>
            <w:r w:rsidRPr="00733E6C">
              <w:rPr>
                <w:sz w:val="22"/>
                <w:szCs w:val="22"/>
              </w:rPr>
              <w:t xml:space="preserve"> avant retraite, droit du conjoint marié protégé</w:t>
            </w:r>
          </w:p>
          <w:p w14:paraId="05A5A0E2" w14:textId="77777777" w:rsidR="00582D65" w:rsidRDefault="00582D65" w:rsidP="001F0723"/>
        </w:tc>
        <w:tc>
          <w:tcPr>
            <w:tcW w:w="1985" w:type="dxa"/>
            <w:tcBorders>
              <w:top w:val="nil"/>
              <w:left w:val="nil"/>
              <w:bottom w:val="nil"/>
              <w:right w:val="nil"/>
            </w:tcBorders>
            <w:shd w:val="clear" w:color="auto" w:fill="FF5D72"/>
          </w:tcPr>
          <w:p w14:paraId="3E19B7F2" w14:textId="77777777" w:rsidR="00582D65" w:rsidRPr="006E7A86" w:rsidRDefault="00582D65" w:rsidP="001F0723">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7BB2A171" w14:textId="77777777" w:rsidR="00582D65" w:rsidRPr="006E7A86" w:rsidRDefault="00582D65" w:rsidP="001F0723">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0EE866C9" w14:textId="77777777" w:rsidR="00582D65" w:rsidRPr="006E7A86" w:rsidRDefault="00582D65" w:rsidP="001F0723">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04BBF4E1" w14:textId="77777777" w:rsidR="00582D65" w:rsidRPr="006E7A86" w:rsidRDefault="00582D65" w:rsidP="001F0723">
            <w:pPr>
              <w:jc w:val="center"/>
              <w:rPr>
                <w:sz w:val="22"/>
                <w:szCs w:val="22"/>
              </w:rPr>
            </w:pPr>
            <w:r>
              <w:rPr>
                <w:sz w:val="22"/>
                <w:szCs w:val="22"/>
              </w:rPr>
              <w:t>Oui</w:t>
            </w:r>
          </w:p>
        </w:tc>
      </w:tr>
      <w:tr w:rsidR="00582D65" w14:paraId="3D7C252D" w14:textId="77777777" w:rsidTr="001F0723">
        <w:tc>
          <w:tcPr>
            <w:tcW w:w="7054" w:type="dxa"/>
            <w:tcBorders>
              <w:top w:val="nil"/>
              <w:left w:val="nil"/>
              <w:bottom w:val="nil"/>
              <w:right w:val="nil"/>
            </w:tcBorders>
            <w:shd w:val="clear" w:color="auto" w:fill="FF5D72"/>
          </w:tcPr>
          <w:p w14:paraId="66A715D9" w14:textId="77777777" w:rsidR="00582D65" w:rsidRDefault="00582D65" w:rsidP="001F0723">
            <w:pPr>
              <w:rPr>
                <w:sz w:val="22"/>
                <w:szCs w:val="22"/>
              </w:rPr>
            </w:pPr>
            <w:r w:rsidRPr="00733E6C">
              <w:rPr>
                <w:sz w:val="22"/>
                <w:szCs w:val="22"/>
              </w:rPr>
              <w:t>D</w:t>
            </w:r>
            <w:r>
              <w:rPr>
                <w:sz w:val="22"/>
                <w:szCs w:val="22"/>
              </w:rPr>
              <w:t>écès</w:t>
            </w:r>
            <w:r w:rsidRPr="00733E6C">
              <w:rPr>
                <w:sz w:val="22"/>
                <w:szCs w:val="22"/>
              </w:rPr>
              <w:t xml:space="preserve"> </w:t>
            </w:r>
            <w:r>
              <w:rPr>
                <w:sz w:val="22"/>
                <w:szCs w:val="22"/>
              </w:rPr>
              <w:t>pendant</w:t>
            </w:r>
            <w:r w:rsidRPr="00733E6C">
              <w:rPr>
                <w:sz w:val="22"/>
                <w:szCs w:val="22"/>
              </w:rPr>
              <w:t xml:space="preserve"> retraite, droit du conjoint marié protégé</w:t>
            </w:r>
          </w:p>
          <w:p w14:paraId="32FE0D3C" w14:textId="77777777" w:rsidR="00582D65" w:rsidRDefault="00582D65" w:rsidP="001F0723"/>
        </w:tc>
        <w:tc>
          <w:tcPr>
            <w:tcW w:w="1985" w:type="dxa"/>
            <w:tcBorders>
              <w:top w:val="nil"/>
              <w:left w:val="nil"/>
              <w:bottom w:val="nil"/>
              <w:right w:val="nil"/>
            </w:tcBorders>
            <w:shd w:val="clear" w:color="auto" w:fill="FF5D72"/>
          </w:tcPr>
          <w:p w14:paraId="574E83BF" w14:textId="77777777" w:rsidR="00582D65" w:rsidRPr="006E7A86" w:rsidRDefault="00582D65" w:rsidP="001F0723">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7A212521" w14:textId="77777777" w:rsidR="00582D65" w:rsidRPr="006E7A86" w:rsidRDefault="00582D65" w:rsidP="001F0723">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649A4EA9" w14:textId="77777777" w:rsidR="00582D65" w:rsidRPr="006E7A86" w:rsidRDefault="00582D65" w:rsidP="001F0723">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0EC883FC" w14:textId="77777777" w:rsidR="00582D65" w:rsidRPr="006E7A86" w:rsidRDefault="00582D65" w:rsidP="001F0723">
            <w:pPr>
              <w:jc w:val="center"/>
              <w:rPr>
                <w:sz w:val="22"/>
                <w:szCs w:val="22"/>
              </w:rPr>
            </w:pPr>
            <w:r>
              <w:rPr>
                <w:sz w:val="22"/>
                <w:szCs w:val="22"/>
              </w:rPr>
              <w:t>Oui</w:t>
            </w:r>
          </w:p>
        </w:tc>
      </w:tr>
      <w:tr w:rsidR="00582D65" w14:paraId="405CE723" w14:textId="77777777" w:rsidTr="001F0723">
        <w:tc>
          <w:tcPr>
            <w:tcW w:w="7054" w:type="dxa"/>
            <w:tcBorders>
              <w:top w:val="nil"/>
              <w:left w:val="nil"/>
              <w:bottom w:val="nil"/>
              <w:right w:val="nil"/>
            </w:tcBorders>
            <w:shd w:val="clear" w:color="auto" w:fill="FF5D72"/>
          </w:tcPr>
          <w:p w14:paraId="5EAB05E3" w14:textId="503FE010" w:rsidR="00582D65" w:rsidRDefault="00582D65" w:rsidP="001F0723">
            <w:pPr>
              <w:rPr>
                <w:sz w:val="22"/>
                <w:szCs w:val="22"/>
              </w:rPr>
            </w:pPr>
            <w:r>
              <w:rPr>
                <w:sz w:val="22"/>
                <w:szCs w:val="22"/>
              </w:rPr>
              <w:t xml:space="preserve">Décès </w:t>
            </w:r>
            <w:r w:rsidRPr="00733E6C">
              <w:rPr>
                <w:sz w:val="22"/>
                <w:szCs w:val="22"/>
              </w:rPr>
              <w:t>avant retraite, droit du conjoint de fait protégé</w:t>
            </w:r>
          </w:p>
          <w:p w14:paraId="620DCDCC" w14:textId="77777777" w:rsidR="00582D65" w:rsidRDefault="00582D65" w:rsidP="001F0723"/>
        </w:tc>
        <w:tc>
          <w:tcPr>
            <w:tcW w:w="1985" w:type="dxa"/>
            <w:tcBorders>
              <w:top w:val="nil"/>
              <w:left w:val="nil"/>
              <w:bottom w:val="nil"/>
              <w:right w:val="nil"/>
            </w:tcBorders>
            <w:shd w:val="clear" w:color="auto" w:fill="FF5D72"/>
          </w:tcPr>
          <w:p w14:paraId="469D005F" w14:textId="77777777" w:rsidR="00582D65" w:rsidRPr="006E7A86" w:rsidRDefault="00582D65" w:rsidP="001F0723">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1024209F" w14:textId="77777777" w:rsidR="00582D65" w:rsidRPr="006E7A86" w:rsidRDefault="00582D65" w:rsidP="001F0723">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55041AA6" w14:textId="77777777" w:rsidR="00582D65" w:rsidRPr="006E7A86" w:rsidRDefault="00582D65" w:rsidP="001F0723">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197F3690" w14:textId="77777777" w:rsidR="00582D65" w:rsidRPr="006E7A86" w:rsidRDefault="00582D65" w:rsidP="001F0723">
            <w:pPr>
              <w:jc w:val="center"/>
              <w:rPr>
                <w:sz w:val="22"/>
                <w:szCs w:val="22"/>
              </w:rPr>
            </w:pPr>
            <w:r>
              <w:rPr>
                <w:sz w:val="22"/>
                <w:szCs w:val="22"/>
              </w:rPr>
              <w:t>Oui</w:t>
            </w:r>
          </w:p>
        </w:tc>
      </w:tr>
      <w:tr w:rsidR="00582D65" w14:paraId="71011BC0" w14:textId="77777777" w:rsidTr="001F0723">
        <w:tc>
          <w:tcPr>
            <w:tcW w:w="7054" w:type="dxa"/>
            <w:tcBorders>
              <w:top w:val="nil"/>
              <w:left w:val="nil"/>
              <w:bottom w:val="nil"/>
              <w:right w:val="nil"/>
            </w:tcBorders>
            <w:shd w:val="clear" w:color="auto" w:fill="FF5D72"/>
          </w:tcPr>
          <w:p w14:paraId="471C05BA" w14:textId="3D83B0F6" w:rsidR="00582D65" w:rsidRDefault="00582D65" w:rsidP="00041513">
            <w:r>
              <w:rPr>
                <w:sz w:val="22"/>
                <w:szCs w:val="22"/>
              </w:rPr>
              <w:t>Décès</w:t>
            </w:r>
            <w:r w:rsidRPr="00733E6C">
              <w:rPr>
                <w:sz w:val="22"/>
                <w:szCs w:val="22"/>
              </w:rPr>
              <w:t xml:space="preserve"> </w:t>
            </w:r>
            <w:r>
              <w:rPr>
                <w:sz w:val="22"/>
                <w:szCs w:val="22"/>
              </w:rPr>
              <w:t>pendant</w:t>
            </w:r>
            <w:r w:rsidRPr="00733E6C">
              <w:rPr>
                <w:sz w:val="22"/>
                <w:szCs w:val="22"/>
              </w:rPr>
              <w:t xml:space="preserve"> retraite, droit du conjoint de fait protégé</w:t>
            </w:r>
          </w:p>
        </w:tc>
        <w:tc>
          <w:tcPr>
            <w:tcW w:w="1985" w:type="dxa"/>
            <w:tcBorders>
              <w:top w:val="nil"/>
              <w:left w:val="nil"/>
              <w:bottom w:val="nil"/>
              <w:right w:val="nil"/>
            </w:tcBorders>
            <w:shd w:val="clear" w:color="auto" w:fill="FF5D72"/>
          </w:tcPr>
          <w:p w14:paraId="19148C83" w14:textId="77777777" w:rsidR="00582D65" w:rsidRPr="006E7A86" w:rsidRDefault="00582D65" w:rsidP="001F0723">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445F2C32" w14:textId="77777777" w:rsidR="00582D65" w:rsidRPr="006E7A86" w:rsidRDefault="00582D65" w:rsidP="001F0723">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122F5342" w14:textId="77777777" w:rsidR="00582D65" w:rsidRPr="006E7A86" w:rsidRDefault="00582D65" w:rsidP="001F0723">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3C99BD54" w14:textId="77777777" w:rsidR="00582D65" w:rsidRPr="006E7A86" w:rsidRDefault="00582D65" w:rsidP="001F0723">
            <w:pPr>
              <w:jc w:val="center"/>
              <w:rPr>
                <w:sz w:val="22"/>
                <w:szCs w:val="22"/>
              </w:rPr>
            </w:pPr>
            <w:r>
              <w:rPr>
                <w:sz w:val="22"/>
                <w:szCs w:val="22"/>
              </w:rPr>
              <w:t>Oui</w:t>
            </w:r>
          </w:p>
        </w:tc>
      </w:tr>
    </w:tbl>
    <w:p w14:paraId="32D6A260" w14:textId="0E8201AB" w:rsidR="00AE28C4" w:rsidRDefault="00AE28C4" w:rsidP="006C34CF">
      <w:pPr>
        <w:pStyle w:val="Titre2"/>
        <w:numPr>
          <w:ilvl w:val="0"/>
          <w:numId w:val="18"/>
        </w:numPr>
        <w:ind w:left="567" w:hanging="567"/>
      </w:pPr>
      <w:bookmarkStart w:id="80" w:name="_Toc314397847"/>
      <w:bookmarkStart w:id="81" w:name="_Toc443569391"/>
      <w:r>
        <w:lastRenderedPageBreak/>
        <w:t>Réflexion</w:t>
      </w:r>
      <w:r w:rsidR="00452206">
        <w:t>s</w:t>
      </w:r>
      <w:r>
        <w:t xml:space="preserve"> sur les régimes de pension</w:t>
      </w:r>
      <w:bookmarkEnd w:id="80"/>
      <w:bookmarkEnd w:id="81"/>
    </w:p>
    <w:p w14:paraId="48EF3794" w14:textId="77777777" w:rsidR="008728E3" w:rsidRDefault="008728E3" w:rsidP="008728E3"/>
    <w:p w14:paraId="1C34102B" w14:textId="110EF9D4" w:rsidR="008728E3" w:rsidRDefault="008728E3" w:rsidP="00B05AE0">
      <w:pPr>
        <w:jc w:val="both"/>
        <w:rPr>
          <w:rFonts w:asciiTheme="majorHAnsi" w:hAnsiTheme="majorHAnsi"/>
        </w:rPr>
      </w:pPr>
      <w:r>
        <w:t xml:space="preserve">Les régimes de pension, </w:t>
      </w:r>
      <w:r w:rsidR="000A32DA">
        <w:t>tel</w:t>
      </w:r>
      <w:r w:rsidR="00561B75">
        <w:t>s</w:t>
      </w:r>
      <w:r>
        <w:t xml:space="preserve"> que nous les avons étudiés lorsqu'ils sont liés à l'employeur ou, comme nous le verrons plus tard, lorsqu'ils sont propres à l'épargne individuelle, sont-ils équitables et justes </w:t>
      </w:r>
      <w:r w:rsidRPr="008728E3">
        <w:rPr>
          <w:rFonts w:ascii="Avenir Book" w:hAnsi="Avenir Book"/>
        </w:rPr>
        <w:t>?</w:t>
      </w:r>
      <w:r w:rsidR="00B05AE0">
        <w:rPr>
          <w:rFonts w:ascii="Avenir Book" w:hAnsi="Avenir Book"/>
        </w:rPr>
        <w:t xml:space="preserve"> </w:t>
      </w:r>
      <w:r w:rsidR="00B05AE0" w:rsidRPr="00B05AE0">
        <w:rPr>
          <w:rFonts w:asciiTheme="majorHAnsi" w:hAnsiTheme="majorHAnsi"/>
        </w:rPr>
        <w:t xml:space="preserve">Vaste questionnement </w:t>
      </w:r>
      <w:r w:rsidR="00B05AE0">
        <w:rPr>
          <w:rFonts w:asciiTheme="majorHAnsi" w:hAnsiTheme="majorHAnsi"/>
        </w:rPr>
        <w:t>de grande actualité</w:t>
      </w:r>
      <w:r w:rsidR="001E25EA">
        <w:rPr>
          <w:rFonts w:asciiTheme="majorHAnsi" w:hAnsiTheme="majorHAnsi"/>
        </w:rPr>
        <w:t>,</w:t>
      </w:r>
      <w:r w:rsidR="00B05AE0">
        <w:rPr>
          <w:rFonts w:asciiTheme="majorHAnsi" w:hAnsiTheme="majorHAnsi"/>
        </w:rPr>
        <w:t xml:space="preserve"> en partie difficile à trancher</w:t>
      </w:r>
      <w:r w:rsidR="001E25EA">
        <w:rPr>
          <w:rFonts w:asciiTheme="majorHAnsi" w:hAnsiTheme="majorHAnsi"/>
        </w:rPr>
        <w:t>,</w:t>
      </w:r>
      <w:r w:rsidR="00B05AE0">
        <w:rPr>
          <w:rFonts w:asciiTheme="majorHAnsi" w:hAnsiTheme="majorHAnsi"/>
        </w:rPr>
        <w:t xml:space="preserve"> et dont l'appréciation dépend de multiples points de vue </w:t>
      </w:r>
      <w:r w:rsidR="004D0081">
        <w:rPr>
          <w:rFonts w:asciiTheme="majorHAnsi" w:hAnsiTheme="majorHAnsi"/>
        </w:rPr>
        <w:t xml:space="preserve">propres à </w:t>
      </w:r>
      <w:r w:rsidR="001E25EA">
        <w:rPr>
          <w:rFonts w:asciiTheme="majorHAnsi" w:hAnsiTheme="majorHAnsi"/>
        </w:rPr>
        <w:t>chacun</w:t>
      </w:r>
      <w:r w:rsidR="00B05AE0">
        <w:rPr>
          <w:rFonts w:asciiTheme="majorHAnsi" w:hAnsiTheme="majorHAnsi"/>
        </w:rPr>
        <w:t xml:space="preserve">. Pour tenter davantage </w:t>
      </w:r>
      <w:r w:rsidR="004D0081">
        <w:rPr>
          <w:rFonts w:asciiTheme="majorHAnsi" w:hAnsiTheme="majorHAnsi"/>
        </w:rPr>
        <w:t>d</w:t>
      </w:r>
      <w:r w:rsidR="00B05AE0">
        <w:rPr>
          <w:rFonts w:asciiTheme="majorHAnsi" w:hAnsiTheme="majorHAnsi"/>
        </w:rPr>
        <w:t xml:space="preserve">e </w:t>
      </w:r>
      <w:r w:rsidR="000A32DA">
        <w:rPr>
          <w:rFonts w:asciiTheme="majorHAnsi" w:hAnsiTheme="majorHAnsi"/>
        </w:rPr>
        <w:t xml:space="preserve">nous </w:t>
      </w:r>
      <w:r w:rsidR="00B05AE0">
        <w:rPr>
          <w:rFonts w:asciiTheme="majorHAnsi" w:hAnsiTheme="majorHAnsi"/>
        </w:rPr>
        <w:t xml:space="preserve">armer de propos </w:t>
      </w:r>
      <w:r w:rsidR="003E1AAE">
        <w:rPr>
          <w:rFonts w:asciiTheme="majorHAnsi" w:hAnsiTheme="majorHAnsi"/>
        </w:rPr>
        <w:t xml:space="preserve">ordonnés, </w:t>
      </w:r>
      <w:r w:rsidR="00B05AE0">
        <w:rPr>
          <w:rFonts w:asciiTheme="majorHAnsi" w:hAnsiTheme="majorHAnsi"/>
        </w:rPr>
        <w:t xml:space="preserve">objectifs et factuels, nous aborderons la question sous deux angles précis, </w:t>
      </w:r>
      <w:r w:rsidR="00B05AE0" w:rsidRPr="00B05AE0">
        <w:rPr>
          <w:rFonts w:asciiTheme="majorHAnsi" w:hAnsiTheme="majorHAnsi"/>
          <w:color w:val="FF6700" w:themeColor="accent3"/>
        </w:rPr>
        <w:t>LA FISCALITÉ</w:t>
      </w:r>
      <w:r w:rsidR="00B05AE0">
        <w:rPr>
          <w:rFonts w:asciiTheme="majorHAnsi" w:hAnsiTheme="majorHAnsi"/>
        </w:rPr>
        <w:t xml:space="preserve"> (techniquement complexe</w:t>
      </w:r>
      <w:r w:rsidR="004D0081">
        <w:rPr>
          <w:rFonts w:asciiTheme="majorHAnsi" w:hAnsiTheme="majorHAnsi"/>
        </w:rPr>
        <w:t>,</w:t>
      </w:r>
      <w:r w:rsidR="00B05AE0">
        <w:rPr>
          <w:rFonts w:asciiTheme="majorHAnsi" w:hAnsiTheme="majorHAnsi"/>
        </w:rPr>
        <w:t xml:space="preserve"> mais </w:t>
      </w:r>
      <w:r w:rsidR="003E1AAE">
        <w:rPr>
          <w:rFonts w:asciiTheme="majorHAnsi" w:hAnsiTheme="majorHAnsi"/>
        </w:rPr>
        <w:t xml:space="preserve">règlementée et </w:t>
      </w:r>
      <w:r w:rsidR="00B05AE0">
        <w:rPr>
          <w:rFonts w:asciiTheme="majorHAnsi" w:hAnsiTheme="majorHAnsi"/>
        </w:rPr>
        <w:t xml:space="preserve">factuelle) et </w:t>
      </w:r>
      <w:r w:rsidR="00332243" w:rsidRPr="00332243">
        <w:rPr>
          <w:rFonts w:asciiTheme="majorHAnsi" w:hAnsiTheme="majorHAnsi"/>
          <w:color w:val="FF6700" w:themeColor="accent3"/>
        </w:rPr>
        <w:t>LA VALEUR ÉCONOMIQU</w:t>
      </w:r>
      <w:r w:rsidR="00332243" w:rsidRPr="004D0081">
        <w:rPr>
          <w:rFonts w:asciiTheme="majorHAnsi" w:hAnsiTheme="majorHAnsi"/>
          <w:color w:val="FF6700" w:themeColor="accent3"/>
        </w:rPr>
        <w:t>E</w:t>
      </w:r>
      <w:r w:rsidR="00332243">
        <w:rPr>
          <w:rFonts w:asciiTheme="majorHAnsi" w:hAnsiTheme="majorHAnsi"/>
        </w:rPr>
        <w:t xml:space="preserve"> du régime (également techniquement complexe</w:t>
      </w:r>
      <w:r w:rsidR="004D0081">
        <w:rPr>
          <w:rFonts w:asciiTheme="majorHAnsi" w:hAnsiTheme="majorHAnsi"/>
        </w:rPr>
        <w:t xml:space="preserve"> et</w:t>
      </w:r>
      <w:r w:rsidR="00332243">
        <w:rPr>
          <w:rFonts w:asciiTheme="majorHAnsi" w:hAnsiTheme="majorHAnsi"/>
        </w:rPr>
        <w:t xml:space="preserve">  aussi sujet à la contr</w:t>
      </w:r>
      <w:r w:rsidR="004D0081">
        <w:rPr>
          <w:rFonts w:asciiTheme="majorHAnsi" w:hAnsiTheme="majorHAnsi"/>
        </w:rPr>
        <w:t>ove</w:t>
      </w:r>
      <w:r w:rsidR="00332243">
        <w:rPr>
          <w:rFonts w:asciiTheme="majorHAnsi" w:hAnsiTheme="majorHAnsi"/>
        </w:rPr>
        <w:t>rse</w:t>
      </w:r>
      <w:r w:rsidR="004D0081">
        <w:rPr>
          <w:rFonts w:asciiTheme="majorHAnsi" w:hAnsiTheme="majorHAnsi"/>
        </w:rPr>
        <w:t xml:space="preserve">).  </w:t>
      </w:r>
      <w:r w:rsidR="00332243">
        <w:rPr>
          <w:rFonts w:asciiTheme="majorHAnsi" w:hAnsiTheme="majorHAnsi"/>
        </w:rPr>
        <w:t xml:space="preserve">  </w:t>
      </w:r>
    </w:p>
    <w:p w14:paraId="16322940" w14:textId="77777777" w:rsidR="004D0081" w:rsidRDefault="004D0081" w:rsidP="00B05AE0">
      <w:pPr>
        <w:jc w:val="both"/>
        <w:rPr>
          <w:rFonts w:asciiTheme="majorHAnsi" w:hAnsiTheme="majorHAnsi"/>
        </w:rPr>
      </w:pPr>
    </w:p>
    <w:p w14:paraId="57893B56" w14:textId="0F7BABA1" w:rsidR="00534623" w:rsidRDefault="002B4CED" w:rsidP="00B05AE0">
      <w:pPr>
        <w:jc w:val="both"/>
        <w:rPr>
          <w:rFonts w:asciiTheme="majorHAnsi" w:hAnsiTheme="majorHAnsi"/>
        </w:rPr>
      </w:pPr>
      <w:r>
        <w:rPr>
          <w:rFonts w:asciiTheme="majorHAnsi" w:hAnsiTheme="majorHAnsi"/>
        </w:rPr>
        <w:t xml:space="preserve">D'un point de vue fiscal, les objectifs du fisc visent à donner un coup de pouce aux épargnants tout en préservant l'équité entre les différents véhicules de retraite faisant l'objet de mesures fiscales préférentielles. Les règles fiscales ne doivent pas avoir de "petits préférés", elles doivent prôner la neutralité. Y </w:t>
      </w:r>
      <w:r w:rsidR="000A32DA">
        <w:rPr>
          <w:rFonts w:asciiTheme="majorHAnsi" w:hAnsiTheme="majorHAnsi"/>
        </w:rPr>
        <w:t>arrivent</w:t>
      </w:r>
      <w:r>
        <w:rPr>
          <w:rFonts w:asciiTheme="majorHAnsi" w:hAnsiTheme="majorHAnsi"/>
        </w:rPr>
        <w:t xml:space="preserve">-elles </w:t>
      </w:r>
      <w:r w:rsidRPr="002B4CED">
        <w:rPr>
          <w:rFonts w:ascii="Avenir Book" w:hAnsi="Avenir Book"/>
        </w:rPr>
        <w:t>?</w:t>
      </w:r>
      <w:r>
        <w:rPr>
          <w:rFonts w:asciiTheme="majorHAnsi" w:hAnsiTheme="majorHAnsi"/>
        </w:rPr>
        <w:t xml:space="preserve"> Les bonnes intentions sont bien réelles et les règles mises en place, notamment par les différentes limites imposées aux régimes ainsi que par la détermination du facteur d'équivalence (ce concept sera vu dans la section portant sur le REÉR), arrivent à s'acquitter de leur désir de neutralité pour la majorité des régimes de retraite. En fait</w:t>
      </w:r>
      <w:r w:rsidR="000A32DA">
        <w:rPr>
          <w:rFonts w:asciiTheme="majorHAnsi" w:hAnsiTheme="majorHAnsi"/>
        </w:rPr>
        <w:t xml:space="preserve">, </w:t>
      </w:r>
      <w:r>
        <w:rPr>
          <w:rFonts w:asciiTheme="majorHAnsi" w:hAnsiTheme="majorHAnsi"/>
        </w:rPr>
        <w:t>les règles fiscales sont en substance de même nature lorsque l</w:t>
      </w:r>
      <w:r w:rsidR="00F30F91">
        <w:rPr>
          <w:rFonts w:asciiTheme="majorHAnsi" w:hAnsiTheme="majorHAnsi"/>
        </w:rPr>
        <w:t>'</w:t>
      </w:r>
      <w:r>
        <w:rPr>
          <w:rFonts w:asciiTheme="majorHAnsi" w:hAnsiTheme="majorHAnsi"/>
        </w:rPr>
        <w:t xml:space="preserve">on compare l'ensemble </w:t>
      </w:r>
      <w:r w:rsidR="00F30F91">
        <w:rPr>
          <w:rFonts w:asciiTheme="majorHAnsi" w:hAnsiTheme="majorHAnsi"/>
        </w:rPr>
        <w:t xml:space="preserve">des régimes de type </w:t>
      </w:r>
      <w:r w:rsidR="00F30F91" w:rsidRPr="00F30F91">
        <w:rPr>
          <w:rFonts w:asciiTheme="majorHAnsi" w:hAnsiTheme="majorHAnsi"/>
          <w:color w:val="FF6700" w:themeColor="accent3"/>
        </w:rPr>
        <w:t>"À COTISATION DÉTERMINÉE"</w:t>
      </w:r>
      <w:r w:rsidR="00F30F91">
        <w:rPr>
          <w:rFonts w:asciiTheme="majorHAnsi" w:hAnsiTheme="majorHAnsi"/>
        </w:rPr>
        <w:t xml:space="preserve"> (RPACD, REÉR, RVÉR, etc.). Le problème d'équité survient lorsque nous devons comparer les régimes à cotisation déterminée et ceux à prestation déterminée. Tout d'abord, convenons de la complexité de la tâche à accomplir. Pour être de même acabit, le fisc se doit d'arrimer la limite de cotisation permise en vertu d'un régime à cotisation déterminée (événement qui se situe dans le présent) à la limite permise des prestations à verser par un régime à prestation déterminée (événement qui se situe dans le futur</w:t>
      </w:r>
      <w:r w:rsidR="00534623">
        <w:rPr>
          <w:rFonts w:asciiTheme="majorHAnsi" w:hAnsiTheme="majorHAnsi"/>
        </w:rPr>
        <w:t xml:space="preserve">). </w:t>
      </w:r>
      <w:r w:rsidR="003E1AAE">
        <w:rPr>
          <w:rFonts w:asciiTheme="majorHAnsi" w:hAnsiTheme="majorHAnsi"/>
        </w:rPr>
        <w:t>C</w:t>
      </w:r>
      <w:r w:rsidR="00534623">
        <w:rPr>
          <w:rFonts w:asciiTheme="majorHAnsi" w:hAnsiTheme="majorHAnsi"/>
        </w:rPr>
        <w:t>ette tâche est ardue et doit s'appuyer sur un grand nombre d'hypothèses actuarielles (espérance de vie, rendement, inflation, âge de la prise de la retraite,</w:t>
      </w:r>
      <w:r w:rsidR="003E1AAE">
        <w:rPr>
          <w:rFonts w:asciiTheme="majorHAnsi" w:hAnsiTheme="majorHAnsi"/>
        </w:rPr>
        <w:t xml:space="preserve"> variabilité dans l'espérance de vie selon le genre,</w:t>
      </w:r>
      <w:r w:rsidR="00534623">
        <w:rPr>
          <w:rFonts w:asciiTheme="majorHAnsi" w:hAnsiTheme="majorHAnsi"/>
        </w:rPr>
        <w:t xml:space="preserve"> etc.). Cette acrobatie actuarielle prend la forme suivante:</w:t>
      </w:r>
    </w:p>
    <w:p w14:paraId="56CB8788" w14:textId="77777777" w:rsidR="00534623" w:rsidRDefault="00534623" w:rsidP="00B05AE0">
      <w:pPr>
        <w:jc w:val="both"/>
        <w:rPr>
          <w:rFonts w:asciiTheme="majorHAnsi" w:hAnsiTheme="majorHAnsi"/>
        </w:rPr>
      </w:pPr>
    </w:p>
    <w:p w14:paraId="146AAE4F" w14:textId="2ECCDD2F" w:rsidR="001D514C" w:rsidRDefault="00534623" w:rsidP="006C34CF">
      <w:pPr>
        <w:pStyle w:val="Paragraphedeliste"/>
        <w:numPr>
          <w:ilvl w:val="0"/>
          <w:numId w:val="45"/>
        </w:numPr>
        <w:jc w:val="both"/>
        <w:rPr>
          <w:rFonts w:asciiTheme="majorHAnsi" w:hAnsiTheme="majorHAnsi"/>
        </w:rPr>
      </w:pPr>
      <w:r>
        <w:rPr>
          <w:rFonts w:asciiTheme="majorHAnsi" w:hAnsiTheme="majorHAnsi"/>
        </w:rPr>
        <w:t>Limite</w:t>
      </w:r>
      <w:r w:rsidR="001D514C">
        <w:rPr>
          <w:rFonts w:asciiTheme="majorHAnsi" w:hAnsiTheme="majorHAnsi"/>
        </w:rPr>
        <w:t xml:space="preserve"> annuelle</w:t>
      </w:r>
      <w:r>
        <w:rPr>
          <w:rFonts w:asciiTheme="majorHAnsi" w:hAnsiTheme="majorHAnsi"/>
        </w:rPr>
        <w:t xml:space="preserve"> des cotisations pour un RPACD = 18 % * salaire (Maximum en 2015 = </w:t>
      </w:r>
      <w:r w:rsidR="001D514C" w:rsidRPr="000069D9">
        <w:rPr>
          <w:rFonts w:asciiTheme="majorHAnsi" w:hAnsiTheme="majorHAnsi"/>
          <w:color w:val="FF6700" w:themeColor="accent3"/>
        </w:rPr>
        <w:t>25 370 $)</w:t>
      </w:r>
    </w:p>
    <w:p w14:paraId="33CF0EBA" w14:textId="77777777" w:rsidR="001D514C" w:rsidRPr="001D514C" w:rsidRDefault="001D514C" w:rsidP="001D514C">
      <w:pPr>
        <w:ind w:left="329"/>
        <w:jc w:val="both"/>
        <w:rPr>
          <w:rFonts w:asciiTheme="majorHAnsi" w:hAnsiTheme="majorHAnsi"/>
        </w:rPr>
      </w:pPr>
    </w:p>
    <w:p w14:paraId="61D58684" w14:textId="03B1A2AA" w:rsidR="00C5270B" w:rsidRDefault="00534623" w:rsidP="006C34CF">
      <w:pPr>
        <w:pStyle w:val="Paragraphedeliste"/>
        <w:numPr>
          <w:ilvl w:val="0"/>
          <w:numId w:val="45"/>
        </w:numPr>
        <w:jc w:val="both"/>
        <w:rPr>
          <w:rFonts w:asciiTheme="majorHAnsi" w:hAnsiTheme="majorHAnsi"/>
        </w:rPr>
      </w:pPr>
      <w:r>
        <w:rPr>
          <w:rFonts w:asciiTheme="majorHAnsi" w:hAnsiTheme="majorHAnsi"/>
        </w:rPr>
        <w:t xml:space="preserve"> </w:t>
      </w:r>
      <w:r w:rsidR="001D514C">
        <w:rPr>
          <w:rFonts w:asciiTheme="majorHAnsi" w:hAnsiTheme="majorHAnsi"/>
        </w:rPr>
        <w:t>Limite</w:t>
      </w:r>
      <w:r w:rsidR="000069D9">
        <w:rPr>
          <w:rFonts w:asciiTheme="majorHAnsi" w:hAnsiTheme="majorHAnsi"/>
        </w:rPr>
        <w:t>,</w:t>
      </w:r>
      <w:r w:rsidR="001D514C">
        <w:rPr>
          <w:rFonts w:asciiTheme="majorHAnsi" w:hAnsiTheme="majorHAnsi"/>
        </w:rPr>
        <w:t xml:space="preserve"> par année de service</w:t>
      </w:r>
      <w:r w:rsidR="000069D9">
        <w:rPr>
          <w:rFonts w:asciiTheme="majorHAnsi" w:hAnsiTheme="majorHAnsi"/>
        </w:rPr>
        <w:t>,</w:t>
      </w:r>
      <w:r w:rsidR="001D514C">
        <w:rPr>
          <w:rFonts w:asciiTheme="majorHAnsi" w:hAnsiTheme="majorHAnsi"/>
        </w:rPr>
        <w:t xml:space="preserve"> des prestations pour un RPAPD = </w:t>
      </w:r>
      <w:r w:rsidR="00C5270B">
        <w:rPr>
          <w:rFonts w:asciiTheme="majorHAnsi" w:hAnsiTheme="majorHAnsi"/>
        </w:rPr>
        <w:t>2 % (Maximum en 2015 = 1/9 CD</w:t>
      </w:r>
      <w:r w:rsidR="001D514C">
        <w:rPr>
          <w:rFonts w:asciiTheme="majorHAnsi" w:hAnsiTheme="majorHAnsi"/>
        </w:rPr>
        <w:t xml:space="preserve"> = </w:t>
      </w:r>
    </w:p>
    <w:p w14:paraId="044E0DA0" w14:textId="7FB24D80" w:rsidR="001D514C" w:rsidRPr="00C5270B" w:rsidRDefault="000069D9" w:rsidP="00C5270B">
      <w:pPr>
        <w:ind w:left="329"/>
        <w:jc w:val="both"/>
        <w:rPr>
          <w:rFonts w:asciiTheme="majorHAnsi" w:hAnsiTheme="majorHAnsi"/>
        </w:rPr>
      </w:pPr>
      <w:r>
        <w:rPr>
          <w:rFonts w:asciiTheme="majorHAnsi" w:hAnsiTheme="majorHAnsi"/>
        </w:rPr>
        <w:tab/>
        <w:t xml:space="preserve">      </w:t>
      </w:r>
      <w:r w:rsidR="00C5270B" w:rsidRPr="000069D9">
        <w:rPr>
          <w:rFonts w:asciiTheme="majorHAnsi" w:hAnsiTheme="majorHAnsi"/>
          <w:color w:val="FF6700" w:themeColor="accent3"/>
        </w:rPr>
        <w:t>25 370 $</w:t>
      </w:r>
      <w:r w:rsidR="00C5270B" w:rsidRPr="00C5270B">
        <w:rPr>
          <w:rFonts w:asciiTheme="majorHAnsi" w:hAnsiTheme="majorHAnsi"/>
        </w:rPr>
        <w:t>/9 = 2 818 $)</w:t>
      </w:r>
    </w:p>
    <w:p w14:paraId="1D653C04" w14:textId="5BADC0EC" w:rsidR="004D0081" w:rsidRDefault="004D0081" w:rsidP="000069D9">
      <w:pPr>
        <w:ind w:left="329"/>
        <w:jc w:val="both"/>
        <w:rPr>
          <w:rFonts w:asciiTheme="majorHAnsi" w:hAnsiTheme="majorHAnsi"/>
        </w:rPr>
      </w:pPr>
    </w:p>
    <w:p w14:paraId="71CEC6D5" w14:textId="1102C0B3" w:rsidR="004C18DC" w:rsidRDefault="00AE601A" w:rsidP="00D86960">
      <w:pPr>
        <w:jc w:val="both"/>
        <w:rPr>
          <w:rFonts w:asciiTheme="majorHAnsi" w:hAnsiTheme="majorHAnsi"/>
        </w:rPr>
      </w:pPr>
      <w:r>
        <w:rPr>
          <w:rFonts w:asciiTheme="majorHAnsi" w:hAnsiTheme="majorHAnsi"/>
        </w:rPr>
        <w:lastRenderedPageBreak/>
        <w:t xml:space="preserve">Au coeur de ces équations, nous retrouvons le </w:t>
      </w:r>
      <w:r w:rsidR="008D13D8" w:rsidRPr="008D13D8">
        <w:rPr>
          <w:rFonts w:asciiTheme="majorHAnsi" w:hAnsiTheme="majorHAnsi"/>
          <w:color w:val="FF6700" w:themeColor="accent3"/>
        </w:rPr>
        <w:t>FACTEUR 9</w:t>
      </w:r>
      <w:r>
        <w:rPr>
          <w:rFonts w:asciiTheme="majorHAnsi" w:hAnsiTheme="majorHAnsi"/>
        </w:rPr>
        <w:t xml:space="preserve"> qui se veut une approximation actuarielle qui souhaite relier le plus vraisemblablement possible les limites accordées aux cotisations et celles applicables aux prestations. Les actuaires ont donc conclu que 100 $ de cotisations génèreraient une rente viagère de 11,11 $. L'exercice est louable, mais il ne peut qu'être statistique et comporter d'importants écarts dans le temps. Cette équation ne peut être à la fois véridique dans le cas d'un marché qui génère des rendements de 3 % et de 8 % et il ne peut être exact, à la fois</w:t>
      </w:r>
      <w:r w:rsidR="008D13D8">
        <w:rPr>
          <w:rFonts w:asciiTheme="majorHAnsi" w:hAnsiTheme="majorHAnsi"/>
        </w:rPr>
        <w:t>,</w:t>
      </w:r>
      <w:r>
        <w:rPr>
          <w:rFonts w:asciiTheme="majorHAnsi" w:hAnsiTheme="majorHAnsi"/>
        </w:rPr>
        <w:t xml:space="preserve"> pour une même cotisation versée à l'âge de 30 ans ou à l'âge de 50 ans. C'est un modèle </w:t>
      </w:r>
      <w:r w:rsidR="008D13D8">
        <w:rPr>
          <w:rFonts w:asciiTheme="majorHAnsi" w:hAnsiTheme="majorHAnsi"/>
        </w:rPr>
        <w:t>actuariel qui a ses limites.</w:t>
      </w:r>
    </w:p>
    <w:p w14:paraId="368B0D25" w14:textId="77777777" w:rsidR="008D13D8" w:rsidRDefault="008D13D8" w:rsidP="000069D9">
      <w:pPr>
        <w:ind w:left="329"/>
        <w:jc w:val="both"/>
        <w:rPr>
          <w:rFonts w:asciiTheme="majorHAnsi" w:hAnsiTheme="majorHAnsi"/>
        </w:rPr>
      </w:pPr>
    </w:p>
    <w:p w14:paraId="6F258E9A" w14:textId="30374ADF" w:rsidR="00A82FAB" w:rsidRDefault="00645ED0" w:rsidP="00D86960">
      <w:pPr>
        <w:jc w:val="both"/>
        <w:rPr>
          <w:rFonts w:asciiTheme="majorHAnsi" w:hAnsiTheme="majorHAnsi"/>
        </w:rPr>
      </w:pPr>
      <w:r>
        <w:rPr>
          <w:rFonts w:asciiTheme="majorHAnsi" w:hAnsiTheme="majorHAnsi"/>
        </w:rPr>
        <w:t>Une deuxième manifestation de la complexité de relier par des règles égalitaires des régimes à cotisations déterminées et à prestations déterminées se trouve dans la détermination du facteur d'équivalence</w:t>
      </w:r>
      <w:r w:rsidR="003C3101">
        <w:rPr>
          <w:rFonts w:asciiTheme="majorHAnsi" w:hAnsiTheme="majorHAnsi"/>
        </w:rPr>
        <w:t xml:space="preserve"> (FE)</w:t>
      </w:r>
      <w:r>
        <w:rPr>
          <w:rFonts w:asciiTheme="majorHAnsi" w:hAnsiTheme="majorHAnsi"/>
        </w:rPr>
        <w:t xml:space="preserve">. Ce concept vise à reconnaître la valeur économique </w:t>
      </w:r>
      <w:r w:rsidR="00B56984">
        <w:rPr>
          <w:rFonts w:asciiTheme="majorHAnsi" w:hAnsiTheme="majorHAnsi"/>
        </w:rPr>
        <w:t>des cotisations versées au</w:t>
      </w:r>
      <w:r>
        <w:rPr>
          <w:rFonts w:asciiTheme="majorHAnsi" w:hAnsiTheme="majorHAnsi"/>
        </w:rPr>
        <w:t xml:space="preserve"> RPACD ou </w:t>
      </w:r>
      <w:r w:rsidR="00B56984">
        <w:rPr>
          <w:rFonts w:asciiTheme="majorHAnsi" w:hAnsiTheme="majorHAnsi"/>
        </w:rPr>
        <w:t>au</w:t>
      </w:r>
      <w:r>
        <w:rPr>
          <w:rFonts w:asciiTheme="majorHAnsi" w:hAnsiTheme="majorHAnsi"/>
        </w:rPr>
        <w:t xml:space="preserve"> RPAPD d'un contribuable et ainsi réduire la possibilité pou</w:t>
      </w:r>
      <w:r w:rsidR="003C3101">
        <w:rPr>
          <w:rFonts w:asciiTheme="majorHAnsi" w:hAnsiTheme="majorHAnsi"/>
        </w:rPr>
        <w:t>r</w:t>
      </w:r>
      <w:r>
        <w:rPr>
          <w:rFonts w:asciiTheme="majorHAnsi" w:hAnsiTheme="majorHAnsi"/>
        </w:rPr>
        <w:t xml:space="preserve"> celui-ci de verser des épargnes supplémentaires dans un REÉR</w:t>
      </w:r>
      <w:r w:rsidR="003C3101">
        <w:rPr>
          <w:rFonts w:asciiTheme="majorHAnsi" w:hAnsiTheme="majorHAnsi"/>
        </w:rPr>
        <w:t xml:space="preserve">. C'est la pierre angulaire de l'équité fiscale entre les différents régimes à revenus différés. Observons comment le facteur d'équivalence se calcule: </w:t>
      </w:r>
    </w:p>
    <w:p w14:paraId="735BEF4C" w14:textId="77777777" w:rsidR="00EF3520" w:rsidRDefault="00EF3520" w:rsidP="000069D9">
      <w:pPr>
        <w:ind w:left="329"/>
        <w:jc w:val="both"/>
        <w:rPr>
          <w:rFonts w:asciiTheme="majorHAnsi" w:hAnsiTheme="majorHAnsi"/>
        </w:rPr>
      </w:pPr>
    </w:p>
    <w:p w14:paraId="0C41671F" w14:textId="24DD418F" w:rsidR="00FB1ED9" w:rsidRPr="00FB1ED9" w:rsidRDefault="00370356" w:rsidP="006C34CF">
      <w:pPr>
        <w:pStyle w:val="Paragraphedeliste"/>
        <w:numPr>
          <w:ilvl w:val="0"/>
          <w:numId w:val="45"/>
        </w:numPr>
        <w:rPr>
          <w:rFonts w:asciiTheme="majorHAnsi" w:hAnsiTheme="majorHAnsi"/>
          <w:lang w:val="fr-CA"/>
        </w:rPr>
      </w:pPr>
      <w:r w:rsidRPr="00FB1ED9">
        <w:rPr>
          <w:rFonts w:asciiTheme="majorHAnsi" w:hAnsiTheme="majorHAnsi"/>
        </w:rPr>
        <w:t xml:space="preserve">FE du </w:t>
      </w:r>
      <w:r w:rsidR="003C3101" w:rsidRPr="00FB1ED9">
        <w:rPr>
          <w:rFonts w:asciiTheme="majorHAnsi" w:hAnsiTheme="majorHAnsi"/>
        </w:rPr>
        <w:t xml:space="preserve">RPACD = </w:t>
      </w:r>
      <w:r w:rsidR="00FB1ED9" w:rsidRPr="00FB1ED9">
        <w:rPr>
          <w:rFonts w:asciiTheme="majorHAnsi" w:hAnsiTheme="majorHAnsi"/>
          <w:lang w:val="fr-CA"/>
        </w:rPr>
        <w:t>Les cotisations effectu</w:t>
      </w:r>
      <w:r w:rsidR="00FB1ED9">
        <w:rPr>
          <w:rFonts w:asciiTheme="majorHAnsi" w:hAnsiTheme="majorHAnsi"/>
          <w:lang w:val="fr-CA"/>
        </w:rPr>
        <w:t>é</w:t>
      </w:r>
      <w:r w:rsidR="00FB1ED9" w:rsidRPr="00FB1ED9">
        <w:rPr>
          <w:rFonts w:asciiTheme="majorHAnsi" w:hAnsiTheme="majorHAnsi"/>
          <w:lang w:val="fr-CA"/>
        </w:rPr>
        <w:t>es par l’employeur dans l’ann</w:t>
      </w:r>
      <w:r w:rsidR="00FB1ED9">
        <w:rPr>
          <w:rFonts w:asciiTheme="majorHAnsi" w:hAnsiTheme="majorHAnsi"/>
          <w:lang w:val="fr-CA"/>
        </w:rPr>
        <w:t>é</w:t>
      </w:r>
      <w:r w:rsidR="00FB1ED9" w:rsidRPr="00FB1ED9">
        <w:rPr>
          <w:rFonts w:asciiTheme="majorHAnsi" w:hAnsiTheme="majorHAnsi"/>
          <w:lang w:val="fr-CA"/>
        </w:rPr>
        <w:t>e</w:t>
      </w:r>
      <w:r w:rsidR="00FB1ED9" w:rsidRPr="00FB1ED9">
        <w:rPr>
          <w:rFonts w:asciiTheme="majorHAnsi" w:hAnsiTheme="majorHAnsi"/>
          <w:lang w:val="fr-CA"/>
        </w:rPr>
        <w:br/>
      </w:r>
      <w:r w:rsidR="00FB1ED9">
        <w:rPr>
          <w:rFonts w:asciiTheme="majorHAnsi" w:hAnsiTheme="majorHAnsi"/>
          <w:lang w:val="fr-CA"/>
        </w:rPr>
        <w:tab/>
      </w:r>
      <w:r w:rsidR="00FB1ED9">
        <w:rPr>
          <w:rFonts w:asciiTheme="majorHAnsi" w:hAnsiTheme="majorHAnsi"/>
          <w:lang w:val="fr-CA"/>
        </w:rPr>
        <w:tab/>
      </w:r>
      <w:r w:rsidR="00FB1ED9">
        <w:rPr>
          <w:rFonts w:asciiTheme="majorHAnsi" w:hAnsiTheme="majorHAnsi"/>
          <w:lang w:val="fr-CA"/>
        </w:rPr>
        <w:tab/>
      </w:r>
      <w:r w:rsidR="00FB1ED9" w:rsidRPr="00FB1ED9">
        <w:rPr>
          <w:rFonts w:asciiTheme="majorHAnsi" w:hAnsiTheme="majorHAnsi"/>
          <w:lang w:val="fr-CA"/>
        </w:rPr>
        <w:t>(+)</w:t>
      </w:r>
      <w:r w:rsidR="00FB1ED9" w:rsidRPr="00FB1ED9">
        <w:rPr>
          <w:rFonts w:asciiTheme="majorHAnsi" w:hAnsiTheme="majorHAnsi"/>
          <w:lang w:val="fr-CA"/>
        </w:rPr>
        <w:br/>
      </w:r>
      <w:r w:rsidR="00FB1ED9">
        <w:rPr>
          <w:rFonts w:asciiTheme="majorHAnsi" w:hAnsiTheme="majorHAnsi"/>
          <w:lang w:val="fr-CA"/>
        </w:rPr>
        <w:tab/>
      </w:r>
      <w:r w:rsidR="00FB1ED9">
        <w:rPr>
          <w:rFonts w:asciiTheme="majorHAnsi" w:hAnsiTheme="majorHAnsi"/>
          <w:lang w:val="fr-CA"/>
        </w:rPr>
        <w:tab/>
      </w:r>
      <w:r w:rsidR="00FB1ED9">
        <w:rPr>
          <w:rFonts w:asciiTheme="majorHAnsi" w:hAnsiTheme="majorHAnsi"/>
          <w:lang w:val="fr-CA"/>
        </w:rPr>
        <w:tab/>
      </w:r>
      <w:r w:rsidR="00FB1ED9" w:rsidRPr="00FB1ED9">
        <w:rPr>
          <w:rFonts w:asciiTheme="majorHAnsi" w:hAnsiTheme="majorHAnsi"/>
          <w:lang w:val="fr-CA"/>
        </w:rPr>
        <w:t>Les cotisations effectu</w:t>
      </w:r>
      <w:r w:rsidR="00FB1ED9">
        <w:rPr>
          <w:rFonts w:asciiTheme="majorHAnsi" w:hAnsiTheme="majorHAnsi"/>
          <w:lang w:val="fr-CA"/>
        </w:rPr>
        <w:t>ée</w:t>
      </w:r>
      <w:r w:rsidR="00FB1ED9" w:rsidRPr="00FB1ED9">
        <w:rPr>
          <w:rFonts w:asciiTheme="majorHAnsi" w:hAnsiTheme="majorHAnsi"/>
          <w:lang w:val="fr-CA"/>
        </w:rPr>
        <w:t>s par l’employ</w:t>
      </w:r>
      <w:r w:rsidR="00FB1ED9">
        <w:rPr>
          <w:rFonts w:asciiTheme="majorHAnsi" w:hAnsiTheme="majorHAnsi"/>
          <w:lang w:val="fr-CA"/>
        </w:rPr>
        <w:t>é</w:t>
      </w:r>
      <w:r w:rsidR="00FB1ED9" w:rsidRPr="00FB1ED9">
        <w:rPr>
          <w:rFonts w:asciiTheme="majorHAnsi" w:hAnsiTheme="majorHAnsi"/>
          <w:lang w:val="fr-CA"/>
        </w:rPr>
        <w:t xml:space="preserve"> dans l’ann</w:t>
      </w:r>
      <w:r w:rsidR="00FB1ED9">
        <w:rPr>
          <w:rFonts w:asciiTheme="majorHAnsi" w:hAnsiTheme="majorHAnsi"/>
          <w:lang w:val="fr-CA"/>
        </w:rPr>
        <w:t>é</w:t>
      </w:r>
      <w:r w:rsidR="00FB1ED9" w:rsidRPr="00FB1ED9">
        <w:rPr>
          <w:rFonts w:asciiTheme="majorHAnsi" w:hAnsiTheme="majorHAnsi"/>
          <w:lang w:val="fr-CA"/>
        </w:rPr>
        <w:t xml:space="preserve">e </w:t>
      </w:r>
    </w:p>
    <w:p w14:paraId="0F065E97" w14:textId="7AF76E20" w:rsidR="003C3101" w:rsidRPr="00FB1ED9" w:rsidRDefault="003C3101" w:rsidP="00FB1ED9">
      <w:pPr>
        <w:ind w:left="-31"/>
        <w:rPr>
          <w:rFonts w:asciiTheme="majorHAnsi" w:hAnsiTheme="majorHAnsi"/>
        </w:rPr>
      </w:pPr>
    </w:p>
    <w:p w14:paraId="1D7379EC" w14:textId="1279A033" w:rsidR="00DE3566" w:rsidRDefault="003C3101" w:rsidP="006C34CF">
      <w:pPr>
        <w:pStyle w:val="Paragraphedeliste"/>
        <w:numPr>
          <w:ilvl w:val="0"/>
          <w:numId w:val="45"/>
        </w:numPr>
        <w:jc w:val="both"/>
        <w:rPr>
          <w:rFonts w:asciiTheme="majorHAnsi" w:hAnsiTheme="majorHAnsi"/>
          <w:lang w:val="fr-CA"/>
        </w:rPr>
      </w:pPr>
      <w:r w:rsidRPr="00370356">
        <w:rPr>
          <w:rFonts w:asciiTheme="majorHAnsi" w:hAnsiTheme="majorHAnsi"/>
        </w:rPr>
        <w:t xml:space="preserve"> </w:t>
      </w:r>
      <w:r w:rsidR="00370356" w:rsidRPr="00370356">
        <w:rPr>
          <w:rFonts w:asciiTheme="majorHAnsi" w:hAnsiTheme="majorHAnsi"/>
        </w:rPr>
        <w:t>FE du RPAPD</w:t>
      </w:r>
      <w:r w:rsidRPr="00370356">
        <w:rPr>
          <w:rFonts w:asciiTheme="majorHAnsi" w:hAnsiTheme="majorHAnsi"/>
        </w:rPr>
        <w:t xml:space="preserve"> =</w:t>
      </w:r>
      <w:r w:rsidR="00DE3566">
        <w:rPr>
          <w:rFonts w:asciiTheme="majorHAnsi" w:hAnsiTheme="majorHAnsi"/>
        </w:rPr>
        <w:t xml:space="preserve"> </w:t>
      </w:r>
      <w:r w:rsidR="00DE3566" w:rsidRPr="00DE3566">
        <w:rPr>
          <w:rFonts w:asciiTheme="majorHAnsi" w:hAnsiTheme="majorHAnsi"/>
          <w:lang w:val="fr-CA"/>
        </w:rPr>
        <w:t xml:space="preserve">(9 </w:t>
      </w:r>
      <w:r w:rsidR="00DE3566">
        <w:rPr>
          <w:rFonts w:asciiTheme="majorHAnsi" w:hAnsiTheme="majorHAnsi"/>
          <w:lang w:val="fr-CA"/>
        </w:rPr>
        <w:t>*</w:t>
      </w:r>
      <w:r w:rsidR="00DE3566" w:rsidRPr="00DE3566">
        <w:rPr>
          <w:rFonts w:asciiTheme="majorHAnsi" w:hAnsiTheme="majorHAnsi"/>
          <w:lang w:val="fr-CA"/>
        </w:rPr>
        <w:t xml:space="preserve"> </w:t>
      </w:r>
      <w:r w:rsidR="00DE3566">
        <w:rPr>
          <w:rFonts w:asciiTheme="majorHAnsi" w:hAnsiTheme="majorHAnsi"/>
          <w:lang w:val="fr-CA"/>
        </w:rPr>
        <w:t>% de la rente acquise * salaire</w:t>
      </w:r>
      <w:r w:rsidR="00DE3566" w:rsidRPr="00DE3566">
        <w:rPr>
          <w:rFonts w:asciiTheme="majorHAnsi" w:hAnsiTheme="majorHAnsi"/>
          <w:lang w:val="fr-CA"/>
        </w:rPr>
        <w:t>)</w:t>
      </w:r>
      <w:r w:rsidR="00DE3566">
        <w:rPr>
          <w:rFonts w:asciiTheme="majorHAnsi" w:hAnsiTheme="majorHAnsi"/>
          <w:lang w:val="fr-CA"/>
        </w:rPr>
        <w:t xml:space="preserve"> </w:t>
      </w:r>
      <w:r w:rsidR="00DE3566" w:rsidRPr="00DE3566">
        <w:rPr>
          <w:rFonts w:asciiTheme="majorHAnsi" w:hAnsiTheme="majorHAnsi"/>
          <w:lang w:val="fr-CA"/>
        </w:rPr>
        <w:t>–</w:t>
      </w:r>
      <w:r w:rsidR="00DE3566">
        <w:rPr>
          <w:rFonts w:asciiTheme="majorHAnsi" w:hAnsiTheme="majorHAnsi"/>
          <w:lang w:val="fr-CA"/>
        </w:rPr>
        <w:t xml:space="preserve"> </w:t>
      </w:r>
      <w:r w:rsidR="00DE3566" w:rsidRPr="00DE3566">
        <w:rPr>
          <w:rFonts w:asciiTheme="majorHAnsi" w:hAnsiTheme="majorHAnsi"/>
          <w:lang w:val="fr-CA"/>
        </w:rPr>
        <w:t>600</w:t>
      </w:r>
      <w:r w:rsidR="00DE3566">
        <w:rPr>
          <w:rFonts w:asciiTheme="majorHAnsi" w:hAnsiTheme="majorHAnsi"/>
          <w:lang w:val="fr-CA"/>
        </w:rPr>
        <w:t xml:space="preserve"> </w:t>
      </w:r>
      <w:r w:rsidR="00DE3566" w:rsidRPr="00DE3566">
        <w:rPr>
          <w:rFonts w:asciiTheme="majorHAnsi" w:hAnsiTheme="majorHAnsi"/>
          <w:lang w:val="fr-CA"/>
        </w:rPr>
        <w:t xml:space="preserve">$ </w:t>
      </w:r>
    </w:p>
    <w:p w14:paraId="24953F3A" w14:textId="77777777" w:rsidR="00DE3566" w:rsidRDefault="00DE3566" w:rsidP="00DE3566">
      <w:pPr>
        <w:ind w:left="689"/>
        <w:jc w:val="both"/>
        <w:rPr>
          <w:rFonts w:asciiTheme="majorHAnsi" w:hAnsiTheme="majorHAnsi"/>
          <w:lang w:val="fr-CA"/>
        </w:rPr>
      </w:pPr>
    </w:p>
    <w:p w14:paraId="2A08F170" w14:textId="7ED42AEA" w:rsidR="004F033A" w:rsidRDefault="004F033A" w:rsidP="00D86960">
      <w:pPr>
        <w:jc w:val="both"/>
        <w:rPr>
          <w:rFonts w:asciiTheme="majorHAnsi" w:hAnsiTheme="majorHAnsi"/>
          <w:lang w:val="fr-CA"/>
        </w:rPr>
      </w:pPr>
      <w:r>
        <w:rPr>
          <w:rFonts w:asciiTheme="majorHAnsi" w:hAnsiTheme="majorHAnsi"/>
          <w:lang w:val="fr-CA"/>
        </w:rPr>
        <w:t xml:space="preserve">En </w:t>
      </w:r>
      <w:r w:rsidR="000A32DA">
        <w:rPr>
          <w:rFonts w:asciiTheme="majorHAnsi" w:hAnsiTheme="majorHAnsi"/>
          <w:lang w:val="fr-CA"/>
        </w:rPr>
        <w:t>nous</w:t>
      </w:r>
      <w:r>
        <w:rPr>
          <w:rFonts w:asciiTheme="majorHAnsi" w:hAnsiTheme="majorHAnsi"/>
          <w:lang w:val="fr-CA"/>
        </w:rPr>
        <w:t xml:space="preserve"> permettant des hypothèses facilitantes (la rente acquise sera de 2 % et en oubliant le 600 $ qui n'est pas pertinent à notre analyse), nous arrivons à la conclusion que pour le fisc, une limite annuelle de cotisations de 18 % du salaire exprime le même poids financier qu'</w:t>
      </w:r>
      <w:r w:rsidR="000A32DA">
        <w:rPr>
          <w:rFonts w:asciiTheme="majorHAnsi" w:hAnsiTheme="majorHAnsi"/>
          <w:lang w:val="fr-CA"/>
        </w:rPr>
        <w:t>une</w:t>
      </w:r>
      <w:r>
        <w:rPr>
          <w:rFonts w:asciiTheme="majorHAnsi" w:hAnsiTheme="majorHAnsi"/>
          <w:lang w:val="fr-CA"/>
        </w:rPr>
        <w:t xml:space="preserve"> limite annuelle sur les prestations de 2 % du salaire. </w:t>
      </w:r>
    </w:p>
    <w:p w14:paraId="34231993" w14:textId="77777777" w:rsidR="004F033A" w:rsidRDefault="004F033A" w:rsidP="004F033A">
      <w:pPr>
        <w:ind w:left="689"/>
        <w:jc w:val="both"/>
        <w:rPr>
          <w:rFonts w:asciiTheme="majorHAnsi" w:hAnsiTheme="majorHAnsi"/>
          <w:lang w:val="fr-CA"/>
        </w:rPr>
      </w:pPr>
    </w:p>
    <w:p w14:paraId="4198E59C" w14:textId="64CD323D" w:rsidR="004F033A" w:rsidRDefault="004F033A" w:rsidP="00D86960">
      <w:pPr>
        <w:jc w:val="both"/>
        <w:rPr>
          <w:rFonts w:asciiTheme="majorHAnsi" w:hAnsiTheme="majorHAnsi"/>
          <w:lang w:val="fr-CA"/>
        </w:rPr>
      </w:pPr>
      <w:r>
        <w:rPr>
          <w:rFonts w:asciiTheme="majorHAnsi" w:hAnsiTheme="majorHAnsi"/>
          <w:lang w:val="fr-CA"/>
        </w:rPr>
        <w:t>Maintenant, le constat. Est-ce que ce</w:t>
      </w:r>
      <w:r w:rsidR="005B7605">
        <w:rPr>
          <w:rFonts w:asciiTheme="majorHAnsi" w:hAnsiTheme="majorHAnsi"/>
          <w:lang w:val="fr-CA"/>
        </w:rPr>
        <w:t>s</w:t>
      </w:r>
      <w:r>
        <w:rPr>
          <w:rFonts w:asciiTheme="majorHAnsi" w:hAnsiTheme="majorHAnsi"/>
          <w:lang w:val="fr-CA"/>
        </w:rPr>
        <w:t xml:space="preserve"> équation</w:t>
      </w:r>
      <w:r w:rsidR="005B7605">
        <w:rPr>
          <w:rFonts w:asciiTheme="majorHAnsi" w:hAnsiTheme="majorHAnsi"/>
          <w:lang w:val="fr-CA"/>
        </w:rPr>
        <w:t>s</w:t>
      </w:r>
      <w:r>
        <w:rPr>
          <w:rFonts w:asciiTheme="majorHAnsi" w:hAnsiTheme="majorHAnsi"/>
          <w:lang w:val="fr-CA"/>
        </w:rPr>
        <w:t xml:space="preserve"> </w:t>
      </w:r>
      <w:r w:rsidR="005B7605">
        <w:rPr>
          <w:rFonts w:asciiTheme="majorHAnsi" w:hAnsiTheme="majorHAnsi"/>
          <w:lang w:val="fr-CA"/>
        </w:rPr>
        <w:t>sont</w:t>
      </w:r>
      <w:r>
        <w:rPr>
          <w:rFonts w:asciiTheme="majorHAnsi" w:hAnsiTheme="majorHAnsi"/>
          <w:lang w:val="fr-CA"/>
        </w:rPr>
        <w:t xml:space="preserve"> belle</w:t>
      </w:r>
      <w:r w:rsidR="005B7605">
        <w:rPr>
          <w:rFonts w:asciiTheme="majorHAnsi" w:hAnsiTheme="majorHAnsi"/>
          <w:lang w:val="fr-CA"/>
        </w:rPr>
        <w:t>s</w:t>
      </w:r>
      <w:r>
        <w:rPr>
          <w:rFonts w:asciiTheme="majorHAnsi" w:hAnsiTheme="majorHAnsi"/>
          <w:lang w:val="fr-CA"/>
        </w:rPr>
        <w:t xml:space="preserve"> et bien égale</w:t>
      </w:r>
      <w:r w:rsidR="005B7605">
        <w:rPr>
          <w:rFonts w:asciiTheme="majorHAnsi" w:hAnsiTheme="majorHAnsi"/>
          <w:lang w:val="fr-CA"/>
        </w:rPr>
        <w:t>s</w:t>
      </w:r>
      <w:r>
        <w:rPr>
          <w:rFonts w:asciiTheme="majorHAnsi" w:hAnsiTheme="majorHAnsi"/>
          <w:lang w:val="fr-CA"/>
        </w:rPr>
        <w:t>, est-ce que le  fisc s'acquitte de son devoir d'équité envers les permissions qu'il octroie aux adhérents d'un RPACD et à ceux d'un RPAPD</w:t>
      </w:r>
      <w:r w:rsidR="000B3644">
        <w:rPr>
          <w:rFonts w:asciiTheme="majorHAnsi" w:hAnsiTheme="majorHAnsi"/>
          <w:lang w:val="fr-CA"/>
        </w:rPr>
        <w:t xml:space="preserve"> </w:t>
      </w:r>
      <w:r w:rsidR="000A32DA" w:rsidRPr="000B3644">
        <w:rPr>
          <w:rFonts w:ascii="Avenir Book" w:hAnsi="Avenir Book"/>
          <w:lang w:val="fr-CA"/>
        </w:rPr>
        <w:t>?</w:t>
      </w:r>
      <w:r>
        <w:rPr>
          <w:rFonts w:asciiTheme="majorHAnsi" w:hAnsiTheme="majorHAnsi"/>
          <w:lang w:val="fr-CA"/>
        </w:rPr>
        <w:t xml:space="preserve"> Mes excuses aux amateurs de suspenses, la réponse</w:t>
      </w:r>
      <w:r w:rsidR="00517F0D">
        <w:rPr>
          <w:rFonts w:asciiTheme="majorHAnsi" w:hAnsiTheme="majorHAnsi"/>
          <w:lang w:val="fr-CA"/>
        </w:rPr>
        <w:t>, dans bien des cas,</w:t>
      </w:r>
      <w:r w:rsidR="00771F90">
        <w:rPr>
          <w:rFonts w:asciiTheme="majorHAnsi" w:hAnsiTheme="majorHAnsi"/>
          <w:lang w:val="fr-CA"/>
        </w:rPr>
        <w:t xml:space="preserve"> </w:t>
      </w:r>
      <w:proofErr w:type="gramStart"/>
      <w:r>
        <w:rPr>
          <w:rFonts w:asciiTheme="majorHAnsi" w:hAnsiTheme="majorHAnsi"/>
          <w:lang w:val="fr-CA"/>
        </w:rPr>
        <w:t>est</w:t>
      </w:r>
      <w:proofErr w:type="gramEnd"/>
      <w:r>
        <w:rPr>
          <w:rFonts w:asciiTheme="majorHAnsi" w:hAnsiTheme="majorHAnsi"/>
          <w:lang w:val="fr-CA"/>
        </w:rPr>
        <w:t xml:space="preserve"> </w:t>
      </w:r>
      <w:r w:rsidRPr="004F033A">
        <w:rPr>
          <w:rFonts w:asciiTheme="majorHAnsi" w:hAnsiTheme="majorHAnsi"/>
          <w:color w:val="FF6700" w:themeColor="accent3"/>
          <w:lang w:val="fr-CA"/>
        </w:rPr>
        <w:t>NON</w:t>
      </w:r>
      <w:r>
        <w:rPr>
          <w:rFonts w:asciiTheme="majorHAnsi" w:hAnsiTheme="majorHAnsi"/>
          <w:lang w:val="fr-CA"/>
        </w:rPr>
        <w:t xml:space="preserve">. Laissons place aux calculs pour la démonstration.    </w:t>
      </w:r>
    </w:p>
    <w:p w14:paraId="21AD56E8" w14:textId="77777777" w:rsidR="004F033A" w:rsidRDefault="004F033A" w:rsidP="004F033A">
      <w:pPr>
        <w:ind w:left="689"/>
        <w:jc w:val="both"/>
        <w:rPr>
          <w:rFonts w:asciiTheme="majorHAnsi" w:hAnsiTheme="majorHAnsi"/>
          <w:lang w:val="fr-CA"/>
        </w:rPr>
      </w:pPr>
    </w:p>
    <w:p w14:paraId="66D62816" w14:textId="2979F482" w:rsidR="00294DD9" w:rsidRDefault="00294DD9" w:rsidP="00294DD9">
      <w:pPr>
        <w:jc w:val="both"/>
      </w:pPr>
    </w:p>
    <w:p w14:paraId="40CCBCD1" w14:textId="77777777" w:rsidR="00294DD9" w:rsidRDefault="00294DD9" w:rsidP="00294DD9">
      <w:pPr>
        <w:jc w:val="both"/>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294DD9" w14:paraId="5828B150" w14:textId="77777777" w:rsidTr="00294DD9">
        <w:tc>
          <w:tcPr>
            <w:tcW w:w="6573" w:type="dxa"/>
            <w:gridSpan w:val="2"/>
            <w:shd w:val="clear" w:color="auto" w:fill="BFBFBF" w:themeFill="background1" w:themeFillShade="BF"/>
          </w:tcPr>
          <w:p w14:paraId="09747C30" w14:textId="0358FC54" w:rsidR="00294DD9" w:rsidRDefault="00294DD9" w:rsidP="00294DD9">
            <w:pPr>
              <w:jc w:val="both"/>
            </w:pPr>
            <w:r>
              <w:t>RPACD</w:t>
            </w:r>
          </w:p>
        </w:tc>
        <w:tc>
          <w:tcPr>
            <w:tcW w:w="6573" w:type="dxa"/>
            <w:gridSpan w:val="2"/>
            <w:shd w:val="clear" w:color="auto" w:fill="BFBFBF" w:themeFill="background1" w:themeFillShade="BF"/>
          </w:tcPr>
          <w:p w14:paraId="54CD043E" w14:textId="64271D62" w:rsidR="00294DD9" w:rsidRDefault="00294DD9" w:rsidP="00294DD9">
            <w:pPr>
              <w:jc w:val="both"/>
            </w:pPr>
            <w:r>
              <w:t>RPAPD</w:t>
            </w:r>
          </w:p>
        </w:tc>
      </w:tr>
      <w:tr w:rsidR="00294DD9" w14:paraId="59DE36C9" w14:textId="77777777" w:rsidTr="00294DD9">
        <w:tc>
          <w:tcPr>
            <w:tcW w:w="3286" w:type="dxa"/>
            <w:shd w:val="clear" w:color="auto" w:fill="BBB9A1" w:themeFill="text2" w:themeFillTint="66"/>
          </w:tcPr>
          <w:p w14:paraId="2C272E65" w14:textId="77777777" w:rsidR="00294DD9" w:rsidRDefault="00294DD9" w:rsidP="00294DD9">
            <w:pPr>
              <w:jc w:val="both"/>
            </w:pPr>
          </w:p>
          <w:p w14:paraId="762B947B" w14:textId="77777777" w:rsidR="00294DD9" w:rsidRDefault="00294DD9" w:rsidP="00294DD9">
            <w:pPr>
              <w:jc w:val="both"/>
            </w:pPr>
            <w:r>
              <w:t>Salaire annuel</w:t>
            </w:r>
          </w:p>
        </w:tc>
        <w:tc>
          <w:tcPr>
            <w:tcW w:w="3286" w:type="dxa"/>
            <w:shd w:val="clear" w:color="auto" w:fill="BBB9A1"/>
          </w:tcPr>
          <w:p w14:paraId="00EC30F1" w14:textId="77777777" w:rsidR="00294DD9" w:rsidRDefault="00294DD9" w:rsidP="00294DD9">
            <w:pPr>
              <w:jc w:val="both"/>
            </w:pPr>
          </w:p>
          <w:p w14:paraId="001E4394" w14:textId="2EC298C4" w:rsidR="00294DD9" w:rsidRDefault="00E23C36" w:rsidP="00E23C36">
            <w:pPr>
              <w:tabs>
                <w:tab w:val="right" w:pos="3071"/>
              </w:tabs>
              <w:jc w:val="both"/>
            </w:pPr>
            <w:r>
              <w:t>70</w:t>
            </w:r>
            <w:r w:rsidR="00294DD9">
              <w:t xml:space="preserve"> 000 $</w:t>
            </w:r>
            <w:r w:rsidR="00294DD9">
              <w:tab/>
            </w:r>
          </w:p>
        </w:tc>
        <w:tc>
          <w:tcPr>
            <w:tcW w:w="3287" w:type="dxa"/>
            <w:shd w:val="clear" w:color="auto" w:fill="FF5D72"/>
          </w:tcPr>
          <w:p w14:paraId="241336D2" w14:textId="77777777" w:rsidR="00294DD9" w:rsidRDefault="00294DD9" w:rsidP="00294DD9">
            <w:pPr>
              <w:jc w:val="both"/>
            </w:pPr>
          </w:p>
          <w:p w14:paraId="102AE228" w14:textId="77777777" w:rsidR="00294DD9" w:rsidRDefault="00294DD9" w:rsidP="00294DD9">
            <w:pPr>
              <w:jc w:val="both"/>
            </w:pPr>
            <w:r>
              <w:t>Salaire annuel</w:t>
            </w:r>
          </w:p>
        </w:tc>
        <w:tc>
          <w:tcPr>
            <w:tcW w:w="3287" w:type="dxa"/>
            <w:shd w:val="clear" w:color="auto" w:fill="FF5D72"/>
          </w:tcPr>
          <w:p w14:paraId="5832C7A9" w14:textId="77777777" w:rsidR="00294DD9" w:rsidRDefault="00294DD9" w:rsidP="00294DD9">
            <w:pPr>
              <w:jc w:val="both"/>
            </w:pPr>
          </w:p>
          <w:p w14:paraId="2F2281E7" w14:textId="2DD7B387" w:rsidR="00294DD9" w:rsidRDefault="00E23C36" w:rsidP="00E23C36">
            <w:pPr>
              <w:jc w:val="both"/>
            </w:pPr>
            <w:r>
              <w:t>7</w:t>
            </w:r>
            <w:r w:rsidR="00294DD9">
              <w:t>0 000 $</w:t>
            </w:r>
          </w:p>
        </w:tc>
      </w:tr>
      <w:tr w:rsidR="00294DD9" w14:paraId="14825A08" w14:textId="77777777" w:rsidTr="00294DD9">
        <w:tc>
          <w:tcPr>
            <w:tcW w:w="3286" w:type="dxa"/>
            <w:shd w:val="clear" w:color="auto" w:fill="BBB9A1" w:themeFill="text2" w:themeFillTint="66"/>
          </w:tcPr>
          <w:p w14:paraId="3CE89BE1" w14:textId="5003E9C8" w:rsidR="00294DD9" w:rsidRDefault="00294DD9" w:rsidP="00294DD9">
            <w:pPr>
              <w:jc w:val="both"/>
            </w:pPr>
            <w:r>
              <w:t xml:space="preserve">Cotisations </w:t>
            </w:r>
          </w:p>
        </w:tc>
        <w:tc>
          <w:tcPr>
            <w:tcW w:w="3286" w:type="dxa"/>
            <w:shd w:val="clear" w:color="auto" w:fill="BBB9A1" w:themeFill="text2" w:themeFillTint="66"/>
          </w:tcPr>
          <w:p w14:paraId="42B0DEEE" w14:textId="61307D79" w:rsidR="00294DD9" w:rsidRDefault="00294DD9" w:rsidP="00294DD9">
            <w:pPr>
              <w:jc w:val="both"/>
            </w:pPr>
            <w:r>
              <w:t>18 %</w:t>
            </w:r>
          </w:p>
        </w:tc>
        <w:tc>
          <w:tcPr>
            <w:tcW w:w="3287" w:type="dxa"/>
            <w:shd w:val="clear" w:color="auto" w:fill="FF5D72"/>
          </w:tcPr>
          <w:p w14:paraId="16652249" w14:textId="2E0F9291" w:rsidR="00294DD9" w:rsidRDefault="00294DD9" w:rsidP="00294DD9">
            <w:pPr>
              <w:jc w:val="both"/>
            </w:pPr>
            <w:r>
              <w:t>Rente annuelle acquise</w:t>
            </w:r>
          </w:p>
        </w:tc>
        <w:tc>
          <w:tcPr>
            <w:tcW w:w="3287" w:type="dxa"/>
            <w:shd w:val="clear" w:color="auto" w:fill="FF5D72"/>
          </w:tcPr>
          <w:p w14:paraId="40E10B7C" w14:textId="2ABE1867" w:rsidR="00294DD9" w:rsidRDefault="00294DD9" w:rsidP="00294DD9">
            <w:pPr>
              <w:jc w:val="both"/>
            </w:pPr>
            <w:r>
              <w:t>2 %</w:t>
            </w:r>
          </w:p>
        </w:tc>
      </w:tr>
      <w:tr w:rsidR="00294DD9" w14:paraId="044001E6" w14:textId="77777777" w:rsidTr="00294DD9">
        <w:tc>
          <w:tcPr>
            <w:tcW w:w="3286" w:type="dxa"/>
            <w:shd w:val="clear" w:color="auto" w:fill="BBB9A1" w:themeFill="text2" w:themeFillTint="66"/>
          </w:tcPr>
          <w:p w14:paraId="67C4B168" w14:textId="296C6045" w:rsidR="00294DD9" w:rsidRDefault="00294DD9" w:rsidP="00294DD9">
            <w:pPr>
              <w:jc w:val="both"/>
            </w:pPr>
            <w:r>
              <w:t>Âge au début</w:t>
            </w:r>
          </w:p>
        </w:tc>
        <w:tc>
          <w:tcPr>
            <w:tcW w:w="3286" w:type="dxa"/>
            <w:shd w:val="clear" w:color="auto" w:fill="BBB9A1" w:themeFill="text2" w:themeFillTint="66"/>
          </w:tcPr>
          <w:p w14:paraId="7FD6CE13" w14:textId="247BBA47" w:rsidR="00294DD9" w:rsidRDefault="00294DD9" w:rsidP="00294DD9">
            <w:pPr>
              <w:jc w:val="both"/>
            </w:pPr>
            <w:r>
              <w:t>29 ans</w:t>
            </w:r>
          </w:p>
        </w:tc>
        <w:tc>
          <w:tcPr>
            <w:tcW w:w="3287" w:type="dxa"/>
            <w:shd w:val="clear" w:color="auto" w:fill="FF5D72"/>
          </w:tcPr>
          <w:p w14:paraId="6EACB34C" w14:textId="1BCFFDED" w:rsidR="00294DD9" w:rsidRDefault="00294DD9" w:rsidP="00294DD9">
            <w:pPr>
              <w:jc w:val="both"/>
            </w:pPr>
            <w:r>
              <w:t>Âge au début</w:t>
            </w:r>
          </w:p>
        </w:tc>
        <w:tc>
          <w:tcPr>
            <w:tcW w:w="3287" w:type="dxa"/>
            <w:shd w:val="clear" w:color="auto" w:fill="FF5D72"/>
          </w:tcPr>
          <w:p w14:paraId="7267694F" w14:textId="044E65D4" w:rsidR="00294DD9" w:rsidRDefault="00294DD9" w:rsidP="00294DD9">
            <w:pPr>
              <w:jc w:val="both"/>
            </w:pPr>
            <w:r>
              <w:t>29 ans</w:t>
            </w:r>
          </w:p>
        </w:tc>
      </w:tr>
      <w:tr w:rsidR="00294DD9" w14:paraId="4E2D8DBE" w14:textId="77777777" w:rsidTr="00294DD9">
        <w:tc>
          <w:tcPr>
            <w:tcW w:w="3286" w:type="dxa"/>
            <w:shd w:val="clear" w:color="auto" w:fill="BBB9A1" w:themeFill="text2" w:themeFillTint="66"/>
          </w:tcPr>
          <w:p w14:paraId="26959452" w14:textId="238E075D" w:rsidR="00294DD9" w:rsidRDefault="00294DD9" w:rsidP="00294DD9">
            <w:pPr>
              <w:jc w:val="both"/>
            </w:pPr>
            <w:r>
              <w:t>Âge à la retraite</w:t>
            </w:r>
          </w:p>
        </w:tc>
        <w:tc>
          <w:tcPr>
            <w:tcW w:w="3286" w:type="dxa"/>
            <w:shd w:val="clear" w:color="auto" w:fill="BBB9A1" w:themeFill="text2" w:themeFillTint="66"/>
          </w:tcPr>
          <w:p w14:paraId="5367D75E" w14:textId="2E95ADA8" w:rsidR="00294DD9" w:rsidRDefault="00294DD9" w:rsidP="00294DD9">
            <w:pPr>
              <w:jc w:val="both"/>
            </w:pPr>
            <w:r>
              <w:t>55 ans</w:t>
            </w:r>
          </w:p>
        </w:tc>
        <w:tc>
          <w:tcPr>
            <w:tcW w:w="3287" w:type="dxa"/>
            <w:shd w:val="clear" w:color="auto" w:fill="FF5D72"/>
          </w:tcPr>
          <w:p w14:paraId="51BE1939" w14:textId="3A3564D2" w:rsidR="00294DD9" w:rsidRDefault="00294DD9" w:rsidP="00294DD9">
            <w:pPr>
              <w:jc w:val="both"/>
            </w:pPr>
            <w:r>
              <w:t>Âge à la retraite</w:t>
            </w:r>
          </w:p>
        </w:tc>
        <w:tc>
          <w:tcPr>
            <w:tcW w:w="3287" w:type="dxa"/>
            <w:shd w:val="clear" w:color="auto" w:fill="FF5D72"/>
          </w:tcPr>
          <w:p w14:paraId="04DA8504" w14:textId="71FE319D" w:rsidR="00294DD9" w:rsidRDefault="00294DD9" w:rsidP="00294DD9">
            <w:pPr>
              <w:jc w:val="both"/>
            </w:pPr>
            <w:r>
              <w:t>55 ans</w:t>
            </w:r>
          </w:p>
        </w:tc>
      </w:tr>
      <w:tr w:rsidR="00294DD9" w14:paraId="6D0D7E8C" w14:textId="77777777" w:rsidTr="00294DD9">
        <w:tc>
          <w:tcPr>
            <w:tcW w:w="3286" w:type="dxa"/>
            <w:shd w:val="clear" w:color="auto" w:fill="BBB9A1" w:themeFill="text2" w:themeFillTint="66"/>
          </w:tcPr>
          <w:p w14:paraId="44A3A111" w14:textId="1B917A1C" w:rsidR="00294DD9" w:rsidRDefault="00294DD9" w:rsidP="00294DD9">
            <w:pPr>
              <w:jc w:val="both"/>
            </w:pPr>
            <w:r>
              <w:t>Âge décès</w:t>
            </w:r>
          </w:p>
        </w:tc>
        <w:tc>
          <w:tcPr>
            <w:tcW w:w="3286" w:type="dxa"/>
            <w:shd w:val="clear" w:color="auto" w:fill="BBB9A1" w:themeFill="text2" w:themeFillTint="66"/>
          </w:tcPr>
          <w:p w14:paraId="5466EA5B" w14:textId="1BAAE7D3" w:rsidR="00294DD9" w:rsidRDefault="00294DD9" w:rsidP="00294DD9">
            <w:pPr>
              <w:jc w:val="both"/>
            </w:pPr>
            <w:r>
              <w:t>85 ans</w:t>
            </w:r>
          </w:p>
        </w:tc>
        <w:tc>
          <w:tcPr>
            <w:tcW w:w="3287" w:type="dxa"/>
            <w:shd w:val="clear" w:color="auto" w:fill="FF5D72"/>
          </w:tcPr>
          <w:p w14:paraId="0B399574" w14:textId="0E618040" w:rsidR="00294DD9" w:rsidRDefault="00294DD9" w:rsidP="00294DD9">
            <w:pPr>
              <w:jc w:val="both"/>
            </w:pPr>
            <w:r>
              <w:t>Âge décès</w:t>
            </w:r>
          </w:p>
        </w:tc>
        <w:tc>
          <w:tcPr>
            <w:tcW w:w="3287" w:type="dxa"/>
            <w:shd w:val="clear" w:color="auto" w:fill="FF5D72"/>
          </w:tcPr>
          <w:p w14:paraId="3B27484D" w14:textId="76E0F646" w:rsidR="00294DD9" w:rsidRDefault="00294DD9" w:rsidP="00294DD9">
            <w:pPr>
              <w:jc w:val="both"/>
            </w:pPr>
            <w:r>
              <w:t>85 ans $</w:t>
            </w:r>
          </w:p>
        </w:tc>
      </w:tr>
      <w:tr w:rsidR="00294DD9" w14:paraId="118B3255" w14:textId="77777777" w:rsidTr="00294DD9">
        <w:tc>
          <w:tcPr>
            <w:tcW w:w="3286" w:type="dxa"/>
            <w:shd w:val="clear" w:color="auto" w:fill="BBB9A1" w:themeFill="text2" w:themeFillTint="66"/>
          </w:tcPr>
          <w:p w14:paraId="39BCB320" w14:textId="01815012" w:rsidR="00294DD9" w:rsidRDefault="00294DD9" w:rsidP="00294DD9">
            <w:pPr>
              <w:jc w:val="both"/>
            </w:pPr>
            <w:r>
              <w:t>Augmentation salaire</w:t>
            </w:r>
          </w:p>
        </w:tc>
        <w:tc>
          <w:tcPr>
            <w:tcW w:w="3286" w:type="dxa"/>
            <w:shd w:val="clear" w:color="auto" w:fill="BBB9A1" w:themeFill="text2" w:themeFillTint="66"/>
          </w:tcPr>
          <w:p w14:paraId="1730AC9E" w14:textId="27129377" w:rsidR="00294DD9" w:rsidRDefault="00294DD9" w:rsidP="003C20F0">
            <w:pPr>
              <w:jc w:val="both"/>
            </w:pPr>
            <w:r>
              <w:t>2</w:t>
            </w:r>
            <w:r w:rsidR="003C20F0">
              <w:t xml:space="preserve"> </w:t>
            </w:r>
            <w:r>
              <w:t xml:space="preserve">% </w:t>
            </w:r>
          </w:p>
        </w:tc>
        <w:tc>
          <w:tcPr>
            <w:tcW w:w="3287" w:type="dxa"/>
            <w:shd w:val="clear" w:color="auto" w:fill="FF5D72"/>
          </w:tcPr>
          <w:p w14:paraId="415AE2A5" w14:textId="511547B1" w:rsidR="00294DD9" w:rsidRDefault="00294DD9" w:rsidP="003C20F0">
            <w:pPr>
              <w:jc w:val="both"/>
            </w:pPr>
            <w:r>
              <w:t>Augmentation salaire</w:t>
            </w:r>
          </w:p>
        </w:tc>
        <w:tc>
          <w:tcPr>
            <w:tcW w:w="3287" w:type="dxa"/>
            <w:shd w:val="clear" w:color="auto" w:fill="FF5D72"/>
          </w:tcPr>
          <w:p w14:paraId="56B5A516" w14:textId="3264DFDF" w:rsidR="00294DD9" w:rsidRDefault="003C20F0" w:rsidP="003C20F0">
            <w:pPr>
              <w:jc w:val="both"/>
            </w:pPr>
            <w:r>
              <w:t>2 %</w:t>
            </w:r>
          </w:p>
        </w:tc>
      </w:tr>
      <w:tr w:rsidR="003C20F0" w14:paraId="25187945" w14:textId="77777777" w:rsidTr="00294DD9">
        <w:tc>
          <w:tcPr>
            <w:tcW w:w="3286" w:type="dxa"/>
            <w:shd w:val="clear" w:color="auto" w:fill="BBB9A1" w:themeFill="text2" w:themeFillTint="66"/>
          </w:tcPr>
          <w:p w14:paraId="72C2098C" w14:textId="19111CB4" w:rsidR="003C20F0" w:rsidRDefault="003C20F0" w:rsidP="00294DD9">
            <w:pPr>
              <w:jc w:val="both"/>
            </w:pPr>
            <w:r>
              <w:t xml:space="preserve">Rendement </w:t>
            </w:r>
            <w:r w:rsidR="0031144E">
              <w:t>actif</w:t>
            </w:r>
          </w:p>
        </w:tc>
        <w:tc>
          <w:tcPr>
            <w:tcW w:w="3286" w:type="dxa"/>
            <w:shd w:val="clear" w:color="auto" w:fill="BBB9A1" w:themeFill="text2" w:themeFillTint="66"/>
          </w:tcPr>
          <w:p w14:paraId="18F54742" w14:textId="5B50D213" w:rsidR="003C20F0" w:rsidRDefault="003C20F0" w:rsidP="003C20F0">
            <w:pPr>
              <w:jc w:val="both"/>
            </w:pPr>
            <w:r>
              <w:t>5 %</w:t>
            </w:r>
          </w:p>
        </w:tc>
        <w:tc>
          <w:tcPr>
            <w:tcW w:w="3287" w:type="dxa"/>
            <w:shd w:val="clear" w:color="auto" w:fill="FF5D72"/>
          </w:tcPr>
          <w:p w14:paraId="14BB6B26" w14:textId="4086E72E" w:rsidR="003C20F0" w:rsidRDefault="003C20F0" w:rsidP="00294DD9">
            <w:pPr>
              <w:jc w:val="both"/>
            </w:pPr>
            <w:r>
              <w:t xml:space="preserve">Rendement </w:t>
            </w:r>
            <w:r w:rsidR="0031144E">
              <w:t>viager</w:t>
            </w:r>
          </w:p>
        </w:tc>
        <w:tc>
          <w:tcPr>
            <w:tcW w:w="3287" w:type="dxa"/>
            <w:shd w:val="clear" w:color="auto" w:fill="FF5D72"/>
          </w:tcPr>
          <w:p w14:paraId="750A3ECF" w14:textId="6002EE2A" w:rsidR="003C20F0" w:rsidRDefault="000C17F7" w:rsidP="000C17F7">
            <w:pPr>
              <w:jc w:val="both"/>
            </w:pPr>
            <w:r>
              <w:t>3</w:t>
            </w:r>
            <w:r w:rsidR="003C20F0">
              <w:t xml:space="preserve"> %</w:t>
            </w:r>
          </w:p>
        </w:tc>
      </w:tr>
      <w:tr w:rsidR="00793E76" w14:paraId="61196034" w14:textId="77777777" w:rsidTr="00294DD9">
        <w:tc>
          <w:tcPr>
            <w:tcW w:w="3286" w:type="dxa"/>
            <w:shd w:val="clear" w:color="auto" w:fill="BBB9A1" w:themeFill="text2" w:themeFillTint="66"/>
          </w:tcPr>
          <w:p w14:paraId="34349794" w14:textId="78AAA9B1" w:rsidR="00793E76" w:rsidRDefault="00793E76" w:rsidP="00294DD9">
            <w:pPr>
              <w:jc w:val="both"/>
            </w:pPr>
            <w:r>
              <w:rPr>
                <w:noProof/>
                <w:lang w:eastAsia="fr-FR"/>
              </w:rPr>
              <mc:AlternateContent>
                <mc:Choice Requires="wps">
                  <w:drawing>
                    <wp:anchor distT="0" distB="0" distL="114300" distR="114300" simplePos="0" relativeHeight="252393472" behindDoc="0" locked="0" layoutInCell="1" allowOverlap="1" wp14:anchorId="6CE6E491" wp14:editId="3E55C233">
                      <wp:simplePos x="0" y="0"/>
                      <wp:positionH relativeFrom="column">
                        <wp:posOffset>1485900</wp:posOffset>
                      </wp:positionH>
                      <wp:positionV relativeFrom="paragraph">
                        <wp:posOffset>1905</wp:posOffset>
                      </wp:positionV>
                      <wp:extent cx="1485900" cy="1485900"/>
                      <wp:effectExtent l="76200" t="50800" r="63500" b="63500"/>
                      <wp:wrapNone/>
                      <wp:docPr id="366" name="Ellipse 366"/>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1A65ADA" w14:textId="72779725" w:rsidR="00573C95" w:rsidRDefault="00573C95" w:rsidP="0033673A">
                                  <w:pPr>
                                    <w:jc w:val="center"/>
                                    <w:rPr>
                                      <w:sz w:val="20"/>
                                      <w:szCs w:val="20"/>
                                    </w:rPr>
                                  </w:pPr>
                                  <w:r w:rsidRPr="0033673A">
                                    <w:rPr>
                                      <w:sz w:val="20"/>
                                      <w:szCs w:val="20"/>
                                    </w:rPr>
                                    <w:t>VALEUR DU RÉGIME AU DÉBUT DE LA RETRAITE</w:t>
                                  </w:r>
                                </w:p>
                                <w:p w14:paraId="27028D7E" w14:textId="77777777" w:rsidR="00573C95" w:rsidRDefault="00573C95" w:rsidP="0033673A">
                                  <w:pPr>
                                    <w:jc w:val="center"/>
                                    <w:rPr>
                                      <w:sz w:val="20"/>
                                      <w:szCs w:val="20"/>
                                    </w:rPr>
                                  </w:pPr>
                                </w:p>
                                <w:p w14:paraId="0132E451" w14:textId="06C0A18F" w:rsidR="00573C95" w:rsidRDefault="00573C95" w:rsidP="000C17F7">
                                  <w:pPr>
                                    <w:jc w:val="center"/>
                                  </w:pPr>
                                  <w:r>
                                    <w:rPr>
                                      <w:sz w:val="20"/>
                                      <w:szCs w:val="20"/>
                                    </w:rPr>
                                    <w:t>872 438 $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366" o:spid="_x0000_s1240" style="position:absolute;left:0;text-align:left;margin-left:117pt;margin-top:.15pt;width:117pt;height:117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" fillcolor="#71685a" strokecolor="black [3213]">
                      <v:textbox>
                        <w:txbxContent>
                          <w:p w14:paraId="71A65ADA" w14:textId="72779725" w:rsidR="001501D6" w:rsidRDefault="001501D6" w:rsidP="0033673A">
                            <w:pPr>
                              <w:jc w:val="center"/>
                              <w:rPr>
                                <w:sz w:val="20"/>
                                <w:szCs w:val="20"/>
                              </w:rPr>
                            </w:pPr>
                            <w:r w:rsidRPr="0033673A">
                              <w:rPr>
                                <w:sz w:val="20"/>
                                <w:szCs w:val="20"/>
                              </w:rPr>
                              <w:t>VALEUR DU RÉGIME AU DÉBUT DE LA RETRAITE</w:t>
                            </w:r>
                          </w:p>
                          <w:p w14:paraId="27028D7E" w14:textId="77777777" w:rsidR="001501D6" w:rsidRDefault="001501D6" w:rsidP="0033673A">
                            <w:pPr>
                              <w:jc w:val="center"/>
                              <w:rPr>
                                <w:sz w:val="20"/>
                                <w:szCs w:val="20"/>
                              </w:rPr>
                            </w:pPr>
                          </w:p>
                          <w:p w14:paraId="0132E451" w14:textId="06C0A18F" w:rsidR="001501D6" w:rsidRDefault="001501D6" w:rsidP="000C17F7">
                            <w:pPr>
                              <w:jc w:val="center"/>
                            </w:pPr>
                            <w:r>
                              <w:rPr>
                                <w:sz w:val="20"/>
                                <w:szCs w:val="20"/>
                              </w:rPr>
                              <w:t>872 438 $</w:t>
                            </w:r>
                          </w:p>
                        </w:txbxContent>
                      </v:textbox>
                    </v:oval>
                  </w:pict>
                </mc:Fallback>
              </mc:AlternateContent>
            </w:r>
          </w:p>
        </w:tc>
        <w:tc>
          <w:tcPr>
            <w:tcW w:w="3286" w:type="dxa"/>
            <w:shd w:val="clear" w:color="auto" w:fill="BBB9A1" w:themeFill="text2" w:themeFillTint="66"/>
          </w:tcPr>
          <w:p w14:paraId="60A7DC89" w14:textId="77777777" w:rsidR="00793E76" w:rsidRDefault="00793E76" w:rsidP="003C20F0">
            <w:pPr>
              <w:jc w:val="both"/>
            </w:pPr>
          </w:p>
        </w:tc>
        <w:tc>
          <w:tcPr>
            <w:tcW w:w="3287" w:type="dxa"/>
            <w:shd w:val="clear" w:color="auto" w:fill="FF5D72"/>
          </w:tcPr>
          <w:p w14:paraId="22C45075" w14:textId="761094C8" w:rsidR="00793E76" w:rsidRDefault="00793E76" w:rsidP="00294DD9">
            <w:pPr>
              <w:jc w:val="both"/>
            </w:pPr>
            <w:r>
              <w:rPr>
                <w:noProof/>
                <w:lang w:eastAsia="fr-FR"/>
              </w:rPr>
              <mc:AlternateContent>
                <mc:Choice Requires="wps">
                  <w:drawing>
                    <wp:anchor distT="0" distB="0" distL="114300" distR="114300" simplePos="0" relativeHeight="252395520" behindDoc="0" locked="0" layoutInCell="1" allowOverlap="1" wp14:anchorId="69EBE69E" wp14:editId="7D0951B8">
                      <wp:simplePos x="0" y="0"/>
                      <wp:positionH relativeFrom="column">
                        <wp:posOffset>969645</wp:posOffset>
                      </wp:positionH>
                      <wp:positionV relativeFrom="paragraph">
                        <wp:posOffset>1905</wp:posOffset>
                      </wp:positionV>
                      <wp:extent cx="2057400" cy="2057400"/>
                      <wp:effectExtent l="76200" t="76200" r="76200" b="76200"/>
                      <wp:wrapNone/>
                      <wp:docPr id="367" name="Ellipse 367"/>
                      <wp:cNvGraphicFramePr/>
                      <a:graphic xmlns:a="http://schemas.openxmlformats.org/drawingml/2006/main">
                        <a:graphicData uri="http://schemas.microsoft.com/office/word/2010/wordprocessingShape">
                          <wps:wsp>
                            <wps:cNvSpPr/>
                            <wps:spPr>
                              <a:xfrm>
                                <a:off x="0" y="0"/>
                                <a:ext cx="2057400" cy="2057400"/>
                              </a:xfrm>
                              <a:prstGeom prst="ellipse">
                                <a:avLst/>
                              </a:prstGeom>
                              <a:solidFill>
                                <a:schemeClr val="accent4"/>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D72C3C" w14:textId="77777777" w:rsidR="00573C95" w:rsidRDefault="00573C95" w:rsidP="0033673A">
                                  <w:pPr>
                                    <w:jc w:val="center"/>
                                    <w:rPr>
                                      <w:sz w:val="20"/>
                                      <w:szCs w:val="20"/>
                                    </w:rPr>
                                  </w:pPr>
                                  <w:r w:rsidRPr="0033673A">
                                    <w:rPr>
                                      <w:sz w:val="20"/>
                                      <w:szCs w:val="20"/>
                                    </w:rPr>
                                    <w:t>VALEUR DU RÉGIME AU DÉBUT DE LA RETRAITE</w:t>
                                  </w:r>
                                </w:p>
                                <w:p w14:paraId="12C8AB67" w14:textId="77777777" w:rsidR="00573C95" w:rsidRDefault="00573C95" w:rsidP="0033673A">
                                  <w:pPr>
                                    <w:jc w:val="center"/>
                                    <w:rPr>
                                      <w:sz w:val="20"/>
                                      <w:szCs w:val="20"/>
                                    </w:rPr>
                                  </w:pPr>
                                </w:p>
                                <w:p w14:paraId="37644B56" w14:textId="44F2C2CC" w:rsidR="00573C95" w:rsidRDefault="00573C95" w:rsidP="0033673A">
                                  <w:pPr>
                                    <w:jc w:val="center"/>
                                  </w:pPr>
                                  <w:r>
                                    <w:rPr>
                                      <w:sz w:val="20"/>
                                      <w:szCs w:val="20"/>
                                    </w:rPr>
                                    <w:t>1 161 914 $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367" o:spid="_x0000_s1241" style="position:absolute;left:0;text-align:left;margin-left:76.35pt;margin-top:.15pt;width:162pt;height:162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" fillcolor="#909465 [3207]">
                      <v:textbox>
                        <w:txbxContent>
                          <w:p w14:paraId="0DD72C3C" w14:textId="77777777" w:rsidR="001501D6" w:rsidRDefault="001501D6" w:rsidP="0033673A">
                            <w:pPr>
                              <w:jc w:val="center"/>
                              <w:rPr>
                                <w:sz w:val="20"/>
                                <w:szCs w:val="20"/>
                              </w:rPr>
                            </w:pPr>
                            <w:r w:rsidRPr="0033673A">
                              <w:rPr>
                                <w:sz w:val="20"/>
                                <w:szCs w:val="20"/>
                              </w:rPr>
                              <w:t>VALEUR DU RÉGIME AU DÉBUT DE LA RETRAITE</w:t>
                            </w:r>
                          </w:p>
                          <w:p w14:paraId="12C8AB67" w14:textId="77777777" w:rsidR="001501D6" w:rsidRDefault="001501D6" w:rsidP="0033673A">
                            <w:pPr>
                              <w:jc w:val="center"/>
                              <w:rPr>
                                <w:sz w:val="20"/>
                                <w:szCs w:val="20"/>
                              </w:rPr>
                            </w:pPr>
                          </w:p>
                          <w:p w14:paraId="37644B56" w14:textId="44F2C2CC" w:rsidR="001501D6" w:rsidRDefault="001501D6" w:rsidP="0033673A">
                            <w:pPr>
                              <w:jc w:val="center"/>
                            </w:pPr>
                            <w:r>
                              <w:rPr>
                                <w:sz w:val="20"/>
                                <w:szCs w:val="20"/>
                              </w:rPr>
                              <w:t>1 161 914 $</w:t>
                            </w:r>
                          </w:p>
                        </w:txbxContent>
                      </v:textbox>
                    </v:oval>
                  </w:pict>
                </mc:Fallback>
              </mc:AlternateContent>
            </w:r>
          </w:p>
        </w:tc>
        <w:tc>
          <w:tcPr>
            <w:tcW w:w="3287" w:type="dxa"/>
            <w:shd w:val="clear" w:color="auto" w:fill="FF5D72"/>
          </w:tcPr>
          <w:p w14:paraId="604F666D" w14:textId="77777777" w:rsidR="00793E76" w:rsidRDefault="00793E76" w:rsidP="000C17F7">
            <w:pPr>
              <w:jc w:val="both"/>
            </w:pPr>
          </w:p>
        </w:tc>
      </w:tr>
    </w:tbl>
    <w:p w14:paraId="09F57EAA" w14:textId="77777777" w:rsidR="004F033A" w:rsidRPr="00DE3566" w:rsidRDefault="004F033A" w:rsidP="00DE3566">
      <w:pPr>
        <w:ind w:left="689"/>
        <w:jc w:val="both"/>
        <w:rPr>
          <w:rFonts w:asciiTheme="majorHAnsi" w:hAnsiTheme="majorHAnsi"/>
          <w:lang w:val="fr-CA"/>
        </w:rPr>
      </w:pPr>
    </w:p>
    <w:p w14:paraId="6A640BCC" w14:textId="1395D4C7" w:rsidR="004F033A" w:rsidRDefault="004F033A" w:rsidP="004F033A">
      <w:pPr>
        <w:ind w:left="284"/>
        <w:jc w:val="both"/>
        <w:rPr>
          <w:rFonts w:asciiTheme="majorHAnsi" w:hAnsiTheme="majorHAnsi"/>
          <w:lang w:val="fr-CA"/>
        </w:rPr>
      </w:pPr>
      <w:r>
        <w:rPr>
          <w:rFonts w:asciiTheme="majorHAnsi" w:hAnsiTheme="majorHAnsi"/>
          <w:lang w:val="fr-CA"/>
        </w:rPr>
        <w:tab/>
      </w:r>
    </w:p>
    <w:p w14:paraId="69910AD5" w14:textId="77777777" w:rsidR="00793E76" w:rsidRDefault="00793E76">
      <w:pPr>
        <w:rPr>
          <w:rFonts w:asciiTheme="majorHAnsi" w:hAnsiTheme="majorHAnsi"/>
          <w:lang w:val="fr-CA"/>
        </w:rPr>
      </w:pPr>
    </w:p>
    <w:p w14:paraId="7C598B7B" w14:textId="77777777" w:rsidR="00793E76" w:rsidRDefault="00793E76">
      <w:pPr>
        <w:rPr>
          <w:rFonts w:asciiTheme="majorHAnsi" w:hAnsiTheme="majorHAnsi"/>
          <w:lang w:val="fr-CA"/>
        </w:rPr>
      </w:pPr>
    </w:p>
    <w:p w14:paraId="1248E26D" w14:textId="77777777" w:rsidR="00793E76" w:rsidRDefault="00793E76">
      <w:pPr>
        <w:rPr>
          <w:rFonts w:asciiTheme="majorHAnsi" w:hAnsiTheme="majorHAnsi"/>
          <w:lang w:val="fr-CA"/>
        </w:rPr>
      </w:pPr>
    </w:p>
    <w:p w14:paraId="11232314" w14:textId="77777777" w:rsidR="00793E76" w:rsidRDefault="00793E76">
      <w:pPr>
        <w:rPr>
          <w:rFonts w:asciiTheme="majorHAnsi" w:hAnsiTheme="majorHAnsi"/>
          <w:lang w:val="fr-CA"/>
        </w:rPr>
      </w:pPr>
    </w:p>
    <w:p w14:paraId="0C056194" w14:textId="77777777" w:rsidR="00793E76" w:rsidRDefault="00793E76">
      <w:pPr>
        <w:rPr>
          <w:rFonts w:asciiTheme="majorHAnsi" w:hAnsiTheme="majorHAnsi"/>
          <w:lang w:val="fr-CA"/>
        </w:rPr>
      </w:pPr>
    </w:p>
    <w:p w14:paraId="457D1DCB" w14:textId="77777777" w:rsidR="00793E76" w:rsidRDefault="00793E76">
      <w:pPr>
        <w:rPr>
          <w:rFonts w:asciiTheme="majorHAnsi" w:hAnsiTheme="majorHAnsi"/>
          <w:lang w:val="fr-CA"/>
        </w:rPr>
      </w:pPr>
    </w:p>
    <w:p w14:paraId="75009635" w14:textId="77777777" w:rsidR="00793E76" w:rsidRDefault="00793E76">
      <w:pPr>
        <w:rPr>
          <w:rFonts w:asciiTheme="majorHAnsi" w:hAnsiTheme="majorHAnsi"/>
          <w:lang w:val="fr-CA"/>
        </w:rPr>
      </w:pPr>
    </w:p>
    <w:p w14:paraId="279A80AA" w14:textId="77777777" w:rsidR="00B71FE1" w:rsidRDefault="00B71FE1" w:rsidP="0076221B">
      <w:pPr>
        <w:jc w:val="both"/>
        <w:rPr>
          <w:rFonts w:asciiTheme="majorHAnsi" w:hAnsiTheme="majorHAnsi"/>
          <w:lang w:val="fr-CA"/>
        </w:rPr>
      </w:pPr>
    </w:p>
    <w:p w14:paraId="2FD798DE" w14:textId="6C613B29" w:rsidR="0076221B" w:rsidRDefault="00793E76" w:rsidP="0076221B">
      <w:pPr>
        <w:jc w:val="both"/>
        <w:rPr>
          <w:rFonts w:asciiTheme="majorHAnsi" w:hAnsiTheme="majorHAnsi"/>
          <w:lang w:val="fr-CA"/>
        </w:rPr>
      </w:pPr>
      <w:r>
        <w:rPr>
          <w:rFonts w:asciiTheme="majorHAnsi" w:hAnsiTheme="majorHAnsi"/>
          <w:lang w:val="fr-CA"/>
        </w:rPr>
        <w:t xml:space="preserve">Pour être de valeur équivalente, le RPACD aurait dû permettre des cotisations </w:t>
      </w:r>
      <w:r w:rsidR="009E3FA0" w:rsidRPr="009E3FA0">
        <w:rPr>
          <w:rFonts w:asciiTheme="majorHAnsi" w:hAnsiTheme="majorHAnsi"/>
          <w:color w:val="FF6700" w:themeColor="accent3"/>
          <w:lang w:val="fr-CA"/>
        </w:rPr>
        <w:t>D</w:t>
      </w:r>
      <w:r w:rsidRPr="009E3FA0">
        <w:rPr>
          <w:rFonts w:asciiTheme="majorHAnsi" w:hAnsiTheme="majorHAnsi"/>
          <w:color w:val="FF6700" w:themeColor="accent3"/>
          <w:lang w:val="fr-CA"/>
        </w:rPr>
        <w:t>'</w:t>
      </w:r>
      <w:r w:rsidR="009E3FA0" w:rsidRPr="009E3FA0">
        <w:rPr>
          <w:rFonts w:asciiTheme="majorHAnsi" w:hAnsiTheme="majorHAnsi"/>
          <w:color w:val="FF6700" w:themeColor="accent3"/>
          <w:lang w:val="fr-CA"/>
        </w:rPr>
        <w:t>ENVIRON</w:t>
      </w:r>
      <w:r w:rsidRPr="009E3FA0">
        <w:rPr>
          <w:rFonts w:asciiTheme="majorHAnsi" w:hAnsiTheme="majorHAnsi"/>
          <w:color w:val="FF6700" w:themeColor="accent3"/>
          <w:lang w:val="fr-CA"/>
        </w:rPr>
        <w:t xml:space="preserve"> 24 %</w:t>
      </w:r>
      <w:r>
        <w:rPr>
          <w:rFonts w:asciiTheme="majorHAnsi" w:hAnsiTheme="majorHAnsi"/>
          <w:lang w:val="fr-CA"/>
        </w:rPr>
        <w:t>, ce qui n'est évidemment pas permis par les règles fiscales. Cet exemple est basé sur l'hypothèse</w:t>
      </w:r>
      <w:r w:rsidR="0076221B">
        <w:rPr>
          <w:rFonts w:asciiTheme="majorHAnsi" w:hAnsiTheme="majorHAnsi"/>
          <w:lang w:val="fr-CA"/>
        </w:rPr>
        <w:t xml:space="preserve"> du coût associé à l'achat d'une rente viagère au moment de la retraite équivalente à celle qui sera générée par le RPAPD. Elle ne tient pas compte du fait que cette rente serait réversible au conjoint dans le cas du RPAPD. Cette </w:t>
      </w:r>
      <w:r w:rsidR="00D435F0">
        <w:rPr>
          <w:rFonts w:asciiTheme="majorHAnsi" w:hAnsiTheme="majorHAnsi"/>
          <w:lang w:val="fr-CA"/>
        </w:rPr>
        <w:t xml:space="preserve">dernière </w:t>
      </w:r>
      <w:r w:rsidR="0076221B">
        <w:rPr>
          <w:rFonts w:asciiTheme="majorHAnsi" w:hAnsiTheme="majorHAnsi"/>
          <w:lang w:val="fr-CA"/>
        </w:rPr>
        <w:t xml:space="preserve">considération augmenterait davantage </w:t>
      </w:r>
      <w:r w:rsidR="00E4329A">
        <w:rPr>
          <w:rFonts w:asciiTheme="majorHAnsi" w:hAnsiTheme="majorHAnsi"/>
          <w:lang w:val="fr-CA"/>
        </w:rPr>
        <w:t xml:space="preserve">l'écart entre les deux régimes. Par ailleurs, </w:t>
      </w:r>
      <w:r w:rsidR="00E4329A" w:rsidRPr="003F39D4">
        <w:rPr>
          <w:rFonts w:asciiTheme="majorHAnsi" w:hAnsiTheme="majorHAnsi"/>
          <w:u w:val="single"/>
          <w:lang w:val="fr-CA"/>
        </w:rPr>
        <w:t>dans le présent exemple</w:t>
      </w:r>
      <w:r w:rsidR="00E4329A">
        <w:rPr>
          <w:rFonts w:asciiTheme="majorHAnsi" w:hAnsiTheme="majorHAnsi"/>
          <w:lang w:val="fr-CA"/>
        </w:rPr>
        <w:t xml:space="preserve"> et   comme nous l'observerons dans le prochain calcul, le déséquilibre entre les deux régimes est surtout causé par la possibilité de prendre une retraite sans pénalité actuarielle après seulement 26 années de service.</w:t>
      </w:r>
    </w:p>
    <w:p w14:paraId="772874EA" w14:textId="7090182F" w:rsidR="00E4329A" w:rsidRDefault="00D242D9" w:rsidP="0076221B">
      <w:pPr>
        <w:jc w:val="both"/>
        <w:rPr>
          <w:rFonts w:asciiTheme="majorHAnsi" w:hAnsiTheme="majorHAnsi"/>
          <w:lang w:val="fr-CA"/>
        </w:rPr>
      </w:pPr>
      <w:r w:rsidRPr="00171817">
        <w:rPr>
          <w:rFonts w:asciiTheme="majorHAnsi" w:hAnsiTheme="majorHAnsi"/>
          <w:noProof/>
          <w:lang w:eastAsia="fr-FR"/>
        </w:rPr>
        <w:drawing>
          <wp:anchor distT="0" distB="0" distL="114300" distR="114300" simplePos="0" relativeHeight="252397568" behindDoc="0" locked="0" layoutInCell="1" allowOverlap="1" wp14:anchorId="1D5302FB" wp14:editId="5919D6F9">
            <wp:simplePos x="0" y="0"/>
            <wp:positionH relativeFrom="column">
              <wp:posOffset>3429000</wp:posOffset>
            </wp:positionH>
            <wp:positionV relativeFrom="paragraph">
              <wp:posOffset>67945</wp:posOffset>
            </wp:positionV>
            <wp:extent cx="685800" cy="741045"/>
            <wp:effectExtent l="0" t="0" r="0" b="0"/>
            <wp:wrapNone/>
            <wp:docPr id="370" name="Image 370" descr="Macintosh HD:Users:marcbachand:Desktop:logo_WIKI_FISCx180 - copie.pn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25718B" w14:textId="10CBABF2" w:rsidR="004F033A" w:rsidRDefault="00D95494" w:rsidP="0076221B">
      <w:pPr>
        <w:jc w:val="both"/>
        <w:rPr>
          <w:rFonts w:asciiTheme="majorHAnsi" w:hAnsiTheme="majorHAnsi"/>
          <w:lang w:val="fr-CA"/>
        </w:rPr>
      </w:pPr>
      <w:r>
        <w:rPr>
          <w:rFonts w:asciiTheme="majorHAnsi" w:hAnsiTheme="majorHAnsi"/>
          <w:lang w:val="fr-CA"/>
        </w:rPr>
        <w:t>Pour discuter de ces calculs, rendez-vous sur</w:t>
      </w:r>
      <w:r w:rsidR="004F033A">
        <w:rPr>
          <w:rFonts w:asciiTheme="majorHAnsi" w:hAnsiTheme="majorHAnsi"/>
          <w:lang w:val="fr-CA"/>
        </w:rPr>
        <w:br w:type="page"/>
      </w:r>
    </w:p>
    <w:p w14:paraId="75B04A7C" w14:textId="40F069CF" w:rsidR="00DF39D2" w:rsidRDefault="00A82FAB" w:rsidP="00D86960">
      <w:pPr>
        <w:jc w:val="both"/>
      </w:pPr>
      <w:r>
        <w:rPr>
          <w:rFonts w:asciiTheme="majorHAnsi" w:hAnsiTheme="majorHAnsi"/>
        </w:rPr>
        <w:lastRenderedPageBreak/>
        <w:t>L</w:t>
      </w:r>
      <w:r w:rsidR="00D435F0">
        <w:rPr>
          <w:rFonts w:asciiTheme="majorHAnsi" w:hAnsiTheme="majorHAnsi"/>
        </w:rPr>
        <w:t xml:space="preserve">'autre question en matière d'équité fiscale qui mérite d'être posée est celle de l'ampleur de l'abri fiscal qui est mis à la disposition des contribuables. Est-ce que le plafond des cotisations qui est permis par le fisc est trop élevé </w:t>
      </w:r>
      <w:r w:rsidR="00D435F0" w:rsidRPr="00D435F0">
        <w:rPr>
          <w:rFonts w:ascii="Avenir Book" w:hAnsi="Avenir Book"/>
        </w:rPr>
        <w:t>?</w:t>
      </w:r>
      <w:r w:rsidR="00D435F0">
        <w:rPr>
          <w:rFonts w:ascii="Avenir Book" w:hAnsi="Avenir Book"/>
        </w:rPr>
        <w:t xml:space="preserve"> </w:t>
      </w:r>
      <w:r w:rsidR="00FE1ADC" w:rsidRPr="00FE1ADC">
        <w:t xml:space="preserve">Est-ce que </w:t>
      </w:r>
      <w:r w:rsidR="00D435F0" w:rsidRPr="00FE1ADC">
        <w:t>le taux de</w:t>
      </w:r>
      <w:r w:rsidR="00D435F0" w:rsidRPr="00D435F0">
        <w:t xml:space="preserve"> 18 %</w:t>
      </w:r>
      <w:r w:rsidR="00D435F0">
        <w:t xml:space="preserve"> </w:t>
      </w:r>
      <w:r w:rsidR="00A93C6B">
        <w:t>qui a</w:t>
      </w:r>
      <w:r w:rsidR="00D435F0">
        <w:t xml:space="preserve"> été fixé afin de permettre aux contribuables de générer des revenus de retraite suffisant, disons 70 %</w:t>
      </w:r>
      <w:r w:rsidR="00D435F0">
        <w:rPr>
          <w:rStyle w:val="Marquenotebasdepage"/>
        </w:rPr>
        <w:footnoteReference w:customMarkFollows="1" w:id="47"/>
        <w:t>44</w:t>
      </w:r>
      <w:r w:rsidR="00D435F0">
        <w:t xml:space="preserve"> du revenu généré durant la vie active</w:t>
      </w:r>
      <w:r w:rsidR="00F422A8">
        <w:t>,</w:t>
      </w:r>
      <w:r w:rsidR="00A93C6B">
        <w:t xml:space="preserve"> tient la route. R</w:t>
      </w:r>
      <w:r w:rsidR="00F422A8">
        <w:t>eprenons nos calculs, mais cette fois</w:t>
      </w:r>
      <w:r w:rsidR="00DF39D2">
        <w:t>, sur une vie active de 35 années (35 années * 2 %/année = 70 % de rente acquise).</w:t>
      </w:r>
    </w:p>
    <w:p w14:paraId="59381ADC" w14:textId="77777777" w:rsidR="00DF39D2" w:rsidRDefault="00DF39D2" w:rsidP="000069D9">
      <w:pPr>
        <w:ind w:left="329"/>
        <w:jc w:val="both"/>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5161CE" w14:paraId="7E33F2DA" w14:textId="77777777" w:rsidTr="00517F0D">
        <w:tc>
          <w:tcPr>
            <w:tcW w:w="6573" w:type="dxa"/>
            <w:gridSpan w:val="2"/>
            <w:shd w:val="clear" w:color="auto" w:fill="BFBFBF" w:themeFill="background1" w:themeFillShade="BF"/>
          </w:tcPr>
          <w:p w14:paraId="1118E2EA" w14:textId="77777777" w:rsidR="005161CE" w:rsidRDefault="005161CE" w:rsidP="00517F0D">
            <w:pPr>
              <w:jc w:val="both"/>
            </w:pPr>
            <w:r>
              <w:t>RPACD</w:t>
            </w:r>
          </w:p>
        </w:tc>
        <w:tc>
          <w:tcPr>
            <w:tcW w:w="6573" w:type="dxa"/>
            <w:gridSpan w:val="2"/>
            <w:shd w:val="clear" w:color="auto" w:fill="BFBFBF" w:themeFill="background1" w:themeFillShade="BF"/>
          </w:tcPr>
          <w:p w14:paraId="02C5ED79" w14:textId="77777777" w:rsidR="005161CE" w:rsidRDefault="005161CE" w:rsidP="00517F0D">
            <w:pPr>
              <w:jc w:val="both"/>
            </w:pPr>
            <w:r>
              <w:t>RPAPD</w:t>
            </w:r>
          </w:p>
        </w:tc>
      </w:tr>
      <w:tr w:rsidR="005161CE" w14:paraId="33852851" w14:textId="77777777" w:rsidTr="00517F0D">
        <w:tc>
          <w:tcPr>
            <w:tcW w:w="3286" w:type="dxa"/>
            <w:shd w:val="clear" w:color="auto" w:fill="BBB9A1" w:themeFill="text2" w:themeFillTint="66"/>
          </w:tcPr>
          <w:p w14:paraId="29F8825F" w14:textId="77777777" w:rsidR="005161CE" w:rsidRDefault="005161CE" w:rsidP="00517F0D">
            <w:pPr>
              <w:jc w:val="both"/>
            </w:pPr>
          </w:p>
          <w:p w14:paraId="3DAE3394" w14:textId="77777777" w:rsidR="005161CE" w:rsidRDefault="005161CE" w:rsidP="00517F0D">
            <w:pPr>
              <w:jc w:val="both"/>
            </w:pPr>
            <w:r>
              <w:t>Salaire annuel</w:t>
            </w:r>
          </w:p>
        </w:tc>
        <w:tc>
          <w:tcPr>
            <w:tcW w:w="3286" w:type="dxa"/>
            <w:shd w:val="clear" w:color="auto" w:fill="BBB9A1"/>
          </w:tcPr>
          <w:p w14:paraId="5EFD9007" w14:textId="77777777" w:rsidR="005161CE" w:rsidRDefault="005161CE" w:rsidP="00517F0D">
            <w:pPr>
              <w:jc w:val="both"/>
            </w:pPr>
          </w:p>
          <w:p w14:paraId="408B3F86" w14:textId="19476AC0" w:rsidR="005161CE" w:rsidRDefault="005161CE" w:rsidP="00517F0D">
            <w:pPr>
              <w:tabs>
                <w:tab w:val="right" w:pos="3071"/>
              </w:tabs>
              <w:jc w:val="both"/>
            </w:pPr>
            <w:r>
              <w:t>70 000 $</w:t>
            </w:r>
            <w:r>
              <w:tab/>
            </w:r>
          </w:p>
        </w:tc>
        <w:tc>
          <w:tcPr>
            <w:tcW w:w="3287" w:type="dxa"/>
            <w:shd w:val="clear" w:color="auto" w:fill="FF5D72"/>
          </w:tcPr>
          <w:p w14:paraId="3910CF7F" w14:textId="77777777" w:rsidR="005161CE" w:rsidRDefault="005161CE" w:rsidP="00517F0D">
            <w:pPr>
              <w:jc w:val="both"/>
            </w:pPr>
          </w:p>
          <w:p w14:paraId="54F5107B" w14:textId="77777777" w:rsidR="005161CE" w:rsidRDefault="005161CE" w:rsidP="00517F0D">
            <w:pPr>
              <w:jc w:val="both"/>
            </w:pPr>
            <w:r>
              <w:t>Salaire annuel</w:t>
            </w:r>
          </w:p>
        </w:tc>
        <w:tc>
          <w:tcPr>
            <w:tcW w:w="3287" w:type="dxa"/>
            <w:shd w:val="clear" w:color="auto" w:fill="FF5D72"/>
          </w:tcPr>
          <w:p w14:paraId="58861440" w14:textId="77777777" w:rsidR="005161CE" w:rsidRDefault="005161CE" w:rsidP="00517F0D">
            <w:pPr>
              <w:jc w:val="both"/>
            </w:pPr>
          </w:p>
          <w:p w14:paraId="2AC3C5BA" w14:textId="77777777" w:rsidR="005161CE" w:rsidRDefault="005161CE" w:rsidP="00517F0D">
            <w:pPr>
              <w:jc w:val="both"/>
            </w:pPr>
            <w:r>
              <w:t>70 000 $</w:t>
            </w:r>
          </w:p>
        </w:tc>
      </w:tr>
      <w:tr w:rsidR="005161CE" w14:paraId="010409C9" w14:textId="77777777" w:rsidTr="00517F0D">
        <w:tc>
          <w:tcPr>
            <w:tcW w:w="3286" w:type="dxa"/>
            <w:shd w:val="clear" w:color="auto" w:fill="BBB9A1" w:themeFill="text2" w:themeFillTint="66"/>
          </w:tcPr>
          <w:p w14:paraId="16688AAA" w14:textId="77777777" w:rsidR="005161CE" w:rsidRDefault="005161CE" w:rsidP="00517F0D">
            <w:pPr>
              <w:jc w:val="both"/>
            </w:pPr>
            <w:r>
              <w:t xml:space="preserve">Cotisations </w:t>
            </w:r>
          </w:p>
        </w:tc>
        <w:tc>
          <w:tcPr>
            <w:tcW w:w="3286" w:type="dxa"/>
            <w:shd w:val="clear" w:color="auto" w:fill="BBB9A1" w:themeFill="text2" w:themeFillTint="66"/>
          </w:tcPr>
          <w:p w14:paraId="439C4A10" w14:textId="63D714B3" w:rsidR="005161CE" w:rsidRDefault="000E7DB5" w:rsidP="00517F0D">
            <w:pPr>
              <w:jc w:val="both"/>
            </w:pPr>
            <w:r>
              <w:rPr>
                <w:noProof/>
                <w:lang w:eastAsia="fr-FR"/>
              </w:rPr>
              <mc:AlternateContent>
                <mc:Choice Requires="wps">
                  <w:drawing>
                    <wp:anchor distT="0" distB="0" distL="114300" distR="114300" simplePos="0" relativeHeight="252402688" behindDoc="0" locked="0" layoutInCell="1" allowOverlap="1" wp14:anchorId="35DE06C0" wp14:editId="2E94CED8">
                      <wp:simplePos x="0" y="0"/>
                      <wp:positionH relativeFrom="column">
                        <wp:posOffset>520602</wp:posOffset>
                      </wp:positionH>
                      <wp:positionV relativeFrom="paragraph">
                        <wp:posOffset>-1131</wp:posOffset>
                      </wp:positionV>
                      <wp:extent cx="843279" cy="599669"/>
                      <wp:effectExtent l="0" t="101600" r="0" b="111760"/>
                      <wp:wrapNone/>
                      <wp:docPr id="371" name="Flèche vers la gauche 371"/>
                      <wp:cNvGraphicFramePr/>
                      <a:graphic xmlns:a="http://schemas.openxmlformats.org/drawingml/2006/main">
                        <a:graphicData uri="http://schemas.microsoft.com/office/word/2010/wordprocessingShape">
                          <wps:wsp>
                            <wps:cNvSpPr/>
                            <wps:spPr>
                              <a:xfrm rot="19841045">
                                <a:off x="0" y="0"/>
                                <a:ext cx="843279" cy="599669"/>
                              </a:xfrm>
                              <a:prstGeom prst="leftArrow">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498589F" w14:textId="1A57419E" w:rsidR="00573C95" w:rsidRPr="000E7DB5" w:rsidRDefault="00573C95" w:rsidP="000E7DB5">
                                  <w:pPr>
                                    <w:jc w:val="center"/>
                                    <w:rPr>
                                      <w:sz w:val="20"/>
                                      <w:szCs w:val="20"/>
                                    </w:rPr>
                                  </w:pPr>
                                  <w:r w:rsidRPr="000E7DB5">
                                    <w:rPr>
                                      <w:sz w:val="20"/>
                                      <w:szCs w:val="20"/>
                                    </w:rPr>
                                    <w:t>35 ans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371" o:spid="_x0000_s1242" type="#_x0000_t66" style="position:absolute;left:0;text-align:left;margin-left:41pt;margin-top:-.05pt;width:66.4pt;height:47.2pt;rotation:-1921248fd;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" adj="7680" fillcolor="maroon">
                      <v:textbox>
                        <w:txbxContent>
                          <w:p w14:paraId="7498589F" w14:textId="1A57419E" w:rsidR="001501D6" w:rsidRPr="000E7DB5" w:rsidRDefault="001501D6" w:rsidP="000E7DB5">
                            <w:pPr>
                              <w:jc w:val="center"/>
                              <w:rPr>
                                <w:sz w:val="20"/>
                                <w:szCs w:val="20"/>
                              </w:rPr>
                            </w:pPr>
                            <w:r w:rsidRPr="000E7DB5">
                              <w:rPr>
                                <w:sz w:val="20"/>
                                <w:szCs w:val="20"/>
                              </w:rPr>
                              <w:t>35 ans</w:t>
                            </w:r>
                          </w:p>
                        </w:txbxContent>
                      </v:textbox>
                    </v:shape>
                  </w:pict>
                </mc:Fallback>
              </mc:AlternateContent>
            </w:r>
            <w:r w:rsidR="005161CE">
              <w:t>18 %</w:t>
            </w:r>
          </w:p>
        </w:tc>
        <w:tc>
          <w:tcPr>
            <w:tcW w:w="3287" w:type="dxa"/>
            <w:shd w:val="clear" w:color="auto" w:fill="FF5D72"/>
          </w:tcPr>
          <w:p w14:paraId="5DD22B64" w14:textId="77777777" w:rsidR="005161CE" w:rsidRDefault="005161CE" w:rsidP="00517F0D">
            <w:pPr>
              <w:jc w:val="both"/>
            </w:pPr>
            <w:r>
              <w:t>Rente annuelle acquise</w:t>
            </w:r>
          </w:p>
        </w:tc>
        <w:tc>
          <w:tcPr>
            <w:tcW w:w="3287" w:type="dxa"/>
            <w:shd w:val="clear" w:color="auto" w:fill="FF5D72"/>
          </w:tcPr>
          <w:p w14:paraId="62D78487" w14:textId="794205C3" w:rsidR="005161CE" w:rsidRDefault="000E7DB5" w:rsidP="00517F0D">
            <w:pPr>
              <w:jc w:val="both"/>
            </w:pPr>
            <w:r>
              <w:rPr>
                <w:noProof/>
                <w:lang w:eastAsia="fr-FR"/>
              </w:rPr>
              <mc:AlternateContent>
                <mc:Choice Requires="wps">
                  <w:drawing>
                    <wp:anchor distT="0" distB="0" distL="114300" distR="114300" simplePos="0" relativeHeight="252404736" behindDoc="0" locked="0" layoutInCell="1" allowOverlap="1" wp14:anchorId="54C2E729" wp14:editId="4CF095DA">
                      <wp:simplePos x="0" y="0"/>
                      <wp:positionH relativeFrom="column">
                        <wp:posOffset>460912</wp:posOffset>
                      </wp:positionH>
                      <wp:positionV relativeFrom="paragraph">
                        <wp:posOffset>-1131</wp:posOffset>
                      </wp:positionV>
                      <wp:extent cx="843279" cy="599669"/>
                      <wp:effectExtent l="0" t="101600" r="0" b="111760"/>
                      <wp:wrapNone/>
                      <wp:docPr id="372" name="Flèche vers la gauche 372"/>
                      <wp:cNvGraphicFramePr/>
                      <a:graphic xmlns:a="http://schemas.openxmlformats.org/drawingml/2006/main">
                        <a:graphicData uri="http://schemas.microsoft.com/office/word/2010/wordprocessingShape">
                          <wps:wsp>
                            <wps:cNvSpPr/>
                            <wps:spPr>
                              <a:xfrm rot="19841045">
                                <a:off x="0" y="0"/>
                                <a:ext cx="843279" cy="599669"/>
                              </a:xfrm>
                              <a:prstGeom prst="leftArrow">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CA1E56D" w14:textId="77777777" w:rsidR="00573C95" w:rsidRPr="000E7DB5" w:rsidRDefault="00573C95" w:rsidP="000E7DB5">
                                  <w:pPr>
                                    <w:jc w:val="center"/>
                                    <w:rPr>
                                      <w:sz w:val="20"/>
                                      <w:szCs w:val="20"/>
                                    </w:rPr>
                                  </w:pPr>
                                  <w:r w:rsidRPr="000E7DB5">
                                    <w:rPr>
                                      <w:sz w:val="20"/>
                                      <w:szCs w:val="20"/>
                                    </w:rPr>
                                    <w:t>35 ans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372" o:spid="_x0000_s1243" type="#_x0000_t66" style="position:absolute;left:0;text-align:left;margin-left:36.3pt;margin-top:-.05pt;width:66.4pt;height:47.2pt;rotation:-1921248fd;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" adj="7680" fillcolor="maroon">
                      <v:textbox>
                        <w:txbxContent>
                          <w:p w14:paraId="4CA1E56D" w14:textId="77777777" w:rsidR="001501D6" w:rsidRPr="000E7DB5" w:rsidRDefault="001501D6" w:rsidP="000E7DB5">
                            <w:pPr>
                              <w:jc w:val="center"/>
                              <w:rPr>
                                <w:sz w:val="20"/>
                                <w:szCs w:val="20"/>
                              </w:rPr>
                            </w:pPr>
                            <w:r w:rsidRPr="000E7DB5">
                              <w:rPr>
                                <w:sz w:val="20"/>
                                <w:szCs w:val="20"/>
                              </w:rPr>
                              <w:t>35 ans</w:t>
                            </w:r>
                          </w:p>
                        </w:txbxContent>
                      </v:textbox>
                    </v:shape>
                  </w:pict>
                </mc:Fallback>
              </mc:AlternateContent>
            </w:r>
            <w:r w:rsidR="005161CE">
              <w:t>2 %</w:t>
            </w:r>
          </w:p>
        </w:tc>
      </w:tr>
      <w:tr w:rsidR="005161CE" w14:paraId="343C5764" w14:textId="77777777" w:rsidTr="00517F0D">
        <w:tc>
          <w:tcPr>
            <w:tcW w:w="3286" w:type="dxa"/>
            <w:shd w:val="clear" w:color="auto" w:fill="BBB9A1" w:themeFill="text2" w:themeFillTint="66"/>
          </w:tcPr>
          <w:p w14:paraId="12F81639" w14:textId="77777777" w:rsidR="005161CE" w:rsidRDefault="005161CE" w:rsidP="00517F0D">
            <w:pPr>
              <w:jc w:val="both"/>
            </w:pPr>
            <w:r>
              <w:t>Âge au début</w:t>
            </w:r>
          </w:p>
        </w:tc>
        <w:tc>
          <w:tcPr>
            <w:tcW w:w="3286" w:type="dxa"/>
            <w:shd w:val="clear" w:color="auto" w:fill="BBB9A1" w:themeFill="text2" w:themeFillTint="66"/>
          </w:tcPr>
          <w:p w14:paraId="52795702" w14:textId="77777777" w:rsidR="005161CE" w:rsidRDefault="005161CE" w:rsidP="00517F0D">
            <w:pPr>
              <w:jc w:val="both"/>
            </w:pPr>
            <w:r>
              <w:t>29 ans</w:t>
            </w:r>
          </w:p>
        </w:tc>
        <w:tc>
          <w:tcPr>
            <w:tcW w:w="3287" w:type="dxa"/>
            <w:shd w:val="clear" w:color="auto" w:fill="FF5D72"/>
          </w:tcPr>
          <w:p w14:paraId="140BC5F4" w14:textId="77777777" w:rsidR="005161CE" w:rsidRDefault="005161CE" w:rsidP="00517F0D">
            <w:pPr>
              <w:jc w:val="both"/>
            </w:pPr>
            <w:r>
              <w:t>Âge au début</w:t>
            </w:r>
          </w:p>
        </w:tc>
        <w:tc>
          <w:tcPr>
            <w:tcW w:w="3287" w:type="dxa"/>
            <w:shd w:val="clear" w:color="auto" w:fill="FF5D72"/>
          </w:tcPr>
          <w:p w14:paraId="22B5D1BF" w14:textId="46FD2A06" w:rsidR="005161CE" w:rsidRDefault="005161CE" w:rsidP="00517F0D">
            <w:pPr>
              <w:jc w:val="both"/>
            </w:pPr>
            <w:r>
              <w:t>29 ans</w:t>
            </w:r>
          </w:p>
        </w:tc>
      </w:tr>
      <w:tr w:rsidR="005161CE" w14:paraId="4AAD714D" w14:textId="77777777" w:rsidTr="00517F0D">
        <w:tc>
          <w:tcPr>
            <w:tcW w:w="3286" w:type="dxa"/>
            <w:shd w:val="clear" w:color="auto" w:fill="BBB9A1" w:themeFill="text2" w:themeFillTint="66"/>
          </w:tcPr>
          <w:p w14:paraId="09F16A5A" w14:textId="77777777" w:rsidR="005161CE" w:rsidRDefault="005161CE" w:rsidP="00517F0D">
            <w:pPr>
              <w:jc w:val="both"/>
            </w:pPr>
            <w:r>
              <w:t>Âge à la retraite</w:t>
            </w:r>
          </w:p>
        </w:tc>
        <w:tc>
          <w:tcPr>
            <w:tcW w:w="3286" w:type="dxa"/>
            <w:shd w:val="clear" w:color="auto" w:fill="BBB9A1" w:themeFill="text2" w:themeFillTint="66"/>
          </w:tcPr>
          <w:p w14:paraId="0D89BC11" w14:textId="4EB1BA8F" w:rsidR="005161CE" w:rsidRDefault="005161CE" w:rsidP="005161CE">
            <w:pPr>
              <w:jc w:val="both"/>
            </w:pPr>
            <w:r>
              <w:t>64 ans</w:t>
            </w:r>
          </w:p>
        </w:tc>
        <w:tc>
          <w:tcPr>
            <w:tcW w:w="3287" w:type="dxa"/>
            <w:shd w:val="clear" w:color="auto" w:fill="FF5D72"/>
          </w:tcPr>
          <w:p w14:paraId="78008295" w14:textId="77777777" w:rsidR="005161CE" w:rsidRDefault="005161CE" w:rsidP="00517F0D">
            <w:pPr>
              <w:jc w:val="both"/>
            </w:pPr>
            <w:r>
              <w:t>Âge à la retraite</w:t>
            </w:r>
          </w:p>
        </w:tc>
        <w:tc>
          <w:tcPr>
            <w:tcW w:w="3287" w:type="dxa"/>
            <w:shd w:val="clear" w:color="auto" w:fill="FF5D72"/>
          </w:tcPr>
          <w:p w14:paraId="469E86FD" w14:textId="348F7795" w:rsidR="005161CE" w:rsidRDefault="005161CE" w:rsidP="005161CE">
            <w:pPr>
              <w:jc w:val="both"/>
            </w:pPr>
            <w:r>
              <w:t>64 ans</w:t>
            </w:r>
          </w:p>
        </w:tc>
      </w:tr>
      <w:tr w:rsidR="005161CE" w14:paraId="2BD81C5C" w14:textId="77777777" w:rsidTr="00517F0D">
        <w:tc>
          <w:tcPr>
            <w:tcW w:w="3286" w:type="dxa"/>
            <w:shd w:val="clear" w:color="auto" w:fill="BBB9A1" w:themeFill="text2" w:themeFillTint="66"/>
          </w:tcPr>
          <w:p w14:paraId="7AE06532" w14:textId="77777777" w:rsidR="005161CE" w:rsidRDefault="005161CE" w:rsidP="00517F0D">
            <w:pPr>
              <w:jc w:val="both"/>
            </w:pPr>
            <w:r>
              <w:t>Âge décès</w:t>
            </w:r>
          </w:p>
        </w:tc>
        <w:tc>
          <w:tcPr>
            <w:tcW w:w="3286" w:type="dxa"/>
            <w:shd w:val="clear" w:color="auto" w:fill="BBB9A1" w:themeFill="text2" w:themeFillTint="66"/>
          </w:tcPr>
          <w:p w14:paraId="0D972149" w14:textId="578701DF" w:rsidR="005161CE" w:rsidRDefault="005161CE" w:rsidP="00387043">
            <w:pPr>
              <w:jc w:val="both"/>
            </w:pPr>
            <w:r>
              <w:t>8</w:t>
            </w:r>
            <w:r w:rsidR="00387043">
              <w:t>7</w:t>
            </w:r>
            <w:r>
              <w:t xml:space="preserve"> ans</w:t>
            </w:r>
          </w:p>
        </w:tc>
        <w:tc>
          <w:tcPr>
            <w:tcW w:w="3287" w:type="dxa"/>
            <w:shd w:val="clear" w:color="auto" w:fill="FF5D72"/>
          </w:tcPr>
          <w:p w14:paraId="79E49335" w14:textId="77777777" w:rsidR="005161CE" w:rsidRDefault="005161CE" w:rsidP="00517F0D">
            <w:pPr>
              <w:jc w:val="both"/>
            </w:pPr>
            <w:r>
              <w:t>Âge décès</w:t>
            </w:r>
          </w:p>
        </w:tc>
        <w:tc>
          <w:tcPr>
            <w:tcW w:w="3287" w:type="dxa"/>
            <w:shd w:val="clear" w:color="auto" w:fill="FF5D72"/>
          </w:tcPr>
          <w:p w14:paraId="50F0401B" w14:textId="7EFBC0E7" w:rsidR="005161CE" w:rsidRDefault="005161CE" w:rsidP="00387043">
            <w:pPr>
              <w:jc w:val="both"/>
            </w:pPr>
            <w:r>
              <w:t>8</w:t>
            </w:r>
            <w:r w:rsidR="00387043">
              <w:t>7</w:t>
            </w:r>
            <w:r>
              <w:t xml:space="preserve"> ans $</w:t>
            </w:r>
          </w:p>
        </w:tc>
      </w:tr>
      <w:tr w:rsidR="005161CE" w14:paraId="5B684F49" w14:textId="77777777" w:rsidTr="00517F0D">
        <w:tc>
          <w:tcPr>
            <w:tcW w:w="3286" w:type="dxa"/>
            <w:shd w:val="clear" w:color="auto" w:fill="BBB9A1" w:themeFill="text2" w:themeFillTint="66"/>
          </w:tcPr>
          <w:p w14:paraId="1CC4B304" w14:textId="77777777" w:rsidR="005161CE" w:rsidRDefault="005161CE" w:rsidP="00517F0D">
            <w:pPr>
              <w:jc w:val="both"/>
            </w:pPr>
            <w:r>
              <w:t>Augmentation salaire</w:t>
            </w:r>
          </w:p>
        </w:tc>
        <w:tc>
          <w:tcPr>
            <w:tcW w:w="3286" w:type="dxa"/>
            <w:shd w:val="clear" w:color="auto" w:fill="BBB9A1" w:themeFill="text2" w:themeFillTint="66"/>
          </w:tcPr>
          <w:p w14:paraId="41145FC5" w14:textId="77777777" w:rsidR="005161CE" w:rsidRDefault="005161CE" w:rsidP="00517F0D">
            <w:pPr>
              <w:jc w:val="both"/>
            </w:pPr>
            <w:r>
              <w:t xml:space="preserve">2 % </w:t>
            </w:r>
          </w:p>
        </w:tc>
        <w:tc>
          <w:tcPr>
            <w:tcW w:w="3287" w:type="dxa"/>
            <w:shd w:val="clear" w:color="auto" w:fill="FF5D72"/>
          </w:tcPr>
          <w:p w14:paraId="45AACEB3" w14:textId="77777777" w:rsidR="005161CE" w:rsidRDefault="005161CE" w:rsidP="00517F0D">
            <w:pPr>
              <w:jc w:val="both"/>
            </w:pPr>
            <w:r>
              <w:t>Augmentation salaire</w:t>
            </w:r>
          </w:p>
        </w:tc>
        <w:tc>
          <w:tcPr>
            <w:tcW w:w="3287" w:type="dxa"/>
            <w:shd w:val="clear" w:color="auto" w:fill="FF5D72"/>
          </w:tcPr>
          <w:p w14:paraId="44C88377" w14:textId="77777777" w:rsidR="005161CE" w:rsidRDefault="005161CE" w:rsidP="00517F0D">
            <w:pPr>
              <w:jc w:val="both"/>
            </w:pPr>
            <w:r>
              <w:t>2 %</w:t>
            </w:r>
          </w:p>
        </w:tc>
      </w:tr>
      <w:tr w:rsidR="005161CE" w14:paraId="0BB8312A" w14:textId="77777777" w:rsidTr="00517F0D">
        <w:tc>
          <w:tcPr>
            <w:tcW w:w="3286" w:type="dxa"/>
            <w:shd w:val="clear" w:color="auto" w:fill="BBB9A1" w:themeFill="text2" w:themeFillTint="66"/>
          </w:tcPr>
          <w:p w14:paraId="4BB6824E" w14:textId="77777777" w:rsidR="005161CE" w:rsidRDefault="005161CE" w:rsidP="00517F0D">
            <w:pPr>
              <w:jc w:val="both"/>
            </w:pPr>
            <w:r>
              <w:t>Rendement actif</w:t>
            </w:r>
          </w:p>
        </w:tc>
        <w:tc>
          <w:tcPr>
            <w:tcW w:w="3286" w:type="dxa"/>
            <w:shd w:val="clear" w:color="auto" w:fill="BBB9A1" w:themeFill="text2" w:themeFillTint="66"/>
          </w:tcPr>
          <w:p w14:paraId="33B1BB8F" w14:textId="77777777" w:rsidR="005161CE" w:rsidRDefault="005161CE" w:rsidP="00517F0D">
            <w:pPr>
              <w:jc w:val="both"/>
            </w:pPr>
            <w:r>
              <w:t>5 %</w:t>
            </w:r>
          </w:p>
        </w:tc>
        <w:tc>
          <w:tcPr>
            <w:tcW w:w="3287" w:type="dxa"/>
            <w:shd w:val="clear" w:color="auto" w:fill="FF5D72"/>
          </w:tcPr>
          <w:p w14:paraId="447532E4" w14:textId="77777777" w:rsidR="005161CE" w:rsidRDefault="005161CE" w:rsidP="00517F0D">
            <w:pPr>
              <w:jc w:val="both"/>
            </w:pPr>
            <w:r>
              <w:t>Rendement viager</w:t>
            </w:r>
          </w:p>
        </w:tc>
        <w:tc>
          <w:tcPr>
            <w:tcW w:w="3287" w:type="dxa"/>
            <w:shd w:val="clear" w:color="auto" w:fill="FF5D72"/>
          </w:tcPr>
          <w:p w14:paraId="5F2E3BC7" w14:textId="77777777" w:rsidR="005161CE" w:rsidRDefault="005161CE" w:rsidP="00517F0D">
            <w:pPr>
              <w:jc w:val="both"/>
            </w:pPr>
            <w:r>
              <w:t>3 %</w:t>
            </w:r>
          </w:p>
        </w:tc>
      </w:tr>
      <w:tr w:rsidR="005161CE" w14:paraId="2346F8FB" w14:textId="77777777" w:rsidTr="00517F0D">
        <w:tc>
          <w:tcPr>
            <w:tcW w:w="3286" w:type="dxa"/>
            <w:shd w:val="clear" w:color="auto" w:fill="BBB9A1" w:themeFill="text2" w:themeFillTint="66"/>
          </w:tcPr>
          <w:p w14:paraId="3442D301" w14:textId="77777777" w:rsidR="005161CE" w:rsidRDefault="005161CE" w:rsidP="00517F0D">
            <w:pPr>
              <w:jc w:val="both"/>
            </w:pPr>
            <w:r>
              <w:rPr>
                <w:noProof/>
                <w:lang w:eastAsia="fr-FR"/>
              </w:rPr>
              <mc:AlternateContent>
                <mc:Choice Requires="wps">
                  <w:drawing>
                    <wp:anchor distT="0" distB="0" distL="114300" distR="114300" simplePos="0" relativeHeight="252399616" behindDoc="0" locked="0" layoutInCell="1" allowOverlap="1" wp14:anchorId="74CA7445" wp14:editId="61229B7E">
                      <wp:simplePos x="0" y="0"/>
                      <wp:positionH relativeFrom="column">
                        <wp:posOffset>1485900</wp:posOffset>
                      </wp:positionH>
                      <wp:positionV relativeFrom="paragraph">
                        <wp:posOffset>32385</wp:posOffset>
                      </wp:positionV>
                      <wp:extent cx="1714500" cy="1714500"/>
                      <wp:effectExtent l="76200" t="76200" r="63500" b="63500"/>
                      <wp:wrapNone/>
                      <wp:docPr id="368" name="Ellipse 368"/>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73D090" w14:textId="77777777" w:rsidR="00573C95" w:rsidRDefault="00573C95" w:rsidP="005161CE">
                                  <w:pPr>
                                    <w:jc w:val="center"/>
                                    <w:rPr>
                                      <w:sz w:val="20"/>
                                      <w:szCs w:val="20"/>
                                    </w:rPr>
                                  </w:pPr>
                                  <w:r w:rsidRPr="0033673A">
                                    <w:rPr>
                                      <w:sz w:val="20"/>
                                      <w:szCs w:val="20"/>
                                    </w:rPr>
                                    <w:t>VALEUR DU RÉGIME AU DÉBUT DE LA RETRAITE</w:t>
                                  </w:r>
                                </w:p>
                                <w:p w14:paraId="2F14EAF9" w14:textId="77777777" w:rsidR="00573C95" w:rsidRDefault="00573C95" w:rsidP="005161CE">
                                  <w:pPr>
                                    <w:jc w:val="center"/>
                                    <w:rPr>
                                      <w:sz w:val="20"/>
                                      <w:szCs w:val="20"/>
                                    </w:rPr>
                                  </w:pPr>
                                </w:p>
                                <w:p w14:paraId="508727F3" w14:textId="3065FE44" w:rsidR="00573C95" w:rsidRDefault="00573C95" w:rsidP="005161CE">
                                  <w:pPr>
                                    <w:jc w:val="center"/>
                                  </w:pPr>
                                  <w:r>
                                    <w:rPr>
                                      <w:sz w:val="20"/>
                                      <w:szCs w:val="20"/>
                                    </w:rPr>
                                    <w:t>1 615 205 $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368" o:spid="_x0000_s1244" style="position:absolute;left:0;text-align:left;margin-left:117pt;margin-top:2.55pt;width:135pt;height:13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" fillcolor="#71685a" strokecolor="black [3213]">
                      <v:textbox>
                        <w:txbxContent>
                          <w:p w14:paraId="0D73D090" w14:textId="77777777" w:rsidR="001501D6" w:rsidRDefault="001501D6" w:rsidP="005161CE">
                            <w:pPr>
                              <w:jc w:val="center"/>
                              <w:rPr>
                                <w:sz w:val="20"/>
                                <w:szCs w:val="20"/>
                              </w:rPr>
                            </w:pPr>
                            <w:r w:rsidRPr="0033673A">
                              <w:rPr>
                                <w:sz w:val="20"/>
                                <w:szCs w:val="20"/>
                              </w:rPr>
                              <w:t>VALEUR DU RÉGIME AU DÉBUT DE LA RETRAITE</w:t>
                            </w:r>
                          </w:p>
                          <w:p w14:paraId="2F14EAF9" w14:textId="77777777" w:rsidR="001501D6" w:rsidRDefault="001501D6" w:rsidP="005161CE">
                            <w:pPr>
                              <w:jc w:val="center"/>
                              <w:rPr>
                                <w:sz w:val="20"/>
                                <w:szCs w:val="20"/>
                              </w:rPr>
                            </w:pPr>
                          </w:p>
                          <w:p w14:paraId="508727F3" w14:textId="3065FE44" w:rsidR="001501D6" w:rsidRDefault="001501D6" w:rsidP="005161CE">
                            <w:pPr>
                              <w:jc w:val="center"/>
                            </w:pPr>
                            <w:r>
                              <w:rPr>
                                <w:sz w:val="20"/>
                                <w:szCs w:val="20"/>
                              </w:rPr>
                              <w:t>1 615 205 $</w:t>
                            </w:r>
                          </w:p>
                        </w:txbxContent>
                      </v:textbox>
                    </v:oval>
                  </w:pict>
                </mc:Fallback>
              </mc:AlternateContent>
            </w:r>
          </w:p>
        </w:tc>
        <w:tc>
          <w:tcPr>
            <w:tcW w:w="3286" w:type="dxa"/>
            <w:shd w:val="clear" w:color="auto" w:fill="BBB9A1" w:themeFill="text2" w:themeFillTint="66"/>
          </w:tcPr>
          <w:p w14:paraId="02A5906E" w14:textId="77777777" w:rsidR="005161CE" w:rsidRDefault="005161CE" w:rsidP="00517F0D">
            <w:pPr>
              <w:jc w:val="both"/>
            </w:pPr>
          </w:p>
        </w:tc>
        <w:tc>
          <w:tcPr>
            <w:tcW w:w="3287" w:type="dxa"/>
            <w:shd w:val="clear" w:color="auto" w:fill="FF5D72"/>
          </w:tcPr>
          <w:p w14:paraId="24A26EE1" w14:textId="77777777" w:rsidR="005161CE" w:rsidRDefault="005161CE" w:rsidP="00517F0D">
            <w:pPr>
              <w:jc w:val="both"/>
            </w:pPr>
            <w:r>
              <w:rPr>
                <w:noProof/>
                <w:lang w:eastAsia="fr-FR"/>
              </w:rPr>
              <mc:AlternateContent>
                <mc:Choice Requires="wps">
                  <w:drawing>
                    <wp:anchor distT="0" distB="0" distL="114300" distR="114300" simplePos="0" relativeHeight="252400640" behindDoc="0" locked="0" layoutInCell="1" allowOverlap="1" wp14:anchorId="1FBE9BB2" wp14:editId="0605E3CE">
                      <wp:simplePos x="0" y="0"/>
                      <wp:positionH relativeFrom="column">
                        <wp:posOffset>969010</wp:posOffset>
                      </wp:positionH>
                      <wp:positionV relativeFrom="paragraph">
                        <wp:posOffset>1905</wp:posOffset>
                      </wp:positionV>
                      <wp:extent cx="1600835" cy="1630680"/>
                      <wp:effectExtent l="76200" t="76200" r="75565" b="71120"/>
                      <wp:wrapNone/>
                      <wp:docPr id="369" name="Ellipse 369"/>
                      <wp:cNvGraphicFramePr/>
                      <a:graphic xmlns:a="http://schemas.openxmlformats.org/drawingml/2006/main">
                        <a:graphicData uri="http://schemas.microsoft.com/office/word/2010/wordprocessingShape">
                          <wps:wsp>
                            <wps:cNvSpPr/>
                            <wps:spPr>
                              <a:xfrm>
                                <a:off x="0" y="0"/>
                                <a:ext cx="1600835" cy="1630680"/>
                              </a:xfrm>
                              <a:prstGeom prst="ellipse">
                                <a:avLst/>
                              </a:prstGeom>
                              <a:solidFill>
                                <a:schemeClr val="accent4"/>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86A72E3" w14:textId="77777777" w:rsidR="00573C95" w:rsidRDefault="00573C95" w:rsidP="005161CE">
                                  <w:pPr>
                                    <w:jc w:val="center"/>
                                    <w:rPr>
                                      <w:sz w:val="20"/>
                                      <w:szCs w:val="20"/>
                                    </w:rPr>
                                  </w:pPr>
                                  <w:r w:rsidRPr="0033673A">
                                    <w:rPr>
                                      <w:sz w:val="20"/>
                                      <w:szCs w:val="20"/>
                                    </w:rPr>
                                    <w:t>VALEUR DU RÉGIME AU DÉBUT DE LA RETRAITE</w:t>
                                  </w:r>
                                </w:p>
                                <w:p w14:paraId="56C64D66" w14:textId="77777777" w:rsidR="00573C95" w:rsidRDefault="00573C95" w:rsidP="005161CE">
                                  <w:pPr>
                                    <w:jc w:val="center"/>
                                    <w:rPr>
                                      <w:sz w:val="20"/>
                                      <w:szCs w:val="20"/>
                                    </w:rPr>
                                  </w:pPr>
                                </w:p>
                                <w:p w14:paraId="10942138" w14:textId="02A160F5" w:rsidR="00573C95" w:rsidRDefault="00573C95" w:rsidP="005161CE">
                                  <w:pPr>
                                    <w:jc w:val="center"/>
                                  </w:pPr>
                                  <w:r>
                                    <w:rPr>
                                      <w:sz w:val="20"/>
                                      <w:szCs w:val="20"/>
                                    </w:rPr>
                                    <w:t>1 579 785 $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369" o:spid="_x0000_s1245" style="position:absolute;left:0;text-align:left;margin-left:76.3pt;margin-top:.15pt;width:126.05pt;height:128.4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" fillcolor="#909465 [3207]">
                      <v:textbox>
                        <w:txbxContent>
                          <w:p w14:paraId="686A72E3" w14:textId="77777777" w:rsidR="001501D6" w:rsidRDefault="001501D6" w:rsidP="005161CE">
                            <w:pPr>
                              <w:jc w:val="center"/>
                              <w:rPr>
                                <w:sz w:val="20"/>
                                <w:szCs w:val="20"/>
                              </w:rPr>
                            </w:pPr>
                            <w:r w:rsidRPr="0033673A">
                              <w:rPr>
                                <w:sz w:val="20"/>
                                <w:szCs w:val="20"/>
                              </w:rPr>
                              <w:t>VALEUR DU RÉGIME AU DÉBUT DE LA RETRAITE</w:t>
                            </w:r>
                          </w:p>
                          <w:p w14:paraId="56C64D66" w14:textId="77777777" w:rsidR="001501D6" w:rsidRDefault="001501D6" w:rsidP="005161CE">
                            <w:pPr>
                              <w:jc w:val="center"/>
                              <w:rPr>
                                <w:sz w:val="20"/>
                                <w:szCs w:val="20"/>
                              </w:rPr>
                            </w:pPr>
                          </w:p>
                          <w:p w14:paraId="10942138" w14:textId="02A160F5" w:rsidR="001501D6" w:rsidRDefault="001501D6" w:rsidP="005161CE">
                            <w:pPr>
                              <w:jc w:val="center"/>
                            </w:pPr>
                            <w:r>
                              <w:rPr>
                                <w:sz w:val="20"/>
                                <w:szCs w:val="20"/>
                              </w:rPr>
                              <w:t>1 579 785 $</w:t>
                            </w:r>
                          </w:p>
                        </w:txbxContent>
                      </v:textbox>
                    </v:oval>
                  </w:pict>
                </mc:Fallback>
              </mc:AlternateContent>
            </w:r>
          </w:p>
        </w:tc>
        <w:tc>
          <w:tcPr>
            <w:tcW w:w="3287" w:type="dxa"/>
            <w:shd w:val="clear" w:color="auto" w:fill="FF5D72"/>
          </w:tcPr>
          <w:p w14:paraId="068479F2" w14:textId="77777777" w:rsidR="005161CE" w:rsidRDefault="005161CE" w:rsidP="00517F0D">
            <w:pPr>
              <w:jc w:val="both"/>
            </w:pPr>
          </w:p>
        </w:tc>
      </w:tr>
    </w:tbl>
    <w:p w14:paraId="586B4436" w14:textId="77777777" w:rsidR="00DF39D2" w:rsidRDefault="00DF39D2" w:rsidP="000069D9">
      <w:pPr>
        <w:ind w:left="329"/>
        <w:jc w:val="both"/>
      </w:pPr>
    </w:p>
    <w:p w14:paraId="2624A0BD" w14:textId="77777777" w:rsidR="00DF39D2" w:rsidRDefault="00DF39D2" w:rsidP="000069D9">
      <w:pPr>
        <w:ind w:left="329"/>
        <w:jc w:val="both"/>
      </w:pPr>
    </w:p>
    <w:p w14:paraId="66373352" w14:textId="77777777" w:rsidR="00DF39D2" w:rsidRDefault="00DF39D2" w:rsidP="000069D9">
      <w:pPr>
        <w:ind w:left="329"/>
        <w:jc w:val="both"/>
      </w:pPr>
    </w:p>
    <w:p w14:paraId="6EB8C79F" w14:textId="77777777" w:rsidR="00DF39D2" w:rsidRDefault="00DF39D2" w:rsidP="000069D9">
      <w:pPr>
        <w:ind w:left="329"/>
        <w:jc w:val="both"/>
      </w:pPr>
    </w:p>
    <w:p w14:paraId="41CF221C" w14:textId="77777777" w:rsidR="00DF39D2" w:rsidRDefault="00DF39D2" w:rsidP="000069D9">
      <w:pPr>
        <w:ind w:left="329"/>
        <w:jc w:val="both"/>
      </w:pPr>
    </w:p>
    <w:p w14:paraId="425C760C" w14:textId="77777777" w:rsidR="00DF39D2" w:rsidRDefault="00DF39D2" w:rsidP="000069D9">
      <w:pPr>
        <w:ind w:left="329"/>
        <w:jc w:val="both"/>
      </w:pPr>
    </w:p>
    <w:p w14:paraId="70297715" w14:textId="77777777" w:rsidR="00DF39D2" w:rsidRDefault="00DF39D2" w:rsidP="000069D9">
      <w:pPr>
        <w:ind w:left="329"/>
        <w:jc w:val="both"/>
      </w:pPr>
    </w:p>
    <w:p w14:paraId="01CA60D6" w14:textId="77777777" w:rsidR="00DF39D2" w:rsidRDefault="00DF39D2" w:rsidP="000069D9">
      <w:pPr>
        <w:ind w:left="329"/>
        <w:jc w:val="both"/>
      </w:pPr>
    </w:p>
    <w:p w14:paraId="4BF19D20" w14:textId="77777777" w:rsidR="00DF39D2" w:rsidRDefault="00DF39D2" w:rsidP="000069D9">
      <w:pPr>
        <w:ind w:left="329"/>
        <w:jc w:val="both"/>
      </w:pPr>
    </w:p>
    <w:p w14:paraId="0F25B4FD" w14:textId="1EFF7BF1" w:rsidR="00DF39D2" w:rsidRDefault="00517F0D" w:rsidP="00D86960">
      <w:pPr>
        <w:jc w:val="both"/>
      </w:pPr>
      <w:r>
        <w:t>Selon nos calculs, avec l'hypothèse d'une vie active de 35 années</w:t>
      </w:r>
      <w:r w:rsidR="00E4329A">
        <w:t xml:space="preserve"> et un décès à 87 ans</w:t>
      </w:r>
      <w:r>
        <w:t>, il appert que le taux de cotisation de 18 % correspond à l'ordre de grandeur acceptable</w:t>
      </w:r>
      <w:r w:rsidR="006378E3">
        <w:t>.</w:t>
      </w:r>
      <w:r w:rsidR="00A93C6B">
        <w:t xml:space="preserve"> C'est donc dire que ce taux est cohérent avec l'objectif de l'État </w:t>
      </w:r>
      <w:r w:rsidR="00771F90">
        <w:t xml:space="preserve">qui est </w:t>
      </w:r>
      <w:r w:rsidR="00A93C6B">
        <w:t>de permettre aux contribuables de se constituer un revenu de retraite adéquat.</w:t>
      </w:r>
      <w:r w:rsidR="001B5422">
        <w:t xml:space="preserve"> </w:t>
      </w:r>
      <w:r w:rsidR="001B5422">
        <w:lastRenderedPageBreak/>
        <w:t>Une autre façon d'y voir, dans ce cas-ci, l'équité entre les deux régimes est de constater que le détenteur du RPACD de 1 615 205 $ pourrait faire l'acquisition d'une rente viagère comparable à celle qui serait versée par le RPAPD.</w:t>
      </w:r>
    </w:p>
    <w:p w14:paraId="4A1B667B" w14:textId="77777777" w:rsidR="00771F90" w:rsidRDefault="00771F90" w:rsidP="000069D9">
      <w:pPr>
        <w:ind w:left="329"/>
        <w:jc w:val="both"/>
      </w:pPr>
    </w:p>
    <w:p w14:paraId="6B4AF047" w14:textId="6154C948" w:rsidR="00771F90" w:rsidRDefault="00771F90" w:rsidP="00D86960">
      <w:pPr>
        <w:jc w:val="both"/>
      </w:pPr>
      <w:r>
        <w:t xml:space="preserve">Maintenant, et cette idée est souvent véhiculée dans l'espace </w:t>
      </w:r>
      <w:r w:rsidR="00605BDA">
        <w:t>public</w:t>
      </w:r>
      <w:r>
        <w:t xml:space="preserve">, est-ce que le montant maximum des cotisations permises (25 370 $ en 2015) est trop élevé </w:t>
      </w:r>
      <w:r w:rsidRPr="00771F90">
        <w:rPr>
          <w:rFonts w:ascii="Avenir Book" w:hAnsi="Avenir Book"/>
        </w:rPr>
        <w:t>?</w:t>
      </w:r>
      <w:r>
        <w:rPr>
          <w:rFonts w:ascii="Avenir Book" w:hAnsi="Avenir Book"/>
        </w:rPr>
        <w:t xml:space="preserve"> </w:t>
      </w:r>
      <w:r>
        <w:t xml:space="preserve">Examinons, le salaire qui permet à un contribuable d'atteindre ce plafond des cotisations permises. </w:t>
      </w:r>
    </w:p>
    <w:p w14:paraId="158BD4C4" w14:textId="77777777" w:rsidR="00771F90" w:rsidRDefault="00771F90" w:rsidP="000069D9">
      <w:pPr>
        <w:ind w:left="329"/>
        <w:jc w:val="both"/>
      </w:pPr>
    </w:p>
    <w:p w14:paraId="18374C09" w14:textId="2069EE63" w:rsidR="00771F90" w:rsidRDefault="00771F90" w:rsidP="006C34CF">
      <w:pPr>
        <w:pStyle w:val="Paragraphedeliste"/>
        <w:numPr>
          <w:ilvl w:val="0"/>
          <w:numId w:val="46"/>
        </w:numPr>
        <w:jc w:val="both"/>
      </w:pPr>
      <w:r>
        <w:t xml:space="preserve">25 370 $/18 % = </w:t>
      </w:r>
      <w:r w:rsidR="0074265B">
        <w:t>140 944 $</w:t>
      </w:r>
    </w:p>
    <w:p w14:paraId="39161D2C" w14:textId="77777777" w:rsidR="0074265B" w:rsidRDefault="0074265B" w:rsidP="0074265B">
      <w:pPr>
        <w:ind w:left="391"/>
        <w:jc w:val="both"/>
      </w:pPr>
    </w:p>
    <w:p w14:paraId="2C4B8DCC" w14:textId="0251AD06" w:rsidR="0074265B" w:rsidRDefault="0074265B" w:rsidP="00D86960">
      <w:pPr>
        <w:jc w:val="both"/>
      </w:pPr>
      <w:r>
        <w:t xml:space="preserve">D'un point de vue purement rationnel, la question devient alors, à partir de quel niveau de revenu l'État doit-il cesser de subventionner par des allègements fiscaux les contribuables qui souhaitent se doter de revenus de retraite qui correspondraient à 70 % de ceux gagnés durant leur vie active </w:t>
      </w:r>
      <w:r w:rsidRPr="0074265B">
        <w:rPr>
          <w:rFonts w:ascii="Avenir Book" w:hAnsi="Avenir Book"/>
        </w:rPr>
        <w:t xml:space="preserve">? </w:t>
      </w:r>
      <w:r w:rsidR="00DE0FD4" w:rsidRPr="00DE0FD4">
        <w:t>Pour s'amuser</w:t>
      </w:r>
      <w:r w:rsidR="00DE0FD4">
        <w:t xml:space="preserve"> (sans parti pris politique), répondons à la question en prenant la proposition de Québec Solidaire qui prône le plafonnement des cotisations annuelles à 10 000 $. </w:t>
      </w:r>
    </w:p>
    <w:p w14:paraId="0EBD9CB2" w14:textId="77777777" w:rsidR="00672794" w:rsidRDefault="00672794" w:rsidP="0074265B">
      <w:pPr>
        <w:ind w:left="391"/>
        <w:jc w:val="both"/>
      </w:pPr>
    </w:p>
    <w:p w14:paraId="6626C837" w14:textId="023610F9" w:rsidR="00672794" w:rsidRDefault="00672794" w:rsidP="006C34CF">
      <w:pPr>
        <w:pStyle w:val="Paragraphedeliste"/>
        <w:numPr>
          <w:ilvl w:val="0"/>
          <w:numId w:val="46"/>
        </w:numPr>
        <w:jc w:val="both"/>
      </w:pPr>
      <w:r>
        <w:t>10 000 $/18 % = 55 555 $</w:t>
      </w:r>
    </w:p>
    <w:p w14:paraId="349D08A8" w14:textId="77777777" w:rsidR="00DF39D2" w:rsidRDefault="00DF39D2" w:rsidP="000069D9">
      <w:pPr>
        <w:ind w:left="329"/>
        <w:jc w:val="both"/>
      </w:pPr>
    </w:p>
    <w:p w14:paraId="0761D819" w14:textId="410980BB" w:rsidR="00DF39D2" w:rsidRDefault="00672794" w:rsidP="00D86960">
      <w:pPr>
        <w:jc w:val="both"/>
      </w:pPr>
      <w:r>
        <w:t xml:space="preserve">C'est donc </w:t>
      </w:r>
      <w:r w:rsidR="00605BDA">
        <w:t>dire</w:t>
      </w:r>
      <w:r>
        <w:t xml:space="preserve"> que selon la position de Québec Solidaire l'État devrait cesser de subventionner par des allègements fiscaux les contribuables qui souhaitent se doter de revenus de retraite qui correspondraient à </w:t>
      </w:r>
      <w:r w:rsidR="00DA0E24">
        <w:t xml:space="preserve">plus de </w:t>
      </w:r>
      <w:r>
        <w:t>38 888 $</w:t>
      </w:r>
      <w:r w:rsidR="0046583C">
        <w:rPr>
          <w:rStyle w:val="Marquenotebasdepage"/>
        </w:rPr>
        <w:footnoteReference w:customMarkFollows="1" w:id="48"/>
        <w:t>45</w:t>
      </w:r>
      <w:r>
        <w:t xml:space="preserve"> (55 555 $ * 70 %). </w:t>
      </w:r>
    </w:p>
    <w:p w14:paraId="4FABD9FF" w14:textId="77777777" w:rsidR="00DF39D2" w:rsidRDefault="00DF39D2" w:rsidP="000069D9">
      <w:pPr>
        <w:ind w:left="329"/>
        <w:jc w:val="both"/>
      </w:pPr>
    </w:p>
    <w:p w14:paraId="0B5D1FCC" w14:textId="445F0C70" w:rsidR="00681D09" w:rsidRDefault="00B51376" w:rsidP="00D86960">
      <w:pPr>
        <w:jc w:val="both"/>
      </w:pPr>
      <w:r>
        <w:t>A</w:t>
      </w:r>
      <w:r w:rsidR="003908EB">
        <w:t xml:space="preserve">vant d'aborder la question de l'équité en matière de </w:t>
      </w:r>
      <w:r w:rsidR="000101BE">
        <w:t>valeur économique</w:t>
      </w:r>
      <w:r w:rsidR="003908EB">
        <w:t xml:space="preserve"> des différents régimes selon les secteurs ou le type d'employeurs, nous souhaiterions</w:t>
      </w:r>
      <w:r>
        <w:t xml:space="preserve"> conclure sur les questions propres à l'équité fiscale des différentes mesures d'aide offertes par le fisc à l'égard des régimes de retraite</w:t>
      </w:r>
      <w:r w:rsidR="003908EB">
        <w:t xml:space="preserve">. </w:t>
      </w:r>
      <w:r w:rsidR="00681D09">
        <w:t>Selon un</w:t>
      </w:r>
      <w:r w:rsidR="000101BE">
        <w:t>e étude</w:t>
      </w:r>
      <w:r w:rsidR="002B0764">
        <w:t xml:space="preserve"> </w:t>
      </w:r>
      <w:r w:rsidR="00681D09">
        <w:t xml:space="preserve">portant sur l'aide fiscale accordée à l'épargne-retraite, Luc </w:t>
      </w:r>
      <w:r w:rsidR="003908EB">
        <w:t>Godbout</w:t>
      </w:r>
      <w:r>
        <w:t xml:space="preserve">, </w:t>
      </w:r>
      <w:r w:rsidR="00681D09">
        <w:t>Suzie St-Cerny et Marie-Andrée Babineau concluent en mentionnant "d’une part, que les aides fiscales à l’</w:t>
      </w:r>
      <w:r w:rsidR="00B26B1D">
        <w:t>é</w:t>
      </w:r>
      <w:r w:rsidR="00681D09">
        <w:t>pargne-retraite priv</w:t>
      </w:r>
      <w:r w:rsidR="00B26B1D">
        <w:t>é</w:t>
      </w:r>
      <w:r w:rsidR="00681D09">
        <w:t>e se r</w:t>
      </w:r>
      <w:r w:rsidR="00B26B1D">
        <w:t>é</w:t>
      </w:r>
      <w:r w:rsidR="00681D09">
        <w:t>v</w:t>
      </w:r>
      <w:r w:rsidR="00B26B1D">
        <w:t>è</w:t>
      </w:r>
      <w:r w:rsidR="00681D09">
        <w:t>lent n</w:t>
      </w:r>
      <w:r w:rsidR="00B26B1D">
        <w:t>é</w:t>
      </w:r>
      <w:r w:rsidR="00681D09">
        <w:t>cessaires et que leurs param</w:t>
      </w:r>
      <w:r w:rsidR="00B26B1D">
        <w:t>è</w:t>
      </w:r>
      <w:r w:rsidR="00681D09">
        <w:t>tres actuels n’apparaissent pas excessifs à l’</w:t>
      </w:r>
      <w:r w:rsidR="00B26B1D">
        <w:t>é</w:t>
      </w:r>
      <w:r w:rsidR="00681D09">
        <w:t xml:space="preserve">gard des mieux nantis. D’autre part, le texte rejette la </w:t>
      </w:r>
      <w:r w:rsidR="00681D09">
        <w:lastRenderedPageBreak/>
        <w:t>pr</w:t>
      </w:r>
      <w:r w:rsidR="00B26B1D">
        <w:t>é</w:t>
      </w:r>
      <w:r w:rsidR="00681D09">
        <w:t>somption voulant que les aides fiscales accord</w:t>
      </w:r>
      <w:r w:rsidR="00B26B1D">
        <w:t>é</w:t>
      </w:r>
      <w:r w:rsidR="00681D09">
        <w:t>es au titre de l’</w:t>
      </w:r>
      <w:r w:rsidR="00B26B1D">
        <w:t>é</w:t>
      </w:r>
      <w:r w:rsidR="00681D09">
        <w:t>pargne-retraite profitent davantage aux contribuables les plus riches.</w:t>
      </w:r>
      <w:r w:rsidR="00B26B1D">
        <w:t xml:space="preserve">" </w:t>
      </w:r>
      <w:r w:rsidR="00C06EED">
        <w:rPr>
          <w:rStyle w:val="Marquenotebasdepage"/>
        </w:rPr>
        <w:footnoteReference w:customMarkFollows="1" w:id="49"/>
        <w:t>46</w:t>
      </w:r>
      <w:r w:rsidR="00681D09">
        <w:t xml:space="preserve"> </w:t>
      </w:r>
    </w:p>
    <w:p w14:paraId="0ED6FE35" w14:textId="12E817B3" w:rsidR="00DF39D2" w:rsidRDefault="00434468" w:rsidP="000069D9">
      <w:pPr>
        <w:ind w:left="329"/>
        <w:jc w:val="both"/>
      </w:pPr>
      <w:r>
        <w:rPr>
          <w:noProof/>
          <w:lang w:eastAsia="fr-FR"/>
        </w:rPr>
        <w:drawing>
          <wp:anchor distT="0" distB="0" distL="114300" distR="114300" simplePos="0" relativeHeight="252406784" behindDoc="0" locked="0" layoutInCell="1" allowOverlap="1" wp14:anchorId="128FBFC1" wp14:editId="2F221438">
            <wp:simplePos x="0" y="0"/>
            <wp:positionH relativeFrom="column">
              <wp:posOffset>2286000</wp:posOffset>
            </wp:positionH>
            <wp:positionV relativeFrom="paragraph">
              <wp:posOffset>83185</wp:posOffset>
            </wp:positionV>
            <wp:extent cx="685800" cy="681990"/>
            <wp:effectExtent l="0" t="0" r="0" b="3810"/>
            <wp:wrapNone/>
            <wp:docPr id="373" name="Image 373" descr="Macintosh HD:Users:marcbachand:Desktop:Capture d’écran 2015-06-08 à 17.04.54.png">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908EB">
        <w:t xml:space="preserve"> </w:t>
      </w:r>
    </w:p>
    <w:p w14:paraId="47420592" w14:textId="186C6EEC" w:rsidR="002B0764" w:rsidRDefault="002B0764" w:rsidP="000069D9">
      <w:pPr>
        <w:ind w:left="329"/>
        <w:jc w:val="both"/>
        <w:rPr>
          <w:color w:val="FF6700" w:themeColor="accent3"/>
        </w:rPr>
      </w:pPr>
    </w:p>
    <w:p w14:paraId="3D5925E5" w14:textId="3DEC1DA7" w:rsidR="00126722" w:rsidRPr="000101BE" w:rsidRDefault="00573C95" w:rsidP="000069D9">
      <w:pPr>
        <w:ind w:left="329"/>
        <w:jc w:val="both"/>
        <w:rPr>
          <w:color w:val="FF6700" w:themeColor="accent3"/>
        </w:rPr>
      </w:pPr>
      <w:hyperlink r:id="rId106" w:history="1">
        <w:r w:rsidR="000101BE" w:rsidRPr="000101BE">
          <w:rPr>
            <w:rStyle w:val="Lienhypertexte"/>
            <w:color w:val="FF6700" w:themeColor="accent3"/>
          </w:rPr>
          <w:t>Pour avoir accès à l'étude</w:t>
        </w:r>
      </w:hyperlink>
      <w:r w:rsidR="002B0764" w:rsidRPr="000101BE">
        <w:rPr>
          <w:color w:val="FF6700" w:themeColor="accent3"/>
        </w:rPr>
        <w:tab/>
      </w:r>
      <w:r w:rsidR="002B0764" w:rsidRPr="000101BE">
        <w:rPr>
          <w:color w:val="FF6700" w:themeColor="accent3"/>
        </w:rPr>
        <w:tab/>
      </w:r>
    </w:p>
    <w:p w14:paraId="200FA5C6" w14:textId="77777777" w:rsidR="00126722" w:rsidRDefault="00126722" w:rsidP="000069D9">
      <w:pPr>
        <w:ind w:left="329"/>
        <w:jc w:val="both"/>
      </w:pPr>
    </w:p>
    <w:p w14:paraId="13575FC5" w14:textId="77777777" w:rsidR="00126722" w:rsidRDefault="00126722" w:rsidP="000069D9">
      <w:pPr>
        <w:ind w:left="329"/>
        <w:jc w:val="both"/>
      </w:pPr>
    </w:p>
    <w:p w14:paraId="1A01BCF2" w14:textId="7D4C601E" w:rsidR="00126722" w:rsidRDefault="00C669BC" w:rsidP="00D86960">
      <w:pPr>
        <w:jc w:val="both"/>
      </w:pPr>
      <w:r>
        <w:t xml:space="preserve">Maintenant, continuons nos réflexions sur l'équité des régimes de retraite, mais </w:t>
      </w:r>
      <w:r w:rsidR="00605BDA">
        <w:t>cette fois-ci</w:t>
      </w:r>
      <w:r>
        <w:t xml:space="preserve">, sous l'angle de la </w:t>
      </w:r>
      <w:r w:rsidR="000875F8" w:rsidRPr="000875F8">
        <w:rPr>
          <w:color w:val="FF6700" w:themeColor="accent3"/>
        </w:rPr>
        <w:t>VALEUR ÉCONOMIQUE</w:t>
      </w:r>
      <w:r>
        <w:t xml:space="preserve">. </w:t>
      </w:r>
      <w:r w:rsidR="00E34DB0">
        <w:t>Comme nous l'avons mentionné au début, c</w:t>
      </w:r>
      <w:r>
        <w:t>e coup d'oeil</w:t>
      </w:r>
      <w:r w:rsidR="00E34DB0">
        <w:t xml:space="preserve"> est d'une grande actualité et aborde un sujet pour adulte averti. Coeur sensible, vous pouvez </w:t>
      </w:r>
      <w:r w:rsidR="00605BDA">
        <w:t>passer</w:t>
      </w:r>
      <w:r w:rsidR="00E34DB0">
        <w:t xml:space="preserve"> directement à la prochaine section de l'ouvrage</w:t>
      </w:r>
      <w:r>
        <w:t>.</w:t>
      </w:r>
    </w:p>
    <w:p w14:paraId="3668C62A" w14:textId="77777777" w:rsidR="00E34DB0" w:rsidRDefault="00E34DB0" w:rsidP="000069D9">
      <w:pPr>
        <w:ind w:left="329"/>
        <w:jc w:val="both"/>
      </w:pPr>
    </w:p>
    <w:p w14:paraId="6C86FB6B" w14:textId="0CEA3488" w:rsidR="00E34DB0" w:rsidRDefault="00E34DB0" w:rsidP="00D86960">
      <w:pPr>
        <w:jc w:val="both"/>
      </w:pPr>
      <w:r>
        <w:t xml:space="preserve">Dans un contexte </w:t>
      </w:r>
      <w:r w:rsidR="00B75329">
        <w:t>où l'état de nos finances publiques (et aussi des finances des ménages en général) est de plus en plus précaire et témoigne de l'emprunt générationnel consenti, il est normal de poser des questions quant à l'équité de certaines mesures onéreuse pour l'État. L'une de ces mesures, au poids financier</w:t>
      </w:r>
      <w:r w:rsidR="00F8743F">
        <w:t xml:space="preserve"> considérable, est le coût des promesses de rentes de certains régimes de retraite publi</w:t>
      </w:r>
      <w:r w:rsidR="00DE767D">
        <w:t xml:space="preserve">cs </w:t>
      </w:r>
      <w:r w:rsidR="00F8743F">
        <w:t>et parapubli</w:t>
      </w:r>
      <w:r w:rsidR="00DE767D">
        <w:t>cs</w:t>
      </w:r>
      <w:r w:rsidR="00F8743F">
        <w:t>.</w:t>
      </w:r>
      <w:r w:rsidR="001258FF">
        <w:t xml:space="preserve"> Pour être </w:t>
      </w:r>
      <w:r w:rsidR="00605BDA">
        <w:t>logiques</w:t>
      </w:r>
      <w:r w:rsidR="001258FF">
        <w:t xml:space="preserve"> dans nos propos, nous nous devons, tel que nous l'avons expliqué précédemment, de traiter la valeur économique d'un régime de retraite consenti par un employeur comme faisant partie de la rémunération globale. Le régime de retraite est une forme de salaire différé. Dans le débat publi</w:t>
      </w:r>
      <w:r w:rsidR="00DE767D">
        <w:t xml:space="preserve">c </w:t>
      </w:r>
      <w:r w:rsidR="001258FF">
        <w:t>actuel, les groupes qui s'opposent à la réduction pa</w:t>
      </w:r>
      <w:r w:rsidR="003F39D4">
        <w:t>r</w:t>
      </w:r>
      <w:r w:rsidR="001258FF">
        <w:t xml:space="preserve"> l'État des avantages de leurs régimes de retraite font abondamment usage de cet argument pour maintenir leur position.</w:t>
      </w:r>
      <w:r w:rsidR="00DE767D">
        <w:t xml:space="preserve"> En clair, si l'on souhaite discuter de l'équité d'un régime de retraite en particulier, il faut y joindre l'analyse de la rémunération</w:t>
      </w:r>
      <w:r w:rsidR="00F8743F">
        <w:t xml:space="preserve"> </w:t>
      </w:r>
      <w:r w:rsidR="00DE767D">
        <w:t>actuelle sous forme de salaire et autres avantages.</w:t>
      </w:r>
    </w:p>
    <w:p w14:paraId="2A8A8BEC" w14:textId="77777777" w:rsidR="00DE767D" w:rsidRDefault="00DE767D" w:rsidP="000069D9">
      <w:pPr>
        <w:ind w:left="329"/>
        <w:jc w:val="both"/>
      </w:pPr>
    </w:p>
    <w:p w14:paraId="4FBA421E" w14:textId="596BED3B" w:rsidR="00126722" w:rsidRDefault="00DE767D" w:rsidP="00D86960">
      <w:pPr>
        <w:jc w:val="both"/>
      </w:pPr>
      <w:r>
        <w:t xml:space="preserve">Pour aller rapidement au point d'analyse, examinons deux situations extrêmes (certains </w:t>
      </w:r>
      <w:r w:rsidR="003F39D4">
        <w:t>parleront d'</w:t>
      </w:r>
      <w:r>
        <w:t xml:space="preserve">aberrations) et tentons de les comparer dans leurs distinctions. </w:t>
      </w:r>
      <w:r w:rsidR="00AF69FC">
        <w:t>Les régimes de retraite des députés de l'Assemblée nationale</w:t>
      </w:r>
      <w:r w:rsidR="003F39D4">
        <w:t xml:space="preserve"> </w:t>
      </w:r>
      <w:r w:rsidR="00AF69FC">
        <w:t>et</w:t>
      </w:r>
      <w:r w:rsidR="00E92430">
        <w:t xml:space="preserve"> </w:t>
      </w:r>
      <w:r w:rsidR="00AF69FC">
        <w:t>des pompiers de la ville de Montréal</w:t>
      </w:r>
      <w:r w:rsidR="00AF69FC">
        <w:rPr>
          <w:rStyle w:val="Marquenotebasdepage"/>
        </w:rPr>
        <w:footnoteReference w:customMarkFollows="1" w:id="50"/>
        <w:t>47</w:t>
      </w:r>
      <w:r w:rsidR="00AF69FC">
        <w:t xml:space="preserve"> font partie de ceux qui ont </w:t>
      </w:r>
      <w:r w:rsidR="003F39D4">
        <w:t xml:space="preserve">été </w:t>
      </w:r>
      <w:r w:rsidR="00AF69FC">
        <w:t xml:space="preserve">décriés comme étant " </w:t>
      </w:r>
      <w:r w:rsidR="003F39D4">
        <w:t>Des</w:t>
      </w:r>
      <w:r w:rsidR="00AF69FC">
        <w:t xml:space="preserve"> Cadillacs" en matière de régime de retraite.</w:t>
      </w:r>
    </w:p>
    <w:p w14:paraId="32C17599" w14:textId="77290B2E" w:rsidR="005D0EC4" w:rsidRDefault="00856449" w:rsidP="00D86960">
      <w:pPr>
        <w:jc w:val="both"/>
      </w:pPr>
      <w:r>
        <w:lastRenderedPageBreak/>
        <w:t>Dans le cas d</w:t>
      </w:r>
      <w:r w:rsidR="00B8115C">
        <w:t>u</w:t>
      </w:r>
      <w:r>
        <w:t xml:space="preserve"> régime de retraite des pompiers de la ville de Montréal</w:t>
      </w:r>
      <w:r w:rsidR="008261F7">
        <w:rPr>
          <w:rStyle w:val="Marquenotebasdepage"/>
        </w:rPr>
        <w:footnoteReference w:customMarkFollows="1" w:id="51"/>
        <w:t>48</w:t>
      </w:r>
      <w:r>
        <w:t>, je vous invite</w:t>
      </w:r>
      <w:r w:rsidR="005D0EC4">
        <w:t>:</w:t>
      </w:r>
    </w:p>
    <w:p w14:paraId="6F7CB3DD" w14:textId="07A64270" w:rsidR="005D0EC4" w:rsidRDefault="00D92E4E" w:rsidP="000069D9">
      <w:pPr>
        <w:ind w:left="329"/>
        <w:jc w:val="both"/>
      </w:pPr>
      <w:r>
        <w:rPr>
          <w:noProof/>
          <w:lang w:eastAsia="fr-FR"/>
        </w:rPr>
        <w:drawing>
          <wp:anchor distT="0" distB="0" distL="114300" distR="114300" simplePos="0" relativeHeight="252408832" behindDoc="0" locked="0" layoutInCell="1" allowOverlap="1" wp14:anchorId="10382BA4" wp14:editId="610FE081">
            <wp:simplePos x="0" y="0"/>
            <wp:positionH relativeFrom="column">
              <wp:posOffset>7886700</wp:posOffset>
            </wp:positionH>
            <wp:positionV relativeFrom="paragraph">
              <wp:posOffset>156210</wp:posOffset>
            </wp:positionV>
            <wp:extent cx="685800" cy="681990"/>
            <wp:effectExtent l="0" t="0" r="0" b="3810"/>
            <wp:wrapNone/>
            <wp:docPr id="364" name="Image 364" descr="Macintosh HD:Users:marcbachand:Desktop:Capture d’écran 2015-06-08 à 17.04.54.pn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E10FAC9" w14:textId="77777777" w:rsidR="005D0EC4" w:rsidRDefault="005D0EC4" w:rsidP="000069D9">
      <w:pPr>
        <w:ind w:left="329"/>
        <w:jc w:val="both"/>
      </w:pPr>
    </w:p>
    <w:p w14:paraId="37874733" w14:textId="33F98D16" w:rsidR="00126722" w:rsidRDefault="00856449" w:rsidP="006C34CF">
      <w:pPr>
        <w:pStyle w:val="Paragraphedeliste"/>
        <w:numPr>
          <w:ilvl w:val="0"/>
          <w:numId w:val="46"/>
        </w:numPr>
        <w:jc w:val="both"/>
      </w:pPr>
      <w:r>
        <w:t>à lire</w:t>
      </w:r>
      <w:r w:rsidR="005D0EC4">
        <w:t xml:space="preserve"> l'article de Stéphanie Grammond</w:t>
      </w:r>
      <w:r w:rsidR="00D92E4E">
        <w:t xml:space="preserve"> - </w:t>
      </w:r>
      <w:hyperlink r:id="rId108" w:history="1">
        <w:r w:rsidR="00D92E4E" w:rsidRPr="00D92E4E">
          <w:rPr>
            <w:rStyle w:val="Lienhypertexte"/>
            <w:color w:val="FF6700" w:themeColor="accent3"/>
          </w:rPr>
          <w:t>Liberté 46: autopsie du régime de retraite des pompiers</w:t>
        </w:r>
      </w:hyperlink>
    </w:p>
    <w:p w14:paraId="2EB81FAE" w14:textId="679CA04D" w:rsidR="005D0EC4" w:rsidRDefault="00EF6F65" w:rsidP="005D0EC4">
      <w:pPr>
        <w:ind w:left="751"/>
        <w:jc w:val="both"/>
      </w:pPr>
      <w:r>
        <w:rPr>
          <w:noProof/>
          <w:lang w:eastAsia="fr-FR"/>
        </w:rPr>
        <w:drawing>
          <wp:anchor distT="0" distB="0" distL="114300" distR="114300" simplePos="0" relativeHeight="252410880" behindDoc="0" locked="0" layoutInCell="1" allowOverlap="1" wp14:anchorId="0830B8D3" wp14:editId="30AAA310">
            <wp:simplePos x="0" y="0"/>
            <wp:positionH relativeFrom="column">
              <wp:posOffset>6515100</wp:posOffset>
            </wp:positionH>
            <wp:positionV relativeFrom="paragraph">
              <wp:posOffset>167005</wp:posOffset>
            </wp:positionV>
            <wp:extent cx="685800" cy="681990"/>
            <wp:effectExtent l="0" t="0" r="0" b="3810"/>
            <wp:wrapNone/>
            <wp:docPr id="365" name="Image 365" descr="Macintosh HD:Users:marcbachand:Desktop:Capture d’écran 2015-06-08 à 17.04.54.pn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8A425EC" w14:textId="5B22F84E" w:rsidR="005D0EC4" w:rsidRDefault="005D0EC4" w:rsidP="005D0EC4">
      <w:pPr>
        <w:ind w:left="751"/>
        <w:jc w:val="both"/>
      </w:pPr>
    </w:p>
    <w:p w14:paraId="7C4FC9E0" w14:textId="06823BFB" w:rsidR="005D0EC4" w:rsidRDefault="005D0EC4" w:rsidP="006C34CF">
      <w:pPr>
        <w:pStyle w:val="Paragraphedeliste"/>
        <w:numPr>
          <w:ilvl w:val="0"/>
          <w:numId w:val="46"/>
        </w:numPr>
        <w:jc w:val="both"/>
      </w:pPr>
      <w:r>
        <w:t>à visionner l'extrait de RDI économie avec Gérald Fillion</w:t>
      </w:r>
      <w:r w:rsidR="00EF6F65">
        <w:t xml:space="preserve"> - </w:t>
      </w:r>
      <w:hyperlink r:id="rId110" w:history="1">
        <w:r w:rsidR="00EF6F65" w:rsidRPr="00EF6F65">
          <w:rPr>
            <w:rStyle w:val="Lienhypertexte"/>
            <w:color w:val="FF6700" w:themeColor="accent3"/>
          </w:rPr>
          <w:t>La retraite à 46 ans</w:t>
        </w:r>
      </w:hyperlink>
    </w:p>
    <w:p w14:paraId="5BC3423F" w14:textId="00F1D558" w:rsidR="00126722" w:rsidRDefault="00126722" w:rsidP="000069D9">
      <w:pPr>
        <w:ind w:left="329"/>
        <w:jc w:val="both"/>
      </w:pPr>
    </w:p>
    <w:p w14:paraId="62C44B94" w14:textId="77777777" w:rsidR="00DF39D2" w:rsidRDefault="00DF39D2" w:rsidP="000069D9">
      <w:pPr>
        <w:ind w:left="329"/>
        <w:jc w:val="both"/>
      </w:pPr>
    </w:p>
    <w:p w14:paraId="5603831B" w14:textId="4ADA3F6C" w:rsidR="00AD13EB" w:rsidRDefault="00AD13EB" w:rsidP="00D86960">
      <w:pPr>
        <w:jc w:val="both"/>
      </w:pPr>
      <w:r>
        <w:t xml:space="preserve">Quelques chiffres importants et convergents sont présentés dans les documents de Stéphanie Grammond et de Gérald Fillion.  </w:t>
      </w:r>
      <w:r w:rsidR="008C01E8">
        <w:t>Au-delà du débat sur la prise de retraite à 46 ans, ce qui est important d'évaluer, afin de maintenir une approche rationnelle et distante de toute émotivité, c'est la valeur économique de la rémunération différée qui provient du régime de retraite. Pour y arriver, il faut convenir de :</w:t>
      </w:r>
    </w:p>
    <w:p w14:paraId="1F9469E6" w14:textId="301404EF" w:rsidR="00DF39D2" w:rsidRDefault="00DF39D2" w:rsidP="000069D9">
      <w:pPr>
        <w:ind w:left="329"/>
        <w:jc w:val="both"/>
      </w:pPr>
    </w:p>
    <w:p w14:paraId="704E58B6" w14:textId="0B0E1AFF" w:rsidR="008C01E8" w:rsidRDefault="000D585B" w:rsidP="000069D9">
      <w:pPr>
        <w:ind w:left="329"/>
        <w:jc w:val="both"/>
      </w:pPr>
      <w:r>
        <w:rPr>
          <w:noProof/>
          <w:lang w:eastAsia="fr-FR"/>
        </w:rPr>
        <mc:AlternateContent>
          <mc:Choice Requires="wps">
            <w:drawing>
              <wp:anchor distT="0" distB="0" distL="114300" distR="114300" simplePos="0" relativeHeight="252414976" behindDoc="0" locked="0" layoutInCell="1" allowOverlap="1" wp14:anchorId="60D5FC95" wp14:editId="31EB4AFC">
                <wp:simplePos x="0" y="0"/>
                <wp:positionH relativeFrom="column">
                  <wp:posOffset>5143500</wp:posOffset>
                </wp:positionH>
                <wp:positionV relativeFrom="paragraph">
                  <wp:posOffset>12700</wp:posOffset>
                </wp:positionV>
                <wp:extent cx="1143000" cy="571500"/>
                <wp:effectExtent l="76200" t="76200" r="76200" b="63500"/>
                <wp:wrapNone/>
                <wp:docPr id="376" name="Flèche vers la gauche 376"/>
                <wp:cNvGraphicFramePr/>
                <a:graphic xmlns:a="http://schemas.openxmlformats.org/drawingml/2006/main">
                  <a:graphicData uri="http://schemas.microsoft.com/office/word/2010/wordprocessingShape">
                    <wps:wsp>
                      <wps:cNvSpPr/>
                      <wps:spPr>
                        <a:xfrm>
                          <a:off x="0" y="0"/>
                          <a:ext cx="1143000" cy="571500"/>
                        </a:xfrm>
                        <a:prstGeom prst="leftArrow">
                          <a:avLst/>
                        </a:prstGeom>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EE4992" w14:textId="2EEB8655" w:rsidR="00573C95" w:rsidRDefault="00573C95" w:rsidP="0099759A">
                            <w:pPr>
                              <w:jc w:val="center"/>
                            </w:pPr>
                            <w:r>
                              <w:t>850 000 $</w:t>
                            </w:r>
                          </w:p>
                        </w:txbxContent>
                      </wps:txbx>
                      <wps:bodyPr wrap="square"/>
                    </wps:wsp>
                  </a:graphicData>
                </a:graphic>
                <wp14:sizeRelH relativeFrom="margin">
                  <wp14:pctWidth>0</wp14:pctWidth>
                </wp14:sizeRelH>
                <wp14:sizeRelV relativeFrom="margin">
                  <wp14:pctHeight>0</wp14:pctHeight>
                </wp14:sizeRelV>
              </wp:anchor>
            </w:drawing>
          </mc:Choice>
          <mc:Fallback>
            <w:pict>
              <v:shape id="Flèche vers la gauche 376" o:spid="_x0000_s1246" type="#_x0000_t66" style="position:absolute;left:0;text-align:left;margin-left:405pt;margin-top:1pt;width:90pt;height:4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" fillcolor="#94c600 [3204]" strokecolor="black [3213]">
                <v:fill color2="#84b100 [2884]" rotate="t" focus="100%" type="gradient">
                  <o:fill v:ext="view" type="gradientUnscaled"/>
                </v:fill>
                <v:textbox>
                  <w:txbxContent>
                    <w:p w14:paraId="62EE4992" w14:textId="2EEB8655" w:rsidR="001501D6" w:rsidRDefault="001501D6" w:rsidP="0099759A">
                      <w:pPr>
                        <w:jc w:val="center"/>
                      </w:pPr>
                      <w:r>
                        <w:t>850 000 $</w:t>
                      </w:r>
                    </w:p>
                  </w:txbxContent>
                </v:textbox>
              </v:shape>
            </w:pict>
          </mc:Fallback>
        </mc:AlternateContent>
      </w:r>
    </w:p>
    <w:p w14:paraId="688E3CB7" w14:textId="5FD2682E" w:rsidR="009D5840" w:rsidRDefault="00270788" w:rsidP="006C34CF">
      <w:pPr>
        <w:pStyle w:val="Paragraphedeliste"/>
        <w:numPr>
          <w:ilvl w:val="0"/>
          <w:numId w:val="46"/>
        </w:numPr>
        <w:ind w:left="329" w:firstLine="522"/>
        <w:jc w:val="both"/>
      </w:pPr>
      <w:r>
        <w:rPr>
          <w:noProof/>
          <w:lang w:eastAsia="fr-FR"/>
        </w:rPr>
        <mc:AlternateContent>
          <mc:Choice Requires="wps">
            <w:drawing>
              <wp:anchor distT="0" distB="0" distL="114300" distR="114300" simplePos="0" relativeHeight="252417024" behindDoc="0" locked="0" layoutInCell="1" allowOverlap="1" wp14:anchorId="3DE74BEB" wp14:editId="3A37C139">
                <wp:simplePos x="0" y="0"/>
                <wp:positionH relativeFrom="column">
                  <wp:posOffset>7772400</wp:posOffset>
                </wp:positionH>
                <wp:positionV relativeFrom="paragraph">
                  <wp:posOffset>168910</wp:posOffset>
                </wp:positionV>
                <wp:extent cx="1143000" cy="571500"/>
                <wp:effectExtent l="76200" t="76200" r="76200" b="63500"/>
                <wp:wrapNone/>
                <wp:docPr id="377" name="Flèche vers la gauche 377"/>
                <wp:cNvGraphicFramePr/>
                <a:graphic xmlns:a="http://schemas.openxmlformats.org/drawingml/2006/main">
                  <a:graphicData uri="http://schemas.microsoft.com/office/word/2010/wordprocessingShape">
                    <wps:wsp>
                      <wps:cNvSpPr/>
                      <wps:spPr>
                        <a:xfrm>
                          <a:off x="0" y="0"/>
                          <a:ext cx="1143000" cy="571500"/>
                        </a:xfrm>
                        <a:prstGeom prst="leftArrow">
                          <a:avLst/>
                        </a:prstGeom>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F2C80AF" w14:textId="3AEB1DC4" w:rsidR="00573C95" w:rsidRDefault="00573C95" w:rsidP="0099759A">
                            <w:pPr>
                              <w:jc w:val="center"/>
                            </w:pPr>
                            <w:r>
                              <w:t>20 000 $</w:t>
                            </w:r>
                          </w:p>
                        </w:txbxContent>
                      </wps:txbx>
                      <wps:bodyPr wrap="square"/>
                    </wps:wsp>
                  </a:graphicData>
                </a:graphic>
                <wp14:sizeRelH relativeFrom="margin">
                  <wp14:pctWidth>0</wp14:pctWidth>
                </wp14:sizeRelH>
                <wp14:sizeRelV relativeFrom="margin">
                  <wp14:pctHeight>0</wp14:pctHeight>
                </wp14:sizeRelV>
              </wp:anchor>
            </w:drawing>
          </mc:Choice>
          <mc:Fallback>
            <w:pict>
              <v:shape id="Flèche vers la gauche 377" o:spid="_x0000_s1247" type="#_x0000_t66" style="position:absolute;left:0;text-align:left;margin-left:612pt;margin-top:13.3pt;width:90pt;height:4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" fillcolor="#94c600 [3204]" strokecolor="black [3213]">
                <v:fill color2="#84b100 [2884]" rotate="t" focus="100%" type="gradient">
                  <o:fill v:ext="view" type="gradientUnscaled"/>
                </v:fill>
                <v:textbox>
                  <w:txbxContent>
                    <w:p w14:paraId="3F2C80AF" w14:textId="3AEB1DC4" w:rsidR="001501D6" w:rsidRDefault="001501D6" w:rsidP="0099759A">
                      <w:pPr>
                        <w:jc w:val="center"/>
                      </w:pPr>
                      <w:r>
                        <w:t>20 000 $</w:t>
                      </w:r>
                    </w:p>
                  </w:txbxContent>
                </v:textbox>
              </v:shape>
            </w:pict>
          </mc:Fallback>
        </mc:AlternateContent>
      </w:r>
      <w:r w:rsidR="008C01E8">
        <w:t xml:space="preserve">La valeur actuelle de la rente acquise à l'âge de 46 ans </w:t>
      </w:r>
    </w:p>
    <w:p w14:paraId="6FE39222" w14:textId="77777777" w:rsidR="008C01E8" w:rsidRDefault="008C01E8" w:rsidP="008C01E8">
      <w:pPr>
        <w:ind w:left="-31"/>
        <w:jc w:val="both"/>
      </w:pPr>
    </w:p>
    <w:p w14:paraId="5575D327" w14:textId="7F0ED3DD" w:rsidR="009D5840" w:rsidRDefault="008C01E8" w:rsidP="006C34CF">
      <w:pPr>
        <w:pStyle w:val="Paragraphedeliste"/>
        <w:numPr>
          <w:ilvl w:val="0"/>
          <w:numId w:val="46"/>
        </w:numPr>
        <w:ind w:left="329" w:firstLine="522"/>
        <w:jc w:val="both"/>
      </w:pPr>
      <w:r>
        <w:t>L'épargne nécessaire pour se constituer un capital de 850 000 $</w:t>
      </w:r>
      <w:r w:rsidR="00270788">
        <w:t xml:space="preserve"> </w:t>
      </w:r>
      <w:r>
        <w:t>sur une période de 25 ans</w:t>
      </w:r>
      <w:r w:rsidR="00AD21F0">
        <w:rPr>
          <w:rStyle w:val="Marquenotebasdepage"/>
        </w:rPr>
        <w:footnoteReference w:customMarkFollows="1" w:id="52"/>
        <w:t>49</w:t>
      </w:r>
    </w:p>
    <w:p w14:paraId="1F14E992" w14:textId="76E2CEDA" w:rsidR="00270788" w:rsidRDefault="000D585B" w:rsidP="00270788">
      <w:pPr>
        <w:ind w:left="-31"/>
        <w:jc w:val="both"/>
      </w:pPr>
      <w:r>
        <w:rPr>
          <w:noProof/>
          <w:lang w:eastAsia="fr-FR"/>
        </w:rPr>
        <mc:AlternateContent>
          <mc:Choice Requires="wps">
            <w:drawing>
              <wp:anchor distT="0" distB="0" distL="114300" distR="114300" simplePos="0" relativeHeight="252419072" behindDoc="0" locked="0" layoutInCell="1" allowOverlap="1" wp14:anchorId="37312005" wp14:editId="76266DEA">
                <wp:simplePos x="0" y="0"/>
                <wp:positionH relativeFrom="column">
                  <wp:posOffset>5486400</wp:posOffset>
                </wp:positionH>
                <wp:positionV relativeFrom="paragraph">
                  <wp:posOffset>65405</wp:posOffset>
                </wp:positionV>
                <wp:extent cx="1143000" cy="571500"/>
                <wp:effectExtent l="76200" t="76200" r="76200" b="63500"/>
                <wp:wrapNone/>
                <wp:docPr id="378" name="Flèche vers la gauche 378"/>
                <wp:cNvGraphicFramePr/>
                <a:graphic xmlns:a="http://schemas.openxmlformats.org/drawingml/2006/main">
                  <a:graphicData uri="http://schemas.microsoft.com/office/word/2010/wordprocessingShape">
                    <wps:wsp>
                      <wps:cNvSpPr/>
                      <wps:spPr>
                        <a:xfrm>
                          <a:off x="0" y="0"/>
                          <a:ext cx="1143000" cy="571500"/>
                        </a:xfrm>
                        <a:prstGeom prst="leftArrow">
                          <a:avLst/>
                        </a:prstGeom>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FC93836" w14:textId="64668DE7" w:rsidR="00573C95" w:rsidRDefault="00573C95" w:rsidP="00270788">
                            <w:pPr>
                              <w:jc w:val="center"/>
                            </w:pPr>
                            <w:r>
                              <w:t>15 000 $</w:t>
                            </w:r>
                          </w:p>
                        </w:txbxContent>
                      </wps:txbx>
                      <wps:bodyPr wrap="square"/>
                    </wps:wsp>
                  </a:graphicData>
                </a:graphic>
                <wp14:sizeRelH relativeFrom="margin">
                  <wp14:pctWidth>0</wp14:pctWidth>
                </wp14:sizeRelH>
                <wp14:sizeRelV relativeFrom="margin">
                  <wp14:pctHeight>0</wp14:pctHeight>
                </wp14:sizeRelV>
              </wp:anchor>
            </w:drawing>
          </mc:Choice>
          <mc:Fallback>
            <w:pict>
              <v:shape id="Flèche vers la gauche 378" o:spid="_x0000_s1248" type="#_x0000_t66" style="position:absolute;left:0;text-align:left;margin-left:6in;margin-top:5.15pt;width:90pt;height:4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" fillcolor="#94c600 [3204]" strokecolor="black [3213]">
                <v:fill color2="#84b100 [2884]" rotate="t" focus="100%" type="gradient">
                  <o:fill v:ext="view" type="gradientUnscaled"/>
                </v:fill>
                <v:textbox>
                  <w:txbxContent>
                    <w:p w14:paraId="3FC93836" w14:textId="64668DE7" w:rsidR="001501D6" w:rsidRDefault="001501D6" w:rsidP="00270788">
                      <w:pPr>
                        <w:jc w:val="center"/>
                      </w:pPr>
                      <w:r>
                        <w:t>15 000 $</w:t>
                      </w:r>
                    </w:p>
                  </w:txbxContent>
                </v:textbox>
              </v:shape>
            </w:pict>
          </mc:Fallback>
        </mc:AlternateContent>
      </w:r>
    </w:p>
    <w:p w14:paraId="005135EC" w14:textId="3F364F29" w:rsidR="00270788" w:rsidRDefault="00270788" w:rsidP="006C34CF">
      <w:pPr>
        <w:pStyle w:val="Paragraphedeliste"/>
        <w:numPr>
          <w:ilvl w:val="0"/>
          <w:numId w:val="46"/>
        </w:numPr>
        <w:ind w:left="329" w:firstLine="522"/>
        <w:jc w:val="both"/>
      </w:pPr>
      <w:r>
        <w:t>La portion de l'épargne assumée par l'employeur est de 75 %</w:t>
      </w:r>
    </w:p>
    <w:p w14:paraId="243260BA" w14:textId="77777777" w:rsidR="009D5840" w:rsidRDefault="009D5840" w:rsidP="000069D9">
      <w:pPr>
        <w:ind w:left="329"/>
        <w:jc w:val="both"/>
      </w:pPr>
    </w:p>
    <w:p w14:paraId="3BB58614" w14:textId="77777777" w:rsidR="009D5840" w:rsidRDefault="009D5840" w:rsidP="000069D9">
      <w:pPr>
        <w:ind w:left="329"/>
        <w:jc w:val="both"/>
      </w:pPr>
    </w:p>
    <w:p w14:paraId="3DE5842F" w14:textId="34EAF4C1" w:rsidR="009D5840" w:rsidRDefault="00321EAB" w:rsidP="00D86960">
      <w:pPr>
        <w:jc w:val="both"/>
      </w:pPr>
      <w:r>
        <w:t xml:space="preserve">La question de l'équité relativement au régime de retraite des pompiers de la ville de Montréal serait d'apprécier cette bonification de 15 000 $ en surplus à la rémunération de base. Est-il déraisonnable d'ajouter une somme de 15 000 $ pour pourvoir à la retraite d'un pompier qui gagne un salaire variant entre 35 000 $ et 70 000 $ </w:t>
      </w:r>
      <w:r w:rsidRPr="00321EAB">
        <w:rPr>
          <w:rFonts w:ascii="Avenir Book" w:hAnsi="Avenir Book"/>
        </w:rPr>
        <w:t xml:space="preserve">? </w:t>
      </w:r>
      <w:r w:rsidR="00605BDA">
        <w:t>Rendus</w:t>
      </w:r>
      <w:r w:rsidRPr="00321EAB">
        <w:t xml:space="preserve"> à cette étape</w:t>
      </w:r>
      <w:r>
        <w:t xml:space="preserve"> de la réflexion, tous les arguments sont à notre avis possible</w:t>
      </w:r>
      <w:r w:rsidR="00E41962">
        <w:t xml:space="preserve">s et aussi, </w:t>
      </w:r>
      <w:r w:rsidR="00CC07D0">
        <w:t>admettons</w:t>
      </w:r>
      <w:r w:rsidR="00E41962">
        <w:t xml:space="preserve">-le, capables des pires dérapages. Si l'on considère qu'il est acceptable que l'échelle de rémunération d'un pompier varie entre 50 000 $ et 85 000 $, le problème du régime de retraite des pompiers de </w:t>
      </w:r>
      <w:r w:rsidR="00E41962">
        <w:lastRenderedPageBreak/>
        <w:t>la ville de Montréal en est un essentiellement de perceptions</w:t>
      </w:r>
      <w:r w:rsidR="00CC07D0">
        <w:t xml:space="preserve"> (</w:t>
      </w:r>
      <w:r w:rsidR="000875F8">
        <w:t>E</w:t>
      </w:r>
      <w:r w:rsidR="006A2D62">
        <w:t xml:space="preserve">n moyenne </w:t>
      </w:r>
      <w:r w:rsidR="00CC07D0">
        <w:t>d</w:t>
      </w:r>
      <w:r w:rsidR="000875F8">
        <w:t>es</w:t>
      </w:r>
      <w:r w:rsidR="0086135B">
        <w:t xml:space="preserve"> </w:t>
      </w:r>
      <w:r w:rsidR="00CC07D0">
        <w:t>cotisation</w:t>
      </w:r>
      <w:r w:rsidR="0086135B">
        <w:t>s</w:t>
      </w:r>
      <w:r w:rsidR="00CC07D0">
        <w:t xml:space="preserve"> de 20 000 $ sur un salaire de </w:t>
      </w:r>
      <w:r w:rsidR="006A2D62">
        <w:t xml:space="preserve">départ à </w:t>
      </w:r>
      <w:r w:rsidR="00CC07D0">
        <w:t>35 000 $, une retrai</w:t>
      </w:r>
      <w:r w:rsidR="006A2D62">
        <w:t>t</w:t>
      </w:r>
      <w:r w:rsidR="00CC07D0">
        <w:t xml:space="preserve">e à 46 ans, des cotisations totalisant en moyenne 40 % de la masse salariale, un régime de retraite financé à 75 % par l'employeur, nos taxes). </w:t>
      </w:r>
      <w:r w:rsidR="00833AC0">
        <w:t xml:space="preserve">Un déplacement de 50 % du régime vers une rémunération salariale règlerait probablement une grande portion de l'iniquité perçue par la population en général. </w:t>
      </w:r>
      <w:r w:rsidR="00CC07D0">
        <w:t xml:space="preserve">Avouons que notre analyse axée sur la rémunération globale est passablement moins </w:t>
      </w:r>
      <w:r w:rsidR="00C92564" w:rsidRPr="00C92564">
        <w:rPr>
          <w:color w:val="FF0000"/>
        </w:rPr>
        <w:t>INCENDIAIRE</w:t>
      </w:r>
      <w:r w:rsidR="00CC07D0">
        <w:t xml:space="preserve"> que celles présentées par nos collègues journalistes</w:t>
      </w:r>
      <w:r w:rsidR="006A2D62">
        <w:t xml:space="preserve">. </w:t>
      </w:r>
    </w:p>
    <w:p w14:paraId="4877849D" w14:textId="77777777" w:rsidR="008261F7" w:rsidRDefault="008261F7" w:rsidP="000069D9">
      <w:pPr>
        <w:ind w:left="329"/>
        <w:jc w:val="both"/>
      </w:pPr>
    </w:p>
    <w:p w14:paraId="2C2744C4" w14:textId="3C268F97" w:rsidR="008261F7" w:rsidRDefault="00E91F27" w:rsidP="00D86960">
      <w:pPr>
        <w:jc w:val="both"/>
      </w:pPr>
      <w:r>
        <w:t xml:space="preserve">L'analyse </w:t>
      </w:r>
      <w:r w:rsidR="00614D04">
        <w:t xml:space="preserve">à tirer </w:t>
      </w:r>
      <w:r>
        <w:t>du régime de retraite des membres de l'Assemblée nationale est sensiblement du même acabit selon l'étude</w:t>
      </w:r>
      <w:r w:rsidR="00587A86">
        <w:rPr>
          <w:rStyle w:val="Marquenotebasdepage"/>
        </w:rPr>
        <w:footnoteReference w:customMarkFollows="1" w:id="53"/>
        <w:t>50</w:t>
      </w:r>
      <w:r>
        <w:t xml:space="preserve"> qui en a été fait</w:t>
      </w:r>
      <w:r w:rsidR="00466F4A">
        <w:t>e</w:t>
      </w:r>
      <w:r>
        <w:t xml:space="preserve"> par </w:t>
      </w:r>
      <w:r w:rsidR="00587A86">
        <w:t>un comté consultatif indépendant</w:t>
      </w:r>
      <w:r>
        <w:t xml:space="preserve"> </w:t>
      </w:r>
      <w:r w:rsidR="00605BDA">
        <w:t>présidé</w:t>
      </w:r>
      <w:r>
        <w:t xml:space="preserve"> par l'ancienne juge de la </w:t>
      </w:r>
      <w:r w:rsidR="00605BDA">
        <w:t>Cour</w:t>
      </w:r>
      <w:r>
        <w:t xml:space="preserve"> suprême Claire </w:t>
      </w:r>
      <w:r w:rsidR="00DA469F">
        <w:t>L</w:t>
      </w:r>
      <w:r>
        <w:t>'Heureux</w:t>
      </w:r>
      <w:r w:rsidR="00DA469F">
        <w:t>-</w:t>
      </w:r>
      <w:r>
        <w:t>Dubé.</w:t>
      </w:r>
      <w:r w:rsidR="00466F4A">
        <w:t xml:space="preserve"> C'est-à-dire </w:t>
      </w:r>
      <w:r w:rsidR="00094014">
        <w:t>la présence d'</w:t>
      </w:r>
      <w:r w:rsidR="00466F4A">
        <w:t xml:space="preserve">une rémunération globale archaïque et opaque des députés (régime de retraite hors-norme et allocations de dépenses non imposables) combinée à une rémunération salariale de base trop </w:t>
      </w:r>
      <w:r w:rsidR="00C92564">
        <w:t xml:space="preserve">faible lorsque </w:t>
      </w:r>
      <w:r w:rsidR="000B3644">
        <w:t>comparée</w:t>
      </w:r>
      <w:r w:rsidR="00C92564">
        <w:t xml:space="preserve"> à l'ampleur de la tâche</w:t>
      </w:r>
      <w:r w:rsidR="00843FC9">
        <w:t>,</w:t>
      </w:r>
      <w:r w:rsidR="00C92564">
        <w:t xml:space="preserve"> des sacrifices à concéder et des compétences requises.</w:t>
      </w:r>
    </w:p>
    <w:p w14:paraId="645B8594" w14:textId="77777777" w:rsidR="00A43D6E" w:rsidRDefault="00A43D6E" w:rsidP="000069D9">
      <w:pPr>
        <w:ind w:left="329"/>
        <w:jc w:val="both"/>
      </w:pPr>
    </w:p>
    <w:p w14:paraId="26207AA0" w14:textId="4F131293" w:rsidR="00A43D6E" w:rsidRPr="008916E2" w:rsidRDefault="00A43D6E" w:rsidP="00D86960">
      <w:pPr>
        <w:jc w:val="both"/>
      </w:pPr>
      <w:r>
        <w:t xml:space="preserve">Par exemple, </w:t>
      </w:r>
      <w:r w:rsidR="00074BE3" w:rsidRPr="00074BE3">
        <w:rPr>
          <w:color w:val="FF6700" w:themeColor="accent3"/>
        </w:rPr>
        <w:t>D'UNE PART</w:t>
      </w:r>
      <w:r>
        <w:t xml:space="preserve">, </w:t>
      </w:r>
      <w:r w:rsidR="00980F8B">
        <w:t xml:space="preserve">nous avons </w:t>
      </w:r>
      <w:r>
        <w:t xml:space="preserve">le régime de retraite des députés </w:t>
      </w:r>
      <w:r w:rsidR="00980F8B">
        <w:t xml:space="preserve">qui </w:t>
      </w:r>
      <w:r>
        <w:t xml:space="preserve">pour tenir ses engagements de rentes (des rentes acquises de 4 %/année, une rente à vie pouvant correspondre à 100 % du salaire après 25 années de service, le financement du régime à 79 % par l'État) </w:t>
      </w:r>
      <w:r w:rsidR="00980F8B">
        <w:t xml:space="preserve">doit trahir ses propres règles fiscales. Une portion du régime n'est pas enregistré (puisqu'il ne parvient pas à respecter les limites imposées par le fisc) et se veut de type surcomplémentaire. </w:t>
      </w:r>
      <w:r w:rsidR="00980F8B" w:rsidRPr="00074BE3">
        <w:rPr>
          <w:color w:val="FF6700" w:themeColor="accent3"/>
        </w:rPr>
        <w:t>D'</w:t>
      </w:r>
      <w:r w:rsidR="00074BE3" w:rsidRPr="00074BE3">
        <w:rPr>
          <w:color w:val="FF6700" w:themeColor="accent3"/>
        </w:rPr>
        <w:t>AUTRE PART</w:t>
      </w:r>
      <w:r w:rsidR="00980F8B">
        <w:t xml:space="preserve">, </w:t>
      </w:r>
      <w:r w:rsidR="00094014">
        <w:t>la</w:t>
      </w:r>
      <w:r w:rsidR="00980F8B">
        <w:t xml:space="preserve"> rémunération salariale d'un député</w:t>
      </w:r>
      <w:r w:rsidR="0086135B">
        <w:t xml:space="preserve"> </w:t>
      </w:r>
      <w:r w:rsidR="00094014">
        <w:t xml:space="preserve">est </w:t>
      </w:r>
      <w:r w:rsidR="00605BDA">
        <w:t>fixée</w:t>
      </w:r>
      <w:r w:rsidR="00094014">
        <w:t xml:space="preserve"> à</w:t>
      </w:r>
      <w:r w:rsidR="00980F8B">
        <w:t xml:space="preserve"> 88 </w:t>
      </w:r>
      <w:r w:rsidR="00F6734E">
        <w:t>186</w:t>
      </w:r>
      <w:r w:rsidR="00980F8B">
        <w:t xml:space="preserve"> $.</w:t>
      </w:r>
      <w:r>
        <w:t xml:space="preserve"> </w:t>
      </w:r>
      <w:r w:rsidR="00074BE3">
        <w:t>Dans le</w:t>
      </w:r>
      <w:r w:rsidR="000B3644">
        <w:t>s</w:t>
      </w:r>
      <w:r w:rsidR="00074BE3">
        <w:t xml:space="preserve"> faits, le comité présidé par Claire L'Heureux-Dubé propose d'aplanir </w:t>
      </w:r>
      <w:r w:rsidR="008916E2">
        <w:t>ces</w:t>
      </w:r>
      <w:r w:rsidR="00074BE3">
        <w:t xml:space="preserve"> deux positions extrêmes</w:t>
      </w:r>
      <w:r w:rsidR="008916E2">
        <w:t xml:space="preserve"> (le régime de retraite et la rémunération salariale)</w:t>
      </w:r>
      <w:r w:rsidR="00074BE3">
        <w:t xml:space="preserve"> de la </w:t>
      </w:r>
      <w:r w:rsidR="008916E2" w:rsidRPr="008916E2">
        <w:rPr>
          <w:color w:val="FF6700" w:themeColor="accent3"/>
        </w:rPr>
        <w:t xml:space="preserve">RÉMUNÉRATION GLOBALE </w:t>
      </w:r>
      <w:r w:rsidR="008916E2">
        <w:t>d'un député pour en modifier les paramètres. Essentiellement, cette transformation s'effectuerait à coût presque nul et viserait, comme nous le mentionnions précédemment, à modifier les perceptions d'iniquité que la rémunération globale actuelle des députés suscit</w:t>
      </w:r>
      <w:r w:rsidR="00094014">
        <w:t>e</w:t>
      </w:r>
      <w:r w:rsidR="008916E2">
        <w:t xml:space="preserve"> </w:t>
      </w:r>
      <w:r w:rsidR="00605BDA">
        <w:t>dans</w:t>
      </w:r>
      <w:r w:rsidR="008916E2">
        <w:t xml:space="preserve"> la population en général.   </w:t>
      </w:r>
    </w:p>
    <w:p w14:paraId="29500D54" w14:textId="77777777" w:rsidR="00833AC0" w:rsidRDefault="00833AC0" w:rsidP="000069D9">
      <w:pPr>
        <w:ind w:left="329"/>
        <w:jc w:val="both"/>
      </w:pPr>
    </w:p>
    <w:p w14:paraId="290CCD87" w14:textId="6452F0E6" w:rsidR="009D5840" w:rsidRDefault="00151966" w:rsidP="00D86960">
      <w:pPr>
        <w:jc w:val="both"/>
      </w:pPr>
      <w:r>
        <w:t>L'objectif visé par la présentation de ces deux exemples de régimes de retraite controversés n'est pas de feindre le fardeau financier colossal qui a été englouti par l'État dans ce type de régimes à prestation</w:t>
      </w:r>
      <w:r w:rsidR="00A72DFD">
        <w:t>s</w:t>
      </w:r>
      <w:r>
        <w:t xml:space="preserve"> déterminée</w:t>
      </w:r>
      <w:r w:rsidR="00A72DFD">
        <w:t>s</w:t>
      </w:r>
      <w:r>
        <w:t xml:space="preserve">. Ce constat est déjà connu comme en </w:t>
      </w:r>
      <w:r w:rsidR="004F5CC6">
        <w:t>témoignent</w:t>
      </w:r>
      <w:r>
        <w:t xml:space="preserve"> le poids des déficits actuariels et les gymnastiques financières qui sont entreprises pour tenter d'honorer les différents engagements des régimes à </w:t>
      </w:r>
      <w:r>
        <w:lastRenderedPageBreak/>
        <w:t xml:space="preserve">verser les rentes promises. Ce que nous avons </w:t>
      </w:r>
      <w:r w:rsidR="00A72DFD">
        <w:t xml:space="preserve">plutôt </w:t>
      </w:r>
      <w:r>
        <w:t>souhaité démontr</w:t>
      </w:r>
      <w:r w:rsidR="00A72DFD">
        <w:t xml:space="preserve">er, c'est que </w:t>
      </w:r>
      <w:r w:rsidR="00C0267D">
        <w:t>lorsqu'une</w:t>
      </w:r>
      <w:r w:rsidR="00A72DFD">
        <w:t xml:space="preserve"> rémunération globale (salaire et régime de retraite) </w:t>
      </w:r>
      <w:r w:rsidR="00C0267D">
        <w:t>est traduite intégralement</w:t>
      </w:r>
      <w:r w:rsidR="00A72DFD">
        <w:t xml:space="preserve"> sous la forme d'un salaire, </w:t>
      </w:r>
      <w:r w:rsidR="00C0267D">
        <w:t xml:space="preserve">payable </w:t>
      </w:r>
      <w:r w:rsidR="00A72DFD">
        <w:t xml:space="preserve">aujourd'hui et que celui-ci </w:t>
      </w:r>
      <w:r w:rsidR="00C0267D">
        <w:t>se situe</w:t>
      </w:r>
      <w:r w:rsidR="00A72DFD">
        <w:t xml:space="preserve"> au-delà de ce que l'État peut se permettre, il est </w:t>
      </w:r>
      <w:r w:rsidR="00C0267D">
        <w:t xml:space="preserve">alors </w:t>
      </w:r>
      <w:r w:rsidR="00A72DFD">
        <w:t>totalement irresponsable de se fermer les yeux et d'en report</w:t>
      </w:r>
      <w:r w:rsidR="00C0267D">
        <w:t>er</w:t>
      </w:r>
      <w:r w:rsidR="00A72DFD">
        <w:t xml:space="preserve"> la portion excédentaire dans le futur sous la forme de promesses de rentes de retraite.</w:t>
      </w:r>
      <w:r>
        <w:t xml:space="preserve"> </w:t>
      </w:r>
      <w:r w:rsidR="00C0267D">
        <w:t>À notre avis, c'est un peu la triste histoire</w:t>
      </w:r>
      <w:r w:rsidR="001C4C08">
        <w:t xml:space="preserve"> des régimes de retraite à prestations déterminées publics et parapublics. Une évolution vers des régimes comparables à ceux disponibles pour les épargnants qui doivent constituer leur propre capital</w:t>
      </w:r>
      <w:r w:rsidR="000D585B">
        <w:t>-</w:t>
      </w:r>
      <w:r w:rsidR="001C4C08">
        <w:t xml:space="preserve">retraite permettrait </w:t>
      </w:r>
      <w:r w:rsidR="00947A29">
        <w:t xml:space="preserve">ainsi </w:t>
      </w:r>
      <w:r w:rsidR="001C4C08">
        <w:t>d'éviter ce</w:t>
      </w:r>
      <w:r w:rsidR="00947A29">
        <w:t xml:space="preserve"> type de gouffre financier, tout en préservant une certaine forme d'équité entre les différents régimes.</w:t>
      </w:r>
      <w:r w:rsidR="001C4C08">
        <w:t xml:space="preserve"> </w:t>
      </w:r>
    </w:p>
    <w:p w14:paraId="68119D05" w14:textId="1FC8B279" w:rsidR="00CB38E3" w:rsidRDefault="00CB38E3" w:rsidP="006C34CF">
      <w:pPr>
        <w:pStyle w:val="Titre1"/>
        <w:numPr>
          <w:ilvl w:val="0"/>
          <w:numId w:val="55"/>
        </w:numPr>
      </w:pPr>
      <w:bookmarkStart w:id="82" w:name="_Toc314397848"/>
      <w:bookmarkStart w:id="83" w:name="_Toc443569392"/>
      <w:r>
        <w:t>Les régimes reliés à l’initiative des individus</w:t>
      </w:r>
      <w:bookmarkEnd w:id="82"/>
      <w:bookmarkEnd w:id="83"/>
    </w:p>
    <w:p w14:paraId="43C60FB1" w14:textId="77777777" w:rsidR="00C15F95" w:rsidRPr="00C15F95" w:rsidRDefault="00C15F95" w:rsidP="00C15F95"/>
    <w:p w14:paraId="3E4EB3F2" w14:textId="40B02D6C" w:rsidR="00216270" w:rsidRDefault="00BF6D3F" w:rsidP="00A22F49">
      <w:pPr>
        <w:jc w:val="both"/>
      </w:pPr>
      <w:r>
        <w:t xml:space="preserve">Nous </w:t>
      </w:r>
      <w:r w:rsidR="007F15AD">
        <w:t xml:space="preserve">aborderons maintenant l'épargne en observant le comportement des individus et en étudiant les choix qui s'offrent à ceux et celles qui souhaitent </w:t>
      </w:r>
      <w:r w:rsidR="00CC14E5">
        <w:t>(</w:t>
      </w:r>
      <w:r w:rsidR="007F15AD">
        <w:t xml:space="preserve">ou qui n'ont </w:t>
      </w:r>
      <w:r w:rsidR="00BA257F">
        <w:t>pas d</w:t>
      </w:r>
      <w:r w:rsidR="007F15AD">
        <w:t xml:space="preserve">'autres </w:t>
      </w:r>
      <w:r w:rsidR="00BA257F">
        <w:t>solutions</w:t>
      </w:r>
      <w:r w:rsidR="00CC14E5">
        <w:t>)</w:t>
      </w:r>
      <w:r w:rsidR="00A22F49">
        <w:t xml:space="preserve"> prendre en main leur </w:t>
      </w:r>
      <w:r w:rsidR="00BA257F">
        <w:t>destinée</w:t>
      </w:r>
      <w:r w:rsidR="00A22F49">
        <w:t xml:space="preserve"> de futurs retraités. C'est </w:t>
      </w:r>
      <w:r w:rsidR="00CC14E5">
        <w:t xml:space="preserve">dans ce contexte </w:t>
      </w:r>
      <w:r w:rsidR="00A22F49">
        <w:t xml:space="preserve">que les gens font de petits gestes héroïques au quotidien en </w:t>
      </w:r>
      <w:r w:rsidR="00A22F49" w:rsidRPr="00A22F49">
        <w:rPr>
          <w:color w:val="FF6700" w:themeColor="accent3"/>
        </w:rPr>
        <w:t>CHOISISSANT</w:t>
      </w:r>
      <w:r w:rsidR="00A22F49">
        <w:t xml:space="preserve"> de mettre </w:t>
      </w:r>
      <w:r w:rsidR="00AA1EE9">
        <w:t>de</w:t>
      </w:r>
      <w:r w:rsidR="00A22F49">
        <w:t xml:space="preserve"> </w:t>
      </w:r>
      <w:r w:rsidR="00BA257F">
        <w:t>l</w:t>
      </w:r>
      <w:r w:rsidR="00A22F49">
        <w:t xml:space="preserve">'argent de côté pour l'investir </w:t>
      </w:r>
      <w:r w:rsidR="00CC14E5">
        <w:t>et ainsi</w:t>
      </w:r>
      <w:r w:rsidR="00A22F49">
        <w:t xml:space="preserve"> se </w:t>
      </w:r>
      <w:r w:rsidR="00CC14E5">
        <w:t xml:space="preserve">construire </w:t>
      </w:r>
      <w:r w:rsidR="00A22F49">
        <w:t>un actif qui pourra générer des revenus au moment de la retraite.</w:t>
      </w:r>
      <w:r w:rsidR="00CC14E5">
        <w:t xml:space="preserve"> Pour l'instant, nous avons tout juste parcouru des régimes de retraite, publics et privés, qui s'articulaient par une mécanique automatique et presque toujours obligatoire. Le programme de la PSV, du RRQ ou les RPA offrent bien peu d'</w:t>
      </w:r>
      <w:r w:rsidR="00BA257F">
        <w:t>options</w:t>
      </w:r>
      <w:r w:rsidR="00FE2772">
        <w:t xml:space="preserve">; </w:t>
      </w:r>
      <w:r w:rsidR="00CC14E5">
        <w:t xml:space="preserve">les gens doivent y adhérer et les règles sont fixées d'avance (dans le cas du RPA, lorsqu'il est offert par l'employeur). </w:t>
      </w:r>
      <w:r w:rsidR="0002260F">
        <w:t>Sauf pour la PSV, le financement de ces régimes s'effectue par des prélèvements obligatoires sur le salaire des employés et par des cotisations de l'employeur. L'individu n'a pas à faire et assumer des choix et c'est, en quelque sorte, tant mieux!</w:t>
      </w:r>
    </w:p>
    <w:p w14:paraId="4BB33B7C" w14:textId="77777777" w:rsidR="001B5422" w:rsidRDefault="001B5422" w:rsidP="00A22F49">
      <w:pPr>
        <w:jc w:val="both"/>
      </w:pPr>
    </w:p>
    <w:p w14:paraId="4C473ABB" w14:textId="30EEB68D" w:rsidR="00E212A7" w:rsidRDefault="00FE2772" w:rsidP="00A22F49">
      <w:pPr>
        <w:jc w:val="both"/>
      </w:pPr>
      <w:r>
        <w:t>Parce que les choix, même s'ils sont des assises à la liberté qui est elle-même une aspiration de l'expérience humaine, se tradui</w:t>
      </w:r>
      <w:r w:rsidR="00A03145">
        <w:t>sen</w:t>
      </w:r>
      <w:r>
        <w:t xml:space="preserve">t trop souvent par </w:t>
      </w:r>
      <w:r w:rsidR="00EB0DDF">
        <w:t>une succession d'</w:t>
      </w:r>
      <w:r>
        <w:t xml:space="preserve">actes manqués lorsqu'il s'agit de finances personnelles et d'épargne. </w:t>
      </w:r>
      <w:r w:rsidR="00EB0DDF">
        <w:t>Dans son livre Misbehaving</w:t>
      </w:r>
      <w:r w:rsidR="00E212A7">
        <w:rPr>
          <w:rStyle w:val="Marquenotebasdepage"/>
        </w:rPr>
        <w:footnoteReference w:customMarkFollows="1" w:id="54"/>
        <w:t>51</w:t>
      </w:r>
      <w:r w:rsidR="00EB0DDF">
        <w:t>, Richard Thaler, professeur en sciences comportementales et en économie</w:t>
      </w:r>
      <w:r w:rsidR="001A1587">
        <w:t xml:space="preserve"> </w:t>
      </w:r>
      <w:r w:rsidR="00120980">
        <w:t>au Booth School of Business de</w:t>
      </w:r>
      <w:r w:rsidR="001A1587">
        <w:t xml:space="preserve"> l'université de Chicago</w:t>
      </w:r>
      <w:r w:rsidR="00EB0DDF">
        <w:t xml:space="preserve">, énumère un nombre impressionnant de comportements qui sont </w:t>
      </w:r>
      <w:r w:rsidR="00DD25BC">
        <w:t xml:space="preserve">autant </w:t>
      </w:r>
      <w:r w:rsidR="00EB0DDF">
        <w:t xml:space="preserve">de freins aux élans d'épargne des individus. </w:t>
      </w:r>
      <w:r w:rsidR="00120980">
        <w:t xml:space="preserve">Malgré les théories économiques classiques (Modigliani, Friedman) qui indiquent que les humains savent ce qu'ils font et qu'ils arrivent à épargner exactement le montant requis pour satisfaire leurs besoins à la retraite, l'approche </w:t>
      </w:r>
      <w:r w:rsidR="00120980">
        <w:lastRenderedPageBreak/>
        <w:t xml:space="preserve">comportementale de Thaler démontre que les individus ont toutes sortes de distorsions mentales qui les éloignent de leurs objectifs de retraite. </w:t>
      </w:r>
      <w:r w:rsidR="000606E1">
        <w:t xml:space="preserve">Pour expliquer les mauvais choix des individus, Thaler </w:t>
      </w:r>
      <w:r w:rsidR="00120980">
        <w:t>expose,</w:t>
      </w:r>
      <w:r w:rsidR="00F912FA">
        <w:t xml:space="preserve"> notamment</w:t>
      </w:r>
      <w:r w:rsidR="000606E1">
        <w:t xml:space="preserve">, les </w:t>
      </w:r>
      <w:r w:rsidR="00AA1EE9">
        <w:t>concepts</w:t>
      </w:r>
      <w:r w:rsidR="000606E1">
        <w:t xml:space="preserve"> suivants</w:t>
      </w:r>
      <w:r w:rsidR="00BA257F">
        <w:t> :</w:t>
      </w:r>
    </w:p>
    <w:p w14:paraId="3D490150" w14:textId="77777777" w:rsidR="00DD25BC" w:rsidRDefault="00DD25BC" w:rsidP="00A22F49">
      <w:pPr>
        <w:jc w:val="both"/>
      </w:pPr>
    </w:p>
    <w:p w14:paraId="0F8BE352" w14:textId="0D779D51" w:rsidR="00AA1EE9" w:rsidRDefault="00AA1EE9" w:rsidP="006C34CF">
      <w:pPr>
        <w:pStyle w:val="Paragraphedeliste"/>
        <w:numPr>
          <w:ilvl w:val="0"/>
          <w:numId w:val="46"/>
        </w:numPr>
        <w:jc w:val="both"/>
      </w:pPr>
      <w:r>
        <w:t xml:space="preserve">L'inertie et la procrastination </w:t>
      </w:r>
    </w:p>
    <w:p w14:paraId="40DAEDFD" w14:textId="77777777" w:rsidR="00AA1EE9" w:rsidRDefault="00AA1EE9" w:rsidP="00AA1EE9">
      <w:pPr>
        <w:ind w:left="751"/>
        <w:jc w:val="both"/>
      </w:pPr>
    </w:p>
    <w:p w14:paraId="18418D0D" w14:textId="72FE71C9" w:rsidR="004F22CF" w:rsidRDefault="00AA1EE9" w:rsidP="00AA1EE9">
      <w:pPr>
        <w:ind w:left="751"/>
        <w:jc w:val="both"/>
      </w:pPr>
      <w:r>
        <w:t>La plupart de gens savent qu'ils devraient épargner davantage et compte remédier à la situation...bientôt!</w:t>
      </w:r>
      <w:r w:rsidR="00CE6F70">
        <w:t xml:space="preserve"> Ils se livrent plutôt à une joute intérieure trouvant toutes sortes de bonnes raisons (les form</w:t>
      </w:r>
      <w:r w:rsidR="0018681A">
        <w:t>u</w:t>
      </w:r>
      <w:r w:rsidR="00CE6F70">
        <w:t xml:space="preserve">laires et les procédures </w:t>
      </w:r>
      <w:r w:rsidR="0018681A">
        <w:t xml:space="preserve">à remplir </w:t>
      </w:r>
      <w:r w:rsidR="00CE6F70">
        <w:t>sont trop complexes et lo</w:t>
      </w:r>
      <w:r w:rsidR="0018681A">
        <w:t>ngues)</w:t>
      </w:r>
      <w:r w:rsidR="00CE6F70">
        <w:t xml:space="preserve"> pour ne pas prendre les actions qui s'imposent. À des degrés différents, nous sommes tous en mesure de </w:t>
      </w:r>
      <w:r w:rsidR="00BA257F">
        <w:t xml:space="preserve">nous </w:t>
      </w:r>
      <w:r w:rsidR="00CE6F70">
        <w:t xml:space="preserve">identifier à ce comportement </w:t>
      </w:r>
      <w:r w:rsidR="00FC57F4">
        <w:t>préjudiciable.</w:t>
      </w:r>
    </w:p>
    <w:p w14:paraId="72B79BC6" w14:textId="77777777" w:rsidR="00AA1EE9" w:rsidRDefault="00AA1EE9" w:rsidP="00AA1EE9">
      <w:pPr>
        <w:ind w:left="751"/>
        <w:jc w:val="both"/>
      </w:pPr>
    </w:p>
    <w:p w14:paraId="0F84C936" w14:textId="5B58C7DC" w:rsidR="00AA1EE9" w:rsidRDefault="00AA1EE9" w:rsidP="006C34CF">
      <w:pPr>
        <w:pStyle w:val="Paragraphedeliste"/>
        <w:numPr>
          <w:ilvl w:val="0"/>
          <w:numId w:val="46"/>
        </w:numPr>
        <w:jc w:val="both"/>
      </w:pPr>
      <w:r>
        <w:t>L'aversion aux pertes</w:t>
      </w:r>
    </w:p>
    <w:p w14:paraId="0AF29BE9" w14:textId="77777777" w:rsidR="00AA1EE9" w:rsidRDefault="00AA1EE9" w:rsidP="00AA1EE9">
      <w:pPr>
        <w:ind w:left="751"/>
        <w:jc w:val="both"/>
      </w:pPr>
    </w:p>
    <w:p w14:paraId="00324D60" w14:textId="55E031A7" w:rsidR="00FC57F4" w:rsidRDefault="00FC57F4" w:rsidP="00AA1EE9">
      <w:pPr>
        <w:ind w:left="751"/>
        <w:jc w:val="both"/>
      </w:pPr>
      <w:r>
        <w:t>La théorie des perspectives de Daniel Kahneman et Amos Tversky a démontré que les gens vivent les expériences associées aux gains et aux pertes de manière</w:t>
      </w:r>
      <w:r w:rsidR="00A670BF">
        <w:t>s</w:t>
      </w:r>
      <w:r>
        <w:t xml:space="preserve"> asymétrique</w:t>
      </w:r>
      <w:r w:rsidR="00A670BF">
        <w:t>s</w:t>
      </w:r>
      <w:r>
        <w:t>.  Pour combler  le désagrément de perdre 200 $, les individus doivent générer des gains de 400 $. Pense</w:t>
      </w:r>
      <w:r w:rsidR="003746D4">
        <w:t>z</w:t>
      </w:r>
      <w:r>
        <w:t xml:space="preserve"> à votre dernier billet d'infraction</w:t>
      </w:r>
      <w:r w:rsidR="003746D4">
        <w:t xml:space="preserve"> pour excès de vitesse. Dans un contexte d'épargne, cette théorie démontre que les gens n'aiment </w:t>
      </w:r>
      <w:r w:rsidR="00BA257F">
        <w:t>pas q</w:t>
      </w:r>
      <w:r w:rsidR="003746D4">
        <w:t>ue leur salaire diminue, même si la source de cette réduction est l'</w:t>
      </w:r>
      <w:r w:rsidR="00A670BF" w:rsidRPr="00A670BF">
        <w:rPr>
          <w:color w:val="FF6700" w:themeColor="accent3"/>
        </w:rPr>
        <w:t>AJOUT</w:t>
      </w:r>
      <w:r w:rsidR="003746D4">
        <w:t xml:space="preserve"> d'un </w:t>
      </w:r>
      <w:r w:rsidR="00A670BF">
        <w:t xml:space="preserve">nouveau </w:t>
      </w:r>
      <w:r w:rsidR="003746D4">
        <w:t xml:space="preserve">prélèvement </w:t>
      </w:r>
      <w:r w:rsidR="00BA257F">
        <w:t>salarial</w:t>
      </w:r>
      <w:r w:rsidR="00A670BF">
        <w:t xml:space="preserve"> </w:t>
      </w:r>
      <w:r w:rsidR="003746D4">
        <w:t xml:space="preserve">pour </w:t>
      </w:r>
      <w:r w:rsidR="00A670BF">
        <w:t>investir dans un régime de retraite.</w:t>
      </w:r>
    </w:p>
    <w:p w14:paraId="24CF1E1D" w14:textId="77777777" w:rsidR="00FC57F4" w:rsidRDefault="00FC57F4" w:rsidP="00AA1EE9">
      <w:pPr>
        <w:ind w:left="751"/>
        <w:jc w:val="both"/>
      </w:pPr>
    </w:p>
    <w:p w14:paraId="69D02C7F" w14:textId="22E4A707" w:rsidR="00AA1EE9" w:rsidRDefault="00AA1EE9" w:rsidP="006C34CF">
      <w:pPr>
        <w:pStyle w:val="Paragraphedeliste"/>
        <w:numPr>
          <w:ilvl w:val="0"/>
          <w:numId w:val="46"/>
        </w:numPr>
        <w:jc w:val="both"/>
      </w:pPr>
      <w:r>
        <w:t>Le biais du présent</w:t>
      </w:r>
    </w:p>
    <w:p w14:paraId="34C43FAB" w14:textId="77777777" w:rsidR="00DD25BC" w:rsidRDefault="00DD25BC" w:rsidP="00A22F49">
      <w:pPr>
        <w:jc w:val="both"/>
      </w:pPr>
    </w:p>
    <w:p w14:paraId="54B92418" w14:textId="2E56CE4F" w:rsidR="00A670BF" w:rsidRDefault="00A670BF" w:rsidP="00A22F49">
      <w:pPr>
        <w:jc w:val="both"/>
      </w:pPr>
      <w:r>
        <w:tab/>
      </w:r>
      <w:r w:rsidR="00707013">
        <w:t xml:space="preserve">Des expériences </w:t>
      </w:r>
      <w:r w:rsidR="000B42B6">
        <w:t xml:space="preserve">ont démontré que les individus avaient davantage de discipline (self-control) dans le </w:t>
      </w:r>
      <w:r w:rsidR="000B42B6">
        <w:tab/>
        <w:t>cadre d'événements futurs qu'ils pouvaient anticiper que dans le moment présent. C'est donc</w:t>
      </w:r>
      <w:r w:rsidR="00561B75">
        <w:t xml:space="preserve"> </w:t>
      </w:r>
      <w:r w:rsidR="000B42B6">
        <w:t xml:space="preserve">dire qu'il </w:t>
      </w:r>
      <w:r w:rsidR="00787E24">
        <w:tab/>
      </w:r>
      <w:r w:rsidR="000B42B6">
        <w:t xml:space="preserve">serait bénéfique pour un individu de s'engager dès maintenant à effectuer des prélèvements </w:t>
      </w:r>
      <w:r w:rsidR="002E2E32">
        <w:tab/>
      </w:r>
      <w:r w:rsidR="000B42B6">
        <w:t>salaria</w:t>
      </w:r>
      <w:r w:rsidR="002E2E32">
        <w:t>ux</w:t>
      </w:r>
      <w:r w:rsidR="000B42B6">
        <w:t xml:space="preserve"> automatiques </w:t>
      </w:r>
      <w:r w:rsidR="002E2E32">
        <w:t xml:space="preserve">(dédiés à son régime de retraite) </w:t>
      </w:r>
      <w:r w:rsidR="000B42B6">
        <w:t xml:space="preserve">l'an prochain.  </w:t>
      </w:r>
    </w:p>
    <w:p w14:paraId="5DAA7CE4" w14:textId="77777777" w:rsidR="00A670BF" w:rsidRDefault="00A670BF" w:rsidP="00A22F49">
      <w:pPr>
        <w:jc w:val="both"/>
      </w:pPr>
    </w:p>
    <w:p w14:paraId="2D8D5960" w14:textId="6E8D39C6" w:rsidR="00C34919" w:rsidRDefault="00C34919" w:rsidP="00A22F49">
      <w:pPr>
        <w:jc w:val="both"/>
      </w:pPr>
      <w:r>
        <w:t xml:space="preserve">Selon Thaler, l'architecture idéale d'un choix offert à un </w:t>
      </w:r>
      <w:r w:rsidR="00C700B9">
        <w:t>individu</w:t>
      </w:r>
      <w:r>
        <w:t xml:space="preserve"> pour maximiser ses chances d'épargner pour sa retraite serait d'offrir à tout nouvel employé un choix (par défaut) de cotiser un petit pourcentage de son salaire dès l'embauche et de voir ce pourcentage croitre (par défaut) à chaque augmentation de salaire. Bien </w:t>
      </w:r>
      <w:r>
        <w:lastRenderedPageBreak/>
        <w:t xml:space="preserve">sûr, puisqu'il s'agit d'un choix, l'employé pourrait refuser d'adhérer à une telle proposition. </w:t>
      </w:r>
      <w:r w:rsidR="00BA257F">
        <w:t>Ce n’est</w:t>
      </w:r>
      <w:r>
        <w:t xml:space="preserve"> ni plus, ni moins, le concept du RVÉR.</w:t>
      </w:r>
    </w:p>
    <w:p w14:paraId="070FBCCF" w14:textId="77777777" w:rsidR="00C34919" w:rsidRDefault="00C34919" w:rsidP="00A22F49">
      <w:pPr>
        <w:jc w:val="both"/>
      </w:pPr>
    </w:p>
    <w:p w14:paraId="5951E135" w14:textId="33CCD232" w:rsidR="00A22F49" w:rsidRDefault="009378CD" w:rsidP="00A22F49">
      <w:pPr>
        <w:jc w:val="both"/>
      </w:pPr>
      <w:r>
        <w:t xml:space="preserve">La prise en charge de ses choix par le contribuable comporte également le défi de définir les meilleures options d'épargne parmi celles qui lui sont </w:t>
      </w:r>
      <w:r w:rsidR="00C8549D">
        <w:t xml:space="preserve">présentées. Les propositions sont innombrables, complexes et font l'objet d'une prolifération d'informations qui rendent le paysage de l'épargne semblable à un </w:t>
      </w:r>
      <w:r w:rsidR="00DA79B5">
        <w:t xml:space="preserve">dédale de </w:t>
      </w:r>
      <w:r w:rsidR="00BA257F">
        <w:t>confusions</w:t>
      </w:r>
      <w:r w:rsidR="00C8549D">
        <w:t>.</w:t>
      </w:r>
      <w:r w:rsidR="00A22F49">
        <w:t xml:space="preserve"> </w:t>
      </w:r>
      <w:r w:rsidR="00FA6B69">
        <w:t>La seule pensée de devoir prioriser le CÉLI, REÉR, REÉE ou le remboursement d'une dette lorsque le contribuable réussit à soustraire à son train de vie une parcelle d'épargne peut avoir un effet paralysant sur ses bonnes intentions.</w:t>
      </w:r>
      <w:r w:rsidR="00F373B4">
        <w:t xml:space="preserve"> Dans les prochaines sections de l'ouvrage, nous présenterons, </w:t>
      </w:r>
      <w:r w:rsidR="00BA257F">
        <w:t>expliquerons</w:t>
      </w:r>
      <w:r w:rsidR="00F373B4">
        <w:t xml:space="preserve"> et départagerons les différents véhicules d'épargne</w:t>
      </w:r>
      <w:r w:rsidR="00FA6B69">
        <w:t xml:space="preserve"> </w:t>
      </w:r>
      <w:r w:rsidR="00F373B4">
        <w:t xml:space="preserve">qui s'offrent aux individus qui doivent </w:t>
      </w:r>
      <w:r w:rsidR="00B37F91">
        <w:t>s'investir activement dans leur épargne retraite.</w:t>
      </w:r>
    </w:p>
    <w:p w14:paraId="39D15A05" w14:textId="55B1502F" w:rsidR="00983D53" w:rsidRDefault="00983D53" w:rsidP="00A22F49">
      <w:pPr>
        <w:jc w:val="both"/>
      </w:pPr>
      <w:r>
        <w:rPr>
          <w:noProof/>
          <w:lang w:eastAsia="fr-FR"/>
        </w:rPr>
        <w:drawing>
          <wp:anchor distT="0" distB="0" distL="114300" distR="114300" simplePos="0" relativeHeight="252420096" behindDoc="0" locked="0" layoutInCell="1" allowOverlap="1" wp14:anchorId="4599B35A" wp14:editId="3A58B561">
            <wp:simplePos x="0" y="0"/>
            <wp:positionH relativeFrom="column">
              <wp:posOffset>4457700</wp:posOffset>
            </wp:positionH>
            <wp:positionV relativeFrom="paragraph">
              <wp:posOffset>158115</wp:posOffset>
            </wp:positionV>
            <wp:extent cx="4697730" cy="3657600"/>
            <wp:effectExtent l="0" t="0" r="1270" b="0"/>
            <wp:wrapSquare wrapText="bothSides"/>
            <wp:docPr id="374" name="Image 374" descr="Macintosh HD:Users:marcbachand:Desktop:Capture d’écran 2015-10-02 à 09.3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0-02 à 09.30.57.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97730" cy="36576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bookmarkStart w:id="84" w:name="_Toc314397849"/>
    <w:bookmarkStart w:id="85" w:name="_Toc443569393"/>
    <w:p w14:paraId="668B01D7" w14:textId="432F192A" w:rsidR="00A22F49" w:rsidRDefault="00983D53" w:rsidP="006C34CF">
      <w:pPr>
        <w:pStyle w:val="Titre2"/>
        <w:numPr>
          <w:ilvl w:val="1"/>
          <w:numId w:val="47"/>
        </w:numPr>
      </w:pPr>
      <w:r w:rsidRPr="001452CE">
        <w:rPr>
          <w:noProof/>
          <w:lang w:eastAsia="fr-FR"/>
        </w:rPr>
        <mc:AlternateContent>
          <mc:Choice Requires="wps">
            <w:drawing>
              <wp:anchor distT="0" distB="0" distL="114300" distR="114300" simplePos="0" relativeHeight="252422144" behindDoc="0" locked="0" layoutInCell="1" allowOverlap="1" wp14:anchorId="71D559F9" wp14:editId="17A5E8FB">
                <wp:simplePos x="0" y="0"/>
                <wp:positionH relativeFrom="column">
                  <wp:posOffset>7200900</wp:posOffset>
                </wp:positionH>
                <wp:positionV relativeFrom="paragraph">
                  <wp:posOffset>314325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375" name="Bouée 375"/>
                <wp:cNvGraphicFramePr/>
                <a:graphic xmlns:a="http://schemas.openxmlformats.org/drawingml/2006/main">
                  <a:graphicData uri="http://schemas.microsoft.com/office/word/2010/wordprocessingShape">
                    <wps:wsp>
                      <wps:cNvSpPr/>
                      <wps:spPr>
                        <a:xfrm>
                          <a:off x="0" y="0"/>
                          <a:ext cx="914400" cy="914400"/>
                        </a:xfrm>
                        <a:prstGeom prst="donut">
                          <a:avLst>
                            <a:gd name="adj" fmla="val 1459"/>
                          </a:avLst>
                        </a:prstGeom>
                        <a:ln>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23" coordsize="21600,21600" o:spt="23" adj="5400" path="m0,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Bouée 375" o:spid="_x0000_s1026" type="#_x0000_t23" style="position:absolute;margin-left:567pt;margin-top:24.75pt;width:1in;height:1in;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" adj="315" fillcolor="#94c600 [3204]" strokecolor="maroon">
                <v:fill color2="#84b100 [2884]" rotate="t" focus="100%" type="gradient">
                  <o:fill v:ext="view" type="gradientUnscaled"/>
                </v:fill>
                <w10:wrap type="through"/>
              </v:shape>
            </w:pict>
          </mc:Fallback>
        </mc:AlternateContent>
      </w:r>
      <w:r w:rsidR="00C15F95">
        <w:t>Le con</w:t>
      </w:r>
      <w:r w:rsidR="005A52D1">
        <w:t>texte et les types de véhicules de retraite</w:t>
      </w:r>
      <w:bookmarkEnd w:id="84"/>
      <w:bookmarkEnd w:id="85"/>
    </w:p>
    <w:p w14:paraId="2136997A" w14:textId="1A86C861" w:rsidR="00B37F91" w:rsidRDefault="00B37F91" w:rsidP="00B37F91"/>
    <w:p w14:paraId="6F3A1CD4" w14:textId="16343736" w:rsidR="00171E05" w:rsidRDefault="00F93B86" w:rsidP="007033BE">
      <w:pPr>
        <w:jc w:val="both"/>
      </w:pPr>
      <w:r>
        <w:t xml:space="preserve">La majorité </w:t>
      </w:r>
      <w:r w:rsidR="006B7577" w:rsidRPr="00D90FA0">
        <w:rPr>
          <w:lang w:val="fr-CA"/>
        </w:rPr>
        <w:t xml:space="preserve">des </w:t>
      </w:r>
      <w:r w:rsidR="006B7577">
        <w:rPr>
          <w:lang w:val="fr-CA"/>
        </w:rPr>
        <w:t>Québécois</w:t>
      </w:r>
      <w:r w:rsidR="006B7577" w:rsidRPr="00D90FA0">
        <w:rPr>
          <w:lang w:val="fr-CA"/>
        </w:rPr>
        <w:t xml:space="preserve"> n’ont pas un régime de retraite </w:t>
      </w:r>
      <w:r w:rsidR="006B7577">
        <w:rPr>
          <w:lang w:val="fr-CA"/>
        </w:rPr>
        <w:t>avec</w:t>
      </w:r>
      <w:r w:rsidR="006B7577" w:rsidRPr="00D90FA0">
        <w:rPr>
          <w:lang w:val="fr-CA"/>
        </w:rPr>
        <w:t xml:space="preserve"> leur employeur.</w:t>
      </w:r>
      <w:r>
        <w:rPr>
          <w:lang w:val="fr-CA"/>
        </w:rPr>
        <w:t xml:space="preserve"> Ce constat les précipite</w:t>
      </w:r>
      <w:r w:rsidR="007033BE">
        <w:rPr>
          <w:noProof/>
          <w:lang w:eastAsia="fr-FR"/>
        </w:rPr>
        <mc:AlternateContent>
          <mc:Choice Requires="wps">
            <w:drawing>
              <wp:anchor distT="0" distB="0" distL="114300" distR="114300" simplePos="0" relativeHeight="252426240" behindDoc="0" locked="0" layoutInCell="1" allowOverlap="1" wp14:anchorId="5608EC1F" wp14:editId="61DA58C6">
                <wp:simplePos x="0" y="0"/>
                <wp:positionH relativeFrom="column">
                  <wp:posOffset>6172200</wp:posOffset>
                </wp:positionH>
                <wp:positionV relativeFrom="paragraph">
                  <wp:posOffset>135890</wp:posOffset>
                </wp:positionV>
                <wp:extent cx="1143000" cy="1143000"/>
                <wp:effectExtent l="76200" t="76200" r="76200" b="76200"/>
                <wp:wrapThrough wrapText="bothSides">
                  <wp:wrapPolygon edited="0">
                    <wp:start x="5760" y="-1440"/>
                    <wp:lineTo x="-1440" y="-480"/>
                    <wp:lineTo x="-960" y="16800"/>
                    <wp:lineTo x="5760" y="22560"/>
                    <wp:lineTo x="15360" y="22560"/>
                    <wp:lineTo x="15840" y="21600"/>
                    <wp:lineTo x="22080" y="15360"/>
                    <wp:lineTo x="22560" y="6240"/>
                    <wp:lineTo x="16320" y="-480"/>
                    <wp:lineTo x="15360" y="-1440"/>
                    <wp:lineTo x="5760" y="-1440"/>
                  </wp:wrapPolygon>
                </wp:wrapThrough>
                <wp:docPr id="380" name="Ellipse 380"/>
                <wp:cNvGraphicFramePr/>
                <a:graphic xmlns:a="http://schemas.openxmlformats.org/drawingml/2006/main">
                  <a:graphicData uri="http://schemas.microsoft.com/office/word/2010/wordprocessingShape">
                    <wps:wsp>
                      <wps:cNvSpPr/>
                      <wps:spPr>
                        <a:xfrm>
                          <a:off x="0" y="0"/>
                          <a:ext cx="1143000" cy="1143000"/>
                        </a:xfrm>
                        <a:prstGeom prst="ellipse">
                          <a:avLst/>
                        </a:prstGeom>
                        <a:no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id="Ellipse 380" o:spid="_x0000_s1026" style="position:absolute;margin-left:486pt;margin-top:10.7pt;width:90pt;height:90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" filled="f" strokecolor="maroon" strokeweight="2.25pt">
                <w10:wrap type="through"/>
              </v:oval>
            </w:pict>
          </mc:Fallback>
        </mc:AlternateContent>
      </w:r>
      <w:r>
        <w:rPr>
          <w:lang w:val="fr-CA"/>
        </w:rPr>
        <w:t xml:space="preserve"> alors </w:t>
      </w:r>
      <w:r w:rsidR="00393BF5">
        <w:rPr>
          <w:lang w:val="fr-CA"/>
        </w:rPr>
        <w:t xml:space="preserve">immédiatement </w:t>
      </w:r>
      <w:r w:rsidR="007033BE">
        <w:t xml:space="preserve">au </w:t>
      </w:r>
      <w:r>
        <w:t xml:space="preserve">troisième </w:t>
      </w:r>
      <w:r w:rsidR="007033BE">
        <w:t xml:space="preserve">palier de la pyramide des placements. </w:t>
      </w:r>
      <w:r>
        <w:t>À défaut d'y prévoir l'ajout d'actifs de retraite par des initiati</w:t>
      </w:r>
      <w:r w:rsidR="00305420">
        <w:t>ves</w:t>
      </w:r>
      <w:r>
        <w:t xml:space="preserve"> d'épargne</w:t>
      </w:r>
      <w:r w:rsidR="00393BF5">
        <w:t xml:space="preserve"> personnelle</w:t>
      </w:r>
      <w:r>
        <w:t xml:space="preserve">, le contribuable devra </w:t>
      </w:r>
      <w:r w:rsidR="00305420">
        <w:t>se contenter de ce que le filet social pourra lui verser à la retraite, soit environ 1</w:t>
      </w:r>
      <w:r w:rsidR="00393BF5">
        <w:t>6</w:t>
      </w:r>
      <w:r w:rsidR="00305420">
        <w:t xml:space="preserve"> 000 $ (Voir  </w:t>
      </w:r>
      <w:r w:rsidR="00393BF5">
        <w:rPr>
          <w:color w:val="FF6700" w:themeColor="accent3"/>
        </w:rPr>
        <w:t>I</w:t>
      </w:r>
      <w:r w:rsidR="006C4C47">
        <w:rPr>
          <w:color w:val="FF6700" w:themeColor="accent3"/>
        </w:rPr>
        <w:t>MAGE</w:t>
      </w:r>
      <w:r w:rsidR="00393BF5">
        <w:rPr>
          <w:color w:val="FF6700" w:themeColor="accent3"/>
        </w:rPr>
        <w:t xml:space="preserve"> 7-</w:t>
      </w:r>
      <w:r w:rsidR="00393BF5" w:rsidRPr="00393BF5">
        <w:rPr>
          <w:color w:val="FF6700" w:themeColor="accent3"/>
        </w:rPr>
        <w:t>4</w:t>
      </w:r>
      <w:r w:rsidR="00393BF5">
        <w:t xml:space="preserve">). </w:t>
      </w:r>
      <w:r w:rsidR="005775C2">
        <w:t xml:space="preserve">Au sens large, les actifs de retraite sont nombreux et peuvent prendre plusieurs formes si l'on considère que chaque dollar consenti aujourd'hui à un actif </w:t>
      </w:r>
      <w:r w:rsidR="00AD2A16">
        <w:t>(</w:t>
      </w:r>
      <w:r w:rsidR="005775C2">
        <w:t>porté à croitre pour générer des bénéfices futurs</w:t>
      </w:r>
      <w:r w:rsidR="00AD2A16">
        <w:t>)</w:t>
      </w:r>
      <w:r w:rsidR="005775C2">
        <w:t xml:space="preserve"> constitue un geste d'épargne retraite. </w:t>
      </w:r>
      <w:r w:rsidR="00AB09CC">
        <w:t>Ces actifs de retraite  peuvent donc prendre des formes plus conventionnelles comme le REÉR, le CÉLI ou le REÉÉ. L'immobilier, voire la résidence principale et secondaire (</w:t>
      </w:r>
      <w:r w:rsidR="00F02186">
        <w:t xml:space="preserve">à cet effet, </w:t>
      </w:r>
      <w:r w:rsidR="00AB09CC">
        <w:t xml:space="preserve">d'importantes mises </w:t>
      </w:r>
      <w:r w:rsidR="00AB09CC">
        <w:lastRenderedPageBreak/>
        <w:t>en garde seront apportées</w:t>
      </w:r>
      <w:r w:rsidR="00F02186">
        <w:t xml:space="preserve"> au </w:t>
      </w:r>
      <w:r w:rsidR="00F02186" w:rsidRPr="00F02186">
        <w:rPr>
          <w:color w:val="008000"/>
        </w:rPr>
        <w:t>SUJET 8</w:t>
      </w:r>
      <w:r w:rsidR="00F02186">
        <w:t xml:space="preserve"> traitant de l'habitation), les immeubles locatifs peuvent </w:t>
      </w:r>
      <w:r w:rsidR="00171E05">
        <w:t xml:space="preserve">aussi </w:t>
      </w:r>
      <w:r w:rsidR="00F02186">
        <w:t xml:space="preserve">être </w:t>
      </w:r>
      <w:r w:rsidR="00BA257F">
        <w:t>considérés</w:t>
      </w:r>
      <w:r w:rsidR="00F02186">
        <w:t xml:space="preserve"> comme des actifs de retraite s'ils se matérialisent sous une forme de revenus ou de recettes au moment de la retraite. Le même raisonnement peut s'appliquer à l'entrepreneur qui investit temps et argent dans son entreprise</w:t>
      </w:r>
      <w:r w:rsidR="00171E05">
        <w:t xml:space="preserve"> (</w:t>
      </w:r>
      <w:r w:rsidR="00171E05" w:rsidRPr="00171E05">
        <w:rPr>
          <w:color w:val="008000"/>
        </w:rPr>
        <w:t>SUJET 13</w:t>
      </w:r>
      <w:r w:rsidR="00171E05">
        <w:t>)</w:t>
      </w:r>
      <w:r w:rsidR="00F02186">
        <w:t>. D'autres produits sont plus spécialisés, comme l'assurance-vie universelle</w:t>
      </w:r>
      <w:r w:rsidR="00171E05">
        <w:t xml:space="preserve"> (</w:t>
      </w:r>
      <w:r w:rsidR="00171E05" w:rsidRPr="00171E05">
        <w:rPr>
          <w:color w:val="008000"/>
        </w:rPr>
        <w:t>SUJET 11</w:t>
      </w:r>
      <w:r w:rsidR="00171E05">
        <w:t>)</w:t>
      </w:r>
      <w:r w:rsidR="00F02186">
        <w:t xml:space="preserve">, </w:t>
      </w:r>
      <w:r w:rsidR="00171E05">
        <w:t xml:space="preserve">et </w:t>
      </w:r>
      <w:r w:rsidR="00F02186">
        <w:t>exige</w:t>
      </w:r>
      <w:r w:rsidR="00171E05">
        <w:t>nt</w:t>
      </w:r>
      <w:r w:rsidR="00F02186">
        <w:t xml:space="preserve"> que l'individu possède une bonne compréhension de ce que de tels investissements comportent en terme de bénéfices, contraintes et risques.</w:t>
      </w:r>
      <w:r w:rsidR="00C71D9B">
        <w:t xml:space="preserve"> Toutes </w:t>
      </w:r>
      <w:r w:rsidR="00F71145">
        <w:t>ces</w:t>
      </w:r>
      <w:r w:rsidR="00C71D9B">
        <w:t xml:space="preserve"> avenues ne sont pas accessibles de la même façon </w:t>
      </w:r>
      <w:r w:rsidR="00F71145">
        <w:t>à</w:t>
      </w:r>
      <w:r w:rsidR="00C71D9B">
        <w:t xml:space="preserve"> l'ensemble de la population.</w:t>
      </w:r>
      <w:r w:rsidR="00D7684B">
        <w:t xml:space="preserve"> Aussi, ell</w:t>
      </w:r>
      <w:r w:rsidR="00C71D9B">
        <w:t xml:space="preserve">es ne comportent pas </w:t>
      </w:r>
      <w:r w:rsidR="00D7684B">
        <w:t xml:space="preserve">toutes le même niveau d'engagement en terme de temps que l'on doit y consacrer. Finalement, </w:t>
      </w:r>
      <w:r w:rsidR="00C71D9B">
        <w:t>le risque financier qu'il convient d'associer à ces différents cheminement</w:t>
      </w:r>
      <w:r w:rsidR="00D7684B">
        <w:t>s</w:t>
      </w:r>
      <w:r w:rsidR="00C71D9B">
        <w:t xml:space="preserve"> n</w:t>
      </w:r>
      <w:r w:rsidR="00D7684B">
        <w:t>'est</w:t>
      </w:r>
      <w:r w:rsidR="00C71D9B">
        <w:t xml:space="preserve"> pas de la même ampleur</w:t>
      </w:r>
      <w:r w:rsidR="00D7684B">
        <w:t xml:space="preserve">. Pour l'instant, notre ouvrage privilégiera l'étude du REÉR, du CÉLI et du REÉÉ, et dans la </w:t>
      </w:r>
      <w:r w:rsidR="00D7684B" w:rsidRPr="00A35E3A">
        <w:t>PARTIE 5</w:t>
      </w:r>
      <w:r w:rsidR="00D7684B">
        <w:t>, la gestion de la dette (parce que</w:t>
      </w:r>
      <w:r w:rsidR="002E7384">
        <w:t>,</w:t>
      </w:r>
      <w:r w:rsidR="00D7684B">
        <w:t xml:space="preserve"> parfois</w:t>
      </w:r>
      <w:r w:rsidR="002E7384">
        <w:t>,</w:t>
      </w:r>
      <w:r w:rsidR="00D7684B">
        <w:t xml:space="preserve"> le meilleur placement est le remboursement d'une dette!)</w:t>
      </w:r>
      <w:r w:rsidR="002E7384">
        <w:t>.</w:t>
      </w:r>
      <w:r w:rsidR="00D7684B">
        <w:t xml:space="preserve"> </w:t>
      </w:r>
    </w:p>
    <w:p w14:paraId="3D979FFD" w14:textId="35336C81" w:rsidR="00F93B86" w:rsidRDefault="00F02186" w:rsidP="007033BE">
      <w:pPr>
        <w:jc w:val="both"/>
      </w:pPr>
      <w:r>
        <w:t xml:space="preserve"> </w:t>
      </w:r>
    </w:p>
    <w:p w14:paraId="757B84ED" w14:textId="48876A7B" w:rsidR="007033BE" w:rsidRPr="004112A3" w:rsidRDefault="007033BE" w:rsidP="007033BE">
      <w:pPr>
        <w:jc w:val="both"/>
      </w:pPr>
      <w:r w:rsidRPr="004112A3">
        <w:t>Le</w:t>
      </w:r>
      <w:r w:rsidR="009900FA" w:rsidRPr="004112A3">
        <w:t>s</w:t>
      </w:r>
      <w:r w:rsidRPr="004112A3">
        <w:t xml:space="preserve"> </w:t>
      </w:r>
      <w:r w:rsidRPr="004112A3">
        <w:rPr>
          <w:color w:val="FF6700" w:themeColor="accent3"/>
        </w:rPr>
        <w:t>CONCEPT</w:t>
      </w:r>
      <w:r w:rsidR="009900FA" w:rsidRPr="004112A3">
        <w:rPr>
          <w:color w:val="FF6700" w:themeColor="accent3"/>
        </w:rPr>
        <w:t>S</w:t>
      </w:r>
      <w:r w:rsidRPr="004112A3">
        <w:rPr>
          <w:color w:val="FF6700" w:themeColor="accent3"/>
        </w:rPr>
        <w:t xml:space="preserve"> FISCA</w:t>
      </w:r>
      <w:r w:rsidR="009900FA" w:rsidRPr="004112A3">
        <w:rPr>
          <w:color w:val="FF6700" w:themeColor="accent3"/>
        </w:rPr>
        <w:t>UX</w:t>
      </w:r>
      <w:r w:rsidRPr="004112A3">
        <w:t xml:space="preserve"> de base associé</w:t>
      </w:r>
      <w:r w:rsidR="009900FA" w:rsidRPr="004112A3">
        <w:t>s aux REÉR, CÉLI et REÉÉ</w:t>
      </w:r>
      <w:r w:rsidR="00214D9B" w:rsidRPr="004112A3">
        <w:t xml:space="preserve"> (Est-ce que les cotisations sont déductibles ? </w:t>
      </w:r>
      <w:r w:rsidR="00BA257F">
        <w:t>Comment</w:t>
      </w:r>
      <w:r w:rsidR="00214D9B" w:rsidRPr="004112A3">
        <w:t xml:space="preserve"> s'imposent les retraits ? Quelles sont les limites applicables ? </w:t>
      </w:r>
      <w:proofErr w:type="gramStart"/>
      <w:r w:rsidR="00214D9B" w:rsidRPr="004112A3">
        <w:t>etc</w:t>
      </w:r>
      <w:proofErr w:type="gramEnd"/>
      <w:r w:rsidR="00214D9B" w:rsidRPr="004112A3">
        <w:t>.)</w:t>
      </w:r>
      <w:r w:rsidR="009900FA" w:rsidRPr="004112A3">
        <w:t xml:space="preserve"> </w:t>
      </w:r>
      <w:proofErr w:type="gramStart"/>
      <w:r w:rsidR="009900FA" w:rsidRPr="004112A3">
        <w:t>ne</w:t>
      </w:r>
      <w:proofErr w:type="gramEnd"/>
      <w:r w:rsidR="00FA573E">
        <w:t xml:space="preserve"> </w:t>
      </w:r>
      <w:r w:rsidR="009900FA" w:rsidRPr="004112A3">
        <w:t>seront pas présentés en détail dans le présent ouvrage. Nous mettrons l'</w:t>
      </w:r>
      <w:r w:rsidR="00BA257F">
        <w:t>accent</w:t>
      </w:r>
      <w:r w:rsidR="009900FA" w:rsidRPr="004112A3">
        <w:t xml:space="preserve"> sur le volet de la planification et de l'optimisation de ces trois véhicules de placements. Pour mieux saisir les nuances des concepts qui vous seront </w:t>
      </w:r>
      <w:r w:rsidR="00BA257F">
        <w:t>présentés,</w:t>
      </w:r>
      <w:r w:rsidR="009900FA" w:rsidRPr="004112A3">
        <w:t xml:space="preserve"> il est fondamental que vous maîtrisiez les r</w:t>
      </w:r>
      <w:r w:rsidR="00CC463A" w:rsidRPr="004112A3">
        <w:t>è</w:t>
      </w:r>
      <w:r w:rsidR="009900FA" w:rsidRPr="004112A3">
        <w:t>gles de conformité fiscales</w:t>
      </w:r>
      <w:r w:rsidR="00214D9B" w:rsidRPr="004112A3">
        <w:t>.</w:t>
      </w:r>
    </w:p>
    <w:p w14:paraId="1EA777ED" w14:textId="77777777" w:rsidR="007033BE" w:rsidRDefault="007033BE" w:rsidP="007033BE">
      <w:pPr>
        <w:jc w:val="both"/>
      </w:pPr>
    </w:p>
    <w:p w14:paraId="19B09472" w14:textId="5C529110" w:rsidR="007033BE" w:rsidRDefault="007033BE" w:rsidP="007033BE">
      <w:pPr>
        <w:jc w:val="both"/>
      </w:pPr>
      <w:r>
        <w:t>Pour revisiter</w:t>
      </w:r>
      <w:r w:rsidR="004112A3">
        <w:t>, au besoin,</w:t>
      </w:r>
      <w:r>
        <w:t xml:space="preserve"> les notions fiscales relativement aux </w:t>
      </w:r>
      <w:r w:rsidR="00214D9B">
        <w:t>REÉR, CÉLI et REÉÉ</w:t>
      </w:r>
      <w:r>
        <w:t xml:space="preserve">, veuillez consulter </w:t>
      </w:r>
      <w:r w:rsidR="002D21F6">
        <w:t>les capsules vidéo suivantes:</w:t>
      </w:r>
    </w:p>
    <w:p w14:paraId="23390050" w14:textId="77777777" w:rsidR="002C36E8" w:rsidRDefault="002C36E8" w:rsidP="007033BE">
      <w:pPr>
        <w:jc w:val="both"/>
      </w:pPr>
    </w:p>
    <w:p w14:paraId="28DFE852" w14:textId="77777777" w:rsidR="002C36E8" w:rsidRDefault="002C36E8" w:rsidP="002C36E8">
      <w:pPr>
        <w:jc w:val="both"/>
      </w:pPr>
      <w:r>
        <w:rPr>
          <w:noProof/>
          <w:lang w:eastAsia="fr-FR"/>
        </w:rPr>
        <w:drawing>
          <wp:anchor distT="0" distB="0" distL="114300" distR="114300" simplePos="0" relativeHeight="252429312" behindDoc="0" locked="0" layoutInCell="1" allowOverlap="1" wp14:anchorId="6D934832" wp14:editId="0BC4BDDF">
            <wp:simplePos x="0" y="0"/>
            <wp:positionH relativeFrom="column">
              <wp:posOffset>4114800</wp:posOffset>
            </wp:positionH>
            <wp:positionV relativeFrom="paragraph">
              <wp:posOffset>33020</wp:posOffset>
            </wp:positionV>
            <wp:extent cx="579120" cy="571500"/>
            <wp:effectExtent l="0" t="0" r="5080" b="12700"/>
            <wp:wrapNone/>
            <wp:docPr id="382" name="Image 382">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A408BAC" w14:textId="1C5F36C4" w:rsidR="002C36E8" w:rsidRPr="00E85B6A" w:rsidRDefault="00573C95" w:rsidP="002C36E8">
      <w:pPr>
        <w:jc w:val="both"/>
        <w:rPr>
          <w:color w:val="AF0013"/>
        </w:rPr>
      </w:pPr>
      <w:hyperlink r:id="rId113" w:history="1">
        <w:r w:rsidR="002C36E8" w:rsidRPr="00E85B6A">
          <w:rPr>
            <w:rStyle w:val="Lienhypertexte"/>
            <w:color w:val="AF0013"/>
          </w:rPr>
          <w:t>Capsule 7-6 Les règles fiscales de base REÉR</w:t>
        </w:r>
      </w:hyperlink>
    </w:p>
    <w:p w14:paraId="093B1FB4" w14:textId="77777777" w:rsidR="002C36E8" w:rsidRDefault="002C36E8" w:rsidP="002C36E8">
      <w:pPr>
        <w:jc w:val="both"/>
      </w:pPr>
    </w:p>
    <w:p w14:paraId="3C3BE42E" w14:textId="77777777" w:rsidR="002C36E8" w:rsidRDefault="002C36E8" w:rsidP="002C36E8">
      <w:pPr>
        <w:jc w:val="both"/>
      </w:pPr>
    </w:p>
    <w:p w14:paraId="60AD7D7E" w14:textId="77777777" w:rsidR="002C36E8" w:rsidRDefault="002C36E8" w:rsidP="002C36E8">
      <w:pPr>
        <w:jc w:val="both"/>
      </w:pPr>
    </w:p>
    <w:p w14:paraId="33B4023A" w14:textId="77777777" w:rsidR="002C36E8" w:rsidRPr="00E85B6A" w:rsidRDefault="002C36E8" w:rsidP="002C36E8">
      <w:pPr>
        <w:jc w:val="both"/>
        <w:rPr>
          <w:color w:val="AF0013"/>
        </w:rPr>
      </w:pPr>
      <w:r>
        <w:rPr>
          <w:noProof/>
          <w:lang w:eastAsia="fr-FR"/>
        </w:rPr>
        <w:drawing>
          <wp:anchor distT="0" distB="0" distL="114300" distR="114300" simplePos="0" relativeHeight="252431360" behindDoc="0" locked="0" layoutInCell="1" allowOverlap="1" wp14:anchorId="158E5DCF" wp14:editId="308C26E0">
            <wp:simplePos x="0" y="0"/>
            <wp:positionH relativeFrom="column">
              <wp:posOffset>4114800</wp:posOffset>
            </wp:positionH>
            <wp:positionV relativeFrom="paragraph">
              <wp:posOffset>33020</wp:posOffset>
            </wp:positionV>
            <wp:extent cx="579120" cy="571500"/>
            <wp:effectExtent l="0" t="0" r="5080" b="12700"/>
            <wp:wrapNone/>
            <wp:docPr id="383" name="Image 383">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C6424A" w14:textId="68556EE5" w:rsidR="002C36E8" w:rsidRPr="00E85B6A" w:rsidRDefault="00573C95" w:rsidP="002C36E8">
      <w:pPr>
        <w:jc w:val="both"/>
        <w:rPr>
          <w:color w:val="AF0013"/>
        </w:rPr>
      </w:pPr>
      <w:hyperlink r:id="rId115" w:history="1">
        <w:r w:rsidR="002C36E8" w:rsidRPr="00E85B6A">
          <w:rPr>
            <w:rStyle w:val="Lienhypertexte"/>
            <w:color w:val="AF0013"/>
          </w:rPr>
          <w:t>Capsule 7-7 Les règles fiscales de base REÉÉ et CÉLI</w:t>
        </w:r>
      </w:hyperlink>
    </w:p>
    <w:p w14:paraId="1FE9D4D8" w14:textId="77777777" w:rsidR="002C36E8" w:rsidRDefault="002C36E8" w:rsidP="002C36E8">
      <w:pPr>
        <w:jc w:val="both"/>
      </w:pPr>
    </w:p>
    <w:p w14:paraId="689732A4" w14:textId="77777777" w:rsidR="002C36E8" w:rsidRDefault="002C36E8" w:rsidP="002C36E8">
      <w:pPr>
        <w:jc w:val="both"/>
      </w:pPr>
    </w:p>
    <w:p w14:paraId="0B7EA50F" w14:textId="77777777" w:rsidR="002C36E8" w:rsidRDefault="002C36E8" w:rsidP="002C36E8">
      <w:pPr>
        <w:jc w:val="both"/>
      </w:pPr>
    </w:p>
    <w:p w14:paraId="56C24E8F" w14:textId="5364C800" w:rsidR="005A52D1" w:rsidRDefault="005A52D1" w:rsidP="005A52D1">
      <w:pPr>
        <w:pStyle w:val="Titre2"/>
      </w:pPr>
      <w:bookmarkStart w:id="86" w:name="_Toc314397850"/>
      <w:bookmarkStart w:id="87" w:name="_Toc443569394"/>
      <w:r>
        <w:lastRenderedPageBreak/>
        <w:t>Le REÉR</w:t>
      </w:r>
      <w:bookmarkEnd w:id="86"/>
      <w:bookmarkEnd w:id="87"/>
    </w:p>
    <w:p w14:paraId="6E8A1FD4" w14:textId="77777777" w:rsidR="00D20B15" w:rsidRDefault="00D20B15" w:rsidP="00D20B15"/>
    <w:p w14:paraId="7B2FF3DD" w14:textId="77A97A23" w:rsidR="006C289F" w:rsidRDefault="00D20B15" w:rsidP="00FC154B">
      <w:pPr>
        <w:jc w:val="both"/>
      </w:pPr>
      <w:r>
        <w:t xml:space="preserve">Le REÉR est le véhicule fiscal d'épargne de prédilection de l'ensemble de </w:t>
      </w:r>
      <w:r w:rsidR="00FC154B">
        <w:t xml:space="preserve">la </w:t>
      </w:r>
      <w:r>
        <w:t xml:space="preserve">population canadienne. C'est un outil </w:t>
      </w:r>
      <w:r w:rsidR="00FC154B">
        <w:t xml:space="preserve"> </w:t>
      </w:r>
      <w:r w:rsidR="006C289F">
        <w:t xml:space="preserve">en apparence </w:t>
      </w:r>
      <w:r>
        <w:t>simple, souple</w:t>
      </w:r>
      <w:r w:rsidR="006C289F">
        <w:t>,</w:t>
      </w:r>
      <w:r>
        <w:t xml:space="preserve"> qui sert d'abri fiscal </w:t>
      </w:r>
      <w:r w:rsidR="00FC154B">
        <w:t xml:space="preserve">pour la majorité d'épargnants qui doivent se constituer leur propre épargne retraite. Cette unanimité, en partie </w:t>
      </w:r>
      <w:r w:rsidR="00BA257F">
        <w:t>méritée</w:t>
      </w:r>
      <w:r w:rsidR="00FC154B">
        <w:t>, est aussi causée par l'impressionnant déploiement médiatique mis en place par les institutions financières et l'industrie des finances personnelles. Ceux-ci veulent notre bien et nos biens</w:t>
      </w:r>
      <w:r w:rsidR="006C289F">
        <w:t>!</w:t>
      </w:r>
      <w:r w:rsidR="00FC154B">
        <w:t xml:space="preserve"> La délimitation entre ceux qui conseillent en matière de retraite et ceux qui "vendent" des produits financiers n'est pas toujours adéquate.</w:t>
      </w:r>
      <w:r w:rsidR="006C289F">
        <w:t xml:space="preserve"> À cet effet, notre </w:t>
      </w:r>
      <w:r w:rsidR="00FC154B">
        <w:t>mise en garde</w:t>
      </w:r>
      <w:r w:rsidR="006C289F">
        <w:t xml:space="preserve"> vise à susciter </w:t>
      </w:r>
      <w:r w:rsidR="00F71145">
        <w:t>l'e</w:t>
      </w:r>
      <w:r w:rsidR="006C289F">
        <w:t xml:space="preserve">sprit critique afin </w:t>
      </w:r>
      <w:r w:rsidR="00F71145">
        <w:t>d'être en mesure de bien évaluer</w:t>
      </w:r>
      <w:r w:rsidR="006C289F">
        <w:t xml:space="preserve"> si le REÉR est, dans </w:t>
      </w:r>
      <w:r w:rsidR="00F71145">
        <w:t>une</w:t>
      </w:r>
      <w:r w:rsidR="006C289F">
        <w:t xml:space="preserve"> situation </w:t>
      </w:r>
      <w:r w:rsidR="00F71145">
        <w:t>donnée,</w:t>
      </w:r>
      <w:r w:rsidR="006C289F">
        <w:t xml:space="preserve"> la meilleure stratégie de placement à adopter. Le REÉR est certes un bon outil, mais il demande de distinguer les contextes et les objectifs qui sont propres à </w:t>
      </w:r>
      <w:r w:rsidR="00F71145">
        <w:t>chacun</w:t>
      </w:r>
      <w:r w:rsidR="006C289F">
        <w:t>. À ce stade-ci, l</w:t>
      </w:r>
      <w:r w:rsidR="0093380E">
        <w:t>e but visé par</w:t>
      </w:r>
      <w:r w:rsidR="006C289F">
        <w:t xml:space="preserve"> notre ouvrage sera de  présenter les nuances et les principes d'optimisation afin de </w:t>
      </w:r>
      <w:r w:rsidR="00F71145">
        <w:t>d'</w:t>
      </w:r>
      <w:r w:rsidR="0093380E">
        <w:t>assister</w:t>
      </w:r>
      <w:r w:rsidR="00F71145">
        <w:t xml:space="preserve"> </w:t>
      </w:r>
      <w:r w:rsidR="0093380E">
        <w:t>la prise de</w:t>
      </w:r>
      <w:r w:rsidR="006C289F">
        <w:t xml:space="preserve"> décisions l</w:t>
      </w:r>
      <w:r w:rsidR="0093380E">
        <w:t>a</w:t>
      </w:r>
      <w:r w:rsidR="006C289F">
        <w:t xml:space="preserve"> p</w:t>
      </w:r>
      <w:r w:rsidR="0093380E">
        <w:t>l</w:t>
      </w:r>
      <w:r w:rsidR="006C289F">
        <w:t xml:space="preserve">us éclairée possible. </w:t>
      </w:r>
    </w:p>
    <w:p w14:paraId="19B2050D" w14:textId="77777777" w:rsidR="006C289F" w:rsidRDefault="006C289F" w:rsidP="00FC154B">
      <w:pPr>
        <w:jc w:val="both"/>
      </w:pPr>
    </w:p>
    <w:p w14:paraId="43F3F08A" w14:textId="7386EAF4" w:rsidR="00D20B15" w:rsidRPr="00D20B15" w:rsidRDefault="00FC154B" w:rsidP="00FC154B">
      <w:pPr>
        <w:jc w:val="both"/>
      </w:pPr>
      <w:r>
        <w:t xml:space="preserve"> </w:t>
      </w:r>
      <w:r w:rsidR="0093380E">
        <w:t xml:space="preserve">Nous aborderons le REÉR en gardant en tête qu'il existe pour la majorité des </w:t>
      </w:r>
      <w:r w:rsidR="00BA257F">
        <w:t>contribuables</w:t>
      </w:r>
      <w:r w:rsidR="0093380E">
        <w:t xml:space="preserve"> plusieurs</w:t>
      </w:r>
      <w:r w:rsidR="00BA257F">
        <w:t xml:space="preserve"> options po</w:t>
      </w:r>
      <w:r w:rsidR="0093380E">
        <w:t xml:space="preserve">ssibles afin de loger l'épargne (CÉLI, REÉÉ, Remboursement d'une dette). Il y aura forcément des discussions qui porteront sur la priorisation à donner à nos élans d'épargnant. </w:t>
      </w:r>
    </w:p>
    <w:p w14:paraId="774CABB9" w14:textId="77777777" w:rsidR="005A52D1" w:rsidRDefault="005A52D1" w:rsidP="00FC154B">
      <w:pPr>
        <w:jc w:val="both"/>
      </w:pPr>
    </w:p>
    <w:p w14:paraId="6E87CA37" w14:textId="4E0ED7EF" w:rsidR="0093380E" w:rsidRDefault="00BD543B" w:rsidP="006C34CF">
      <w:pPr>
        <w:pStyle w:val="Titre3"/>
        <w:numPr>
          <w:ilvl w:val="2"/>
          <w:numId w:val="128"/>
        </w:numPr>
      </w:pPr>
      <w:bookmarkStart w:id="88" w:name="_Toc314397851"/>
      <w:bookmarkStart w:id="89" w:name="_Toc443569395"/>
      <w:r>
        <w:t>Les principes à respecter au moment de cotiser</w:t>
      </w:r>
      <w:bookmarkEnd w:id="88"/>
      <w:bookmarkEnd w:id="89"/>
    </w:p>
    <w:p w14:paraId="73C8B2EC" w14:textId="77777777" w:rsidR="00026D52" w:rsidRDefault="00026D52" w:rsidP="00026D52"/>
    <w:p w14:paraId="51C9A606" w14:textId="551D40A8" w:rsidR="0046002C" w:rsidRDefault="0046002C" w:rsidP="0046002C">
      <w:pPr>
        <w:jc w:val="both"/>
      </w:pPr>
      <w:r>
        <w:t>Nul ne saurait être contre la vertu et la question de savoir si nous devrions cotiser  ou pas à notre REÉR ne doit pas être interprétée comme</w:t>
      </w:r>
      <w:r w:rsidR="005C360C">
        <w:t xml:space="preserve"> </w:t>
      </w:r>
      <w:r>
        <w:t xml:space="preserve">étant le surgissement d'un doute  sur le </w:t>
      </w:r>
      <w:r w:rsidR="00BA257F">
        <w:t>bien-fondé</w:t>
      </w:r>
      <w:r>
        <w:t xml:space="preserve"> de se doter d'une discipline propre à l'épargne. Il est désolant d'entendre, parfois,  des gens remettent en question leurs efforts consentis à cotiser dans un REÉR parce que les rendements sont présentement faibles. Nous cherchons plutôt </w:t>
      </w:r>
      <w:r w:rsidR="005C360C">
        <w:t xml:space="preserve">à </w:t>
      </w:r>
      <w:r>
        <w:t xml:space="preserve">établir les principes et les contextes </w:t>
      </w:r>
      <w:r w:rsidR="009347B7">
        <w:t xml:space="preserve">pour lesquels </w:t>
      </w:r>
      <w:r>
        <w:t>l'épargne à même le REÉR constitue la mei</w:t>
      </w:r>
      <w:r w:rsidR="009347B7">
        <w:t>lleure des stratégies</w:t>
      </w:r>
      <w:r w:rsidR="005C360C">
        <w:t xml:space="preserve"> parmi d'autres </w:t>
      </w:r>
      <w:r w:rsidR="00BA257F">
        <w:t>options</w:t>
      </w:r>
      <w:r w:rsidR="00C47C5E">
        <w:t xml:space="preserve"> (CÉLI, REÉR, remboursement d'une dette)</w:t>
      </w:r>
      <w:r w:rsidR="009347B7">
        <w:t>.</w:t>
      </w:r>
    </w:p>
    <w:p w14:paraId="215820DE" w14:textId="77777777" w:rsidR="005C360C" w:rsidRDefault="005C360C" w:rsidP="0046002C">
      <w:pPr>
        <w:jc w:val="both"/>
      </w:pPr>
    </w:p>
    <w:p w14:paraId="67852042" w14:textId="77777777" w:rsidR="005C360C" w:rsidRDefault="005C360C" w:rsidP="0046002C">
      <w:pPr>
        <w:jc w:val="both"/>
      </w:pPr>
    </w:p>
    <w:p w14:paraId="3D357C12" w14:textId="77777777" w:rsidR="005C360C" w:rsidRDefault="005C360C" w:rsidP="0046002C">
      <w:pPr>
        <w:jc w:val="both"/>
      </w:pPr>
    </w:p>
    <w:p w14:paraId="75850CE1" w14:textId="72B73C17" w:rsidR="00026D52" w:rsidRDefault="004D3B30" w:rsidP="006C34CF">
      <w:pPr>
        <w:pStyle w:val="Titre4"/>
        <w:numPr>
          <w:ilvl w:val="3"/>
          <w:numId w:val="54"/>
        </w:numPr>
      </w:pPr>
      <w:bookmarkStart w:id="90" w:name="_Toc314397852"/>
      <w:bookmarkStart w:id="91" w:name="_Toc443569396"/>
      <w:r>
        <w:lastRenderedPageBreak/>
        <w:t>Devrais-je cotiser à mon REÉR ?</w:t>
      </w:r>
      <w:bookmarkEnd w:id="90"/>
      <w:bookmarkEnd w:id="91"/>
    </w:p>
    <w:p w14:paraId="34722876" w14:textId="77777777" w:rsidR="004D3B30" w:rsidRDefault="004D3B30" w:rsidP="004D3B30"/>
    <w:p w14:paraId="30198DF4" w14:textId="1F56B7E5" w:rsidR="00317E25" w:rsidRDefault="00317E25" w:rsidP="00CE79B8">
      <w:pPr>
        <w:jc w:val="both"/>
      </w:pPr>
      <w:r>
        <w:t>La question</w:t>
      </w:r>
      <w:r w:rsidR="00AF064F">
        <w:t xml:space="preserve"> de savoir si nous devrions cotiser à notre REÉR s'analyse principalement en fonction de deux volets, la fiscalité et la finance.</w:t>
      </w:r>
      <w:r w:rsidR="00CE79B8">
        <w:t xml:space="preserve"> L'aspect </w:t>
      </w:r>
      <w:r w:rsidR="006B2846" w:rsidRPr="006B2846">
        <w:rPr>
          <w:color w:val="FF6700" w:themeColor="accent3"/>
        </w:rPr>
        <w:t>FINANCIER</w:t>
      </w:r>
      <w:r w:rsidR="00CE79B8">
        <w:t xml:space="preserve"> est somme toute </w:t>
      </w:r>
      <w:r w:rsidR="00454AA2">
        <w:t>simple</w:t>
      </w:r>
      <w:r w:rsidR="00CE79B8">
        <w:t xml:space="preserve"> à identifier et vise à comparer les rendements qu'offrent les différentes options de placement. Ultimement, il s'agit de comparer les taux de rendement de nos placements et le coût de nos dettes pour établir la stratégie qui est financièrement avantageuse. Nous porterons une attention à la dimension financière tout au long de notre parcours d'apprentissage, notamment à la </w:t>
      </w:r>
      <w:r w:rsidR="00BF3EF3">
        <w:rPr>
          <w:color w:val="008000"/>
        </w:rPr>
        <w:t>PARTIE</w:t>
      </w:r>
      <w:r w:rsidR="00CE79B8" w:rsidRPr="006B2846">
        <w:rPr>
          <w:color w:val="008000"/>
        </w:rPr>
        <w:t xml:space="preserve"> </w:t>
      </w:r>
      <w:r w:rsidR="006B2846" w:rsidRPr="006B2846">
        <w:rPr>
          <w:color w:val="008000"/>
        </w:rPr>
        <w:t>5</w:t>
      </w:r>
      <w:r w:rsidR="00CE79B8">
        <w:t xml:space="preserve"> qui porte</w:t>
      </w:r>
      <w:r w:rsidR="006B2846">
        <w:t>ra</w:t>
      </w:r>
      <w:r w:rsidR="00CE79B8">
        <w:t xml:space="preserve"> sur la gestion de la dette</w:t>
      </w:r>
      <w:r w:rsidR="006B2846">
        <w:t xml:space="preserve"> et à la </w:t>
      </w:r>
      <w:r w:rsidR="00BF3EF3">
        <w:rPr>
          <w:color w:val="008000"/>
        </w:rPr>
        <w:t>PARTIE</w:t>
      </w:r>
      <w:r w:rsidR="006B2846" w:rsidRPr="006B2846">
        <w:rPr>
          <w:color w:val="008000"/>
        </w:rPr>
        <w:t xml:space="preserve"> 6</w:t>
      </w:r>
      <w:r w:rsidR="006B2846">
        <w:t xml:space="preserve"> qui traitera des placements, </w:t>
      </w:r>
      <w:r w:rsidR="0098775D">
        <w:t xml:space="preserve">des </w:t>
      </w:r>
      <w:r w:rsidR="006B2846">
        <w:t xml:space="preserve">rendements et </w:t>
      </w:r>
      <w:r w:rsidR="0098775D">
        <w:t xml:space="preserve">du </w:t>
      </w:r>
      <w:r w:rsidR="006B2846">
        <w:t>risque</w:t>
      </w:r>
      <w:r w:rsidR="00CE79B8">
        <w:t>.</w:t>
      </w:r>
    </w:p>
    <w:p w14:paraId="2C688A43" w14:textId="77777777" w:rsidR="00AF064F" w:rsidRDefault="00AF064F" w:rsidP="004D3B30"/>
    <w:p w14:paraId="418D07D4" w14:textId="7A8B42BA" w:rsidR="00AF064F" w:rsidRDefault="00AF064F" w:rsidP="00AF064F">
      <w:pPr>
        <w:jc w:val="both"/>
        <w:rPr>
          <w:color w:val="000000" w:themeColor="text1"/>
        </w:rPr>
      </w:pPr>
      <w:r>
        <w:t xml:space="preserve">Au niveau </w:t>
      </w:r>
      <w:r>
        <w:rPr>
          <w:color w:val="FF6700" w:themeColor="accent3"/>
        </w:rPr>
        <w:t>FISCAL</w:t>
      </w:r>
      <w:r>
        <w:rPr>
          <w:color w:val="000000" w:themeColor="text1"/>
        </w:rPr>
        <w:t xml:space="preserve">, nous avons vu que l'avantage dégagé par une cotisation au REÉR se situe dans sa déductibilité du revenu net fiscal, dans l'opportunité de la faire fructifier à l'abri de l'impôt et </w:t>
      </w:r>
      <w:r w:rsidR="0098775D">
        <w:rPr>
          <w:color w:val="000000" w:themeColor="text1"/>
        </w:rPr>
        <w:t xml:space="preserve">dans </w:t>
      </w:r>
      <w:r>
        <w:rPr>
          <w:color w:val="000000" w:themeColor="text1"/>
        </w:rPr>
        <w:t>la possibilité de l'encaisser ultérieurement à un taux d'imposition plus faible (que le taux</w:t>
      </w:r>
      <w:r w:rsidR="00BC0DA7">
        <w:rPr>
          <w:color w:val="000000" w:themeColor="text1"/>
        </w:rPr>
        <w:t xml:space="preserve"> applicable</w:t>
      </w:r>
      <w:r>
        <w:rPr>
          <w:color w:val="000000" w:themeColor="text1"/>
        </w:rPr>
        <w:t xml:space="preserve"> au moment de la cotisation). </w:t>
      </w:r>
      <w:r w:rsidR="00BC0DA7">
        <w:rPr>
          <w:color w:val="000000" w:themeColor="text1"/>
        </w:rPr>
        <w:t xml:space="preserve">Il s'agit donc d'une mécanique de report d'impôt qui pourrait également comporter une portion </w:t>
      </w:r>
      <w:r w:rsidR="00BC0DA7" w:rsidRPr="00BC0DA7">
        <w:rPr>
          <w:color w:val="000000" w:themeColor="text1"/>
          <w:u w:val="single"/>
        </w:rPr>
        <w:t>d'économie ou de coût fisca</w:t>
      </w:r>
      <w:r w:rsidR="00BC0DA7">
        <w:rPr>
          <w:color w:val="000000" w:themeColor="text1"/>
        </w:rPr>
        <w:t xml:space="preserve">l. </w:t>
      </w:r>
    </w:p>
    <w:p w14:paraId="19AA4AFE" w14:textId="77777777" w:rsidR="00BC0DA7" w:rsidRDefault="00BC0DA7" w:rsidP="00AF064F">
      <w:pPr>
        <w:jc w:val="both"/>
        <w:rPr>
          <w:color w:val="000000" w:themeColor="text1"/>
        </w:rPr>
      </w:pPr>
    </w:p>
    <w:p w14:paraId="350BBA6E" w14:textId="51631BD8" w:rsidR="00BC0DA7" w:rsidRDefault="00BC0DA7" w:rsidP="00AF064F">
      <w:pPr>
        <w:jc w:val="both"/>
        <w:rPr>
          <w:color w:val="000000" w:themeColor="text1"/>
        </w:rPr>
      </w:pPr>
      <w:r>
        <w:rPr>
          <w:color w:val="000000" w:themeColor="text1"/>
        </w:rPr>
        <w:t xml:space="preserve">Pour illustrer l'opération, imaginons la trépidante </w:t>
      </w:r>
      <w:r w:rsidR="00C26E61">
        <w:rPr>
          <w:color w:val="000000" w:themeColor="text1"/>
        </w:rPr>
        <w:t>existence</w:t>
      </w:r>
      <w:r>
        <w:rPr>
          <w:color w:val="000000" w:themeColor="text1"/>
        </w:rPr>
        <w:t xml:space="preserve"> d'une cotisation de 10 000 $ </w:t>
      </w:r>
      <w:r w:rsidR="0098775D">
        <w:rPr>
          <w:color w:val="000000" w:themeColor="text1"/>
        </w:rPr>
        <w:t>dans un</w:t>
      </w:r>
      <w:r>
        <w:rPr>
          <w:color w:val="000000" w:themeColor="text1"/>
        </w:rPr>
        <w:t xml:space="preserve"> REÉR. Pour </w:t>
      </w:r>
      <w:r w:rsidR="000A20EE">
        <w:rPr>
          <w:color w:val="000000" w:themeColor="text1"/>
        </w:rPr>
        <w:t>bien expliquer</w:t>
      </w:r>
      <w:r>
        <w:rPr>
          <w:color w:val="000000" w:themeColor="text1"/>
        </w:rPr>
        <w:t xml:space="preserve"> l'enjeu</w:t>
      </w:r>
      <w:r w:rsidR="000A20EE">
        <w:rPr>
          <w:color w:val="000000" w:themeColor="text1"/>
        </w:rPr>
        <w:t xml:space="preserve"> fiscal</w:t>
      </w:r>
      <w:r>
        <w:rPr>
          <w:color w:val="000000" w:themeColor="text1"/>
        </w:rPr>
        <w:t xml:space="preserve">, nous modulerons </w:t>
      </w:r>
      <w:r w:rsidR="000A20EE">
        <w:rPr>
          <w:color w:val="000000" w:themeColor="text1"/>
        </w:rPr>
        <w:t xml:space="preserve">au fur et à mesure </w:t>
      </w:r>
      <w:r>
        <w:rPr>
          <w:color w:val="000000" w:themeColor="text1"/>
        </w:rPr>
        <w:t>les hypothèses utilisées:</w:t>
      </w:r>
    </w:p>
    <w:p w14:paraId="23A6B18D" w14:textId="77777777" w:rsidR="00443429" w:rsidRDefault="00443429" w:rsidP="00AF064F">
      <w:pPr>
        <w:jc w:val="both"/>
        <w:rPr>
          <w:color w:val="000000" w:themeColor="text1"/>
        </w:rPr>
      </w:pPr>
    </w:p>
    <w:p w14:paraId="4CF627EB" w14:textId="77777777" w:rsidR="00443429" w:rsidRDefault="00443429" w:rsidP="00AF064F">
      <w:pPr>
        <w:jc w:val="both"/>
        <w:rPr>
          <w:color w:val="000000" w:themeColor="text1"/>
        </w:rPr>
      </w:pPr>
    </w:p>
    <w:p w14:paraId="1A6636F8" w14:textId="77777777" w:rsidR="00443429" w:rsidRDefault="00443429" w:rsidP="00AF064F">
      <w:pPr>
        <w:jc w:val="both"/>
        <w:rPr>
          <w:color w:val="000000" w:themeColor="text1"/>
        </w:rPr>
      </w:pPr>
    </w:p>
    <w:p w14:paraId="5E577E57" w14:textId="77777777" w:rsidR="00443429" w:rsidRDefault="00443429" w:rsidP="00AF064F">
      <w:pPr>
        <w:jc w:val="both"/>
        <w:rPr>
          <w:color w:val="000000" w:themeColor="text1"/>
        </w:rPr>
      </w:pPr>
    </w:p>
    <w:p w14:paraId="5D96BCED" w14:textId="77777777" w:rsidR="00443429" w:rsidRDefault="00443429" w:rsidP="00AF064F">
      <w:pPr>
        <w:jc w:val="both"/>
        <w:rPr>
          <w:color w:val="000000" w:themeColor="text1"/>
        </w:rPr>
      </w:pPr>
    </w:p>
    <w:p w14:paraId="7ADAAA75" w14:textId="77777777" w:rsidR="00443429" w:rsidRDefault="00443429" w:rsidP="00AF064F">
      <w:pPr>
        <w:jc w:val="both"/>
        <w:rPr>
          <w:color w:val="000000" w:themeColor="text1"/>
        </w:rPr>
      </w:pPr>
    </w:p>
    <w:p w14:paraId="31CA4CF5" w14:textId="77777777" w:rsidR="00443429" w:rsidRDefault="00443429" w:rsidP="00AF064F">
      <w:pPr>
        <w:jc w:val="both"/>
        <w:rPr>
          <w:color w:val="000000" w:themeColor="text1"/>
        </w:rPr>
      </w:pPr>
    </w:p>
    <w:p w14:paraId="38F70F9F" w14:textId="77777777" w:rsidR="00443429" w:rsidRDefault="00443429" w:rsidP="00AF064F">
      <w:pPr>
        <w:jc w:val="both"/>
        <w:rPr>
          <w:color w:val="000000" w:themeColor="text1"/>
        </w:rPr>
      </w:pPr>
    </w:p>
    <w:p w14:paraId="791F1E93" w14:textId="77777777" w:rsidR="00443429" w:rsidRDefault="00443429" w:rsidP="00AF064F">
      <w:pPr>
        <w:jc w:val="both"/>
        <w:rPr>
          <w:color w:val="000000" w:themeColor="text1"/>
        </w:rPr>
      </w:pPr>
    </w:p>
    <w:p w14:paraId="39E4E91C" w14:textId="77777777" w:rsidR="00443429" w:rsidRDefault="00443429" w:rsidP="00AF064F">
      <w:pPr>
        <w:jc w:val="both"/>
        <w:rPr>
          <w:color w:val="000000" w:themeColor="text1"/>
        </w:rPr>
      </w:pPr>
    </w:p>
    <w:p w14:paraId="1DCFACD1" w14:textId="77777777" w:rsidR="00443429" w:rsidRDefault="00443429" w:rsidP="00AF064F">
      <w:pPr>
        <w:jc w:val="both"/>
        <w:rPr>
          <w:color w:val="000000" w:themeColor="text1"/>
        </w:rPr>
      </w:pPr>
    </w:p>
    <w:p w14:paraId="43259901" w14:textId="77777777" w:rsidR="00443429" w:rsidRDefault="00443429" w:rsidP="00AF064F">
      <w:pPr>
        <w:jc w:val="both"/>
        <w:rPr>
          <w:color w:val="000000" w:themeColor="text1"/>
        </w:rPr>
      </w:pPr>
    </w:p>
    <w:p w14:paraId="146B955B" w14:textId="77777777" w:rsidR="00443429" w:rsidRDefault="00443429" w:rsidP="00AF064F">
      <w:pPr>
        <w:jc w:val="both"/>
        <w:rPr>
          <w:color w:val="000000" w:themeColor="text1"/>
        </w:rPr>
      </w:pPr>
    </w:p>
    <w:p w14:paraId="7D191A9A" w14:textId="73C001C8" w:rsidR="00190FCD" w:rsidRDefault="00F27B04" w:rsidP="00AF064F">
      <w:pPr>
        <w:jc w:val="both"/>
        <w:rPr>
          <w:color w:val="000000" w:themeColor="text1"/>
          <w:u w:val="single"/>
        </w:rPr>
      </w:pPr>
      <w:r>
        <w:rPr>
          <w:color w:val="000000" w:themeColor="text1"/>
        </w:rPr>
        <w:lastRenderedPageBreak/>
        <w:t>Cas 1</w:t>
      </w:r>
      <w:r w:rsidR="001606B4">
        <w:rPr>
          <w:color w:val="000000" w:themeColor="text1"/>
        </w:rPr>
        <w:t xml:space="preserve"> </w:t>
      </w:r>
      <w:r>
        <w:rPr>
          <w:color w:val="000000" w:themeColor="text1"/>
        </w:rPr>
        <w:t xml:space="preserve">- </w:t>
      </w:r>
      <w:r w:rsidRPr="00F27B04">
        <w:rPr>
          <w:color w:val="000000" w:themeColor="text1"/>
          <w:u w:val="single"/>
        </w:rPr>
        <w:t>Vous gagnez présentement 175 000 $ et vous aurez besoin de 1</w:t>
      </w:r>
      <w:r w:rsidR="00EF652A">
        <w:rPr>
          <w:color w:val="000000" w:themeColor="text1"/>
          <w:u w:val="single"/>
        </w:rPr>
        <w:t>3</w:t>
      </w:r>
      <w:r w:rsidRPr="00F27B04">
        <w:rPr>
          <w:color w:val="000000" w:themeColor="text1"/>
          <w:u w:val="single"/>
        </w:rPr>
        <w:t xml:space="preserve">5 000 $ (en dollar d'aujourd'hui) à votre </w:t>
      </w:r>
      <w:r>
        <w:rPr>
          <w:color w:val="000000" w:themeColor="text1"/>
          <w:u w:val="single"/>
        </w:rPr>
        <w:t xml:space="preserve">   </w:t>
      </w:r>
      <w:r w:rsidR="00A43BC4">
        <w:rPr>
          <w:noProof/>
          <w:lang w:eastAsia="fr-FR"/>
        </w:rPr>
        <mc:AlternateContent>
          <mc:Choice Requires="wps">
            <w:drawing>
              <wp:anchor distT="0" distB="0" distL="114300" distR="114300" simplePos="0" relativeHeight="252448768" behindDoc="0" locked="0" layoutInCell="1" allowOverlap="1" wp14:anchorId="3ECB4390" wp14:editId="4DFF09F7">
                <wp:simplePos x="0" y="0"/>
                <wp:positionH relativeFrom="column">
                  <wp:posOffset>6172200</wp:posOffset>
                </wp:positionH>
                <wp:positionV relativeFrom="paragraph">
                  <wp:posOffset>1371600</wp:posOffset>
                </wp:positionV>
                <wp:extent cx="1143000" cy="1143000"/>
                <wp:effectExtent l="76200" t="76200" r="76200" b="76200"/>
                <wp:wrapNone/>
                <wp:docPr id="391" name="Ellipse 391"/>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8835DD9" w14:textId="5F2661ED" w:rsidR="00573C95" w:rsidRPr="00406605" w:rsidRDefault="00573C95" w:rsidP="00A43BC4">
                            <w:pPr>
                              <w:jc w:val="center"/>
                              <w:rPr>
                                <w:sz w:val="22"/>
                                <w:szCs w:val="22"/>
                              </w:rPr>
                            </w:pPr>
                            <w:r>
                              <w:rPr>
                                <w:sz w:val="22"/>
                                <w:szCs w:val="22"/>
                              </w:rPr>
                              <w:t>43 219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391" o:spid="_x0000_s1249" style="position:absolute;left:0;text-align:left;margin-left:486pt;margin-top:108pt;width:90pt;height:90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" fillcolor="#94c600 [3204]" strokecolor="black [3213]">
                <v:fill color2="#84b100 [2884]" rotate="t" focus="100%" type="gradient">
                  <o:fill v:ext="view" type="gradientUnscaled"/>
                </v:fill>
                <v:textbox>
                  <w:txbxContent>
                    <w:p w14:paraId="08835DD9" w14:textId="5F2661ED" w:rsidR="001501D6" w:rsidRPr="00406605" w:rsidRDefault="001501D6" w:rsidP="00A43BC4">
                      <w:pPr>
                        <w:jc w:val="center"/>
                        <w:rPr>
                          <w:sz w:val="22"/>
                          <w:szCs w:val="22"/>
                        </w:rPr>
                      </w:pPr>
                      <w:r>
                        <w:rPr>
                          <w:sz w:val="22"/>
                          <w:szCs w:val="22"/>
                        </w:rPr>
                        <w:t>43 219</w:t>
                      </w:r>
                      <w:r w:rsidRPr="00406605">
                        <w:rPr>
                          <w:sz w:val="22"/>
                          <w:szCs w:val="22"/>
                        </w:rPr>
                        <w:t xml:space="preserve"> $</w:t>
                      </w:r>
                    </w:p>
                  </w:txbxContent>
                </v:textbox>
              </v:oval>
            </w:pict>
          </mc:Fallback>
        </mc:AlternateContent>
      </w:r>
      <w:r w:rsidR="00A43BC4">
        <w:rPr>
          <w:noProof/>
          <w:lang w:eastAsia="fr-FR"/>
        </w:rPr>
        <mc:AlternateContent>
          <mc:Choice Requires="wps">
            <w:drawing>
              <wp:anchor distT="0" distB="0" distL="114300" distR="114300" simplePos="0" relativeHeight="252440576" behindDoc="0" locked="0" layoutInCell="1" allowOverlap="1" wp14:anchorId="5E885402" wp14:editId="1B797434">
                <wp:simplePos x="0" y="0"/>
                <wp:positionH relativeFrom="column">
                  <wp:posOffset>1257300</wp:posOffset>
                </wp:positionH>
                <wp:positionV relativeFrom="paragraph">
                  <wp:posOffset>1371600</wp:posOffset>
                </wp:positionV>
                <wp:extent cx="1143000" cy="1143000"/>
                <wp:effectExtent l="76200" t="76200" r="76200" b="76200"/>
                <wp:wrapNone/>
                <wp:docPr id="381" name="Ellipse 381"/>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FAA66AF" w14:textId="77777777" w:rsidR="00573C95" w:rsidRPr="00406605" w:rsidRDefault="00573C95" w:rsidP="00406605">
                            <w:pPr>
                              <w:jc w:val="center"/>
                              <w:rPr>
                                <w:sz w:val="22"/>
                                <w:szCs w:val="22"/>
                              </w:rPr>
                            </w:pPr>
                            <w:r w:rsidRPr="00406605">
                              <w:rPr>
                                <w:sz w:val="22"/>
                                <w:szCs w:val="22"/>
                              </w:rPr>
                              <w:t>10 000 $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381" o:spid="_x0000_s1250" style="position:absolute;left:0;text-align:left;margin-left:99pt;margin-top:108pt;width:90pt;height:90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" fillcolor="#94c600 [3204]" strokecolor="black [3213]">
                <v:fill color2="#84b100 [2884]" rotate="t" focus="100%" type="gradient">
                  <o:fill v:ext="view" type="gradientUnscaled"/>
                </v:fill>
                <v:textbox>
                  <w:txbxContent>
                    <w:p w14:paraId="6FAA66AF" w14:textId="77777777" w:rsidR="001501D6" w:rsidRPr="00406605" w:rsidRDefault="001501D6" w:rsidP="00406605">
                      <w:pPr>
                        <w:jc w:val="center"/>
                        <w:rPr>
                          <w:sz w:val="22"/>
                          <w:szCs w:val="22"/>
                        </w:rPr>
                      </w:pPr>
                      <w:r w:rsidRPr="00406605">
                        <w:rPr>
                          <w:sz w:val="22"/>
                          <w:szCs w:val="22"/>
                        </w:rPr>
                        <w:t>10 000 $</w:t>
                      </w:r>
                    </w:p>
                  </w:txbxContent>
                </v:textbox>
              </v:oval>
            </w:pict>
          </mc:Fallback>
        </mc:AlternateContent>
      </w:r>
      <w:r w:rsidRPr="00F27B04">
        <w:rPr>
          <w:color w:val="000000" w:themeColor="text1"/>
        </w:rPr>
        <w:tab/>
        <w:t xml:space="preserve">  </w:t>
      </w:r>
      <w:r w:rsidRPr="00F27B04">
        <w:rPr>
          <w:color w:val="000000" w:themeColor="text1"/>
          <w:u w:val="single"/>
        </w:rPr>
        <w:t>retraite</w:t>
      </w:r>
      <w:r w:rsidR="00190FCD">
        <w:rPr>
          <w:color w:val="000000" w:themeColor="text1"/>
          <w:u w:val="single"/>
        </w:rPr>
        <w:t xml:space="preserve"> dans </w:t>
      </w:r>
      <w:r w:rsidR="00443429">
        <w:rPr>
          <w:color w:val="000000" w:themeColor="text1"/>
          <w:u w:val="single"/>
        </w:rPr>
        <w:t>30 années</w:t>
      </w:r>
      <w:r w:rsidR="00475F21">
        <w:rPr>
          <w:rStyle w:val="Marquenotebasdepage"/>
          <w:color w:val="000000" w:themeColor="text1"/>
          <w:u w:val="single"/>
        </w:rPr>
        <w:footnoteReference w:customMarkFollows="1" w:id="55"/>
        <w:t>52</w:t>
      </w:r>
    </w:p>
    <w:p w14:paraId="67DBA2BC" w14:textId="131D7F5C" w:rsidR="00190FCD" w:rsidRDefault="00155DE5">
      <w:pPr>
        <w:rPr>
          <w:color w:val="000000" w:themeColor="text1"/>
          <w:u w:val="single"/>
        </w:rPr>
      </w:pPr>
      <w:r>
        <w:rPr>
          <w:noProof/>
          <w:lang w:eastAsia="fr-FR"/>
        </w:rPr>
        <mc:AlternateContent>
          <mc:Choice Requires="wps">
            <w:drawing>
              <wp:anchor distT="0" distB="0" distL="114300" distR="114300" simplePos="0" relativeHeight="252513280" behindDoc="0" locked="0" layoutInCell="1" allowOverlap="1" wp14:anchorId="2E96D9FD" wp14:editId="120D9EF6">
                <wp:simplePos x="0" y="0"/>
                <wp:positionH relativeFrom="column">
                  <wp:posOffset>5029200</wp:posOffset>
                </wp:positionH>
                <wp:positionV relativeFrom="paragraph">
                  <wp:posOffset>3969385</wp:posOffset>
                </wp:positionV>
                <wp:extent cx="822960" cy="822960"/>
                <wp:effectExtent l="0" t="0" r="0" b="0"/>
                <wp:wrapThrough wrapText="bothSides">
                  <wp:wrapPolygon edited="0">
                    <wp:start x="1333" y="2667"/>
                    <wp:lineTo x="1333" y="18000"/>
                    <wp:lineTo x="20000" y="18000"/>
                    <wp:lineTo x="20000" y="2667"/>
                    <wp:lineTo x="1333" y="2667"/>
                  </wp:wrapPolygon>
                </wp:wrapThrough>
                <wp:docPr id="444" name="Égal 444"/>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rgbClr val="000000"/>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Égal 444" o:spid="_x0000_s1026" style="position:absolute;margin-left:396pt;margin-top:312.55pt;width:64.8pt;height:64.8pt;z-index:252513280;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" path="m109083,169530l713877,169530,713877,363090,109083,363090,109083,169530xm109083,459870l713877,459870,713877,653430,109083,653430,109083,459870xe" fillcolor="black" strokecolor="green">
                <v:path arrowok="t" o:connecttype="custom" o:connectlocs="109083,169530;713877,169530;713877,363090;109083,363090;109083,169530;109083,459870;713877,459870;713877,653430;109083,653430;109083,459870" o:connectangles="0,0,0,0,0,0,0,0,0,0"/>
                <w10:wrap type="through"/>
              </v:shape>
            </w:pict>
          </mc:Fallback>
        </mc:AlternateContent>
      </w:r>
      <w:r>
        <w:rPr>
          <w:noProof/>
          <w:lang w:eastAsia="fr-FR"/>
        </w:rPr>
        <mc:AlternateContent>
          <mc:Choice Requires="wps">
            <w:drawing>
              <wp:anchor distT="0" distB="0" distL="114300" distR="114300" simplePos="0" relativeHeight="252511232" behindDoc="0" locked="0" layoutInCell="1" allowOverlap="1" wp14:anchorId="70CBB147" wp14:editId="42187DAF">
                <wp:simplePos x="0" y="0"/>
                <wp:positionH relativeFrom="column">
                  <wp:posOffset>2628900</wp:posOffset>
                </wp:positionH>
                <wp:positionV relativeFrom="paragraph">
                  <wp:posOffset>3969385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443" name="Croix 443"/>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Croix 443" o:spid="_x0000_s1026" style="position:absolute;margin-left:207pt;margin-top:312.55pt;width:64.8pt;height:64.8pt;z-index:252511232;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" path="m109083,314700l314700,314700,314700,109083,508260,109083,508260,314700,713877,314700,713877,508260,508260,508260,508260,713877,314700,713877,314700,508260,109083,508260,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r w:rsidR="00871DAE">
        <w:rPr>
          <w:noProof/>
          <w:lang w:eastAsia="fr-FR"/>
        </w:rPr>
        <mc:AlternateContent>
          <mc:Choice Requires="wps">
            <w:drawing>
              <wp:anchor distT="0" distB="0" distL="114300" distR="114300" simplePos="0" relativeHeight="252463104" behindDoc="0" locked="0" layoutInCell="1" allowOverlap="1" wp14:anchorId="74EFD56B" wp14:editId="308F4C2F">
                <wp:simplePos x="0" y="0"/>
                <wp:positionH relativeFrom="column">
                  <wp:posOffset>6172200</wp:posOffset>
                </wp:positionH>
                <wp:positionV relativeFrom="paragraph">
                  <wp:posOffset>3855085</wp:posOffset>
                </wp:positionV>
                <wp:extent cx="1143000" cy="1143000"/>
                <wp:effectExtent l="76200" t="76200" r="76200" b="76200"/>
                <wp:wrapNone/>
                <wp:docPr id="399" name="Ellipse 399"/>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48AE551" w14:textId="150D46D1" w:rsidR="00573C95" w:rsidRPr="00406605" w:rsidRDefault="00573C95" w:rsidP="00475F21">
                            <w:pPr>
                              <w:jc w:val="center"/>
                              <w:rPr>
                                <w:sz w:val="22"/>
                                <w:szCs w:val="22"/>
                              </w:rPr>
                            </w:pPr>
                            <w:r>
                              <w:rPr>
                                <w:sz w:val="22"/>
                                <w:szCs w:val="22"/>
                              </w:rPr>
                              <w:t>21 609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399" o:spid="_x0000_s1251" style="position:absolute;margin-left:486pt;margin-top:303.55pt;width:90pt;height:90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" fillcolor="#909465" strokecolor="black [3213]">
                <v:textbox>
                  <w:txbxContent>
                    <w:p w14:paraId="548AE551" w14:textId="150D46D1" w:rsidR="001501D6" w:rsidRPr="00406605" w:rsidRDefault="001501D6" w:rsidP="00475F21">
                      <w:pPr>
                        <w:jc w:val="center"/>
                        <w:rPr>
                          <w:sz w:val="22"/>
                          <w:szCs w:val="22"/>
                        </w:rPr>
                      </w:pPr>
                      <w:r>
                        <w:rPr>
                          <w:sz w:val="22"/>
                          <w:szCs w:val="22"/>
                        </w:rPr>
                        <w:t>21 609</w:t>
                      </w:r>
                      <w:r w:rsidRPr="00406605">
                        <w:rPr>
                          <w:sz w:val="22"/>
                          <w:szCs w:val="22"/>
                        </w:rPr>
                        <w:t xml:space="preserve"> $</w:t>
                      </w:r>
                    </w:p>
                  </w:txbxContent>
                </v:textbox>
              </v:oval>
            </w:pict>
          </mc:Fallback>
        </mc:AlternateContent>
      </w:r>
      <w:r w:rsidR="00871DAE">
        <w:rPr>
          <w:noProof/>
          <w:lang w:eastAsia="fr-FR"/>
        </w:rPr>
        <mc:AlternateContent>
          <mc:Choice Requires="wps">
            <w:drawing>
              <wp:anchor distT="0" distB="0" distL="114300" distR="114300" simplePos="0" relativeHeight="252444672" behindDoc="0" locked="0" layoutInCell="1" allowOverlap="1" wp14:anchorId="2A6857A2" wp14:editId="0C86082F">
                <wp:simplePos x="0" y="0"/>
                <wp:positionH relativeFrom="column">
                  <wp:posOffset>1257300</wp:posOffset>
                </wp:positionH>
                <wp:positionV relativeFrom="paragraph">
                  <wp:posOffset>3855085</wp:posOffset>
                </wp:positionV>
                <wp:extent cx="1143000" cy="1143000"/>
                <wp:effectExtent l="76200" t="76200" r="76200" b="76200"/>
                <wp:wrapNone/>
                <wp:docPr id="388" name="Ellipse 388"/>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chemeClr val="accent4"/>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12ED5DF" w14:textId="6DEAAA54" w:rsidR="00573C95" w:rsidRPr="00406605" w:rsidRDefault="00573C95" w:rsidP="00190FCD">
                            <w:pPr>
                              <w:jc w:val="center"/>
                              <w:rPr>
                                <w:sz w:val="22"/>
                                <w:szCs w:val="22"/>
                              </w:rPr>
                            </w:pPr>
                            <w:r>
                              <w:rPr>
                                <w:sz w:val="22"/>
                                <w:szCs w:val="22"/>
                              </w:rPr>
                              <w:t>5</w:t>
                            </w:r>
                            <w:r w:rsidRPr="00406605">
                              <w:rPr>
                                <w:sz w:val="22"/>
                                <w:szCs w:val="22"/>
                              </w:rPr>
                              <w:t xml:space="preserve">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388" o:spid="_x0000_s1252" style="position:absolute;margin-left:99pt;margin-top:303.55pt;width:90pt;height:90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" fillcolor="#909465 [3207]" strokecolor="black [3213]">
                <v:textbox>
                  <w:txbxContent>
                    <w:p w14:paraId="212ED5DF" w14:textId="6DEAAA54" w:rsidR="001501D6" w:rsidRPr="00406605" w:rsidRDefault="001501D6" w:rsidP="00190FCD">
                      <w:pPr>
                        <w:jc w:val="center"/>
                        <w:rPr>
                          <w:sz w:val="22"/>
                          <w:szCs w:val="22"/>
                        </w:rPr>
                      </w:pPr>
                      <w:r>
                        <w:rPr>
                          <w:sz w:val="22"/>
                          <w:szCs w:val="22"/>
                        </w:rPr>
                        <w:t>5</w:t>
                      </w:r>
                      <w:r w:rsidRPr="00406605">
                        <w:rPr>
                          <w:sz w:val="22"/>
                          <w:szCs w:val="22"/>
                        </w:rPr>
                        <w:t xml:space="preserve"> 000 $</w:t>
                      </w:r>
                    </w:p>
                  </w:txbxContent>
                </v:textbox>
              </v:oval>
            </w:pict>
          </mc:Fallback>
        </mc:AlternateContent>
      </w:r>
      <w:r w:rsidR="00871DAE">
        <w:rPr>
          <w:noProof/>
          <w:lang w:eastAsia="fr-FR"/>
        </w:rPr>
        <mc:AlternateContent>
          <mc:Choice Requires="wps">
            <w:drawing>
              <wp:anchor distT="0" distB="0" distL="114300" distR="114300" simplePos="0" relativeHeight="252442624" behindDoc="0" locked="0" layoutInCell="1" allowOverlap="1" wp14:anchorId="168E3E10" wp14:editId="464B7B6A">
                <wp:simplePos x="0" y="0"/>
                <wp:positionH relativeFrom="column">
                  <wp:posOffset>985520</wp:posOffset>
                </wp:positionH>
                <wp:positionV relativeFrom="paragraph">
                  <wp:posOffset>2526030</wp:posOffset>
                </wp:positionV>
                <wp:extent cx="1694180" cy="922655"/>
                <wp:effectExtent l="80962" t="71438" r="88583" b="88582"/>
                <wp:wrapThrough wrapText="bothSides">
                  <wp:wrapPolygon edited="0">
                    <wp:start x="22511" y="2862"/>
                    <wp:lineTo x="11500" y="2862"/>
                    <wp:lineTo x="6319" y="-1895"/>
                    <wp:lineTo x="5995" y="-1895"/>
                    <wp:lineTo x="1137" y="5240"/>
                    <wp:lineTo x="-158" y="7619"/>
                    <wp:lineTo x="-806" y="8213"/>
                    <wp:lineTo x="-806" y="12970"/>
                    <wp:lineTo x="-158" y="13565"/>
                    <wp:lineTo x="1137" y="15944"/>
                    <wp:lineTo x="5995" y="23079"/>
                    <wp:lineTo x="11500" y="23079"/>
                    <wp:lineTo x="11500" y="19511"/>
                    <wp:lineTo x="22511" y="18322"/>
                    <wp:lineTo x="22511" y="2862"/>
                  </wp:wrapPolygon>
                </wp:wrapThrough>
                <wp:docPr id="387" name="Flèche vers la gauche 387"/>
                <wp:cNvGraphicFramePr/>
                <a:graphic xmlns:a="http://schemas.openxmlformats.org/drawingml/2006/main">
                  <a:graphicData uri="http://schemas.microsoft.com/office/word/2010/wordprocessingShape">
                    <wps:wsp>
                      <wps:cNvSpPr/>
                      <wps:spPr>
                        <a:xfrm rot="16200000">
                          <a:off x="0" y="0"/>
                          <a:ext cx="1694180" cy="922655"/>
                        </a:xfrm>
                        <a:prstGeom prst="leftArrow">
                          <a:avLst/>
                        </a:prstGeom>
                        <a:solidFill>
                          <a:srgbClr val="000000"/>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E9814CC" w14:textId="3CA260BB" w:rsidR="00573C95" w:rsidRPr="00190FCD" w:rsidRDefault="00573C95" w:rsidP="00190FCD">
                            <w:pPr>
                              <w:jc w:val="center"/>
                              <w:rPr>
                                <w:sz w:val="22"/>
                                <w:szCs w:val="22"/>
                              </w:rPr>
                            </w:pPr>
                            <w:r>
                              <w:rPr>
                                <w:sz w:val="22"/>
                                <w:szCs w:val="22"/>
                              </w:rPr>
                              <w:t>Remboursement impôt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387" o:spid="_x0000_s1253" type="#_x0000_t66" style="position:absolute;margin-left:77.6pt;margin-top:198.9pt;width:133.4pt;height:72.65pt;rotation:-90;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" adj="5882" fillcolor="black" strokecolor="green" strokeweight="2.25pt">
                <v:textbox>
                  <w:txbxContent>
                    <w:p w14:paraId="3E9814CC" w14:textId="3CA260BB" w:rsidR="001501D6" w:rsidRPr="00190FCD" w:rsidRDefault="001501D6" w:rsidP="00190FCD">
                      <w:pPr>
                        <w:jc w:val="center"/>
                        <w:rPr>
                          <w:sz w:val="22"/>
                          <w:szCs w:val="22"/>
                        </w:rPr>
                      </w:pPr>
                      <w:r>
                        <w:rPr>
                          <w:sz w:val="22"/>
                          <w:szCs w:val="22"/>
                        </w:rPr>
                        <w:t>Remboursement impôt</w:t>
                      </w:r>
                    </w:p>
                  </w:txbxContent>
                </v:textbox>
                <w10:wrap type="through"/>
              </v:shape>
            </w:pict>
          </mc:Fallback>
        </mc:AlternateContent>
      </w:r>
      <w:r w:rsidR="00871DAE">
        <w:rPr>
          <w:noProof/>
          <w:lang w:eastAsia="fr-FR"/>
        </w:rPr>
        <mc:AlternateContent>
          <mc:Choice Requires="wps">
            <w:drawing>
              <wp:anchor distT="0" distB="0" distL="114300" distR="114300" simplePos="0" relativeHeight="252454912" behindDoc="0" locked="0" layoutInCell="1" allowOverlap="1" wp14:anchorId="5318BCC9" wp14:editId="2C4FCD5C">
                <wp:simplePos x="0" y="0"/>
                <wp:positionH relativeFrom="column">
                  <wp:posOffset>3372485</wp:posOffset>
                </wp:positionH>
                <wp:positionV relativeFrom="paragraph">
                  <wp:posOffset>2654300</wp:posOffset>
                </wp:positionV>
                <wp:extent cx="1714500" cy="687070"/>
                <wp:effectExtent l="0" t="70485" r="0" b="69215"/>
                <wp:wrapThrough wrapText="bothSides">
                  <wp:wrapPolygon edited="0">
                    <wp:start x="22488" y="3014"/>
                    <wp:lineTo x="6168" y="3014"/>
                    <wp:lineTo x="1368" y="4611"/>
                    <wp:lineTo x="-552" y="7806"/>
                    <wp:lineTo x="-552" y="13395"/>
                    <wp:lineTo x="1368" y="16589"/>
                    <wp:lineTo x="6168" y="18186"/>
                    <wp:lineTo x="22488" y="18186"/>
                    <wp:lineTo x="22488" y="3014"/>
                  </wp:wrapPolygon>
                </wp:wrapThrough>
                <wp:docPr id="394" name="Flèche vers la gauche 394"/>
                <wp:cNvGraphicFramePr/>
                <a:graphic xmlns:a="http://schemas.openxmlformats.org/drawingml/2006/main">
                  <a:graphicData uri="http://schemas.microsoft.com/office/word/2010/wordprocessingShape">
                    <wps:wsp>
                      <wps:cNvSpPr/>
                      <wps:spPr>
                        <a:xfrm rot="16200000">
                          <a:off x="0" y="0"/>
                          <a:ext cx="1714500" cy="687070"/>
                        </a:xfrm>
                        <a:prstGeom prst="leftArrow">
                          <a:avLst/>
                        </a:prstGeom>
                        <a:solidFill>
                          <a:srgbClr val="000000"/>
                        </a:solidFill>
                        <a:ln w="19050" cmpd="sng">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E5D8517" w14:textId="1939C38F" w:rsidR="00573C95" w:rsidRPr="00190FCD" w:rsidRDefault="00573C95" w:rsidP="00A43BC4">
                            <w:pPr>
                              <w:jc w:val="center"/>
                              <w:rPr>
                                <w:sz w:val="22"/>
                                <w:szCs w:val="22"/>
                              </w:rPr>
                            </w:pPr>
                            <w:r>
                              <w:rPr>
                                <w:sz w:val="22"/>
                                <w:szCs w:val="22"/>
                              </w:rPr>
                              <w:t>Report 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id="Flèche vers la gauche 394" o:spid="_x0000_s1254" type="#_x0000_t66" style="position:absolute;margin-left:265.55pt;margin-top:209pt;width:135pt;height:54.1pt;rotation:-90;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" adj="4328" fillcolor="black" stroked="f" strokeweight="1.5pt">
                <v:textbox>
                  <w:txbxContent>
                    <w:p w14:paraId="4E5D8517" w14:textId="1939C38F" w:rsidR="001501D6" w:rsidRPr="00190FCD" w:rsidRDefault="001501D6" w:rsidP="00A43BC4">
                      <w:pPr>
                        <w:jc w:val="center"/>
                        <w:rPr>
                          <w:sz w:val="22"/>
                          <w:szCs w:val="22"/>
                        </w:rPr>
                      </w:pPr>
                      <w:r>
                        <w:rPr>
                          <w:sz w:val="22"/>
                          <w:szCs w:val="22"/>
                        </w:rPr>
                        <w:t>Report impôt</w:t>
                      </w:r>
                    </w:p>
                  </w:txbxContent>
                </v:textbox>
                <w10:wrap type="through"/>
              </v:shape>
            </w:pict>
          </mc:Fallback>
        </mc:AlternateContent>
      </w:r>
      <w:r w:rsidR="00871DAE">
        <w:rPr>
          <w:noProof/>
          <w:lang w:eastAsia="fr-FR"/>
        </w:rPr>
        <mc:AlternateContent>
          <mc:Choice Requires="wps">
            <w:drawing>
              <wp:anchor distT="0" distB="0" distL="114300" distR="114300" simplePos="0" relativeHeight="252456960" behindDoc="0" locked="0" layoutInCell="1" allowOverlap="1" wp14:anchorId="59280347" wp14:editId="6F7F4DAB">
                <wp:simplePos x="0" y="0"/>
                <wp:positionH relativeFrom="column">
                  <wp:posOffset>3657600</wp:posOffset>
                </wp:positionH>
                <wp:positionV relativeFrom="paragraph">
                  <wp:posOffset>3855085</wp:posOffset>
                </wp:positionV>
                <wp:extent cx="1143000" cy="1143000"/>
                <wp:effectExtent l="76200" t="76200" r="76200" b="76200"/>
                <wp:wrapNone/>
                <wp:docPr id="396" name="Ellipse 396"/>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9477999" w14:textId="0BB927B2" w:rsidR="00573C95" w:rsidRPr="00406605" w:rsidRDefault="00573C95" w:rsidP="00A43BC4">
                            <w:pPr>
                              <w:jc w:val="center"/>
                              <w:rPr>
                                <w:sz w:val="22"/>
                                <w:szCs w:val="22"/>
                              </w:rPr>
                            </w:pPr>
                            <w:r>
                              <w:rPr>
                                <w:sz w:val="22"/>
                                <w:szCs w:val="22"/>
                              </w:rPr>
                              <w:t>16 609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396" o:spid="_x0000_s1255" style="position:absolute;margin-left:4in;margin-top:303.55pt;width:90pt;height:90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" fillcolor="#909465" strokecolor="black [3213]">
                <v:textbox>
                  <w:txbxContent>
                    <w:p w14:paraId="49477999" w14:textId="0BB927B2" w:rsidR="001501D6" w:rsidRPr="00406605" w:rsidRDefault="001501D6" w:rsidP="00A43BC4">
                      <w:pPr>
                        <w:jc w:val="center"/>
                        <w:rPr>
                          <w:sz w:val="22"/>
                          <w:szCs w:val="22"/>
                        </w:rPr>
                      </w:pPr>
                      <w:r>
                        <w:rPr>
                          <w:sz w:val="22"/>
                          <w:szCs w:val="22"/>
                        </w:rPr>
                        <w:t>16 609</w:t>
                      </w:r>
                      <w:r w:rsidRPr="00406605">
                        <w:rPr>
                          <w:sz w:val="22"/>
                          <w:szCs w:val="22"/>
                        </w:rPr>
                        <w:t xml:space="preserve"> $</w:t>
                      </w:r>
                    </w:p>
                  </w:txbxContent>
                </v:textbox>
              </v:oval>
            </w:pict>
          </mc:Fallback>
        </mc:AlternateContent>
      </w:r>
      <w:r w:rsidR="00B66445">
        <w:rPr>
          <w:noProof/>
          <w:lang w:eastAsia="fr-FR"/>
        </w:rPr>
        <mc:AlternateContent>
          <mc:Choice Requires="wps">
            <w:drawing>
              <wp:anchor distT="0" distB="0" distL="114300" distR="114300" simplePos="0" relativeHeight="252459008" behindDoc="0" locked="0" layoutInCell="1" allowOverlap="1" wp14:anchorId="5EB54809" wp14:editId="3A141FF4">
                <wp:simplePos x="0" y="0"/>
                <wp:positionH relativeFrom="column">
                  <wp:posOffset>7025206</wp:posOffset>
                </wp:positionH>
                <wp:positionV relativeFrom="paragraph">
                  <wp:posOffset>460316</wp:posOffset>
                </wp:positionV>
                <wp:extent cx="1569720" cy="662940"/>
                <wp:effectExtent l="25400" t="279400" r="0" b="327660"/>
                <wp:wrapNone/>
                <wp:docPr id="397" name="Flèche vers la droite 397"/>
                <wp:cNvGraphicFramePr/>
                <a:graphic xmlns:a="http://schemas.openxmlformats.org/drawingml/2006/main">
                  <a:graphicData uri="http://schemas.microsoft.com/office/word/2010/wordprocessingShape">
                    <wps:wsp>
                      <wps:cNvSpPr/>
                      <wps:spPr>
                        <a:xfrm rot="19597282">
                          <a:off x="0" y="0"/>
                          <a:ext cx="1569720" cy="662940"/>
                        </a:xfrm>
                        <a:prstGeom prst="rightArrow">
                          <a:avLst/>
                        </a:prstGeom>
                        <a:solidFill>
                          <a:schemeClr val="tx1"/>
                        </a:solidFill>
                        <a:ln w="28575" cmpd="sng">
                          <a:solidFill>
                            <a:srgbClr val="008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B13A229" w14:textId="1098B1B3" w:rsidR="00573C95" w:rsidRPr="00406605" w:rsidRDefault="00573C95" w:rsidP="00AD657B">
                            <w:pPr>
                              <w:jc w:val="center"/>
                              <w:rPr>
                                <w:sz w:val="22"/>
                                <w:szCs w:val="22"/>
                              </w:rPr>
                            </w:pPr>
                            <w:r>
                              <w:rPr>
                                <w:sz w:val="22"/>
                                <w:szCs w:val="22"/>
                              </w:rPr>
                              <w:t>Retrait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droite 397" o:spid="_x0000_s1256" type="#_x0000_t13" style="position:absolute;margin-left:553.15pt;margin-top:36.25pt;width:123.6pt;height:52.2pt;rotation:-2187502fd;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" adj="17039" fillcolor="black [3213]" strokecolor="green" strokeweight="2.25pt">
                <v:textbox>
                  <w:txbxContent>
                    <w:p w14:paraId="0B13A229" w14:textId="1098B1B3" w:rsidR="001501D6" w:rsidRPr="00406605" w:rsidRDefault="001501D6" w:rsidP="00AD657B">
                      <w:pPr>
                        <w:jc w:val="center"/>
                        <w:rPr>
                          <w:sz w:val="22"/>
                          <w:szCs w:val="22"/>
                        </w:rPr>
                      </w:pPr>
                      <w:r>
                        <w:rPr>
                          <w:sz w:val="22"/>
                          <w:szCs w:val="22"/>
                        </w:rPr>
                        <w:t>Retrait</w:t>
                      </w:r>
                    </w:p>
                  </w:txbxContent>
                </v:textbox>
              </v:shape>
            </w:pict>
          </mc:Fallback>
        </mc:AlternateContent>
      </w:r>
      <w:r w:rsidR="00475F21">
        <w:rPr>
          <w:noProof/>
          <w:lang w:eastAsia="fr-FR"/>
        </w:rPr>
        <mc:AlternateContent>
          <mc:Choice Requires="wps">
            <w:drawing>
              <wp:anchor distT="0" distB="0" distL="114300" distR="114300" simplePos="0" relativeHeight="252436480" behindDoc="0" locked="0" layoutInCell="1" allowOverlap="1" wp14:anchorId="146D06F0" wp14:editId="69BFAB3D">
                <wp:simplePos x="0" y="0"/>
                <wp:positionH relativeFrom="column">
                  <wp:posOffset>-114300</wp:posOffset>
                </wp:positionH>
                <wp:positionV relativeFrom="paragraph">
                  <wp:posOffset>614680</wp:posOffset>
                </wp:positionV>
                <wp:extent cx="1548765" cy="662940"/>
                <wp:effectExtent l="0" t="330200" r="0" b="276860"/>
                <wp:wrapNone/>
                <wp:docPr id="385" name="Flèche vers la droite 385"/>
                <wp:cNvGraphicFramePr/>
                <a:graphic xmlns:a="http://schemas.openxmlformats.org/drawingml/2006/main">
                  <a:graphicData uri="http://schemas.microsoft.com/office/word/2010/wordprocessingShape">
                    <wps:wsp>
                      <wps:cNvSpPr/>
                      <wps:spPr>
                        <a:xfrm rot="2037712">
                          <a:off x="0" y="0"/>
                          <a:ext cx="1548765" cy="662940"/>
                        </a:xfrm>
                        <a:prstGeom prst="rightArrow">
                          <a:avLst/>
                        </a:prstGeom>
                        <a:solidFill>
                          <a:schemeClr val="tx1"/>
                        </a:solidFill>
                        <a:ln w="28575" cmpd="sng">
                          <a:solidFill>
                            <a:srgbClr val="8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DC313CD" w14:textId="00EF4D91" w:rsidR="00573C95" w:rsidRPr="00406605" w:rsidRDefault="00573C95" w:rsidP="00406605">
                            <w:pPr>
                              <w:jc w:val="center"/>
                              <w:rPr>
                                <w:sz w:val="22"/>
                                <w:szCs w:val="22"/>
                              </w:rPr>
                            </w:pPr>
                            <w:r w:rsidRPr="00406605">
                              <w:rPr>
                                <w:sz w:val="22"/>
                                <w:szCs w:val="22"/>
                              </w:rPr>
                              <w:t>Cotisation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droite 385" o:spid="_x0000_s1257" type="#_x0000_t13" style="position:absolute;margin-left:-8.95pt;margin-top:48.4pt;width:121.95pt;height:52.2pt;rotation:2225725fd;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" adj="16977" fillcolor="black [3213]" strokecolor="maroon" strokeweight="2.25pt">
                <v:textbox>
                  <w:txbxContent>
                    <w:p w14:paraId="1DC313CD" w14:textId="00EF4D91" w:rsidR="001501D6" w:rsidRPr="00406605" w:rsidRDefault="001501D6" w:rsidP="00406605">
                      <w:pPr>
                        <w:jc w:val="center"/>
                        <w:rPr>
                          <w:sz w:val="22"/>
                          <w:szCs w:val="22"/>
                        </w:rPr>
                      </w:pPr>
                      <w:r w:rsidRPr="00406605">
                        <w:rPr>
                          <w:sz w:val="22"/>
                          <w:szCs w:val="22"/>
                        </w:rPr>
                        <w:t>Cotisation</w:t>
                      </w:r>
                    </w:p>
                  </w:txbxContent>
                </v:textbox>
              </v:shape>
            </w:pict>
          </mc:Fallback>
        </mc:AlternateContent>
      </w:r>
      <w:r w:rsidR="00475F21">
        <w:rPr>
          <w:noProof/>
          <w:lang w:eastAsia="fr-FR"/>
        </w:rPr>
        <mc:AlternateContent>
          <mc:Choice Requires="wps">
            <w:drawing>
              <wp:anchor distT="0" distB="0" distL="114300" distR="114300" simplePos="0" relativeHeight="252461056" behindDoc="0" locked="0" layoutInCell="1" allowOverlap="1" wp14:anchorId="7DC8AFBD" wp14:editId="2FCCFDB5">
                <wp:simplePos x="0" y="0"/>
                <wp:positionH relativeFrom="column">
                  <wp:posOffset>5859780</wp:posOffset>
                </wp:positionH>
                <wp:positionV relativeFrom="paragraph">
                  <wp:posOffset>2567305</wp:posOffset>
                </wp:positionV>
                <wp:extent cx="1776095" cy="922655"/>
                <wp:effectExtent l="0" t="81280" r="47625" b="73025"/>
                <wp:wrapThrough wrapText="bothSides">
                  <wp:wrapPolygon edited="0">
                    <wp:start x="22588" y="3092"/>
                    <wp:lineTo x="6834" y="3092"/>
                    <wp:lineTo x="2201" y="3687"/>
                    <wp:lineTo x="39" y="7849"/>
                    <wp:lineTo x="-579" y="8444"/>
                    <wp:lineTo x="-579" y="12606"/>
                    <wp:lineTo x="39" y="13201"/>
                    <wp:lineTo x="2201" y="17363"/>
                    <wp:lineTo x="6526" y="22120"/>
                    <wp:lineTo x="7143" y="19147"/>
                    <wp:lineTo x="22588" y="17958"/>
                    <wp:lineTo x="22588" y="3092"/>
                  </wp:wrapPolygon>
                </wp:wrapThrough>
                <wp:docPr id="398" name="Flèche vers la gauche 398"/>
                <wp:cNvGraphicFramePr/>
                <a:graphic xmlns:a="http://schemas.openxmlformats.org/drawingml/2006/main">
                  <a:graphicData uri="http://schemas.microsoft.com/office/word/2010/wordprocessingShape">
                    <wps:wsp>
                      <wps:cNvSpPr/>
                      <wps:spPr>
                        <a:xfrm rot="16200000">
                          <a:off x="0" y="0"/>
                          <a:ext cx="1776095" cy="922655"/>
                        </a:xfrm>
                        <a:prstGeom prst="leftArrow">
                          <a:avLst/>
                        </a:prstGeom>
                        <a:solidFill>
                          <a:srgbClr val="000000"/>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069CF34" w14:textId="27D12309" w:rsidR="00573C95" w:rsidRPr="00190FCD" w:rsidRDefault="00573C95" w:rsidP="00475F21">
                            <w:pPr>
                              <w:jc w:val="center"/>
                              <w:rPr>
                                <w:sz w:val="22"/>
                                <w:szCs w:val="22"/>
                              </w:rPr>
                            </w:pPr>
                            <w:r>
                              <w:rPr>
                                <w:sz w:val="22"/>
                                <w:szCs w:val="22"/>
                              </w:rPr>
                              <w:t>Impôt à payer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id="Flèche vers la gauche 398" o:spid="_x0000_s1258" type="#_x0000_t66" style="position:absolute;margin-left:461.4pt;margin-top:202.15pt;width:139.85pt;height:72.65pt;rotation:-90;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" adj="5610" fillcolor="black" strokecolor="maroon" strokeweight="2.25pt">
                <v:textbox>
                  <w:txbxContent>
                    <w:p w14:paraId="4069CF34" w14:textId="27D12309" w:rsidR="001501D6" w:rsidRPr="00190FCD" w:rsidRDefault="001501D6" w:rsidP="00475F21">
                      <w:pPr>
                        <w:jc w:val="center"/>
                        <w:rPr>
                          <w:sz w:val="22"/>
                          <w:szCs w:val="22"/>
                        </w:rPr>
                      </w:pPr>
                      <w:r>
                        <w:rPr>
                          <w:sz w:val="22"/>
                          <w:szCs w:val="22"/>
                        </w:rPr>
                        <w:t>Impôt à payer</w:t>
                      </w:r>
                    </w:p>
                  </w:txbxContent>
                </v:textbox>
                <w10:wrap type="through"/>
              </v:shape>
            </w:pict>
          </mc:Fallback>
        </mc:AlternateContent>
      </w:r>
      <w:r w:rsidR="00A43BC4">
        <w:rPr>
          <w:noProof/>
          <w:lang w:eastAsia="fr-FR"/>
        </w:rPr>
        <mc:AlternateContent>
          <mc:Choice Requires="wps">
            <w:drawing>
              <wp:anchor distT="0" distB="0" distL="114300" distR="114300" simplePos="0" relativeHeight="252446720" behindDoc="0" locked="0" layoutInCell="1" allowOverlap="1" wp14:anchorId="45F683DA" wp14:editId="0DD28E29">
                <wp:simplePos x="0" y="0"/>
                <wp:positionH relativeFrom="column">
                  <wp:posOffset>3657600</wp:posOffset>
                </wp:positionH>
                <wp:positionV relativeFrom="paragraph">
                  <wp:posOffset>997585</wp:posOffset>
                </wp:positionV>
                <wp:extent cx="1143000" cy="1143000"/>
                <wp:effectExtent l="76200" t="76200" r="76200" b="76200"/>
                <wp:wrapNone/>
                <wp:docPr id="389" name="Ellipse 389"/>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4BA0EDF" w14:textId="12E351B8" w:rsidR="00573C95" w:rsidRPr="00406605" w:rsidRDefault="00573C95" w:rsidP="00190FCD">
                            <w:pPr>
                              <w:jc w:val="center"/>
                              <w:rPr>
                                <w:sz w:val="22"/>
                                <w:szCs w:val="22"/>
                              </w:rPr>
                            </w:pPr>
                            <w:r>
                              <w:rPr>
                                <w:sz w:val="22"/>
                                <w:szCs w:val="22"/>
                              </w:rPr>
                              <w:t>33 219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389" o:spid="_x0000_s1259" style="position:absolute;margin-left:4in;margin-top:78.55pt;width:90pt;height:90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" fillcolor="#94c600 [3204]" strokecolor="black [3213]">
                <v:fill color2="#84b100 [2884]" rotate="t" focus="100%" type="gradient">
                  <o:fill v:ext="view" type="gradientUnscaled"/>
                </v:fill>
                <v:textbox>
                  <w:txbxContent>
                    <w:p w14:paraId="14BA0EDF" w14:textId="12E351B8" w:rsidR="001501D6" w:rsidRPr="00406605" w:rsidRDefault="001501D6" w:rsidP="00190FCD">
                      <w:pPr>
                        <w:jc w:val="center"/>
                        <w:rPr>
                          <w:sz w:val="22"/>
                          <w:szCs w:val="22"/>
                        </w:rPr>
                      </w:pPr>
                      <w:r>
                        <w:rPr>
                          <w:sz w:val="22"/>
                          <w:szCs w:val="22"/>
                        </w:rPr>
                        <w:t>33 219</w:t>
                      </w:r>
                      <w:r w:rsidRPr="00406605">
                        <w:rPr>
                          <w:sz w:val="22"/>
                          <w:szCs w:val="22"/>
                        </w:rPr>
                        <w:t xml:space="preserve"> $</w:t>
                      </w:r>
                    </w:p>
                  </w:txbxContent>
                </v:textbox>
              </v:oval>
            </w:pict>
          </mc:Fallback>
        </mc:AlternateContent>
      </w:r>
      <w:r w:rsidR="00A43BC4">
        <w:rPr>
          <w:noProof/>
          <w:color w:val="000000" w:themeColor="text1"/>
          <w:lang w:eastAsia="fr-FR"/>
        </w:rPr>
        <mc:AlternateContent>
          <mc:Choice Requires="wps">
            <w:drawing>
              <wp:anchor distT="0" distB="0" distL="114300" distR="114300" simplePos="0" relativeHeight="252434432" behindDoc="0" locked="0" layoutInCell="1" allowOverlap="1" wp14:anchorId="2F3437A7" wp14:editId="20FD0ADE">
                <wp:simplePos x="0" y="0"/>
                <wp:positionH relativeFrom="column">
                  <wp:posOffset>1371600</wp:posOffset>
                </wp:positionH>
                <wp:positionV relativeFrom="paragraph">
                  <wp:posOffset>540385</wp:posOffset>
                </wp:positionV>
                <wp:extent cx="7658100" cy="342900"/>
                <wp:effectExtent l="0" t="0" r="0" b="12700"/>
                <wp:wrapSquare wrapText="bothSides"/>
                <wp:docPr id="384" name="Zone de texte 384"/>
                <wp:cNvGraphicFramePr/>
                <a:graphic xmlns:a="http://schemas.openxmlformats.org/drawingml/2006/main">
                  <a:graphicData uri="http://schemas.microsoft.com/office/word/2010/wordprocessingShape">
                    <wps:wsp>
                      <wps:cNvSpPr txBox="1"/>
                      <wps:spPr>
                        <a:xfrm>
                          <a:off x="0" y="0"/>
                          <a:ext cx="7658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BE6949" w14:textId="031522C4" w:rsidR="00573C95" w:rsidRPr="00406605" w:rsidRDefault="00573C95">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  REÉR</w:t>
                            </w:r>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84" o:spid="_x0000_s1260" type="#_x0000_t202" style="position:absolute;margin-left:108pt;margin-top:42.55pt;width:603pt;height:27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" filled="f" stroked="f">
                <v:textbox>
                  <w:txbxContent>
                    <w:p w14:paraId="26BE6949" w14:textId="031522C4" w:rsidR="001501D6" w:rsidRPr="00406605" w:rsidRDefault="001501D6">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  REÉR</w:t>
                      </w:r>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v:textbox>
                <w10:wrap type="square"/>
              </v:shape>
            </w:pict>
          </mc:Fallback>
        </mc:AlternateContent>
      </w:r>
      <w:r w:rsidR="00190FCD">
        <w:rPr>
          <w:color w:val="000000" w:themeColor="text1"/>
          <w:u w:val="single"/>
        </w:rPr>
        <w:br w:type="page"/>
      </w:r>
      <w:r w:rsidR="00A43BC4">
        <w:rPr>
          <w:noProof/>
          <w:lang w:eastAsia="fr-FR"/>
        </w:rPr>
        <mc:AlternateContent>
          <mc:Choice Requires="wps">
            <w:drawing>
              <wp:anchor distT="0" distB="0" distL="114300" distR="114300" simplePos="0" relativeHeight="252452864" behindDoc="0" locked="0" layoutInCell="1" allowOverlap="1" wp14:anchorId="7AB426B1" wp14:editId="27960A5E">
                <wp:simplePos x="0" y="0"/>
                <wp:positionH relativeFrom="column">
                  <wp:posOffset>5004435</wp:posOffset>
                </wp:positionH>
                <wp:positionV relativeFrom="paragraph">
                  <wp:posOffset>1089025</wp:posOffset>
                </wp:positionV>
                <wp:extent cx="822960" cy="822960"/>
                <wp:effectExtent l="0" t="0" r="0" b="0"/>
                <wp:wrapThrough wrapText="bothSides">
                  <wp:wrapPolygon edited="0">
                    <wp:start x="1333" y="2667"/>
                    <wp:lineTo x="1333" y="18000"/>
                    <wp:lineTo x="20000" y="18000"/>
                    <wp:lineTo x="20000" y="2667"/>
                    <wp:lineTo x="1333" y="2667"/>
                  </wp:wrapPolygon>
                </wp:wrapThrough>
                <wp:docPr id="393" name="Égal 393"/>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Égal 393" o:spid="_x0000_s1026" style="position:absolute;margin-left:394.05pt;margin-top:85.75pt;width:64.8pt;height:64.8pt;z-index:25245286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" path="m109083,169530l713877,169530,713877,363090,109083,363090,109083,169530xm109083,459870l713877,459870,713877,653430,109083,653430,109083,459870xe" fillcolor="black" strokecolor="#94c600 [3204]">
                <v:path arrowok="t" o:connecttype="custom" o:connectlocs="109083,169530;713877,169530;713877,363090;109083,363090;109083,169530;109083,459870;713877,459870;713877,653430;109083,653430;109083,459870" o:connectangles="0,0,0,0,0,0,0,0,0,0"/>
                <w10:wrap type="through"/>
              </v:shape>
            </w:pict>
          </mc:Fallback>
        </mc:AlternateContent>
      </w:r>
      <w:r w:rsidR="00A43BC4">
        <w:rPr>
          <w:noProof/>
          <w:lang w:eastAsia="fr-FR"/>
        </w:rPr>
        <mc:AlternateContent>
          <mc:Choice Requires="wps">
            <w:drawing>
              <wp:anchor distT="0" distB="0" distL="114300" distR="114300" simplePos="0" relativeHeight="252450816" behindDoc="0" locked="0" layoutInCell="1" allowOverlap="1" wp14:anchorId="62836D5A" wp14:editId="27E45218">
                <wp:simplePos x="0" y="0"/>
                <wp:positionH relativeFrom="column">
                  <wp:posOffset>2594610</wp:posOffset>
                </wp:positionH>
                <wp:positionV relativeFrom="paragraph">
                  <wp:posOffset>1158875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392" name="Croix 392"/>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Croix 392" o:spid="_x0000_s1026" style="position:absolute;margin-left:204.3pt;margin-top:91.25pt;width:64.8pt;height:64.8pt;z-index:252450816;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" path="m109083,314700l314700,314700,314700,109083,508260,109083,508260,314700,713877,314700,713877,508260,508260,508260,508260,713877,314700,713877,314700,508260,109083,508260,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p>
    <w:p w14:paraId="0AF115FA" w14:textId="1EBBB25E" w:rsidR="00973478" w:rsidRDefault="00973478" w:rsidP="00973478">
      <w:pPr>
        <w:jc w:val="both"/>
        <w:rPr>
          <w:color w:val="000000" w:themeColor="text1"/>
          <w:u w:val="single"/>
        </w:rPr>
      </w:pPr>
      <w:r>
        <w:rPr>
          <w:color w:val="000000" w:themeColor="text1"/>
        </w:rPr>
        <w:lastRenderedPageBreak/>
        <w:t>Cas 2</w:t>
      </w:r>
      <w:r w:rsidR="001606B4">
        <w:rPr>
          <w:color w:val="000000" w:themeColor="text1"/>
        </w:rPr>
        <w:t xml:space="preserve"> </w:t>
      </w:r>
      <w:r>
        <w:rPr>
          <w:color w:val="000000" w:themeColor="text1"/>
        </w:rPr>
        <w:t xml:space="preserve">- </w:t>
      </w:r>
      <w:r w:rsidRPr="00F27B04">
        <w:rPr>
          <w:color w:val="000000" w:themeColor="text1"/>
          <w:u w:val="single"/>
        </w:rPr>
        <w:t xml:space="preserve">Vous gagnez présentement </w:t>
      </w:r>
      <w:r w:rsidR="008554C7">
        <w:rPr>
          <w:color w:val="000000" w:themeColor="text1"/>
          <w:u w:val="single"/>
        </w:rPr>
        <w:t>4</w:t>
      </w:r>
      <w:r>
        <w:rPr>
          <w:color w:val="000000" w:themeColor="text1"/>
          <w:u w:val="single"/>
        </w:rPr>
        <w:t>0</w:t>
      </w:r>
      <w:r w:rsidRPr="00F27B04">
        <w:rPr>
          <w:color w:val="000000" w:themeColor="text1"/>
          <w:u w:val="single"/>
        </w:rPr>
        <w:t xml:space="preserve"> 000 $ et vous aurez besoin de 1</w:t>
      </w:r>
      <w:r w:rsidR="00EF652A">
        <w:rPr>
          <w:color w:val="000000" w:themeColor="text1"/>
          <w:u w:val="single"/>
        </w:rPr>
        <w:t>3</w:t>
      </w:r>
      <w:r w:rsidRPr="00F27B04">
        <w:rPr>
          <w:color w:val="000000" w:themeColor="text1"/>
          <w:u w:val="single"/>
        </w:rPr>
        <w:t xml:space="preserve">5 000 $ (en dollar d'aujourd'hui) à votre </w:t>
      </w:r>
      <w:r>
        <w:rPr>
          <w:color w:val="000000" w:themeColor="text1"/>
          <w:u w:val="single"/>
        </w:rPr>
        <w:t xml:space="preserve">   </w:t>
      </w:r>
      <w:r>
        <w:rPr>
          <w:noProof/>
          <w:lang w:eastAsia="fr-FR"/>
        </w:rPr>
        <mc:AlternateContent>
          <mc:Choice Requires="wps">
            <w:drawing>
              <wp:anchor distT="0" distB="0" distL="114300" distR="114300" simplePos="0" relativeHeight="252471296" behindDoc="0" locked="0" layoutInCell="1" allowOverlap="1" wp14:anchorId="2E3DE9F0" wp14:editId="18445ECD">
                <wp:simplePos x="0" y="0"/>
                <wp:positionH relativeFrom="column">
                  <wp:posOffset>6172200</wp:posOffset>
                </wp:positionH>
                <wp:positionV relativeFrom="paragraph">
                  <wp:posOffset>1371600</wp:posOffset>
                </wp:positionV>
                <wp:extent cx="1143000" cy="1143000"/>
                <wp:effectExtent l="76200" t="76200" r="76200" b="76200"/>
                <wp:wrapNone/>
                <wp:docPr id="400" name="Ellipse 400"/>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0091B79" w14:textId="4E5DA62C" w:rsidR="00573C95" w:rsidRPr="00406605" w:rsidRDefault="00573C95" w:rsidP="00973478">
                            <w:pPr>
                              <w:jc w:val="center"/>
                              <w:rPr>
                                <w:sz w:val="22"/>
                                <w:szCs w:val="22"/>
                              </w:rPr>
                            </w:pPr>
                            <w:r>
                              <w:rPr>
                                <w:sz w:val="22"/>
                                <w:szCs w:val="22"/>
                              </w:rPr>
                              <w:t>43 219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00" o:spid="_x0000_s1261" style="position:absolute;left:0;text-align:left;margin-left:486pt;margin-top:108pt;width:90pt;height:90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" fillcolor="#94c600 [3204]" strokecolor="black [3213]">
                <v:fill color2="#84b100 [2884]" rotate="t" focus="100%" type="gradient">
                  <o:fill v:ext="view" type="gradientUnscaled"/>
                </v:fill>
                <v:textbox>
                  <w:txbxContent>
                    <w:p w14:paraId="50091B79" w14:textId="4E5DA62C" w:rsidR="001501D6" w:rsidRPr="00406605" w:rsidRDefault="001501D6" w:rsidP="00973478">
                      <w:pPr>
                        <w:jc w:val="center"/>
                        <w:rPr>
                          <w:sz w:val="22"/>
                          <w:szCs w:val="22"/>
                        </w:rPr>
                      </w:pPr>
                      <w:r>
                        <w:rPr>
                          <w:sz w:val="22"/>
                          <w:szCs w:val="22"/>
                        </w:rPr>
                        <w:t>43 219</w:t>
                      </w:r>
                      <w:r w:rsidRPr="00406605">
                        <w:rPr>
                          <w:sz w:val="22"/>
                          <w:szCs w:val="22"/>
                        </w:rPr>
                        <w:t xml:space="preserve"> $</w:t>
                      </w:r>
                    </w:p>
                  </w:txbxContent>
                </v:textbox>
              </v:oval>
            </w:pict>
          </mc:Fallback>
        </mc:AlternateContent>
      </w:r>
      <w:r w:rsidRPr="00F27B04">
        <w:rPr>
          <w:color w:val="000000" w:themeColor="text1"/>
        </w:rPr>
        <w:tab/>
        <w:t xml:space="preserve">  </w:t>
      </w:r>
      <w:r w:rsidR="001606B4">
        <w:rPr>
          <w:color w:val="000000" w:themeColor="text1"/>
        </w:rPr>
        <w:t xml:space="preserve"> </w:t>
      </w:r>
      <w:r w:rsidRPr="00F27B04">
        <w:rPr>
          <w:color w:val="000000" w:themeColor="text1"/>
          <w:u w:val="single"/>
        </w:rPr>
        <w:t>retraite</w:t>
      </w:r>
      <w:r>
        <w:rPr>
          <w:color w:val="000000" w:themeColor="text1"/>
          <w:u w:val="single"/>
        </w:rPr>
        <w:t xml:space="preserve"> dans 30 années</w:t>
      </w:r>
      <w:r w:rsidR="00060486">
        <w:rPr>
          <w:rStyle w:val="Marquenotebasdepage"/>
          <w:color w:val="000000" w:themeColor="text1"/>
          <w:u w:val="single"/>
        </w:rPr>
        <w:footnoteReference w:customMarkFollows="1" w:id="56"/>
        <w:t>53</w:t>
      </w:r>
    </w:p>
    <w:p w14:paraId="5DE4D14A" w14:textId="0498F7BE" w:rsidR="00973478" w:rsidRDefault="00082970" w:rsidP="00973478">
      <w:pPr>
        <w:rPr>
          <w:color w:val="000000" w:themeColor="text1"/>
          <w:u w:val="single"/>
        </w:rPr>
      </w:pPr>
      <w:r>
        <w:rPr>
          <w:noProof/>
          <w:lang w:eastAsia="fr-FR"/>
        </w:rPr>
        <mc:AlternateContent>
          <mc:Choice Requires="wps">
            <w:drawing>
              <wp:anchor distT="0" distB="0" distL="114300" distR="114300" simplePos="0" relativeHeight="252467200" behindDoc="0" locked="0" layoutInCell="1" allowOverlap="1" wp14:anchorId="11F5A44F" wp14:editId="2333AA1D">
                <wp:simplePos x="0" y="0"/>
                <wp:positionH relativeFrom="column">
                  <wp:posOffset>1257300</wp:posOffset>
                </wp:positionH>
                <wp:positionV relativeFrom="paragraph">
                  <wp:posOffset>997585</wp:posOffset>
                </wp:positionV>
                <wp:extent cx="1143000" cy="1143000"/>
                <wp:effectExtent l="76200" t="76200" r="76200" b="76200"/>
                <wp:wrapNone/>
                <wp:docPr id="401" name="Ellipse 401"/>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6840619" w14:textId="77777777" w:rsidR="00573C95" w:rsidRPr="00406605" w:rsidRDefault="00573C95" w:rsidP="00973478">
                            <w:pPr>
                              <w:jc w:val="center"/>
                              <w:rPr>
                                <w:sz w:val="22"/>
                                <w:szCs w:val="22"/>
                              </w:rPr>
                            </w:pPr>
                            <w:r w:rsidRPr="00406605">
                              <w:rPr>
                                <w:sz w:val="22"/>
                                <w:szCs w:val="22"/>
                              </w:rPr>
                              <w:t>10 000 $</w:t>
                            </w:r>
                          </w:p>
                        </w:txbxContent>
                      </wps:txbx>
                      <wps:bodyPr vert="horz"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01" o:spid="_x0000_s1262" style="position:absolute;margin-left:99pt;margin-top:78.55pt;width:90pt;height:90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" fillcolor="#94c600 [3204]" strokecolor="black [3213]">
                <v:fill color2="#84b100 [2884]" rotate="t" focus="100%" type="gradient">
                  <o:fill v:ext="view" type="gradientUnscaled"/>
                </v:fill>
                <v:textbox>
                  <w:txbxContent>
                    <w:p w14:paraId="46840619" w14:textId="77777777" w:rsidR="001501D6" w:rsidRPr="00406605" w:rsidRDefault="001501D6" w:rsidP="00973478">
                      <w:pPr>
                        <w:jc w:val="center"/>
                        <w:rPr>
                          <w:sz w:val="22"/>
                          <w:szCs w:val="22"/>
                        </w:rPr>
                      </w:pPr>
                      <w:r w:rsidRPr="00406605">
                        <w:rPr>
                          <w:sz w:val="22"/>
                          <w:szCs w:val="22"/>
                        </w:rPr>
                        <w:t>10 000 $</w:t>
                      </w:r>
                    </w:p>
                  </w:txbxContent>
                </v:textbox>
              </v:oval>
            </w:pict>
          </mc:Fallback>
        </mc:AlternateContent>
      </w:r>
      <w:r>
        <w:rPr>
          <w:noProof/>
          <w:lang w:eastAsia="fr-FR"/>
        </w:rPr>
        <mc:AlternateContent>
          <mc:Choice Requires="wps">
            <w:drawing>
              <wp:anchor distT="0" distB="0" distL="114300" distR="114300" simplePos="0" relativeHeight="252519424" behindDoc="0" locked="0" layoutInCell="1" allowOverlap="1" wp14:anchorId="3445B5A4" wp14:editId="49B866CD">
                <wp:simplePos x="0" y="0"/>
                <wp:positionH relativeFrom="column">
                  <wp:posOffset>5260975</wp:posOffset>
                </wp:positionH>
                <wp:positionV relativeFrom="paragraph">
                  <wp:posOffset>4086860</wp:posOffset>
                </wp:positionV>
                <wp:extent cx="571500" cy="571500"/>
                <wp:effectExtent l="177800" t="177800" r="0" b="190500"/>
                <wp:wrapThrough wrapText="bothSides">
                  <wp:wrapPolygon edited="0">
                    <wp:start x="-3196" y="-191"/>
                    <wp:lineTo x="-12659" y="10831"/>
                    <wp:lineTo x="-2429" y="22289"/>
                    <wp:lineTo x="18542" y="24157"/>
                    <wp:lineTo x="20537" y="24950"/>
                    <wp:lineTo x="24834" y="21114"/>
                    <wp:lineTo x="23555" y="19681"/>
                    <wp:lineTo x="8875" y="14770"/>
                    <wp:lineTo x="6881" y="13978"/>
                    <wp:lineTo x="2303" y="-1240"/>
                    <wp:lineTo x="385" y="-3388"/>
                    <wp:lineTo x="-3196" y="-191"/>
                  </wp:wrapPolygon>
                </wp:wrapThrough>
                <wp:docPr id="386" name="Forme en L 386"/>
                <wp:cNvGraphicFramePr/>
                <a:graphic xmlns:a="http://schemas.openxmlformats.org/drawingml/2006/main">
                  <a:graphicData uri="http://schemas.microsoft.com/office/word/2010/wordprocessingShape">
                    <wps:wsp>
                      <wps:cNvSpPr/>
                      <wps:spPr>
                        <a:xfrm rot="2505501">
                          <a:off x="0" y="0"/>
                          <a:ext cx="571500" cy="571500"/>
                        </a:xfrm>
                        <a:prstGeom prst="corner">
                          <a:avLst>
                            <a:gd name="adj1" fmla="val 19177"/>
                            <a:gd name="adj2" fmla="val 19116"/>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orme en L 386" o:spid="_x0000_s1026" style="position:absolute;margin-left:414.25pt;margin-top:321.8pt;width:45pt;height:45pt;rotation:2736675fd;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71500,571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" path="m0,0l109248,,109248,461903,571500,461903,571500,571500,,571500,,0xe" fillcolor="maroon">
                <v:path arrowok="t" o:connecttype="custom" o:connectlocs="0,0;109248,0;109248,461903;571500,461903;571500,571500;0,571500;0,0" o:connectangles="0,0,0,0,0,0,0"/>
                <w10:wrap type="through"/>
              </v:shape>
            </w:pict>
          </mc:Fallback>
        </mc:AlternateContent>
      </w:r>
      <w:r w:rsidR="006F44D0">
        <w:rPr>
          <w:noProof/>
          <w:lang w:eastAsia="fr-FR"/>
        </w:rPr>
        <mc:AlternateContent>
          <mc:Choice Requires="wps">
            <w:drawing>
              <wp:anchor distT="0" distB="0" distL="114300" distR="114300" simplePos="0" relativeHeight="252515328" behindDoc="0" locked="0" layoutInCell="1" allowOverlap="1" wp14:anchorId="2EDE1667" wp14:editId="70F24564">
                <wp:simplePos x="0" y="0"/>
                <wp:positionH relativeFrom="column">
                  <wp:posOffset>2628900</wp:posOffset>
                </wp:positionH>
                <wp:positionV relativeFrom="paragraph">
                  <wp:posOffset>3969385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445" name="Croix 445"/>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Croix 445" o:spid="_x0000_s1026" style="position:absolute;margin-left:207pt;margin-top:312.55pt;width:64.8pt;height:64.8pt;z-index:252515328;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" path="m109083,314700l314700,314700,314700,109083,508260,109083,508260,314700,713877,314700,713877,508260,508260,508260,508260,713877,314700,713877,314700,508260,109083,508260,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r w:rsidR="000F66D0">
        <w:rPr>
          <w:noProof/>
          <w:lang w:eastAsia="fr-FR"/>
        </w:rPr>
        <mc:AlternateContent>
          <mc:Choice Requires="wps">
            <w:drawing>
              <wp:anchor distT="0" distB="0" distL="114300" distR="114300" simplePos="0" relativeHeight="252474368" behindDoc="0" locked="0" layoutInCell="1" allowOverlap="1" wp14:anchorId="5680D988" wp14:editId="08F1AAE3">
                <wp:simplePos x="0" y="0"/>
                <wp:positionH relativeFrom="column">
                  <wp:posOffset>3372485</wp:posOffset>
                </wp:positionH>
                <wp:positionV relativeFrom="paragraph">
                  <wp:posOffset>2654300</wp:posOffset>
                </wp:positionV>
                <wp:extent cx="1714500" cy="687070"/>
                <wp:effectExtent l="0" t="70485" r="0" b="69215"/>
                <wp:wrapThrough wrapText="bothSides">
                  <wp:wrapPolygon edited="0">
                    <wp:start x="22488" y="3014"/>
                    <wp:lineTo x="6168" y="3014"/>
                    <wp:lineTo x="1368" y="4611"/>
                    <wp:lineTo x="-552" y="7806"/>
                    <wp:lineTo x="-552" y="13395"/>
                    <wp:lineTo x="1368" y="16589"/>
                    <wp:lineTo x="6168" y="18186"/>
                    <wp:lineTo x="22488" y="18186"/>
                    <wp:lineTo x="22488" y="3014"/>
                  </wp:wrapPolygon>
                </wp:wrapThrough>
                <wp:docPr id="409" name="Flèche vers la gauche 409"/>
                <wp:cNvGraphicFramePr/>
                <a:graphic xmlns:a="http://schemas.openxmlformats.org/drawingml/2006/main">
                  <a:graphicData uri="http://schemas.microsoft.com/office/word/2010/wordprocessingShape">
                    <wps:wsp>
                      <wps:cNvSpPr/>
                      <wps:spPr>
                        <a:xfrm rot="16200000">
                          <a:off x="0" y="0"/>
                          <a:ext cx="1714500" cy="687070"/>
                        </a:xfrm>
                        <a:prstGeom prst="leftArrow">
                          <a:avLst/>
                        </a:prstGeom>
                        <a:solidFill>
                          <a:srgbClr val="000000"/>
                        </a:solidFill>
                        <a:ln w="19050" cmpd="sng">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F87AE99" w14:textId="77777777" w:rsidR="00573C95" w:rsidRPr="00190FCD" w:rsidRDefault="00573C95" w:rsidP="00973478">
                            <w:pPr>
                              <w:jc w:val="center"/>
                              <w:rPr>
                                <w:sz w:val="22"/>
                                <w:szCs w:val="22"/>
                              </w:rPr>
                            </w:pPr>
                            <w:r>
                              <w:rPr>
                                <w:sz w:val="22"/>
                                <w:szCs w:val="22"/>
                              </w:rPr>
                              <w:t>Report 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id="Flèche vers la gauche 409" o:spid="_x0000_s1263" type="#_x0000_t66" style="position:absolute;margin-left:265.55pt;margin-top:209pt;width:135pt;height:54.1pt;rotation:-90;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" adj="4328" fillcolor="black" stroked="f" strokeweight="1.5pt">
                <v:textbox>
                  <w:txbxContent>
                    <w:p w14:paraId="6F87AE99" w14:textId="77777777" w:rsidR="001501D6" w:rsidRPr="00190FCD" w:rsidRDefault="001501D6" w:rsidP="00973478">
                      <w:pPr>
                        <w:jc w:val="center"/>
                        <w:rPr>
                          <w:sz w:val="22"/>
                          <w:szCs w:val="22"/>
                        </w:rPr>
                      </w:pPr>
                      <w:r>
                        <w:rPr>
                          <w:sz w:val="22"/>
                          <w:szCs w:val="22"/>
                        </w:rPr>
                        <w:t>Report impôt</w:t>
                      </w:r>
                    </w:p>
                  </w:txbxContent>
                </v:textbox>
                <w10:wrap type="through"/>
              </v:shape>
            </w:pict>
          </mc:Fallback>
        </mc:AlternateContent>
      </w:r>
      <w:r w:rsidR="000F66D0">
        <w:rPr>
          <w:noProof/>
          <w:lang w:eastAsia="fr-FR"/>
        </w:rPr>
        <mc:AlternateContent>
          <mc:Choice Requires="wps">
            <w:drawing>
              <wp:anchor distT="0" distB="0" distL="114300" distR="114300" simplePos="0" relativeHeight="252475392" behindDoc="0" locked="0" layoutInCell="1" allowOverlap="1" wp14:anchorId="128D6E15" wp14:editId="48425D68">
                <wp:simplePos x="0" y="0"/>
                <wp:positionH relativeFrom="column">
                  <wp:posOffset>3657600</wp:posOffset>
                </wp:positionH>
                <wp:positionV relativeFrom="paragraph">
                  <wp:posOffset>3855085</wp:posOffset>
                </wp:positionV>
                <wp:extent cx="1143000" cy="1143000"/>
                <wp:effectExtent l="76200" t="76200" r="76200" b="76200"/>
                <wp:wrapNone/>
                <wp:docPr id="408" name="Ellipse 408"/>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1C36B29" w14:textId="7EB53A53" w:rsidR="00573C95" w:rsidRPr="00406605" w:rsidRDefault="00573C95" w:rsidP="00973478">
                            <w:pPr>
                              <w:jc w:val="center"/>
                              <w:rPr>
                                <w:sz w:val="22"/>
                                <w:szCs w:val="22"/>
                              </w:rPr>
                            </w:pPr>
                            <w:r>
                              <w:rPr>
                                <w:sz w:val="22"/>
                                <w:szCs w:val="22"/>
                              </w:rPr>
                              <w:t>14 949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08" o:spid="_x0000_s1264" style="position:absolute;margin-left:4in;margin-top:303.55pt;width:90pt;height:90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" fillcolor="#909465" strokecolor="black [3213]">
                <v:textbox>
                  <w:txbxContent>
                    <w:p w14:paraId="31C36B29" w14:textId="7EB53A53" w:rsidR="001501D6" w:rsidRPr="00406605" w:rsidRDefault="001501D6" w:rsidP="00973478">
                      <w:pPr>
                        <w:jc w:val="center"/>
                        <w:rPr>
                          <w:sz w:val="22"/>
                          <w:szCs w:val="22"/>
                        </w:rPr>
                      </w:pPr>
                      <w:r>
                        <w:rPr>
                          <w:sz w:val="22"/>
                          <w:szCs w:val="22"/>
                        </w:rPr>
                        <w:t>14 949</w:t>
                      </w:r>
                      <w:r w:rsidRPr="00406605">
                        <w:rPr>
                          <w:sz w:val="22"/>
                          <w:szCs w:val="22"/>
                        </w:rPr>
                        <w:t xml:space="preserve"> $</w:t>
                      </w:r>
                    </w:p>
                  </w:txbxContent>
                </v:textbox>
              </v:oval>
            </w:pict>
          </mc:Fallback>
        </mc:AlternateContent>
      </w:r>
      <w:r w:rsidR="000F66D0">
        <w:rPr>
          <w:noProof/>
          <w:lang w:eastAsia="fr-FR"/>
        </w:rPr>
        <mc:AlternateContent>
          <mc:Choice Requires="wps">
            <w:drawing>
              <wp:anchor distT="0" distB="0" distL="114300" distR="114300" simplePos="0" relativeHeight="252469248" behindDoc="0" locked="0" layoutInCell="1" allowOverlap="1" wp14:anchorId="075459D7" wp14:editId="30819D3D">
                <wp:simplePos x="0" y="0"/>
                <wp:positionH relativeFrom="column">
                  <wp:posOffset>1257300</wp:posOffset>
                </wp:positionH>
                <wp:positionV relativeFrom="paragraph">
                  <wp:posOffset>3855085</wp:posOffset>
                </wp:positionV>
                <wp:extent cx="1143000" cy="1143000"/>
                <wp:effectExtent l="76200" t="76200" r="76200" b="76200"/>
                <wp:wrapNone/>
                <wp:docPr id="407" name="Ellipse 407"/>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09168D8" w14:textId="4E2B90DE" w:rsidR="00573C95" w:rsidRPr="00406605" w:rsidRDefault="00573C95" w:rsidP="00973478">
                            <w:pPr>
                              <w:jc w:val="center"/>
                              <w:rPr>
                                <w:sz w:val="22"/>
                                <w:szCs w:val="22"/>
                              </w:rPr>
                            </w:pPr>
                            <w:r>
                              <w:rPr>
                                <w:sz w:val="22"/>
                                <w:szCs w:val="22"/>
                              </w:rPr>
                              <w:t>3</w:t>
                            </w:r>
                            <w:r w:rsidRPr="00406605">
                              <w:rPr>
                                <w:sz w:val="22"/>
                                <w:szCs w:val="22"/>
                              </w:rPr>
                              <w:t xml:space="preserve">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07" o:spid="_x0000_s1265" style="position:absolute;margin-left:99pt;margin-top:303.55pt;width:90pt;height:90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" fillcolor="#909465" strokecolor="black [3213]">
                <v:textbox>
                  <w:txbxContent>
                    <w:p w14:paraId="209168D8" w14:textId="4E2B90DE" w:rsidR="001501D6" w:rsidRPr="00406605" w:rsidRDefault="001501D6" w:rsidP="00973478">
                      <w:pPr>
                        <w:jc w:val="center"/>
                        <w:rPr>
                          <w:sz w:val="22"/>
                          <w:szCs w:val="22"/>
                        </w:rPr>
                      </w:pPr>
                      <w:r>
                        <w:rPr>
                          <w:sz w:val="22"/>
                          <w:szCs w:val="22"/>
                        </w:rPr>
                        <w:t>3</w:t>
                      </w:r>
                      <w:r w:rsidRPr="00406605">
                        <w:rPr>
                          <w:sz w:val="22"/>
                          <w:szCs w:val="22"/>
                        </w:rPr>
                        <w:t xml:space="preserve"> 000 $</w:t>
                      </w:r>
                    </w:p>
                  </w:txbxContent>
                </v:textbox>
              </v:oval>
            </w:pict>
          </mc:Fallback>
        </mc:AlternateContent>
      </w:r>
      <w:r w:rsidR="00155DE5">
        <w:rPr>
          <w:noProof/>
          <w:lang w:eastAsia="fr-FR"/>
        </w:rPr>
        <mc:AlternateContent>
          <mc:Choice Requires="wps">
            <w:drawing>
              <wp:anchor distT="0" distB="0" distL="114300" distR="114300" simplePos="0" relativeHeight="252468224" behindDoc="0" locked="0" layoutInCell="1" allowOverlap="1" wp14:anchorId="3BF2D661" wp14:editId="1BC35ADD">
                <wp:simplePos x="0" y="0"/>
                <wp:positionH relativeFrom="column">
                  <wp:posOffset>974090</wp:posOffset>
                </wp:positionH>
                <wp:positionV relativeFrom="paragraph">
                  <wp:posOffset>2535555</wp:posOffset>
                </wp:positionV>
                <wp:extent cx="1715770" cy="922655"/>
                <wp:effectExtent l="0" t="86043" r="1588" b="77787"/>
                <wp:wrapThrough wrapText="bothSides">
                  <wp:wrapPolygon edited="0">
                    <wp:start x="22683" y="3204"/>
                    <wp:lineTo x="6375" y="3204"/>
                    <wp:lineTo x="1579" y="4987"/>
                    <wp:lineTo x="-20" y="7961"/>
                    <wp:lineTo x="-660" y="8555"/>
                    <wp:lineTo x="-660" y="12718"/>
                    <wp:lineTo x="-20" y="13312"/>
                    <wp:lineTo x="1579" y="15691"/>
                    <wp:lineTo x="4776" y="19853"/>
                    <wp:lineTo x="6695" y="21043"/>
                    <wp:lineTo x="22683" y="18069"/>
                    <wp:lineTo x="22683" y="3204"/>
                  </wp:wrapPolygon>
                </wp:wrapThrough>
                <wp:docPr id="406" name="Flèche vers la gauche 406"/>
                <wp:cNvGraphicFramePr/>
                <a:graphic xmlns:a="http://schemas.openxmlformats.org/drawingml/2006/main">
                  <a:graphicData uri="http://schemas.microsoft.com/office/word/2010/wordprocessingShape">
                    <wps:wsp>
                      <wps:cNvSpPr/>
                      <wps:spPr>
                        <a:xfrm rot="16200000">
                          <a:off x="0" y="0"/>
                          <a:ext cx="1715770" cy="922655"/>
                        </a:xfrm>
                        <a:prstGeom prst="leftArrow">
                          <a:avLst/>
                        </a:prstGeom>
                        <a:solidFill>
                          <a:srgbClr val="000000"/>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E79991" w14:textId="77777777" w:rsidR="00573C95" w:rsidRPr="00190FCD" w:rsidRDefault="00573C95" w:rsidP="00973478">
                            <w:pPr>
                              <w:jc w:val="center"/>
                              <w:rPr>
                                <w:sz w:val="22"/>
                                <w:szCs w:val="22"/>
                              </w:rPr>
                            </w:pPr>
                            <w:r>
                              <w:rPr>
                                <w:sz w:val="22"/>
                                <w:szCs w:val="22"/>
                              </w:rPr>
                              <w:t>Remboursement impôt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406" o:spid="_x0000_s1266" type="#_x0000_t66" style="position:absolute;margin-left:76.7pt;margin-top:199.65pt;width:135.1pt;height:72.65pt;rotation:-90;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" adj="5808" fillcolor="black" strokecolor="green" strokeweight="2.25pt">
                <v:textbox>
                  <w:txbxContent>
                    <w:p w14:paraId="30E79991" w14:textId="77777777" w:rsidR="001501D6" w:rsidRPr="00190FCD" w:rsidRDefault="001501D6" w:rsidP="00973478">
                      <w:pPr>
                        <w:jc w:val="center"/>
                        <w:rPr>
                          <w:sz w:val="22"/>
                          <w:szCs w:val="22"/>
                        </w:rPr>
                      </w:pPr>
                      <w:r>
                        <w:rPr>
                          <w:sz w:val="22"/>
                          <w:szCs w:val="22"/>
                        </w:rPr>
                        <w:t>Remboursement impôt</w:t>
                      </w:r>
                    </w:p>
                  </w:txbxContent>
                </v:textbox>
                <w10:wrap type="through"/>
              </v:shape>
            </w:pict>
          </mc:Fallback>
        </mc:AlternateContent>
      </w:r>
      <w:r w:rsidR="00973478">
        <w:rPr>
          <w:noProof/>
          <w:lang w:eastAsia="fr-FR"/>
        </w:rPr>
        <mc:AlternateContent>
          <mc:Choice Requires="wps">
            <w:drawing>
              <wp:anchor distT="0" distB="0" distL="114300" distR="114300" simplePos="0" relativeHeight="252478464" behindDoc="0" locked="0" layoutInCell="1" allowOverlap="1" wp14:anchorId="6914E2E1" wp14:editId="0F4E2870">
                <wp:simplePos x="0" y="0"/>
                <wp:positionH relativeFrom="column">
                  <wp:posOffset>6172200</wp:posOffset>
                </wp:positionH>
                <wp:positionV relativeFrom="paragraph">
                  <wp:posOffset>3855085</wp:posOffset>
                </wp:positionV>
                <wp:extent cx="1143000" cy="1143000"/>
                <wp:effectExtent l="76200" t="76200" r="76200" b="76200"/>
                <wp:wrapNone/>
                <wp:docPr id="402" name="Ellipse 402"/>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4F85343" w14:textId="54EEE416" w:rsidR="00573C95" w:rsidRPr="00406605" w:rsidRDefault="00573C95" w:rsidP="00973478">
                            <w:pPr>
                              <w:jc w:val="center"/>
                              <w:rPr>
                                <w:sz w:val="22"/>
                                <w:szCs w:val="22"/>
                              </w:rPr>
                            </w:pPr>
                            <w:r>
                              <w:rPr>
                                <w:sz w:val="22"/>
                                <w:szCs w:val="22"/>
                              </w:rPr>
                              <w:t>21 609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02" o:spid="_x0000_s1267" style="position:absolute;margin-left:486pt;margin-top:303.55pt;width:90pt;height:90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" fillcolor="#909465" strokecolor="black [3213]">
                <v:textbox>
                  <w:txbxContent>
                    <w:p w14:paraId="34F85343" w14:textId="54EEE416" w:rsidR="001501D6" w:rsidRPr="00406605" w:rsidRDefault="001501D6" w:rsidP="00973478">
                      <w:pPr>
                        <w:jc w:val="center"/>
                        <w:rPr>
                          <w:sz w:val="22"/>
                          <w:szCs w:val="22"/>
                        </w:rPr>
                      </w:pPr>
                      <w:r>
                        <w:rPr>
                          <w:sz w:val="22"/>
                          <w:szCs w:val="22"/>
                        </w:rPr>
                        <w:t>21 609</w:t>
                      </w:r>
                      <w:r w:rsidRPr="00406605">
                        <w:rPr>
                          <w:sz w:val="22"/>
                          <w:szCs w:val="22"/>
                        </w:rPr>
                        <w:t xml:space="preserve"> $</w:t>
                      </w:r>
                    </w:p>
                  </w:txbxContent>
                </v:textbox>
              </v:oval>
            </w:pict>
          </mc:Fallback>
        </mc:AlternateContent>
      </w:r>
      <w:r w:rsidR="00973478">
        <w:rPr>
          <w:noProof/>
          <w:lang w:eastAsia="fr-FR"/>
        </w:rPr>
        <mc:AlternateContent>
          <mc:Choice Requires="wps">
            <w:drawing>
              <wp:anchor distT="0" distB="0" distL="114300" distR="114300" simplePos="0" relativeHeight="252476416" behindDoc="0" locked="0" layoutInCell="1" allowOverlap="1" wp14:anchorId="6F57587C" wp14:editId="04EA8F0D">
                <wp:simplePos x="0" y="0"/>
                <wp:positionH relativeFrom="column">
                  <wp:posOffset>7025206</wp:posOffset>
                </wp:positionH>
                <wp:positionV relativeFrom="paragraph">
                  <wp:posOffset>460316</wp:posOffset>
                </wp:positionV>
                <wp:extent cx="1569720" cy="662940"/>
                <wp:effectExtent l="25400" t="279400" r="0" b="327660"/>
                <wp:wrapNone/>
                <wp:docPr id="403" name="Flèche vers la droite 403"/>
                <wp:cNvGraphicFramePr/>
                <a:graphic xmlns:a="http://schemas.openxmlformats.org/drawingml/2006/main">
                  <a:graphicData uri="http://schemas.microsoft.com/office/word/2010/wordprocessingShape">
                    <wps:wsp>
                      <wps:cNvSpPr/>
                      <wps:spPr>
                        <a:xfrm rot="19597282">
                          <a:off x="0" y="0"/>
                          <a:ext cx="1569720" cy="662940"/>
                        </a:xfrm>
                        <a:prstGeom prst="rightArrow">
                          <a:avLst/>
                        </a:prstGeom>
                        <a:solidFill>
                          <a:schemeClr val="tx1"/>
                        </a:solidFill>
                        <a:ln w="28575" cmpd="sng">
                          <a:solidFill>
                            <a:srgbClr val="008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24E8BF1" w14:textId="77777777" w:rsidR="00573C95" w:rsidRPr="00406605" w:rsidRDefault="00573C95" w:rsidP="00973478">
                            <w:pPr>
                              <w:jc w:val="center"/>
                              <w:rPr>
                                <w:sz w:val="22"/>
                                <w:szCs w:val="22"/>
                              </w:rPr>
                            </w:pPr>
                            <w:r>
                              <w:rPr>
                                <w:sz w:val="22"/>
                                <w:szCs w:val="22"/>
                              </w:rPr>
                              <w:t>Retrait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droite 403" o:spid="_x0000_s1268" type="#_x0000_t13" style="position:absolute;margin-left:553.15pt;margin-top:36.25pt;width:123.6pt;height:52.2pt;rotation:-2187502fd;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" adj="17039" fillcolor="black [3213]" strokecolor="green" strokeweight="2.25pt">
                <v:textbox>
                  <w:txbxContent>
                    <w:p w14:paraId="324E8BF1" w14:textId="77777777" w:rsidR="001501D6" w:rsidRPr="00406605" w:rsidRDefault="001501D6" w:rsidP="00973478">
                      <w:pPr>
                        <w:jc w:val="center"/>
                        <w:rPr>
                          <w:sz w:val="22"/>
                          <w:szCs w:val="22"/>
                        </w:rPr>
                      </w:pPr>
                      <w:r>
                        <w:rPr>
                          <w:sz w:val="22"/>
                          <w:szCs w:val="22"/>
                        </w:rPr>
                        <w:t>Retrait</w:t>
                      </w:r>
                    </w:p>
                  </w:txbxContent>
                </v:textbox>
              </v:shape>
            </w:pict>
          </mc:Fallback>
        </mc:AlternateContent>
      </w:r>
      <w:r w:rsidR="00973478">
        <w:rPr>
          <w:noProof/>
          <w:lang w:eastAsia="fr-FR"/>
        </w:rPr>
        <mc:AlternateContent>
          <mc:Choice Requires="wps">
            <w:drawing>
              <wp:anchor distT="0" distB="0" distL="114300" distR="114300" simplePos="0" relativeHeight="252466176" behindDoc="0" locked="0" layoutInCell="1" allowOverlap="1" wp14:anchorId="357E9EE5" wp14:editId="55A2815F">
                <wp:simplePos x="0" y="0"/>
                <wp:positionH relativeFrom="column">
                  <wp:posOffset>-114300</wp:posOffset>
                </wp:positionH>
                <wp:positionV relativeFrom="paragraph">
                  <wp:posOffset>614680</wp:posOffset>
                </wp:positionV>
                <wp:extent cx="1548765" cy="662940"/>
                <wp:effectExtent l="0" t="330200" r="0" b="276860"/>
                <wp:wrapNone/>
                <wp:docPr id="404" name="Flèche vers la droite 404"/>
                <wp:cNvGraphicFramePr/>
                <a:graphic xmlns:a="http://schemas.openxmlformats.org/drawingml/2006/main">
                  <a:graphicData uri="http://schemas.microsoft.com/office/word/2010/wordprocessingShape">
                    <wps:wsp>
                      <wps:cNvSpPr/>
                      <wps:spPr>
                        <a:xfrm rot="2037712">
                          <a:off x="0" y="0"/>
                          <a:ext cx="1548765" cy="662940"/>
                        </a:xfrm>
                        <a:prstGeom prst="rightArrow">
                          <a:avLst/>
                        </a:prstGeom>
                        <a:solidFill>
                          <a:schemeClr val="tx1"/>
                        </a:solidFill>
                        <a:ln w="28575" cmpd="sng">
                          <a:solidFill>
                            <a:srgbClr val="8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2B1424C" w14:textId="77777777" w:rsidR="00573C95" w:rsidRPr="00406605" w:rsidRDefault="00573C95" w:rsidP="00973478">
                            <w:pPr>
                              <w:jc w:val="center"/>
                              <w:rPr>
                                <w:sz w:val="22"/>
                                <w:szCs w:val="22"/>
                              </w:rPr>
                            </w:pPr>
                            <w:r w:rsidRPr="00406605">
                              <w:rPr>
                                <w:sz w:val="22"/>
                                <w:szCs w:val="22"/>
                              </w:rPr>
                              <w:t>Cotisation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droite 404" o:spid="_x0000_s1269" type="#_x0000_t13" style="position:absolute;margin-left:-8.95pt;margin-top:48.4pt;width:121.95pt;height:52.2pt;rotation:2225725fd;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" adj="16977" fillcolor="black [3213]" strokecolor="maroon" strokeweight="2.25pt">
                <v:textbox>
                  <w:txbxContent>
                    <w:p w14:paraId="72B1424C" w14:textId="77777777" w:rsidR="001501D6" w:rsidRPr="00406605" w:rsidRDefault="001501D6" w:rsidP="00973478">
                      <w:pPr>
                        <w:jc w:val="center"/>
                        <w:rPr>
                          <w:sz w:val="22"/>
                          <w:szCs w:val="22"/>
                        </w:rPr>
                      </w:pPr>
                      <w:r w:rsidRPr="00406605">
                        <w:rPr>
                          <w:sz w:val="22"/>
                          <w:szCs w:val="22"/>
                        </w:rPr>
                        <w:t>Cotisation</w:t>
                      </w:r>
                    </w:p>
                  </w:txbxContent>
                </v:textbox>
              </v:shape>
            </w:pict>
          </mc:Fallback>
        </mc:AlternateContent>
      </w:r>
      <w:r w:rsidR="00973478">
        <w:rPr>
          <w:noProof/>
          <w:lang w:eastAsia="fr-FR"/>
        </w:rPr>
        <mc:AlternateContent>
          <mc:Choice Requires="wps">
            <w:drawing>
              <wp:anchor distT="0" distB="0" distL="114300" distR="114300" simplePos="0" relativeHeight="252477440" behindDoc="0" locked="0" layoutInCell="1" allowOverlap="1" wp14:anchorId="5649EC9B" wp14:editId="0B6701C2">
                <wp:simplePos x="0" y="0"/>
                <wp:positionH relativeFrom="column">
                  <wp:posOffset>5859780</wp:posOffset>
                </wp:positionH>
                <wp:positionV relativeFrom="paragraph">
                  <wp:posOffset>2567305</wp:posOffset>
                </wp:positionV>
                <wp:extent cx="1776095" cy="922655"/>
                <wp:effectExtent l="0" t="81280" r="47625" b="73025"/>
                <wp:wrapThrough wrapText="bothSides">
                  <wp:wrapPolygon edited="0">
                    <wp:start x="22588" y="3092"/>
                    <wp:lineTo x="6834" y="3092"/>
                    <wp:lineTo x="2201" y="3687"/>
                    <wp:lineTo x="39" y="7849"/>
                    <wp:lineTo x="-579" y="8444"/>
                    <wp:lineTo x="-579" y="12606"/>
                    <wp:lineTo x="39" y="13201"/>
                    <wp:lineTo x="2201" y="17363"/>
                    <wp:lineTo x="6526" y="22120"/>
                    <wp:lineTo x="7143" y="19147"/>
                    <wp:lineTo x="22588" y="17958"/>
                    <wp:lineTo x="22588" y="3092"/>
                  </wp:wrapPolygon>
                </wp:wrapThrough>
                <wp:docPr id="405" name="Flèche vers la gauche 405"/>
                <wp:cNvGraphicFramePr/>
                <a:graphic xmlns:a="http://schemas.openxmlformats.org/drawingml/2006/main">
                  <a:graphicData uri="http://schemas.microsoft.com/office/word/2010/wordprocessingShape">
                    <wps:wsp>
                      <wps:cNvSpPr/>
                      <wps:spPr>
                        <a:xfrm rot="16200000">
                          <a:off x="0" y="0"/>
                          <a:ext cx="1776095" cy="922655"/>
                        </a:xfrm>
                        <a:prstGeom prst="leftArrow">
                          <a:avLst/>
                        </a:prstGeom>
                        <a:solidFill>
                          <a:srgbClr val="000000"/>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A3C2AC3" w14:textId="77777777" w:rsidR="00573C95" w:rsidRPr="00190FCD" w:rsidRDefault="00573C95" w:rsidP="00973478">
                            <w:pPr>
                              <w:jc w:val="center"/>
                              <w:rPr>
                                <w:sz w:val="22"/>
                                <w:szCs w:val="22"/>
                              </w:rPr>
                            </w:pPr>
                            <w:r>
                              <w:rPr>
                                <w:sz w:val="22"/>
                                <w:szCs w:val="22"/>
                              </w:rPr>
                              <w:t>Impôt à payer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id="Flèche vers la gauche 405" o:spid="_x0000_s1270" type="#_x0000_t66" style="position:absolute;margin-left:461.4pt;margin-top:202.15pt;width:139.85pt;height:72.65pt;rotation:-90;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" adj="5610" fillcolor="black" strokecolor="maroon" strokeweight="2.25pt">
                <v:textbox>
                  <w:txbxContent>
                    <w:p w14:paraId="3A3C2AC3" w14:textId="77777777" w:rsidR="001501D6" w:rsidRPr="00190FCD" w:rsidRDefault="001501D6" w:rsidP="00973478">
                      <w:pPr>
                        <w:jc w:val="center"/>
                        <w:rPr>
                          <w:sz w:val="22"/>
                          <w:szCs w:val="22"/>
                        </w:rPr>
                      </w:pPr>
                      <w:r>
                        <w:rPr>
                          <w:sz w:val="22"/>
                          <w:szCs w:val="22"/>
                        </w:rPr>
                        <w:t>Impôt à payer</w:t>
                      </w:r>
                    </w:p>
                  </w:txbxContent>
                </v:textbox>
                <w10:wrap type="through"/>
              </v:shape>
            </w:pict>
          </mc:Fallback>
        </mc:AlternateContent>
      </w:r>
      <w:r w:rsidR="00973478">
        <w:rPr>
          <w:noProof/>
          <w:lang w:eastAsia="fr-FR"/>
        </w:rPr>
        <mc:AlternateContent>
          <mc:Choice Requires="wps">
            <w:drawing>
              <wp:anchor distT="0" distB="0" distL="114300" distR="114300" simplePos="0" relativeHeight="252470272" behindDoc="0" locked="0" layoutInCell="1" allowOverlap="1" wp14:anchorId="5A3570EF" wp14:editId="4F3A5CE9">
                <wp:simplePos x="0" y="0"/>
                <wp:positionH relativeFrom="column">
                  <wp:posOffset>3657600</wp:posOffset>
                </wp:positionH>
                <wp:positionV relativeFrom="paragraph">
                  <wp:posOffset>997585</wp:posOffset>
                </wp:positionV>
                <wp:extent cx="1143000" cy="1143000"/>
                <wp:effectExtent l="76200" t="76200" r="76200" b="76200"/>
                <wp:wrapNone/>
                <wp:docPr id="410" name="Ellipse 410"/>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783F475" w14:textId="5CB8498D" w:rsidR="00573C95" w:rsidRPr="00406605" w:rsidRDefault="00573C95" w:rsidP="00973478">
                            <w:pPr>
                              <w:jc w:val="center"/>
                              <w:rPr>
                                <w:sz w:val="22"/>
                                <w:szCs w:val="22"/>
                              </w:rPr>
                            </w:pPr>
                            <w:r>
                              <w:rPr>
                                <w:sz w:val="22"/>
                                <w:szCs w:val="22"/>
                              </w:rPr>
                              <w:t>33 219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10" o:spid="_x0000_s1271" style="position:absolute;margin-left:4in;margin-top:78.55pt;width:90pt;height:90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" fillcolor="#94c600 [3204]" strokecolor="black [3213]">
                <v:fill color2="#84b100 [2884]" rotate="t" focus="100%" type="gradient">
                  <o:fill v:ext="view" type="gradientUnscaled"/>
                </v:fill>
                <v:textbox>
                  <w:txbxContent>
                    <w:p w14:paraId="5783F475" w14:textId="5CB8498D" w:rsidR="001501D6" w:rsidRPr="00406605" w:rsidRDefault="001501D6" w:rsidP="00973478">
                      <w:pPr>
                        <w:jc w:val="center"/>
                        <w:rPr>
                          <w:sz w:val="22"/>
                          <w:szCs w:val="22"/>
                        </w:rPr>
                      </w:pPr>
                      <w:r>
                        <w:rPr>
                          <w:sz w:val="22"/>
                          <w:szCs w:val="22"/>
                        </w:rPr>
                        <w:t>33 219</w:t>
                      </w:r>
                      <w:r w:rsidRPr="00406605">
                        <w:rPr>
                          <w:sz w:val="22"/>
                          <w:szCs w:val="22"/>
                        </w:rPr>
                        <w:t xml:space="preserve"> $</w:t>
                      </w:r>
                    </w:p>
                  </w:txbxContent>
                </v:textbox>
              </v:oval>
            </w:pict>
          </mc:Fallback>
        </mc:AlternateContent>
      </w:r>
      <w:r w:rsidR="00973478">
        <w:rPr>
          <w:noProof/>
          <w:color w:val="000000" w:themeColor="text1"/>
          <w:lang w:eastAsia="fr-FR"/>
        </w:rPr>
        <mc:AlternateContent>
          <mc:Choice Requires="wps">
            <w:drawing>
              <wp:anchor distT="0" distB="0" distL="114300" distR="114300" simplePos="0" relativeHeight="252465152" behindDoc="0" locked="0" layoutInCell="1" allowOverlap="1" wp14:anchorId="0D0B398E" wp14:editId="02ABA713">
                <wp:simplePos x="0" y="0"/>
                <wp:positionH relativeFrom="column">
                  <wp:posOffset>1371600</wp:posOffset>
                </wp:positionH>
                <wp:positionV relativeFrom="paragraph">
                  <wp:posOffset>540385</wp:posOffset>
                </wp:positionV>
                <wp:extent cx="7658100" cy="342900"/>
                <wp:effectExtent l="0" t="0" r="0" b="12700"/>
                <wp:wrapSquare wrapText="bothSides"/>
                <wp:docPr id="411" name="Zone de texte 411"/>
                <wp:cNvGraphicFramePr/>
                <a:graphic xmlns:a="http://schemas.openxmlformats.org/drawingml/2006/main">
                  <a:graphicData uri="http://schemas.microsoft.com/office/word/2010/wordprocessingShape">
                    <wps:wsp>
                      <wps:cNvSpPr txBox="1"/>
                      <wps:spPr>
                        <a:xfrm>
                          <a:off x="0" y="0"/>
                          <a:ext cx="7658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CCB45B" w14:textId="77777777" w:rsidR="00573C95" w:rsidRPr="00406605" w:rsidRDefault="00573C95" w:rsidP="00973478">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  REÉR</w:t>
                            </w:r>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1" o:spid="_x0000_s1272" type="#_x0000_t202" style="position:absolute;margin-left:108pt;margin-top:42.55pt;width:603pt;height:27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" filled="f" stroked="f">
                <v:textbox>
                  <w:txbxContent>
                    <w:p w14:paraId="27CCB45B" w14:textId="77777777" w:rsidR="001501D6" w:rsidRPr="00406605" w:rsidRDefault="001501D6" w:rsidP="00973478">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  REÉR</w:t>
                      </w:r>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v:textbox>
                <w10:wrap type="square"/>
              </v:shape>
            </w:pict>
          </mc:Fallback>
        </mc:AlternateContent>
      </w:r>
      <w:r w:rsidR="00973478">
        <w:rPr>
          <w:color w:val="000000" w:themeColor="text1"/>
          <w:u w:val="single"/>
        </w:rPr>
        <w:br w:type="page"/>
      </w:r>
      <w:r w:rsidR="00973478">
        <w:rPr>
          <w:noProof/>
          <w:lang w:eastAsia="fr-FR"/>
        </w:rPr>
        <mc:AlternateContent>
          <mc:Choice Requires="wps">
            <w:drawing>
              <wp:anchor distT="0" distB="0" distL="114300" distR="114300" simplePos="0" relativeHeight="252473344" behindDoc="0" locked="0" layoutInCell="1" allowOverlap="1" wp14:anchorId="0E353702" wp14:editId="67BDA1BA">
                <wp:simplePos x="0" y="0"/>
                <wp:positionH relativeFrom="column">
                  <wp:posOffset>5004435</wp:posOffset>
                </wp:positionH>
                <wp:positionV relativeFrom="paragraph">
                  <wp:posOffset>1089025</wp:posOffset>
                </wp:positionV>
                <wp:extent cx="822960" cy="822960"/>
                <wp:effectExtent l="0" t="0" r="0" b="0"/>
                <wp:wrapThrough wrapText="bothSides">
                  <wp:wrapPolygon edited="0">
                    <wp:start x="1333" y="2667"/>
                    <wp:lineTo x="1333" y="18000"/>
                    <wp:lineTo x="20000" y="18000"/>
                    <wp:lineTo x="20000" y="2667"/>
                    <wp:lineTo x="1333" y="2667"/>
                  </wp:wrapPolygon>
                </wp:wrapThrough>
                <wp:docPr id="412" name="Égal 412"/>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Égal 412" o:spid="_x0000_s1026" style="position:absolute;margin-left:394.05pt;margin-top:85.75pt;width:64.8pt;height:64.8pt;z-index:25247334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" path="m109083,169530l713877,169530,713877,363090,109083,363090,109083,169530xm109083,459870l713877,459870,713877,653430,109083,653430,109083,459870xe" fillcolor="black" strokecolor="#94c600 [3204]">
                <v:path arrowok="t" o:connecttype="custom" o:connectlocs="109083,169530;713877,169530;713877,363090;109083,363090;109083,169530;109083,459870;713877,459870;713877,653430;109083,653430;109083,459870" o:connectangles="0,0,0,0,0,0,0,0,0,0"/>
                <w10:wrap type="through"/>
              </v:shape>
            </w:pict>
          </mc:Fallback>
        </mc:AlternateContent>
      </w:r>
      <w:r w:rsidR="00973478">
        <w:rPr>
          <w:noProof/>
          <w:lang w:eastAsia="fr-FR"/>
        </w:rPr>
        <mc:AlternateContent>
          <mc:Choice Requires="wps">
            <w:drawing>
              <wp:anchor distT="0" distB="0" distL="114300" distR="114300" simplePos="0" relativeHeight="252472320" behindDoc="0" locked="0" layoutInCell="1" allowOverlap="1" wp14:anchorId="567EAA95" wp14:editId="5462FFC7">
                <wp:simplePos x="0" y="0"/>
                <wp:positionH relativeFrom="column">
                  <wp:posOffset>2594610</wp:posOffset>
                </wp:positionH>
                <wp:positionV relativeFrom="paragraph">
                  <wp:posOffset>1158875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413" name="Croix 413"/>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Croix 413" o:spid="_x0000_s1026" style="position:absolute;margin-left:204.3pt;margin-top:91.25pt;width:64.8pt;height:64.8pt;z-index:252472320;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" path="m109083,314700l314700,314700,314700,109083,508260,109083,508260,314700,713877,314700,713877,508260,508260,508260,508260,713877,314700,713877,314700,508260,109083,508260,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p>
    <w:p w14:paraId="79BDF672" w14:textId="4C8649B3" w:rsidR="00C26E61" w:rsidRDefault="00C26E61" w:rsidP="00C26E61">
      <w:pPr>
        <w:jc w:val="both"/>
        <w:rPr>
          <w:color w:val="000000" w:themeColor="text1"/>
          <w:u w:val="single"/>
        </w:rPr>
      </w:pPr>
      <w:r>
        <w:rPr>
          <w:color w:val="000000" w:themeColor="text1"/>
        </w:rPr>
        <w:lastRenderedPageBreak/>
        <w:t xml:space="preserve">Cas </w:t>
      </w:r>
      <w:r w:rsidR="001606B4">
        <w:rPr>
          <w:color w:val="000000" w:themeColor="text1"/>
        </w:rPr>
        <w:t xml:space="preserve">3 </w:t>
      </w:r>
      <w:r>
        <w:rPr>
          <w:color w:val="000000" w:themeColor="text1"/>
        </w:rPr>
        <w:t xml:space="preserve">- </w:t>
      </w:r>
      <w:r w:rsidRPr="00F27B04">
        <w:rPr>
          <w:color w:val="000000" w:themeColor="text1"/>
          <w:u w:val="single"/>
        </w:rPr>
        <w:t xml:space="preserve">Vous gagnez présentement </w:t>
      </w:r>
      <w:r w:rsidR="001606B4">
        <w:rPr>
          <w:color w:val="000000" w:themeColor="text1"/>
          <w:u w:val="single"/>
        </w:rPr>
        <w:t>135</w:t>
      </w:r>
      <w:r w:rsidRPr="00F27B04">
        <w:rPr>
          <w:color w:val="000000" w:themeColor="text1"/>
          <w:u w:val="single"/>
        </w:rPr>
        <w:t xml:space="preserve"> 000 $ et vous aurez besoin de </w:t>
      </w:r>
      <w:r w:rsidR="001606B4">
        <w:rPr>
          <w:color w:val="000000" w:themeColor="text1"/>
          <w:u w:val="single"/>
        </w:rPr>
        <w:t xml:space="preserve">80 </w:t>
      </w:r>
      <w:r w:rsidRPr="00F27B04">
        <w:rPr>
          <w:color w:val="000000" w:themeColor="text1"/>
          <w:u w:val="single"/>
        </w:rPr>
        <w:t xml:space="preserve"> 000 $ (en dollar d'aujourd'hui) à votre </w:t>
      </w:r>
      <w:r>
        <w:rPr>
          <w:color w:val="000000" w:themeColor="text1"/>
          <w:u w:val="single"/>
        </w:rPr>
        <w:t xml:space="preserve">   </w:t>
      </w:r>
      <w:r>
        <w:rPr>
          <w:noProof/>
          <w:lang w:eastAsia="fr-FR"/>
        </w:rPr>
        <mc:AlternateContent>
          <mc:Choice Requires="wps">
            <w:drawing>
              <wp:anchor distT="0" distB="0" distL="114300" distR="114300" simplePos="0" relativeHeight="252486656" behindDoc="0" locked="0" layoutInCell="1" allowOverlap="1" wp14:anchorId="4BC33CD5" wp14:editId="1C01A1EE">
                <wp:simplePos x="0" y="0"/>
                <wp:positionH relativeFrom="column">
                  <wp:posOffset>6172200</wp:posOffset>
                </wp:positionH>
                <wp:positionV relativeFrom="paragraph">
                  <wp:posOffset>1371600</wp:posOffset>
                </wp:positionV>
                <wp:extent cx="1143000" cy="1143000"/>
                <wp:effectExtent l="76200" t="76200" r="76200" b="76200"/>
                <wp:wrapNone/>
                <wp:docPr id="414" name="Ellipse 414"/>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0D3B946" w14:textId="47513799" w:rsidR="00573C95" w:rsidRPr="00406605" w:rsidRDefault="00573C95" w:rsidP="00C26E61">
                            <w:pPr>
                              <w:jc w:val="center"/>
                              <w:rPr>
                                <w:sz w:val="22"/>
                                <w:szCs w:val="22"/>
                              </w:rPr>
                            </w:pPr>
                            <w:r>
                              <w:rPr>
                                <w:sz w:val="22"/>
                                <w:szCs w:val="22"/>
                              </w:rPr>
                              <w:t>43 219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14" o:spid="_x0000_s1273" style="position:absolute;left:0;text-align:left;margin-left:486pt;margin-top:108pt;width:90pt;height:90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" fillcolor="#94c600 [3204]" strokecolor="black [3213]">
                <v:fill color2="#84b100 [2884]" rotate="t" focus="100%" type="gradient">
                  <o:fill v:ext="view" type="gradientUnscaled"/>
                </v:fill>
                <v:textbox>
                  <w:txbxContent>
                    <w:p w14:paraId="30D3B946" w14:textId="47513799" w:rsidR="001501D6" w:rsidRPr="00406605" w:rsidRDefault="001501D6" w:rsidP="00C26E61">
                      <w:pPr>
                        <w:jc w:val="center"/>
                        <w:rPr>
                          <w:sz w:val="22"/>
                          <w:szCs w:val="22"/>
                        </w:rPr>
                      </w:pPr>
                      <w:r>
                        <w:rPr>
                          <w:sz w:val="22"/>
                          <w:szCs w:val="22"/>
                        </w:rPr>
                        <w:t>43 219</w:t>
                      </w:r>
                      <w:r w:rsidRPr="00406605">
                        <w:rPr>
                          <w:sz w:val="22"/>
                          <w:szCs w:val="22"/>
                        </w:rPr>
                        <w:t xml:space="preserve"> $</w:t>
                      </w:r>
                    </w:p>
                  </w:txbxContent>
                </v:textbox>
              </v:oval>
            </w:pict>
          </mc:Fallback>
        </mc:AlternateContent>
      </w:r>
      <w:r>
        <w:rPr>
          <w:noProof/>
          <w:lang w:eastAsia="fr-FR"/>
        </w:rPr>
        <mc:AlternateContent>
          <mc:Choice Requires="wps">
            <w:drawing>
              <wp:anchor distT="0" distB="0" distL="114300" distR="114300" simplePos="0" relativeHeight="252482560" behindDoc="0" locked="0" layoutInCell="1" allowOverlap="1" wp14:anchorId="05ADE62E" wp14:editId="7B642775">
                <wp:simplePos x="0" y="0"/>
                <wp:positionH relativeFrom="column">
                  <wp:posOffset>1257300</wp:posOffset>
                </wp:positionH>
                <wp:positionV relativeFrom="paragraph">
                  <wp:posOffset>1371600</wp:posOffset>
                </wp:positionV>
                <wp:extent cx="1143000" cy="1143000"/>
                <wp:effectExtent l="76200" t="76200" r="76200" b="76200"/>
                <wp:wrapNone/>
                <wp:docPr id="415" name="Ellipse 415"/>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4531B81" w14:textId="77777777" w:rsidR="00573C95" w:rsidRPr="00406605" w:rsidRDefault="00573C95" w:rsidP="00C26E61">
                            <w:pPr>
                              <w:jc w:val="center"/>
                              <w:rPr>
                                <w:sz w:val="22"/>
                                <w:szCs w:val="22"/>
                              </w:rPr>
                            </w:pPr>
                            <w:r w:rsidRPr="00406605">
                              <w:rPr>
                                <w:sz w:val="22"/>
                                <w:szCs w:val="22"/>
                              </w:rPr>
                              <w:t>10 000 $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15" o:spid="_x0000_s1274" style="position:absolute;left:0;text-align:left;margin-left:99pt;margin-top:108pt;width:90pt;height:90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" fillcolor="#94c600 [3204]" strokecolor="black [3213]">
                <v:fill color2="#84b100 [2884]" rotate="t" focus="100%" type="gradient">
                  <o:fill v:ext="view" type="gradientUnscaled"/>
                </v:fill>
                <v:textbox>
                  <w:txbxContent>
                    <w:p w14:paraId="14531B81" w14:textId="77777777" w:rsidR="001501D6" w:rsidRPr="00406605" w:rsidRDefault="001501D6" w:rsidP="00C26E61">
                      <w:pPr>
                        <w:jc w:val="center"/>
                        <w:rPr>
                          <w:sz w:val="22"/>
                          <w:szCs w:val="22"/>
                        </w:rPr>
                      </w:pPr>
                      <w:r w:rsidRPr="00406605">
                        <w:rPr>
                          <w:sz w:val="22"/>
                          <w:szCs w:val="22"/>
                        </w:rPr>
                        <w:t>10 000 $</w:t>
                      </w:r>
                    </w:p>
                  </w:txbxContent>
                </v:textbox>
              </v:oval>
            </w:pict>
          </mc:Fallback>
        </mc:AlternateContent>
      </w:r>
      <w:r w:rsidRPr="00F27B04">
        <w:rPr>
          <w:color w:val="000000" w:themeColor="text1"/>
        </w:rPr>
        <w:tab/>
        <w:t xml:space="preserve"> </w:t>
      </w:r>
      <w:r w:rsidR="001606B4">
        <w:rPr>
          <w:color w:val="000000" w:themeColor="text1"/>
        </w:rPr>
        <w:t xml:space="preserve"> </w:t>
      </w:r>
      <w:r w:rsidRPr="00F27B04">
        <w:rPr>
          <w:color w:val="000000" w:themeColor="text1"/>
        </w:rPr>
        <w:t xml:space="preserve"> </w:t>
      </w:r>
      <w:r w:rsidRPr="00F27B04">
        <w:rPr>
          <w:color w:val="000000" w:themeColor="text1"/>
          <w:u w:val="single"/>
        </w:rPr>
        <w:t>retraite</w:t>
      </w:r>
      <w:r>
        <w:rPr>
          <w:color w:val="000000" w:themeColor="text1"/>
          <w:u w:val="single"/>
        </w:rPr>
        <w:t xml:space="preserve"> dans 30 années</w:t>
      </w:r>
      <w:r w:rsidR="001606B4">
        <w:rPr>
          <w:rStyle w:val="Marquenotebasdepage"/>
          <w:color w:val="000000" w:themeColor="text1"/>
          <w:u w:val="single"/>
        </w:rPr>
        <w:footnoteReference w:customMarkFollows="1" w:id="57"/>
        <w:t>54</w:t>
      </w:r>
    </w:p>
    <w:p w14:paraId="07A47904" w14:textId="73671738" w:rsidR="00C26E61" w:rsidRDefault="00B267D7" w:rsidP="00C26E61">
      <w:pPr>
        <w:rPr>
          <w:color w:val="000000" w:themeColor="text1"/>
          <w:u w:val="single"/>
        </w:rPr>
      </w:pPr>
      <w:r>
        <w:rPr>
          <w:noProof/>
          <w:lang w:eastAsia="fr-FR"/>
        </w:rPr>
        <mc:AlternateContent>
          <mc:Choice Requires="wps">
            <w:drawing>
              <wp:anchor distT="0" distB="0" distL="114300" distR="114300" simplePos="0" relativeHeight="252523520" behindDoc="0" locked="0" layoutInCell="1" allowOverlap="1" wp14:anchorId="7C2D7E71" wp14:editId="013CF247">
                <wp:simplePos x="0" y="0"/>
                <wp:positionH relativeFrom="column">
                  <wp:posOffset>5254625</wp:posOffset>
                </wp:positionH>
                <wp:positionV relativeFrom="paragraph">
                  <wp:posOffset>4080510</wp:posOffset>
                </wp:positionV>
                <wp:extent cx="571500" cy="571500"/>
                <wp:effectExtent l="0" t="177800" r="190500" b="190500"/>
                <wp:wrapThrough wrapText="bothSides">
                  <wp:wrapPolygon edited="0">
                    <wp:start x="25113" y="21132"/>
                    <wp:lineTo x="25664" y="17715"/>
                    <wp:lineTo x="8723" y="688"/>
                    <wp:lineTo x="430" y="-3076"/>
                    <wp:lineTo x="-2835" y="442"/>
                    <wp:lineTo x="-2080" y="2452"/>
                    <wp:lineTo x="-613" y="23455"/>
                    <wp:lineTo x="21848" y="24651"/>
                    <wp:lineTo x="25113" y="21132"/>
                  </wp:wrapPolygon>
                </wp:wrapThrough>
                <wp:docPr id="442" name="Forme en L 442"/>
                <wp:cNvGraphicFramePr/>
                <a:graphic xmlns:a="http://schemas.openxmlformats.org/drawingml/2006/main">
                  <a:graphicData uri="http://schemas.microsoft.com/office/word/2010/wordprocessingShape">
                    <wps:wsp>
                      <wps:cNvSpPr/>
                      <wps:spPr>
                        <a:xfrm rot="13628820">
                          <a:off x="0" y="0"/>
                          <a:ext cx="571500" cy="571500"/>
                        </a:xfrm>
                        <a:prstGeom prst="corner">
                          <a:avLst>
                            <a:gd name="adj1" fmla="val 19177"/>
                            <a:gd name="adj2" fmla="val 19116"/>
                          </a:avLst>
                        </a:prstGeom>
                        <a:solidFill>
                          <a:srgbClr val="008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orme en L 442" o:spid="_x0000_s1026" style="position:absolute;margin-left:413.75pt;margin-top:321.3pt;width:45pt;height:45pt;rotation:-8706654fd;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71500,571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" path="m0,0l109248,,109248,461903,571500,461903,571500,571500,,571500,,0xe" fillcolor="green" strokecolor="black [3213]">
                <v:path arrowok="t" o:connecttype="custom" o:connectlocs="0,0;109248,0;109248,461903;571500,461903;571500,571500;0,571500;0,0" o:connectangles="0,0,0,0,0,0,0"/>
                <w10:wrap type="through"/>
              </v:shape>
            </w:pict>
          </mc:Fallback>
        </mc:AlternateContent>
      </w:r>
      <w:r w:rsidR="0039598A">
        <w:rPr>
          <w:noProof/>
          <w:lang w:eastAsia="fr-FR"/>
        </w:rPr>
        <mc:AlternateContent>
          <mc:Choice Requires="wps">
            <w:drawing>
              <wp:anchor distT="0" distB="0" distL="114300" distR="114300" simplePos="0" relativeHeight="252491776" behindDoc="0" locked="0" layoutInCell="1" allowOverlap="1" wp14:anchorId="6E9BADDA" wp14:editId="61E5F5DC">
                <wp:simplePos x="0" y="0"/>
                <wp:positionH relativeFrom="column">
                  <wp:posOffset>7025206</wp:posOffset>
                </wp:positionH>
                <wp:positionV relativeFrom="paragraph">
                  <wp:posOffset>460316</wp:posOffset>
                </wp:positionV>
                <wp:extent cx="1569720" cy="662940"/>
                <wp:effectExtent l="25400" t="279400" r="0" b="327660"/>
                <wp:wrapNone/>
                <wp:docPr id="417" name="Flèche vers la droite 417"/>
                <wp:cNvGraphicFramePr/>
                <a:graphic xmlns:a="http://schemas.openxmlformats.org/drawingml/2006/main">
                  <a:graphicData uri="http://schemas.microsoft.com/office/word/2010/wordprocessingShape">
                    <wps:wsp>
                      <wps:cNvSpPr/>
                      <wps:spPr>
                        <a:xfrm rot="19597282">
                          <a:off x="0" y="0"/>
                          <a:ext cx="1569720" cy="662940"/>
                        </a:xfrm>
                        <a:prstGeom prst="rightArrow">
                          <a:avLst/>
                        </a:prstGeom>
                        <a:solidFill>
                          <a:schemeClr val="tx1"/>
                        </a:solidFill>
                        <a:ln w="28575" cmpd="sng">
                          <a:solidFill>
                            <a:srgbClr val="008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A37D5A" w14:textId="77777777" w:rsidR="00573C95" w:rsidRPr="00406605" w:rsidRDefault="00573C95" w:rsidP="00C26E61">
                            <w:pPr>
                              <w:jc w:val="center"/>
                              <w:rPr>
                                <w:sz w:val="22"/>
                                <w:szCs w:val="22"/>
                              </w:rPr>
                            </w:pPr>
                            <w:r>
                              <w:rPr>
                                <w:sz w:val="22"/>
                                <w:szCs w:val="22"/>
                              </w:rPr>
                              <w:t>Retrait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droite 417" o:spid="_x0000_s1275" type="#_x0000_t13" style="position:absolute;margin-left:553.15pt;margin-top:36.25pt;width:123.6pt;height:52.2pt;rotation:-2187502fd;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" adj="17039" fillcolor="black [3213]" strokecolor="green" strokeweight="2.25pt">
                <v:textbox>
                  <w:txbxContent>
                    <w:p w14:paraId="0DA37D5A" w14:textId="77777777" w:rsidR="001501D6" w:rsidRPr="00406605" w:rsidRDefault="001501D6" w:rsidP="00C26E61">
                      <w:pPr>
                        <w:jc w:val="center"/>
                        <w:rPr>
                          <w:sz w:val="22"/>
                          <w:szCs w:val="22"/>
                        </w:rPr>
                      </w:pPr>
                      <w:r>
                        <w:rPr>
                          <w:sz w:val="22"/>
                          <w:szCs w:val="22"/>
                        </w:rPr>
                        <w:t>Retrait</w:t>
                      </w:r>
                    </w:p>
                  </w:txbxContent>
                </v:textbox>
              </v:shape>
            </w:pict>
          </mc:Fallback>
        </mc:AlternateContent>
      </w:r>
      <w:r w:rsidR="0039598A">
        <w:rPr>
          <w:noProof/>
          <w:lang w:eastAsia="fr-FR"/>
        </w:rPr>
        <mc:AlternateContent>
          <mc:Choice Requires="wps">
            <w:drawing>
              <wp:anchor distT="0" distB="0" distL="114300" distR="114300" simplePos="0" relativeHeight="252521472" behindDoc="0" locked="0" layoutInCell="1" allowOverlap="1" wp14:anchorId="1C105AB5" wp14:editId="66DEEFE6">
                <wp:simplePos x="0" y="0"/>
                <wp:positionH relativeFrom="column">
                  <wp:posOffset>2628900</wp:posOffset>
                </wp:positionH>
                <wp:positionV relativeFrom="paragraph">
                  <wp:posOffset>3969385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395" name="Croix 395"/>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Croix 395" o:spid="_x0000_s1026" style="position:absolute;margin-left:207pt;margin-top:312.55pt;width:64.8pt;height:64.8pt;z-index:252521472;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" path="m109083,314700l314700,314700,314700,109083,508260,109083,508260,314700,713877,314700,713877,508260,508260,508260,508260,713877,314700,713877,314700,508260,109083,508260,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r w:rsidR="0039598A">
        <w:rPr>
          <w:noProof/>
          <w:lang w:eastAsia="fr-FR"/>
        </w:rPr>
        <mc:AlternateContent>
          <mc:Choice Requires="wps">
            <w:drawing>
              <wp:anchor distT="0" distB="0" distL="114300" distR="114300" simplePos="0" relativeHeight="252489728" behindDoc="0" locked="0" layoutInCell="1" allowOverlap="1" wp14:anchorId="0D2EFC8E" wp14:editId="2D67B003">
                <wp:simplePos x="0" y="0"/>
                <wp:positionH relativeFrom="column">
                  <wp:posOffset>3372485</wp:posOffset>
                </wp:positionH>
                <wp:positionV relativeFrom="paragraph">
                  <wp:posOffset>2654300</wp:posOffset>
                </wp:positionV>
                <wp:extent cx="1714500" cy="687070"/>
                <wp:effectExtent l="0" t="70485" r="0" b="69215"/>
                <wp:wrapThrough wrapText="bothSides">
                  <wp:wrapPolygon edited="0">
                    <wp:start x="22488" y="3014"/>
                    <wp:lineTo x="6168" y="3014"/>
                    <wp:lineTo x="1368" y="4611"/>
                    <wp:lineTo x="-552" y="7806"/>
                    <wp:lineTo x="-552" y="13395"/>
                    <wp:lineTo x="1368" y="16589"/>
                    <wp:lineTo x="6168" y="18186"/>
                    <wp:lineTo x="22488" y="18186"/>
                    <wp:lineTo x="22488" y="3014"/>
                  </wp:wrapPolygon>
                </wp:wrapThrough>
                <wp:docPr id="423" name="Flèche vers la gauche 423"/>
                <wp:cNvGraphicFramePr/>
                <a:graphic xmlns:a="http://schemas.openxmlformats.org/drawingml/2006/main">
                  <a:graphicData uri="http://schemas.microsoft.com/office/word/2010/wordprocessingShape">
                    <wps:wsp>
                      <wps:cNvSpPr/>
                      <wps:spPr>
                        <a:xfrm rot="16200000">
                          <a:off x="0" y="0"/>
                          <a:ext cx="1714500" cy="687070"/>
                        </a:xfrm>
                        <a:prstGeom prst="leftArrow">
                          <a:avLst/>
                        </a:prstGeom>
                        <a:solidFill>
                          <a:srgbClr val="000000"/>
                        </a:solidFill>
                        <a:ln w="19050" cmpd="sng">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7AA88EE" w14:textId="77777777" w:rsidR="00573C95" w:rsidRPr="00190FCD" w:rsidRDefault="00573C95" w:rsidP="00C26E61">
                            <w:pPr>
                              <w:jc w:val="center"/>
                              <w:rPr>
                                <w:sz w:val="22"/>
                                <w:szCs w:val="22"/>
                              </w:rPr>
                            </w:pPr>
                            <w:r>
                              <w:rPr>
                                <w:sz w:val="22"/>
                                <w:szCs w:val="22"/>
                              </w:rPr>
                              <w:t>Report 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id="Flèche vers la gauche 423" o:spid="_x0000_s1276" type="#_x0000_t66" style="position:absolute;margin-left:265.55pt;margin-top:209pt;width:135pt;height:54.1pt;rotation:-90;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" adj="4328" fillcolor="black" stroked="f" strokeweight="1.5pt">
                <v:textbox>
                  <w:txbxContent>
                    <w:p w14:paraId="67AA88EE" w14:textId="77777777" w:rsidR="001501D6" w:rsidRPr="00190FCD" w:rsidRDefault="001501D6" w:rsidP="00C26E61">
                      <w:pPr>
                        <w:jc w:val="center"/>
                        <w:rPr>
                          <w:sz w:val="22"/>
                          <w:szCs w:val="22"/>
                        </w:rPr>
                      </w:pPr>
                      <w:r>
                        <w:rPr>
                          <w:sz w:val="22"/>
                          <w:szCs w:val="22"/>
                        </w:rPr>
                        <w:t>Report impôt</w:t>
                      </w:r>
                    </w:p>
                  </w:txbxContent>
                </v:textbox>
                <w10:wrap type="through"/>
              </v:shape>
            </w:pict>
          </mc:Fallback>
        </mc:AlternateContent>
      </w:r>
      <w:r w:rsidR="0039598A">
        <w:rPr>
          <w:noProof/>
          <w:lang w:eastAsia="fr-FR"/>
        </w:rPr>
        <mc:AlternateContent>
          <mc:Choice Requires="wps">
            <w:drawing>
              <wp:anchor distT="0" distB="0" distL="114300" distR="114300" simplePos="0" relativeHeight="252483584" behindDoc="0" locked="0" layoutInCell="1" allowOverlap="1" wp14:anchorId="100A927E" wp14:editId="5A08BAB2">
                <wp:simplePos x="0" y="0"/>
                <wp:positionH relativeFrom="column">
                  <wp:posOffset>974725</wp:posOffset>
                </wp:positionH>
                <wp:positionV relativeFrom="paragraph">
                  <wp:posOffset>2536190</wp:posOffset>
                </wp:positionV>
                <wp:extent cx="1715135" cy="922655"/>
                <wp:effectExtent l="0" t="86360" r="1905" b="78105"/>
                <wp:wrapThrough wrapText="bothSides">
                  <wp:wrapPolygon edited="0">
                    <wp:start x="22688" y="3211"/>
                    <wp:lineTo x="6374" y="3211"/>
                    <wp:lineTo x="1575" y="4995"/>
                    <wp:lineTo x="-24" y="7968"/>
                    <wp:lineTo x="-664" y="8563"/>
                    <wp:lineTo x="-664" y="12725"/>
                    <wp:lineTo x="-24" y="13320"/>
                    <wp:lineTo x="1575" y="15698"/>
                    <wp:lineTo x="4774" y="19861"/>
                    <wp:lineTo x="6694" y="21050"/>
                    <wp:lineTo x="22688" y="18077"/>
                    <wp:lineTo x="22688" y="3211"/>
                  </wp:wrapPolygon>
                </wp:wrapThrough>
                <wp:docPr id="420" name="Flèche vers la gauche 420"/>
                <wp:cNvGraphicFramePr/>
                <a:graphic xmlns:a="http://schemas.openxmlformats.org/drawingml/2006/main">
                  <a:graphicData uri="http://schemas.microsoft.com/office/word/2010/wordprocessingShape">
                    <wps:wsp>
                      <wps:cNvSpPr/>
                      <wps:spPr>
                        <a:xfrm rot="16200000">
                          <a:off x="0" y="0"/>
                          <a:ext cx="1715135" cy="922655"/>
                        </a:xfrm>
                        <a:prstGeom prst="leftArrow">
                          <a:avLst/>
                        </a:prstGeom>
                        <a:solidFill>
                          <a:srgbClr val="000000"/>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E0D007D" w14:textId="77777777" w:rsidR="00573C95" w:rsidRPr="00190FCD" w:rsidRDefault="00573C95" w:rsidP="00C26E61">
                            <w:pPr>
                              <w:jc w:val="center"/>
                              <w:rPr>
                                <w:sz w:val="22"/>
                                <w:szCs w:val="22"/>
                              </w:rPr>
                            </w:pPr>
                            <w:r>
                              <w:rPr>
                                <w:sz w:val="22"/>
                                <w:szCs w:val="22"/>
                              </w:rPr>
                              <w:t>Remboursement impôt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420" o:spid="_x0000_s1277" type="#_x0000_t66" style="position:absolute;margin-left:76.75pt;margin-top:199.7pt;width:135.05pt;height:72.65pt;rotation:-90;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" adj="5810" fillcolor="black" strokecolor="green" strokeweight="2.25pt">
                <v:textbox>
                  <w:txbxContent>
                    <w:p w14:paraId="1E0D007D" w14:textId="77777777" w:rsidR="001501D6" w:rsidRPr="00190FCD" w:rsidRDefault="001501D6" w:rsidP="00C26E61">
                      <w:pPr>
                        <w:jc w:val="center"/>
                        <w:rPr>
                          <w:sz w:val="22"/>
                          <w:szCs w:val="22"/>
                        </w:rPr>
                      </w:pPr>
                      <w:r>
                        <w:rPr>
                          <w:sz w:val="22"/>
                          <w:szCs w:val="22"/>
                        </w:rPr>
                        <w:t>Remboursement impôt</w:t>
                      </w:r>
                    </w:p>
                  </w:txbxContent>
                </v:textbox>
                <w10:wrap type="through"/>
              </v:shape>
            </w:pict>
          </mc:Fallback>
        </mc:AlternateContent>
      </w:r>
      <w:r w:rsidR="0039598A">
        <w:rPr>
          <w:noProof/>
          <w:lang w:eastAsia="fr-FR"/>
        </w:rPr>
        <mc:AlternateContent>
          <mc:Choice Requires="wps">
            <w:drawing>
              <wp:anchor distT="0" distB="0" distL="114300" distR="114300" simplePos="0" relativeHeight="252484608" behindDoc="0" locked="0" layoutInCell="1" allowOverlap="1" wp14:anchorId="786E1B4F" wp14:editId="31B59E0E">
                <wp:simplePos x="0" y="0"/>
                <wp:positionH relativeFrom="column">
                  <wp:posOffset>1257300</wp:posOffset>
                </wp:positionH>
                <wp:positionV relativeFrom="paragraph">
                  <wp:posOffset>3855085</wp:posOffset>
                </wp:positionV>
                <wp:extent cx="1143000" cy="1143000"/>
                <wp:effectExtent l="76200" t="76200" r="76200" b="76200"/>
                <wp:wrapNone/>
                <wp:docPr id="421" name="Ellipse 421"/>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0BB50CB" w14:textId="3431C844" w:rsidR="00573C95" w:rsidRPr="00406605" w:rsidRDefault="00573C95" w:rsidP="00C26E61">
                            <w:pPr>
                              <w:jc w:val="center"/>
                              <w:rPr>
                                <w:sz w:val="22"/>
                                <w:szCs w:val="22"/>
                              </w:rPr>
                            </w:pPr>
                            <w:r>
                              <w:rPr>
                                <w:sz w:val="22"/>
                                <w:szCs w:val="22"/>
                              </w:rPr>
                              <w:t>5</w:t>
                            </w:r>
                            <w:r w:rsidRPr="00406605">
                              <w:rPr>
                                <w:sz w:val="22"/>
                                <w:szCs w:val="22"/>
                              </w:rPr>
                              <w:t xml:space="preserve">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21" o:spid="_x0000_s1278" style="position:absolute;margin-left:99pt;margin-top:303.55pt;width:90pt;height:90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" fillcolor="#909465" strokecolor="black [3213]">
                <v:textbox>
                  <w:txbxContent>
                    <w:p w14:paraId="50BB50CB" w14:textId="3431C844" w:rsidR="001501D6" w:rsidRPr="00406605" w:rsidRDefault="001501D6" w:rsidP="00C26E61">
                      <w:pPr>
                        <w:jc w:val="center"/>
                        <w:rPr>
                          <w:sz w:val="22"/>
                          <w:szCs w:val="22"/>
                        </w:rPr>
                      </w:pPr>
                      <w:r>
                        <w:rPr>
                          <w:sz w:val="22"/>
                          <w:szCs w:val="22"/>
                        </w:rPr>
                        <w:t>5</w:t>
                      </w:r>
                      <w:r w:rsidRPr="00406605">
                        <w:rPr>
                          <w:sz w:val="22"/>
                          <w:szCs w:val="22"/>
                        </w:rPr>
                        <w:t xml:space="preserve"> 000 $</w:t>
                      </w:r>
                    </w:p>
                  </w:txbxContent>
                </v:textbox>
              </v:oval>
            </w:pict>
          </mc:Fallback>
        </mc:AlternateContent>
      </w:r>
      <w:r w:rsidR="0039598A">
        <w:rPr>
          <w:noProof/>
          <w:lang w:eastAsia="fr-FR"/>
        </w:rPr>
        <mc:AlternateContent>
          <mc:Choice Requires="wps">
            <w:drawing>
              <wp:anchor distT="0" distB="0" distL="114300" distR="114300" simplePos="0" relativeHeight="252490752" behindDoc="0" locked="0" layoutInCell="1" allowOverlap="1" wp14:anchorId="1F0B1B43" wp14:editId="40892E00">
                <wp:simplePos x="0" y="0"/>
                <wp:positionH relativeFrom="column">
                  <wp:posOffset>3657600</wp:posOffset>
                </wp:positionH>
                <wp:positionV relativeFrom="paragraph">
                  <wp:posOffset>3855085</wp:posOffset>
                </wp:positionV>
                <wp:extent cx="1143000" cy="1143000"/>
                <wp:effectExtent l="76200" t="76200" r="76200" b="76200"/>
                <wp:wrapNone/>
                <wp:docPr id="422" name="Ellipse 422"/>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26C367A" w14:textId="02127532" w:rsidR="00573C95" w:rsidRPr="00406605" w:rsidRDefault="00573C95" w:rsidP="00C26E61">
                            <w:pPr>
                              <w:jc w:val="center"/>
                              <w:rPr>
                                <w:sz w:val="22"/>
                                <w:szCs w:val="22"/>
                              </w:rPr>
                            </w:pPr>
                            <w:r>
                              <w:rPr>
                                <w:sz w:val="22"/>
                                <w:szCs w:val="22"/>
                              </w:rPr>
                              <w:t>16 609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22" o:spid="_x0000_s1279" style="position:absolute;margin-left:4in;margin-top:303.55pt;width:90pt;height:90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" fillcolor="#909465" strokecolor="black [3213]">
                <v:textbox>
                  <w:txbxContent>
                    <w:p w14:paraId="426C367A" w14:textId="02127532" w:rsidR="001501D6" w:rsidRPr="00406605" w:rsidRDefault="001501D6" w:rsidP="00C26E61">
                      <w:pPr>
                        <w:jc w:val="center"/>
                        <w:rPr>
                          <w:sz w:val="22"/>
                          <w:szCs w:val="22"/>
                        </w:rPr>
                      </w:pPr>
                      <w:r>
                        <w:rPr>
                          <w:sz w:val="22"/>
                          <w:szCs w:val="22"/>
                        </w:rPr>
                        <w:t>16 609</w:t>
                      </w:r>
                      <w:r w:rsidRPr="00406605">
                        <w:rPr>
                          <w:sz w:val="22"/>
                          <w:szCs w:val="22"/>
                        </w:rPr>
                        <w:t xml:space="preserve"> $</w:t>
                      </w:r>
                    </w:p>
                  </w:txbxContent>
                </v:textbox>
              </v:oval>
            </w:pict>
          </mc:Fallback>
        </mc:AlternateContent>
      </w:r>
      <w:r w:rsidR="00C26E61">
        <w:rPr>
          <w:noProof/>
          <w:lang w:eastAsia="fr-FR"/>
        </w:rPr>
        <mc:AlternateContent>
          <mc:Choice Requires="wps">
            <w:drawing>
              <wp:anchor distT="0" distB="0" distL="114300" distR="114300" simplePos="0" relativeHeight="252493824" behindDoc="0" locked="0" layoutInCell="1" allowOverlap="1" wp14:anchorId="4C4AAEE9" wp14:editId="451636BB">
                <wp:simplePos x="0" y="0"/>
                <wp:positionH relativeFrom="column">
                  <wp:posOffset>6172200</wp:posOffset>
                </wp:positionH>
                <wp:positionV relativeFrom="paragraph">
                  <wp:posOffset>3855085</wp:posOffset>
                </wp:positionV>
                <wp:extent cx="1143000" cy="1143000"/>
                <wp:effectExtent l="76200" t="76200" r="76200" b="76200"/>
                <wp:wrapNone/>
                <wp:docPr id="416" name="Ellipse 416"/>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B80BD43" w14:textId="3892874F" w:rsidR="00573C95" w:rsidRPr="00406605" w:rsidRDefault="00573C95" w:rsidP="00C26E61">
                            <w:pPr>
                              <w:jc w:val="center"/>
                              <w:rPr>
                                <w:sz w:val="22"/>
                                <w:szCs w:val="22"/>
                              </w:rPr>
                            </w:pPr>
                            <w:r>
                              <w:rPr>
                                <w:sz w:val="22"/>
                                <w:szCs w:val="22"/>
                              </w:rPr>
                              <w:t>17 287</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16" o:spid="_x0000_s1280" style="position:absolute;margin-left:486pt;margin-top:303.55pt;width:90pt;height:90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" fillcolor="#909465" strokecolor="black [3213]">
                <v:textbox>
                  <w:txbxContent>
                    <w:p w14:paraId="2B80BD43" w14:textId="3892874F" w:rsidR="001501D6" w:rsidRPr="00406605" w:rsidRDefault="001501D6" w:rsidP="00C26E61">
                      <w:pPr>
                        <w:jc w:val="center"/>
                        <w:rPr>
                          <w:sz w:val="22"/>
                          <w:szCs w:val="22"/>
                        </w:rPr>
                      </w:pPr>
                      <w:r>
                        <w:rPr>
                          <w:sz w:val="22"/>
                          <w:szCs w:val="22"/>
                        </w:rPr>
                        <w:t>17 287</w:t>
                      </w:r>
                      <w:r w:rsidRPr="00406605">
                        <w:rPr>
                          <w:sz w:val="22"/>
                          <w:szCs w:val="22"/>
                        </w:rPr>
                        <w:t xml:space="preserve"> $</w:t>
                      </w:r>
                    </w:p>
                  </w:txbxContent>
                </v:textbox>
              </v:oval>
            </w:pict>
          </mc:Fallback>
        </mc:AlternateContent>
      </w:r>
      <w:r w:rsidR="00C26E61">
        <w:rPr>
          <w:noProof/>
          <w:lang w:eastAsia="fr-FR"/>
        </w:rPr>
        <mc:AlternateContent>
          <mc:Choice Requires="wps">
            <w:drawing>
              <wp:anchor distT="0" distB="0" distL="114300" distR="114300" simplePos="0" relativeHeight="252481536" behindDoc="0" locked="0" layoutInCell="1" allowOverlap="1" wp14:anchorId="1BD55122" wp14:editId="61963CCC">
                <wp:simplePos x="0" y="0"/>
                <wp:positionH relativeFrom="column">
                  <wp:posOffset>-114300</wp:posOffset>
                </wp:positionH>
                <wp:positionV relativeFrom="paragraph">
                  <wp:posOffset>614680</wp:posOffset>
                </wp:positionV>
                <wp:extent cx="1548765" cy="662940"/>
                <wp:effectExtent l="0" t="330200" r="0" b="276860"/>
                <wp:wrapNone/>
                <wp:docPr id="418" name="Flèche vers la droite 418"/>
                <wp:cNvGraphicFramePr/>
                <a:graphic xmlns:a="http://schemas.openxmlformats.org/drawingml/2006/main">
                  <a:graphicData uri="http://schemas.microsoft.com/office/word/2010/wordprocessingShape">
                    <wps:wsp>
                      <wps:cNvSpPr/>
                      <wps:spPr>
                        <a:xfrm rot="2037712">
                          <a:off x="0" y="0"/>
                          <a:ext cx="1548765" cy="662940"/>
                        </a:xfrm>
                        <a:prstGeom prst="rightArrow">
                          <a:avLst/>
                        </a:prstGeom>
                        <a:solidFill>
                          <a:schemeClr val="tx1"/>
                        </a:solidFill>
                        <a:ln w="28575" cmpd="sng">
                          <a:solidFill>
                            <a:srgbClr val="8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5C1179B" w14:textId="77777777" w:rsidR="00573C95" w:rsidRPr="00406605" w:rsidRDefault="00573C95" w:rsidP="00C26E61">
                            <w:pPr>
                              <w:jc w:val="center"/>
                              <w:rPr>
                                <w:sz w:val="22"/>
                                <w:szCs w:val="22"/>
                              </w:rPr>
                            </w:pPr>
                            <w:r w:rsidRPr="00406605">
                              <w:rPr>
                                <w:sz w:val="22"/>
                                <w:szCs w:val="22"/>
                              </w:rPr>
                              <w:t>Cotisation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droite 418" o:spid="_x0000_s1281" type="#_x0000_t13" style="position:absolute;margin-left:-8.95pt;margin-top:48.4pt;width:121.95pt;height:52.2pt;rotation:2225725fd;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" adj="16977" fillcolor="black [3213]" strokecolor="maroon" strokeweight="2.25pt">
                <v:textbox>
                  <w:txbxContent>
                    <w:p w14:paraId="05C1179B" w14:textId="77777777" w:rsidR="001501D6" w:rsidRPr="00406605" w:rsidRDefault="001501D6" w:rsidP="00C26E61">
                      <w:pPr>
                        <w:jc w:val="center"/>
                        <w:rPr>
                          <w:sz w:val="22"/>
                          <w:szCs w:val="22"/>
                        </w:rPr>
                      </w:pPr>
                      <w:r w:rsidRPr="00406605">
                        <w:rPr>
                          <w:sz w:val="22"/>
                          <w:szCs w:val="22"/>
                        </w:rPr>
                        <w:t>Cotisation</w:t>
                      </w:r>
                    </w:p>
                  </w:txbxContent>
                </v:textbox>
              </v:shape>
            </w:pict>
          </mc:Fallback>
        </mc:AlternateContent>
      </w:r>
      <w:r w:rsidR="00C26E61">
        <w:rPr>
          <w:noProof/>
          <w:lang w:eastAsia="fr-FR"/>
        </w:rPr>
        <mc:AlternateContent>
          <mc:Choice Requires="wps">
            <w:drawing>
              <wp:anchor distT="0" distB="0" distL="114300" distR="114300" simplePos="0" relativeHeight="252492800" behindDoc="0" locked="0" layoutInCell="1" allowOverlap="1" wp14:anchorId="5BA747D5" wp14:editId="498E3035">
                <wp:simplePos x="0" y="0"/>
                <wp:positionH relativeFrom="column">
                  <wp:posOffset>5859780</wp:posOffset>
                </wp:positionH>
                <wp:positionV relativeFrom="paragraph">
                  <wp:posOffset>2567305</wp:posOffset>
                </wp:positionV>
                <wp:extent cx="1776095" cy="922655"/>
                <wp:effectExtent l="0" t="81280" r="47625" b="73025"/>
                <wp:wrapThrough wrapText="bothSides">
                  <wp:wrapPolygon edited="0">
                    <wp:start x="22588" y="3092"/>
                    <wp:lineTo x="6834" y="3092"/>
                    <wp:lineTo x="2201" y="3687"/>
                    <wp:lineTo x="39" y="7849"/>
                    <wp:lineTo x="-579" y="8444"/>
                    <wp:lineTo x="-579" y="12606"/>
                    <wp:lineTo x="39" y="13201"/>
                    <wp:lineTo x="2201" y="17363"/>
                    <wp:lineTo x="6526" y="22120"/>
                    <wp:lineTo x="7143" y="19147"/>
                    <wp:lineTo x="22588" y="17958"/>
                    <wp:lineTo x="22588" y="3092"/>
                  </wp:wrapPolygon>
                </wp:wrapThrough>
                <wp:docPr id="419" name="Flèche vers la gauche 419"/>
                <wp:cNvGraphicFramePr/>
                <a:graphic xmlns:a="http://schemas.openxmlformats.org/drawingml/2006/main">
                  <a:graphicData uri="http://schemas.microsoft.com/office/word/2010/wordprocessingShape">
                    <wps:wsp>
                      <wps:cNvSpPr/>
                      <wps:spPr>
                        <a:xfrm rot="16200000">
                          <a:off x="0" y="0"/>
                          <a:ext cx="1776095" cy="922655"/>
                        </a:xfrm>
                        <a:prstGeom prst="leftArrow">
                          <a:avLst/>
                        </a:prstGeom>
                        <a:solidFill>
                          <a:srgbClr val="000000"/>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56136B3" w14:textId="77777777" w:rsidR="00573C95" w:rsidRPr="00190FCD" w:rsidRDefault="00573C95" w:rsidP="00C26E61">
                            <w:pPr>
                              <w:jc w:val="center"/>
                              <w:rPr>
                                <w:sz w:val="22"/>
                                <w:szCs w:val="22"/>
                              </w:rPr>
                            </w:pPr>
                            <w:r>
                              <w:rPr>
                                <w:sz w:val="22"/>
                                <w:szCs w:val="22"/>
                              </w:rPr>
                              <w:t>Impôt à payer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id="Flèche vers la gauche 419" o:spid="_x0000_s1282" type="#_x0000_t66" style="position:absolute;margin-left:461.4pt;margin-top:202.15pt;width:139.85pt;height:72.65pt;rotation:-90;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" adj="5610" fillcolor="black" strokecolor="maroon" strokeweight="2.25pt">
                <v:textbox>
                  <w:txbxContent>
                    <w:p w14:paraId="056136B3" w14:textId="77777777" w:rsidR="001501D6" w:rsidRPr="00190FCD" w:rsidRDefault="001501D6" w:rsidP="00C26E61">
                      <w:pPr>
                        <w:jc w:val="center"/>
                        <w:rPr>
                          <w:sz w:val="22"/>
                          <w:szCs w:val="22"/>
                        </w:rPr>
                      </w:pPr>
                      <w:r>
                        <w:rPr>
                          <w:sz w:val="22"/>
                          <w:szCs w:val="22"/>
                        </w:rPr>
                        <w:t>Impôt à payer</w:t>
                      </w:r>
                    </w:p>
                  </w:txbxContent>
                </v:textbox>
                <w10:wrap type="through"/>
              </v:shape>
            </w:pict>
          </mc:Fallback>
        </mc:AlternateContent>
      </w:r>
      <w:r w:rsidR="00C26E61">
        <w:rPr>
          <w:noProof/>
          <w:lang w:eastAsia="fr-FR"/>
        </w:rPr>
        <mc:AlternateContent>
          <mc:Choice Requires="wps">
            <w:drawing>
              <wp:anchor distT="0" distB="0" distL="114300" distR="114300" simplePos="0" relativeHeight="252485632" behindDoc="0" locked="0" layoutInCell="1" allowOverlap="1" wp14:anchorId="0EE42AA3" wp14:editId="62445953">
                <wp:simplePos x="0" y="0"/>
                <wp:positionH relativeFrom="column">
                  <wp:posOffset>3657600</wp:posOffset>
                </wp:positionH>
                <wp:positionV relativeFrom="paragraph">
                  <wp:posOffset>997585</wp:posOffset>
                </wp:positionV>
                <wp:extent cx="1143000" cy="1143000"/>
                <wp:effectExtent l="76200" t="76200" r="76200" b="76200"/>
                <wp:wrapNone/>
                <wp:docPr id="424" name="Ellipse 424"/>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401879B" w14:textId="46BFFB7B" w:rsidR="00573C95" w:rsidRPr="00406605" w:rsidRDefault="00573C95" w:rsidP="00C26E61">
                            <w:pPr>
                              <w:jc w:val="center"/>
                              <w:rPr>
                                <w:sz w:val="22"/>
                                <w:szCs w:val="22"/>
                              </w:rPr>
                            </w:pPr>
                            <w:r>
                              <w:rPr>
                                <w:sz w:val="22"/>
                                <w:szCs w:val="22"/>
                              </w:rPr>
                              <w:t>33 219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24" o:spid="_x0000_s1283" style="position:absolute;margin-left:4in;margin-top:78.55pt;width:90pt;height:90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" fillcolor="#94c600 [3204]" strokecolor="black [3213]">
                <v:fill color2="#84b100 [2884]" rotate="t" focus="100%" type="gradient">
                  <o:fill v:ext="view" type="gradientUnscaled"/>
                </v:fill>
                <v:textbox>
                  <w:txbxContent>
                    <w:p w14:paraId="7401879B" w14:textId="46BFFB7B" w:rsidR="001501D6" w:rsidRPr="00406605" w:rsidRDefault="001501D6" w:rsidP="00C26E61">
                      <w:pPr>
                        <w:jc w:val="center"/>
                        <w:rPr>
                          <w:sz w:val="22"/>
                          <w:szCs w:val="22"/>
                        </w:rPr>
                      </w:pPr>
                      <w:r>
                        <w:rPr>
                          <w:sz w:val="22"/>
                          <w:szCs w:val="22"/>
                        </w:rPr>
                        <w:t>33 219</w:t>
                      </w:r>
                      <w:r w:rsidRPr="00406605">
                        <w:rPr>
                          <w:sz w:val="22"/>
                          <w:szCs w:val="22"/>
                        </w:rPr>
                        <w:t xml:space="preserve"> $</w:t>
                      </w:r>
                    </w:p>
                  </w:txbxContent>
                </v:textbox>
              </v:oval>
            </w:pict>
          </mc:Fallback>
        </mc:AlternateContent>
      </w:r>
      <w:r w:rsidR="00C26E61">
        <w:rPr>
          <w:noProof/>
          <w:color w:val="000000" w:themeColor="text1"/>
          <w:lang w:eastAsia="fr-FR"/>
        </w:rPr>
        <mc:AlternateContent>
          <mc:Choice Requires="wps">
            <w:drawing>
              <wp:anchor distT="0" distB="0" distL="114300" distR="114300" simplePos="0" relativeHeight="252480512" behindDoc="0" locked="0" layoutInCell="1" allowOverlap="1" wp14:anchorId="7323A223" wp14:editId="39100284">
                <wp:simplePos x="0" y="0"/>
                <wp:positionH relativeFrom="column">
                  <wp:posOffset>1371600</wp:posOffset>
                </wp:positionH>
                <wp:positionV relativeFrom="paragraph">
                  <wp:posOffset>540385</wp:posOffset>
                </wp:positionV>
                <wp:extent cx="7658100" cy="342900"/>
                <wp:effectExtent l="0" t="0" r="0" b="12700"/>
                <wp:wrapSquare wrapText="bothSides"/>
                <wp:docPr id="425" name="Zone de texte 425"/>
                <wp:cNvGraphicFramePr/>
                <a:graphic xmlns:a="http://schemas.openxmlformats.org/drawingml/2006/main">
                  <a:graphicData uri="http://schemas.microsoft.com/office/word/2010/wordprocessingShape">
                    <wps:wsp>
                      <wps:cNvSpPr txBox="1"/>
                      <wps:spPr>
                        <a:xfrm>
                          <a:off x="0" y="0"/>
                          <a:ext cx="7658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DADA52" w14:textId="77777777" w:rsidR="00573C95" w:rsidRPr="00406605" w:rsidRDefault="00573C95" w:rsidP="00C26E61">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  REÉR</w:t>
                            </w:r>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25" o:spid="_x0000_s1284" type="#_x0000_t202" style="position:absolute;margin-left:108pt;margin-top:42.55pt;width:603pt;height:27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" filled="f" stroked="f">
                <v:textbox>
                  <w:txbxContent>
                    <w:p w14:paraId="44DADA52" w14:textId="77777777" w:rsidR="001501D6" w:rsidRPr="00406605" w:rsidRDefault="001501D6" w:rsidP="00C26E61">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  REÉR</w:t>
                      </w:r>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v:textbox>
                <w10:wrap type="square"/>
              </v:shape>
            </w:pict>
          </mc:Fallback>
        </mc:AlternateContent>
      </w:r>
      <w:r w:rsidR="00C26E61">
        <w:rPr>
          <w:color w:val="000000" w:themeColor="text1"/>
          <w:u w:val="single"/>
        </w:rPr>
        <w:br w:type="page"/>
      </w:r>
      <w:r w:rsidR="00C26E61">
        <w:rPr>
          <w:noProof/>
          <w:lang w:eastAsia="fr-FR"/>
        </w:rPr>
        <mc:AlternateContent>
          <mc:Choice Requires="wps">
            <w:drawing>
              <wp:anchor distT="0" distB="0" distL="114300" distR="114300" simplePos="0" relativeHeight="252488704" behindDoc="0" locked="0" layoutInCell="1" allowOverlap="1" wp14:anchorId="363D47B6" wp14:editId="2F8A4752">
                <wp:simplePos x="0" y="0"/>
                <wp:positionH relativeFrom="column">
                  <wp:posOffset>5004435</wp:posOffset>
                </wp:positionH>
                <wp:positionV relativeFrom="paragraph">
                  <wp:posOffset>1089025</wp:posOffset>
                </wp:positionV>
                <wp:extent cx="822960" cy="822960"/>
                <wp:effectExtent l="0" t="0" r="0" b="0"/>
                <wp:wrapThrough wrapText="bothSides">
                  <wp:wrapPolygon edited="0">
                    <wp:start x="1333" y="2667"/>
                    <wp:lineTo x="1333" y="18000"/>
                    <wp:lineTo x="20000" y="18000"/>
                    <wp:lineTo x="20000" y="2667"/>
                    <wp:lineTo x="1333" y="2667"/>
                  </wp:wrapPolygon>
                </wp:wrapThrough>
                <wp:docPr id="426" name="Égal 426"/>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Égal 426" o:spid="_x0000_s1026" style="position:absolute;margin-left:394.05pt;margin-top:85.75pt;width:64.8pt;height:64.8pt;z-index:25248870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" path="m109083,169530l713877,169530,713877,363090,109083,363090,109083,169530xm109083,459870l713877,459870,713877,653430,109083,653430,109083,459870xe" fillcolor="black" strokecolor="#94c600 [3204]">
                <v:path arrowok="t" o:connecttype="custom" o:connectlocs="109083,169530;713877,169530;713877,363090;109083,363090;109083,169530;109083,459870;713877,459870;713877,653430;109083,653430;109083,459870" o:connectangles="0,0,0,0,0,0,0,0,0,0"/>
                <w10:wrap type="through"/>
              </v:shape>
            </w:pict>
          </mc:Fallback>
        </mc:AlternateContent>
      </w:r>
      <w:r w:rsidR="00C26E61">
        <w:rPr>
          <w:noProof/>
          <w:lang w:eastAsia="fr-FR"/>
        </w:rPr>
        <mc:AlternateContent>
          <mc:Choice Requires="wps">
            <w:drawing>
              <wp:anchor distT="0" distB="0" distL="114300" distR="114300" simplePos="0" relativeHeight="252487680" behindDoc="0" locked="0" layoutInCell="1" allowOverlap="1" wp14:anchorId="3A84A390" wp14:editId="0D83A83A">
                <wp:simplePos x="0" y="0"/>
                <wp:positionH relativeFrom="column">
                  <wp:posOffset>2594610</wp:posOffset>
                </wp:positionH>
                <wp:positionV relativeFrom="paragraph">
                  <wp:posOffset>1158875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427" name="Croix 427"/>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Croix 427" o:spid="_x0000_s1026" style="position:absolute;margin-left:204.3pt;margin-top:91.25pt;width:64.8pt;height:64.8pt;z-index:252487680;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" path="m109083,314700l314700,314700,314700,109083,508260,109083,508260,314700,713877,314700,713877,508260,508260,508260,508260,713877,314700,713877,314700,508260,109083,508260,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p>
    <w:p w14:paraId="30A344E0" w14:textId="37ED3A93" w:rsidR="00D15E9A" w:rsidRDefault="00D15E9A" w:rsidP="00D15E9A">
      <w:pPr>
        <w:jc w:val="both"/>
        <w:rPr>
          <w:color w:val="000000" w:themeColor="text1"/>
          <w:u w:val="single"/>
        </w:rPr>
      </w:pPr>
      <w:r>
        <w:rPr>
          <w:color w:val="000000" w:themeColor="text1"/>
        </w:rPr>
        <w:lastRenderedPageBreak/>
        <w:t xml:space="preserve">Cas 4 </w:t>
      </w:r>
      <w:r w:rsidR="00A51CCA">
        <w:rPr>
          <w:color w:val="000000" w:themeColor="text1"/>
        </w:rPr>
        <w:t>–</w:t>
      </w:r>
      <w:r>
        <w:rPr>
          <w:color w:val="000000" w:themeColor="text1"/>
        </w:rPr>
        <w:t xml:space="preserve"> </w:t>
      </w:r>
      <w:r w:rsidR="00A51CCA" w:rsidRPr="00A51CCA">
        <w:rPr>
          <w:color w:val="000000" w:themeColor="text1"/>
          <w:u w:val="single"/>
        </w:rPr>
        <w:t xml:space="preserve">Profil </w:t>
      </w:r>
      <w:r w:rsidR="00543DC3">
        <w:rPr>
          <w:color w:val="000000" w:themeColor="text1"/>
          <w:u w:val="single"/>
        </w:rPr>
        <w:t>exclusivement g</w:t>
      </w:r>
      <w:r w:rsidR="00A51CCA" w:rsidRPr="00A51CCA">
        <w:rPr>
          <w:color w:val="000000" w:themeColor="text1"/>
          <w:u w:val="single"/>
        </w:rPr>
        <w:t>ain en capital</w:t>
      </w:r>
      <w:r w:rsidR="00543DC3">
        <w:rPr>
          <w:color w:val="000000" w:themeColor="text1"/>
          <w:u w:val="single"/>
        </w:rPr>
        <w:t xml:space="preserve"> </w:t>
      </w:r>
      <w:r w:rsidR="00401D1E">
        <w:rPr>
          <w:color w:val="000000" w:themeColor="text1"/>
          <w:u w:val="single"/>
        </w:rPr>
        <w:t>sur le rendement REÉR</w:t>
      </w:r>
      <w:r w:rsidR="00A51CCA" w:rsidRPr="00A51CCA">
        <w:rPr>
          <w:color w:val="000000" w:themeColor="text1"/>
          <w:u w:val="single"/>
        </w:rPr>
        <w:t xml:space="preserve">. </w:t>
      </w:r>
      <w:r w:rsidRPr="00A51CCA">
        <w:rPr>
          <w:color w:val="000000" w:themeColor="text1"/>
          <w:u w:val="single"/>
        </w:rPr>
        <w:t>Vous gagnez</w:t>
      </w:r>
      <w:r w:rsidRPr="00F27B04">
        <w:rPr>
          <w:color w:val="000000" w:themeColor="text1"/>
          <w:u w:val="single"/>
        </w:rPr>
        <w:t xml:space="preserve"> présentement </w:t>
      </w:r>
      <w:r>
        <w:rPr>
          <w:color w:val="000000" w:themeColor="text1"/>
          <w:u w:val="single"/>
        </w:rPr>
        <w:t>175</w:t>
      </w:r>
      <w:r w:rsidRPr="00F27B04">
        <w:rPr>
          <w:color w:val="000000" w:themeColor="text1"/>
          <w:u w:val="single"/>
        </w:rPr>
        <w:t xml:space="preserve"> 000 $ et </w:t>
      </w:r>
      <w:r w:rsidR="00543DC3">
        <w:rPr>
          <w:color w:val="000000" w:themeColor="text1"/>
          <w:u w:val="single"/>
        </w:rPr>
        <w:tab/>
        <w:t xml:space="preserve"> </w:t>
      </w:r>
      <w:r w:rsidR="00543DC3" w:rsidRPr="00543DC3">
        <w:rPr>
          <w:color w:val="000000" w:themeColor="text1"/>
        </w:rPr>
        <w:tab/>
        <w:t xml:space="preserve">   </w:t>
      </w:r>
      <w:r w:rsidRPr="00F27B04">
        <w:rPr>
          <w:color w:val="000000" w:themeColor="text1"/>
          <w:u w:val="single"/>
        </w:rPr>
        <w:t>vous</w:t>
      </w:r>
      <w:r w:rsidR="00543DC3">
        <w:rPr>
          <w:color w:val="000000" w:themeColor="text1"/>
          <w:u w:val="single"/>
        </w:rPr>
        <w:t xml:space="preserve"> </w:t>
      </w:r>
      <w:r w:rsidRPr="00F27B04">
        <w:rPr>
          <w:color w:val="000000" w:themeColor="text1"/>
          <w:u w:val="single"/>
        </w:rPr>
        <w:t>aurez besoin de</w:t>
      </w:r>
      <w:r w:rsidR="00401D1E">
        <w:rPr>
          <w:color w:val="000000" w:themeColor="text1"/>
          <w:u w:val="single"/>
        </w:rPr>
        <w:t xml:space="preserve"> </w:t>
      </w:r>
      <w:r>
        <w:rPr>
          <w:color w:val="000000" w:themeColor="text1"/>
          <w:u w:val="single"/>
        </w:rPr>
        <w:t>1</w:t>
      </w:r>
      <w:r w:rsidR="00EF652A">
        <w:rPr>
          <w:color w:val="000000" w:themeColor="text1"/>
          <w:u w:val="single"/>
        </w:rPr>
        <w:t>3</w:t>
      </w:r>
      <w:r>
        <w:rPr>
          <w:color w:val="000000" w:themeColor="text1"/>
          <w:u w:val="single"/>
        </w:rPr>
        <w:t xml:space="preserve">5 </w:t>
      </w:r>
      <w:r w:rsidRPr="00F27B04">
        <w:rPr>
          <w:color w:val="000000" w:themeColor="text1"/>
          <w:u w:val="single"/>
        </w:rPr>
        <w:t xml:space="preserve"> 000 $ (en dollar d'aujourd'hui) à votre</w:t>
      </w:r>
      <w:r w:rsidR="00A51CCA">
        <w:rPr>
          <w:color w:val="000000" w:themeColor="text1"/>
          <w:u w:val="single"/>
        </w:rPr>
        <w:t xml:space="preserve"> </w:t>
      </w:r>
      <w:r w:rsidRPr="00F27B04">
        <w:rPr>
          <w:color w:val="000000" w:themeColor="text1"/>
          <w:u w:val="single"/>
        </w:rPr>
        <w:t>retraite</w:t>
      </w:r>
      <w:r>
        <w:rPr>
          <w:color w:val="000000" w:themeColor="text1"/>
          <w:u w:val="single"/>
        </w:rPr>
        <w:t xml:space="preserve"> dans 30 années</w:t>
      </w:r>
      <w:r>
        <w:rPr>
          <w:rStyle w:val="Marquenotebasdepage"/>
          <w:color w:val="000000" w:themeColor="text1"/>
          <w:u w:val="single"/>
        </w:rPr>
        <w:footnoteReference w:customMarkFollows="1" w:id="58"/>
        <w:t>55</w:t>
      </w:r>
    </w:p>
    <w:p w14:paraId="0296012C" w14:textId="3F41FB13" w:rsidR="00D15E9A" w:rsidRDefault="006564AD" w:rsidP="00D15E9A">
      <w:pPr>
        <w:rPr>
          <w:color w:val="000000" w:themeColor="text1"/>
          <w:u w:val="single"/>
        </w:rPr>
      </w:pPr>
      <w:r>
        <w:rPr>
          <w:noProof/>
          <w:lang w:eastAsia="fr-FR"/>
        </w:rPr>
        <mc:AlternateContent>
          <mc:Choice Requires="wps">
            <w:drawing>
              <wp:anchor distT="0" distB="0" distL="114300" distR="114300" simplePos="0" relativeHeight="252527616" behindDoc="0" locked="0" layoutInCell="1" allowOverlap="1" wp14:anchorId="58733672" wp14:editId="1A274278">
                <wp:simplePos x="0" y="0"/>
                <wp:positionH relativeFrom="column">
                  <wp:posOffset>5373370</wp:posOffset>
                </wp:positionH>
                <wp:positionV relativeFrom="paragraph">
                  <wp:posOffset>4084955</wp:posOffset>
                </wp:positionV>
                <wp:extent cx="571500" cy="571500"/>
                <wp:effectExtent l="177800" t="177800" r="0" b="190500"/>
                <wp:wrapThrough wrapText="bothSides">
                  <wp:wrapPolygon edited="0">
                    <wp:start x="-3326" y="-337"/>
                    <wp:lineTo x="-11876" y="8955"/>
                    <wp:lineTo x="-3035" y="21552"/>
                    <wp:lineTo x="7759" y="22756"/>
                    <wp:lineTo x="19304" y="23360"/>
                    <wp:lineTo x="20502" y="24859"/>
                    <wp:lineTo x="24252" y="21862"/>
                    <wp:lineTo x="23803" y="19763"/>
                    <wp:lineTo x="11361" y="14961"/>
                    <wp:lineTo x="6713" y="13759"/>
                    <wp:lineTo x="2221" y="-1085"/>
                    <wp:lineTo x="423" y="-3335"/>
                    <wp:lineTo x="-3326" y="-337"/>
                  </wp:wrapPolygon>
                </wp:wrapThrough>
                <wp:docPr id="390" name="Forme en L 390"/>
                <wp:cNvGraphicFramePr/>
                <a:graphic xmlns:a="http://schemas.openxmlformats.org/drawingml/2006/main">
                  <a:graphicData uri="http://schemas.microsoft.com/office/word/2010/wordprocessingShape">
                    <wps:wsp>
                      <wps:cNvSpPr/>
                      <wps:spPr>
                        <a:xfrm rot="2318274">
                          <a:off x="0" y="0"/>
                          <a:ext cx="571500" cy="571500"/>
                        </a:xfrm>
                        <a:prstGeom prst="corner">
                          <a:avLst>
                            <a:gd name="adj1" fmla="val 19177"/>
                            <a:gd name="adj2" fmla="val 19116"/>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orme en L 390" o:spid="_x0000_s1026" style="position:absolute;margin-left:423.1pt;margin-top:321.65pt;width:45pt;height:45pt;rotation:2532173fd;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71500,571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" path="m0,0l109248,,109248,461903,571500,461903,571500,571500,,571500,,0xe" fillcolor="maroon">
                <v:path arrowok="t" o:connecttype="custom" o:connectlocs="0,0;109248,0;109248,461903;571500,461903;571500,571500;0,571500;0,0" o:connectangles="0,0,0,0,0,0,0"/>
                <w10:wrap type="through"/>
              </v:shape>
            </w:pict>
          </mc:Fallback>
        </mc:AlternateContent>
      </w:r>
      <w:r w:rsidR="002E49FA">
        <w:rPr>
          <w:noProof/>
          <w:lang w:eastAsia="fr-FR"/>
        </w:rPr>
        <mc:AlternateContent>
          <mc:Choice Requires="wps">
            <w:drawing>
              <wp:anchor distT="0" distB="0" distL="114300" distR="114300" simplePos="0" relativeHeight="252525568" behindDoc="0" locked="0" layoutInCell="1" allowOverlap="1" wp14:anchorId="59D7390F" wp14:editId="0CBB6A20">
                <wp:simplePos x="0" y="0"/>
                <wp:positionH relativeFrom="column">
                  <wp:posOffset>2628900</wp:posOffset>
                </wp:positionH>
                <wp:positionV relativeFrom="paragraph">
                  <wp:posOffset>3969385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447" name="Croix 447"/>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Croix 447" o:spid="_x0000_s1026" style="position:absolute;margin-left:207pt;margin-top:312.55pt;width:64.8pt;height:64.8pt;z-index:252525568;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" path="m109083,314700l314700,314700,314700,109083,508260,109083,508260,314700,713877,314700,713877,508260,508260,508260,508260,713877,314700,713877,314700,508260,109083,508260,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r w:rsidR="00B267D7">
        <w:rPr>
          <w:noProof/>
          <w:lang w:eastAsia="fr-FR"/>
        </w:rPr>
        <mc:AlternateContent>
          <mc:Choice Requires="wps">
            <w:drawing>
              <wp:anchor distT="0" distB="0" distL="114300" distR="114300" simplePos="0" relativeHeight="252509184" behindDoc="0" locked="0" layoutInCell="1" allowOverlap="1" wp14:anchorId="05E76DE1" wp14:editId="12EAC9C0">
                <wp:simplePos x="0" y="0"/>
                <wp:positionH relativeFrom="column">
                  <wp:posOffset>6172200</wp:posOffset>
                </wp:positionH>
                <wp:positionV relativeFrom="paragraph">
                  <wp:posOffset>3855085</wp:posOffset>
                </wp:positionV>
                <wp:extent cx="1143000" cy="1143000"/>
                <wp:effectExtent l="76200" t="76200" r="76200" b="76200"/>
                <wp:wrapNone/>
                <wp:docPr id="430" name="Ellipse 430"/>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503A980" w14:textId="0E9BAF08" w:rsidR="00573C95" w:rsidRPr="00406605" w:rsidRDefault="00573C95" w:rsidP="00D15E9A">
                            <w:pPr>
                              <w:jc w:val="center"/>
                              <w:rPr>
                                <w:sz w:val="22"/>
                                <w:szCs w:val="22"/>
                              </w:rPr>
                            </w:pPr>
                            <w:r>
                              <w:rPr>
                                <w:sz w:val="22"/>
                                <w:szCs w:val="22"/>
                              </w:rPr>
                              <w:t>21 609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30" o:spid="_x0000_s1285" style="position:absolute;margin-left:486pt;margin-top:303.55pt;width:90pt;height:90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" fillcolor="#909465" strokecolor="black [3213]">
                <v:textbox>
                  <w:txbxContent>
                    <w:p w14:paraId="0503A980" w14:textId="0E9BAF08" w:rsidR="001501D6" w:rsidRPr="00406605" w:rsidRDefault="001501D6" w:rsidP="00D15E9A">
                      <w:pPr>
                        <w:jc w:val="center"/>
                        <w:rPr>
                          <w:sz w:val="22"/>
                          <w:szCs w:val="22"/>
                        </w:rPr>
                      </w:pPr>
                      <w:r>
                        <w:rPr>
                          <w:sz w:val="22"/>
                          <w:szCs w:val="22"/>
                        </w:rPr>
                        <w:t>21 609</w:t>
                      </w:r>
                      <w:r w:rsidRPr="00406605">
                        <w:rPr>
                          <w:sz w:val="22"/>
                          <w:szCs w:val="22"/>
                        </w:rPr>
                        <w:t xml:space="preserve"> $</w:t>
                      </w:r>
                    </w:p>
                  </w:txbxContent>
                </v:textbox>
              </v:oval>
            </w:pict>
          </mc:Fallback>
        </mc:AlternateContent>
      </w:r>
      <w:r w:rsidR="00B267D7">
        <w:rPr>
          <w:noProof/>
          <w:lang w:eastAsia="fr-FR"/>
        </w:rPr>
        <mc:AlternateContent>
          <mc:Choice Requires="wps">
            <w:drawing>
              <wp:anchor distT="0" distB="0" distL="114300" distR="114300" simplePos="0" relativeHeight="252505088" behindDoc="0" locked="0" layoutInCell="1" allowOverlap="1" wp14:anchorId="7CA1F3F6" wp14:editId="58336291">
                <wp:simplePos x="0" y="0"/>
                <wp:positionH relativeFrom="column">
                  <wp:posOffset>3372485</wp:posOffset>
                </wp:positionH>
                <wp:positionV relativeFrom="paragraph">
                  <wp:posOffset>2654300</wp:posOffset>
                </wp:positionV>
                <wp:extent cx="1714500" cy="687070"/>
                <wp:effectExtent l="0" t="70485" r="0" b="69215"/>
                <wp:wrapThrough wrapText="bothSides">
                  <wp:wrapPolygon edited="0">
                    <wp:start x="22488" y="3014"/>
                    <wp:lineTo x="6168" y="3014"/>
                    <wp:lineTo x="1368" y="4611"/>
                    <wp:lineTo x="-552" y="7806"/>
                    <wp:lineTo x="-552" y="13395"/>
                    <wp:lineTo x="1368" y="16589"/>
                    <wp:lineTo x="6168" y="18186"/>
                    <wp:lineTo x="22488" y="18186"/>
                    <wp:lineTo x="22488" y="3014"/>
                  </wp:wrapPolygon>
                </wp:wrapThrough>
                <wp:docPr id="437" name="Flèche vers la gauche 437"/>
                <wp:cNvGraphicFramePr/>
                <a:graphic xmlns:a="http://schemas.openxmlformats.org/drawingml/2006/main">
                  <a:graphicData uri="http://schemas.microsoft.com/office/word/2010/wordprocessingShape">
                    <wps:wsp>
                      <wps:cNvSpPr/>
                      <wps:spPr>
                        <a:xfrm rot="16200000">
                          <a:off x="0" y="0"/>
                          <a:ext cx="1714500" cy="687070"/>
                        </a:xfrm>
                        <a:prstGeom prst="leftArrow">
                          <a:avLst/>
                        </a:prstGeom>
                        <a:solidFill>
                          <a:srgbClr val="000000"/>
                        </a:solidFill>
                        <a:ln w="19050" cmpd="sng">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4559E71" w14:textId="77777777" w:rsidR="00573C95" w:rsidRPr="00190FCD" w:rsidRDefault="00573C95" w:rsidP="00D15E9A">
                            <w:pPr>
                              <w:jc w:val="center"/>
                              <w:rPr>
                                <w:sz w:val="22"/>
                                <w:szCs w:val="22"/>
                              </w:rPr>
                            </w:pPr>
                            <w:r>
                              <w:rPr>
                                <w:sz w:val="22"/>
                                <w:szCs w:val="22"/>
                              </w:rPr>
                              <w:t>Report 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id="Flèche vers la gauche 437" o:spid="_x0000_s1286" type="#_x0000_t66" style="position:absolute;margin-left:265.55pt;margin-top:209pt;width:135pt;height:54.1pt;rotation:-90;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" adj="4328" fillcolor="black" stroked="f" strokeweight="1.5pt">
                <v:textbox>
                  <w:txbxContent>
                    <w:p w14:paraId="44559E71" w14:textId="77777777" w:rsidR="001501D6" w:rsidRPr="00190FCD" w:rsidRDefault="001501D6" w:rsidP="00D15E9A">
                      <w:pPr>
                        <w:jc w:val="center"/>
                        <w:rPr>
                          <w:sz w:val="22"/>
                          <w:szCs w:val="22"/>
                        </w:rPr>
                      </w:pPr>
                      <w:r>
                        <w:rPr>
                          <w:sz w:val="22"/>
                          <w:szCs w:val="22"/>
                        </w:rPr>
                        <w:t>Report impôt</w:t>
                      </w:r>
                    </w:p>
                  </w:txbxContent>
                </v:textbox>
                <w10:wrap type="through"/>
              </v:shape>
            </w:pict>
          </mc:Fallback>
        </mc:AlternateContent>
      </w:r>
      <w:r w:rsidR="00B267D7">
        <w:rPr>
          <w:noProof/>
          <w:lang w:eastAsia="fr-FR"/>
        </w:rPr>
        <mc:AlternateContent>
          <mc:Choice Requires="wps">
            <w:drawing>
              <wp:anchor distT="0" distB="0" distL="114300" distR="114300" simplePos="0" relativeHeight="252506112" behindDoc="0" locked="0" layoutInCell="1" allowOverlap="1" wp14:anchorId="421FAAC9" wp14:editId="0DE121C4">
                <wp:simplePos x="0" y="0"/>
                <wp:positionH relativeFrom="column">
                  <wp:posOffset>3657600</wp:posOffset>
                </wp:positionH>
                <wp:positionV relativeFrom="paragraph">
                  <wp:posOffset>3855085</wp:posOffset>
                </wp:positionV>
                <wp:extent cx="1143000" cy="1143000"/>
                <wp:effectExtent l="76200" t="76200" r="76200" b="76200"/>
                <wp:wrapNone/>
                <wp:docPr id="436" name="Ellipse 436"/>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9D0CFA3" w14:textId="23A50D3B" w:rsidR="00573C95" w:rsidRPr="00406605" w:rsidRDefault="00573C95" w:rsidP="00D15E9A">
                            <w:pPr>
                              <w:jc w:val="center"/>
                              <w:rPr>
                                <w:sz w:val="22"/>
                                <w:szCs w:val="22"/>
                              </w:rPr>
                            </w:pPr>
                            <w:r>
                              <w:rPr>
                                <w:sz w:val="22"/>
                                <w:szCs w:val="22"/>
                              </w:rPr>
                              <w:t>8 305</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36" o:spid="_x0000_s1287" style="position:absolute;margin-left:4in;margin-top:303.55pt;width:90pt;height:90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" fillcolor="#909465" strokecolor="black [3213]">
                <v:textbox>
                  <w:txbxContent>
                    <w:p w14:paraId="79D0CFA3" w14:textId="23A50D3B" w:rsidR="001501D6" w:rsidRPr="00406605" w:rsidRDefault="001501D6" w:rsidP="00D15E9A">
                      <w:pPr>
                        <w:jc w:val="center"/>
                        <w:rPr>
                          <w:sz w:val="22"/>
                          <w:szCs w:val="22"/>
                        </w:rPr>
                      </w:pPr>
                      <w:r>
                        <w:rPr>
                          <w:sz w:val="22"/>
                          <w:szCs w:val="22"/>
                        </w:rPr>
                        <w:t>8 305</w:t>
                      </w:r>
                      <w:r w:rsidRPr="00406605">
                        <w:rPr>
                          <w:sz w:val="22"/>
                          <w:szCs w:val="22"/>
                        </w:rPr>
                        <w:t xml:space="preserve"> $</w:t>
                      </w:r>
                    </w:p>
                  </w:txbxContent>
                </v:textbox>
              </v:oval>
            </w:pict>
          </mc:Fallback>
        </mc:AlternateContent>
      </w:r>
      <w:r w:rsidR="00B267D7">
        <w:rPr>
          <w:noProof/>
          <w:lang w:eastAsia="fr-FR"/>
        </w:rPr>
        <mc:AlternateContent>
          <mc:Choice Requires="wps">
            <w:drawing>
              <wp:anchor distT="0" distB="0" distL="114300" distR="114300" simplePos="0" relativeHeight="252499968" behindDoc="0" locked="0" layoutInCell="1" allowOverlap="1" wp14:anchorId="7AF62FF7" wp14:editId="1071FD0D">
                <wp:simplePos x="0" y="0"/>
                <wp:positionH relativeFrom="column">
                  <wp:posOffset>1257300</wp:posOffset>
                </wp:positionH>
                <wp:positionV relativeFrom="paragraph">
                  <wp:posOffset>3855085</wp:posOffset>
                </wp:positionV>
                <wp:extent cx="1143000" cy="1143000"/>
                <wp:effectExtent l="76200" t="76200" r="76200" b="76200"/>
                <wp:wrapNone/>
                <wp:docPr id="435" name="Ellipse 435"/>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4AFDED6" w14:textId="77777777" w:rsidR="00573C95" w:rsidRPr="00406605" w:rsidRDefault="00573C95" w:rsidP="00D15E9A">
                            <w:pPr>
                              <w:jc w:val="center"/>
                              <w:rPr>
                                <w:sz w:val="22"/>
                                <w:szCs w:val="22"/>
                              </w:rPr>
                            </w:pPr>
                            <w:r>
                              <w:rPr>
                                <w:sz w:val="22"/>
                                <w:szCs w:val="22"/>
                              </w:rPr>
                              <w:t>5</w:t>
                            </w:r>
                            <w:r w:rsidRPr="00406605">
                              <w:rPr>
                                <w:sz w:val="22"/>
                                <w:szCs w:val="22"/>
                              </w:rPr>
                              <w:t xml:space="preserve">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35" o:spid="_x0000_s1288" style="position:absolute;margin-left:99pt;margin-top:303.55pt;width:90pt;height:90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" fillcolor="#909465" strokecolor="black [3213]">
                <v:textbox>
                  <w:txbxContent>
                    <w:p w14:paraId="34AFDED6" w14:textId="77777777" w:rsidR="001501D6" w:rsidRPr="00406605" w:rsidRDefault="001501D6" w:rsidP="00D15E9A">
                      <w:pPr>
                        <w:jc w:val="center"/>
                        <w:rPr>
                          <w:sz w:val="22"/>
                          <w:szCs w:val="22"/>
                        </w:rPr>
                      </w:pPr>
                      <w:r>
                        <w:rPr>
                          <w:sz w:val="22"/>
                          <w:szCs w:val="22"/>
                        </w:rPr>
                        <w:t>5</w:t>
                      </w:r>
                      <w:r w:rsidRPr="00406605">
                        <w:rPr>
                          <w:sz w:val="22"/>
                          <w:szCs w:val="22"/>
                        </w:rPr>
                        <w:t xml:space="preserve"> 000 $</w:t>
                      </w:r>
                    </w:p>
                  </w:txbxContent>
                </v:textbox>
              </v:oval>
            </w:pict>
          </mc:Fallback>
        </mc:AlternateContent>
      </w:r>
      <w:r w:rsidR="00B267D7">
        <w:rPr>
          <w:noProof/>
          <w:lang w:eastAsia="fr-FR"/>
        </w:rPr>
        <mc:AlternateContent>
          <mc:Choice Requires="wps">
            <w:drawing>
              <wp:anchor distT="0" distB="0" distL="114300" distR="114300" simplePos="0" relativeHeight="252498944" behindDoc="0" locked="0" layoutInCell="1" allowOverlap="1" wp14:anchorId="64CD2AE7" wp14:editId="44C3FA2F">
                <wp:simplePos x="0" y="0"/>
                <wp:positionH relativeFrom="column">
                  <wp:posOffset>975360</wp:posOffset>
                </wp:positionH>
                <wp:positionV relativeFrom="paragraph">
                  <wp:posOffset>2536190</wp:posOffset>
                </wp:positionV>
                <wp:extent cx="1714500" cy="922655"/>
                <wp:effectExtent l="0" t="86678" r="2223" b="78422"/>
                <wp:wrapThrough wrapText="bothSides">
                  <wp:wrapPolygon edited="0">
                    <wp:start x="22692" y="3218"/>
                    <wp:lineTo x="6372" y="3218"/>
                    <wp:lineTo x="1572" y="5002"/>
                    <wp:lineTo x="-28" y="7975"/>
                    <wp:lineTo x="-668" y="8570"/>
                    <wp:lineTo x="-668" y="12733"/>
                    <wp:lineTo x="-28" y="13327"/>
                    <wp:lineTo x="1572" y="15706"/>
                    <wp:lineTo x="4772" y="19868"/>
                    <wp:lineTo x="6692" y="21057"/>
                    <wp:lineTo x="22692" y="18084"/>
                    <wp:lineTo x="22692" y="3218"/>
                  </wp:wrapPolygon>
                </wp:wrapThrough>
                <wp:docPr id="434" name="Flèche vers la gauche 434"/>
                <wp:cNvGraphicFramePr/>
                <a:graphic xmlns:a="http://schemas.openxmlformats.org/drawingml/2006/main">
                  <a:graphicData uri="http://schemas.microsoft.com/office/word/2010/wordprocessingShape">
                    <wps:wsp>
                      <wps:cNvSpPr/>
                      <wps:spPr>
                        <a:xfrm rot="16200000">
                          <a:off x="0" y="0"/>
                          <a:ext cx="1714500" cy="922655"/>
                        </a:xfrm>
                        <a:prstGeom prst="leftArrow">
                          <a:avLst/>
                        </a:prstGeom>
                        <a:solidFill>
                          <a:srgbClr val="000000"/>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49900EE" w14:textId="77777777" w:rsidR="00573C95" w:rsidRPr="00190FCD" w:rsidRDefault="00573C95" w:rsidP="00D15E9A">
                            <w:pPr>
                              <w:jc w:val="center"/>
                              <w:rPr>
                                <w:sz w:val="22"/>
                                <w:szCs w:val="22"/>
                              </w:rPr>
                            </w:pPr>
                            <w:r>
                              <w:rPr>
                                <w:sz w:val="22"/>
                                <w:szCs w:val="22"/>
                              </w:rPr>
                              <w:t>Remboursement impôt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434" o:spid="_x0000_s1289" type="#_x0000_t66" style="position:absolute;margin-left:76.8pt;margin-top:199.7pt;width:135pt;height:72.65pt;rotation:-90;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" adj="5812" fillcolor="black" strokecolor="green" strokeweight="2.25pt">
                <v:textbox>
                  <w:txbxContent>
                    <w:p w14:paraId="749900EE" w14:textId="77777777" w:rsidR="001501D6" w:rsidRPr="00190FCD" w:rsidRDefault="001501D6" w:rsidP="00D15E9A">
                      <w:pPr>
                        <w:jc w:val="center"/>
                        <w:rPr>
                          <w:sz w:val="22"/>
                          <w:szCs w:val="22"/>
                        </w:rPr>
                      </w:pPr>
                      <w:r>
                        <w:rPr>
                          <w:sz w:val="22"/>
                          <w:szCs w:val="22"/>
                        </w:rPr>
                        <w:t>Remboursement impôt</w:t>
                      </w:r>
                    </w:p>
                  </w:txbxContent>
                </v:textbox>
                <w10:wrap type="through"/>
              </v:shape>
            </w:pict>
          </mc:Fallback>
        </mc:AlternateContent>
      </w:r>
      <w:r w:rsidR="00401D1E">
        <w:rPr>
          <w:noProof/>
          <w:lang w:eastAsia="fr-FR"/>
        </w:rPr>
        <mc:AlternateContent>
          <mc:Choice Requires="wps">
            <w:drawing>
              <wp:anchor distT="0" distB="0" distL="114300" distR="114300" simplePos="0" relativeHeight="252502016" behindDoc="0" locked="0" layoutInCell="1" allowOverlap="1" wp14:anchorId="4FB7A683" wp14:editId="65DF2D1A">
                <wp:simplePos x="0" y="0"/>
                <wp:positionH relativeFrom="column">
                  <wp:posOffset>6172200</wp:posOffset>
                </wp:positionH>
                <wp:positionV relativeFrom="paragraph">
                  <wp:posOffset>997585</wp:posOffset>
                </wp:positionV>
                <wp:extent cx="1143000" cy="1143000"/>
                <wp:effectExtent l="76200" t="76200" r="76200" b="76200"/>
                <wp:wrapNone/>
                <wp:docPr id="428" name="Ellipse 428"/>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C192FED" w14:textId="7EDEF562" w:rsidR="00573C95" w:rsidRPr="00406605" w:rsidRDefault="00573C95" w:rsidP="00D15E9A">
                            <w:pPr>
                              <w:jc w:val="center"/>
                              <w:rPr>
                                <w:sz w:val="22"/>
                                <w:szCs w:val="22"/>
                              </w:rPr>
                            </w:pPr>
                            <w:r>
                              <w:rPr>
                                <w:sz w:val="22"/>
                                <w:szCs w:val="22"/>
                              </w:rPr>
                              <w:t>43 219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28" o:spid="_x0000_s1290" style="position:absolute;margin-left:486pt;margin-top:78.55pt;width:90pt;height:90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" fillcolor="#94c600 [3204]" strokecolor="black [3213]">
                <v:fill color2="#84b100 [2884]" rotate="t" focus="100%" type="gradient">
                  <o:fill v:ext="view" type="gradientUnscaled"/>
                </v:fill>
                <v:textbox>
                  <w:txbxContent>
                    <w:p w14:paraId="4C192FED" w14:textId="7EDEF562" w:rsidR="001501D6" w:rsidRPr="00406605" w:rsidRDefault="001501D6" w:rsidP="00D15E9A">
                      <w:pPr>
                        <w:jc w:val="center"/>
                        <w:rPr>
                          <w:sz w:val="22"/>
                          <w:szCs w:val="22"/>
                        </w:rPr>
                      </w:pPr>
                      <w:r>
                        <w:rPr>
                          <w:sz w:val="22"/>
                          <w:szCs w:val="22"/>
                        </w:rPr>
                        <w:t>43 219</w:t>
                      </w:r>
                      <w:r w:rsidRPr="00406605">
                        <w:rPr>
                          <w:sz w:val="22"/>
                          <w:szCs w:val="22"/>
                        </w:rPr>
                        <w:t xml:space="preserve"> $</w:t>
                      </w:r>
                    </w:p>
                  </w:txbxContent>
                </v:textbox>
              </v:oval>
            </w:pict>
          </mc:Fallback>
        </mc:AlternateContent>
      </w:r>
      <w:r w:rsidR="00401D1E">
        <w:rPr>
          <w:noProof/>
          <w:lang w:eastAsia="fr-FR"/>
        </w:rPr>
        <mc:AlternateContent>
          <mc:Choice Requires="wps">
            <w:drawing>
              <wp:anchor distT="0" distB="0" distL="114300" distR="114300" simplePos="0" relativeHeight="252497920" behindDoc="0" locked="0" layoutInCell="1" allowOverlap="1" wp14:anchorId="4F4A455E" wp14:editId="373F94DA">
                <wp:simplePos x="0" y="0"/>
                <wp:positionH relativeFrom="column">
                  <wp:posOffset>1257300</wp:posOffset>
                </wp:positionH>
                <wp:positionV relativeFrom="paragraph">
                  <wp:posOffset>997585</wp:posOffset>
                </wp:positionV>
                <wp:extent cx="1143000" cy="1143000"/>
                <wp:effectExtent l="76200" t="76200" r="76200" b="76200"/>
                <wp:wrapNone/>
                <wp:docPr id="429" name="Ellipse 429"/>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2BEA7B8" w14:textId="77777777" w:rsidR="00573C95" w:rsidRPr="00406605" w:rsidRDefault="00573C95" w:rsidP="00D15E9A">
                            <w:pPr>
                              <w:jc w:val="center"/>
                              <w:rPr>
                                <w:sz w:val="22"/>
                                <w:szCs w:val="22"/>
                              </w:rPr>
                            </w:pPr>
                            <w:r w:rsidRPr="00406605">
                              <w:rPr>
                                <w:sz w:val="22"/>
                                <w:szCs w:val="22"/>
                              </w:rPr>
                              <w:t>10 000 $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29" o:spid="_x0000_s1291" style="position:absolute;margin-left:99pt;margin-top:78.55pt;width:90pt;height:90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" fillcolor="#94c600 [3204]" strokecolor="black [3213]">
                <v:fill color2="#84b100 [2884]" rotate="t" focus="100%" type="gradient">
                  <o:fill v:ext="view" type="gradientUnscaled"/>
                </v:fill>
                <v:textbox>
                  <w:txbxContent>
                    <w:p w14:paraId="12BEA7B8" w14:textId="77777777" w:rsidR="001501D6" w:rsidRPr="00406605" w:rsidRDefault="001501D6" w:rsidP="00D15E9A">
                      <w:pPr>
                        <w:jc w:val="center"/>
                        <w:rPr>
                          <w:sz w:val="22"/>
                          <w:szCs w:val="22"/>
                        </w:rPr>
                      </w:pPr>
                      <w:r w:rsidRPr="00406605">
                        <w:rPr>
                          <w:sz w:val="22"/>
                          <w:szCs w:val="22"/>
                        </w:rPr>
                        <w:t>10 000 $</w:t>
                      </w:r>
                    </w:p>
                  </w:txbxContent>
                </v:textbox>
              </v:oval>
            </w:pict>
          </mc:Fallback>
        </mc:AlternateContent>
      </w:r>
      <w:r w:rsidR="00364B4A">
        <w:rPr>
          <w:noProof/>
          <w:color w:val="000000" w:themeColor="text1"/>
          <w:lang w:eastAsia="fr-FR"/>
        </w:rPr>
        <mc:AlternateContent>
          <mc:Choice Requires="wps">
            <w:drawing>
              <wp:anchor distT="0" distB="0" distL="114300" distR="114300" simplePos="0" relativeHeight="252495872" behindDoc="0" locked="0" layoutInCell="1" allowOverlap="1" wp14:anchorId="4539CE07" wp14:editId="7DED3704">
                <wp:simplePos x="0" y="0"/>
                <wp:positionH relativeFrom="column">
                  <wp:posOffset>1143000</wp:posOffset>
                </wp:positionH>
                <wp:positionV relativeFrom="paragraph">
                  <wp:posOffset>426085</wp:posOffset>
                </wp:positionV>
                <wp:extent cx="7658100" cy="342900"/>
                <wp:effectExtent l="0" t="0" r="0" b="12700"/>
                <wp:wrapSquare wrapText="bothSides"/>
                <wp:docPr id="439" name="Zone de texte 439"/>
                <wp:cNvGraphicFramePr/>
                <a:graphic xmlns:a="http://schemas.openxmlformats.org/drawingml/2006/main">
                  <a:graphicData uri="http://schemas.microsoft.com/office/word/2010/wordprocessingShape">
                    <wps:wsp>
                      <wps:cNvSpPr txBox="1"/>
                      <wps:spPr>
                        <a:xfrm>
                          <a:off x="0" y="0"/>
                          <a:ext cx="7658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572683" w14:textId="452D045B" w:rsidR="00573C95" w:rsidRPr="00406605" w:rsidRDefault="00573C95" w:rsidP="00D15E9A">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  REÉR</w:t>
                            </w:r>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Gain en capital généré pendant 30 ans</w:t>
                            </w:r>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30 ans plus tard - REÉR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39" o:spid="_x0000_s1292" type="#_x0000_t202" style="position:absolute;margin-left:90pt;margin-top:33.55pt;width:603pt;height:27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" filled="f" stroked="f">
                <v:textbox>
                  <w:txbxContent>
                    <w:p w14:paraId="77572683" w14:textId="452D045B" w:rsidR="001501D6" w:rsidRPr="00406605" w:rsidRDefault="001501D6" w:rsidP="00D15E9A">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  REÉR</w:t>
                      </w:r>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Gain en capital généré pendant 30 ans</w:t>
                      </w:r>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30 ans plus tard - REÉR</w:t>
                      </w:r>
                    </w:p>
                  </w:txbxContent>
                </v:textbox>
                <w10:wrap type="square"/>
              </v:shape>
            </w:pict>
          </mc:Fallback>
        </mc:AlternateContent>
      </w:r>
      <w:r w:rsidR="00D15E9A">
        <w:rPr>
          <w:noProof/>
          <w:lang w:eastAsia="fr-FR"/>
        </w:rPr>
        <mc:AlternateContent>
          <mc:Choice Requires="wps">
            <w:drawing>
              <wp:anchor distT="0" distB="0" distL="114300" distR="114300" simplePos="0" relativeHeight="252507136" behindDoc="0" locked="0" layoutInCell="1" allowOverlap="1" wp14:anchorId="2DB71E09" wp14:editId="6508155C">
                <wp:simplePos x="0" y="0"/>
                <wp:positionH relativeFrom="column">
                  <wp:posOffset>7025206</wp:posOffset>
                </wp:positionH>
                <wp:positionV relativeFrom="paragraph">
                  <wp:posOffset>460316</wp:posOffset>
                </wp:positionV>
                <wp:extent cx="1569720" cy="662940"/>
                <wp:effectExtent l="25400" t="279400" r="0" b="327660"/>
                <wp:wrapNone/>
                <wp:docPr id="431" name="Flèche vers la droite 431"/>
                <wp:cNvGraphicFramePr/>
                <a:graphic xmlns:a="http://schemas.openxmlformats.org/drawingml/2006/main">
                  <a:graphicData uri="http://schemas.microsoft.com/office/word/2010/wordprocessingShape">
                    <wps:wsp>
                      <wps:cNvSpPr/>
                      <wps:spPr>
                        <a:xfrm rot="19597282">
                          <a:off x="0" y="0"/>
                          <a:ext cx="1569720" cy="662940"/>
                        </a:xfrm>
                        <a:prstGeom prst="rightArrow">
                          <a:avLst/>
                        </a:prstGeom>
                        <a:solidFill>
                          <a:schemeClr val="tx1"/>
                        </a:solidFill>
                        <a:ln w="28575" cmpd="sng">
                          <a:solidFill>
                            <a:srgbClr val="008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AF18094" w14:textId="77777777" w:rsidR="00573C95" w:rsidRPr="00406605" w:rsidRDefault="00573C95" w:rsidP="00D15E9A">
                            <w:pPr>
                              <w:jc w:val="center"/>
                              <w:rPr>
                                <w:sz w:val="22"/>
                                <w:szCs w:val="22"/>
                              </w:rPr>
                            </w:pPr>
                            <w:r>
                              <w:rPr>
                                <w:sz w:val="22"/>
                                <w:szCs w:val="22"/>
                              </w:rPr>
                              <w:t>Retrait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droite 431" o:spid="_x0000_s1293" type="#_x0000_t13" style="position:absolute;margin-left:553.15pt;margin-top:36.25pt;width:123.6pt;height:52.2pt;rotation:-2187502fd;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" adj="17039" fillcolor="black [3213]" strokecolor="green" strokeweight="2.25pt">
                <v:textbox>
                  <w:txbxContent>
                    <w:p w14:paraId="6AF18094" w14:textId="77777777" w:rsidR="001501D6" w:rsidRPr="00406605" w:rsidRDefault="001501D6" w:rsidP="00D15E9A">
                      <w:pPr>
                        <w:jc w:val="center"/>
                        <w:rPr>
                          <w:sz w:val="22"/>
                          <w:szCs w:val="22"/>
                        </w:rPr>
                      </w:pPr>
                      <w:r>
                        <w:rPr>
                          <w:sz w:val="22"/>
                          <w:szCs w:val="22"/>
                        </w:rPr>
                        <w:t>Retrait</w:t>
                      </w:r>
                    </w:p>
                  </w:txbxContent>
                </v:textbox>
              </v:shape>
            </w:pict>
          </mc:Fallback>
        </mc:AlternateContent>
      </w:r>
      <w:r w:rsidR="00D15E9A">
        <w:rPr>
          <w:noProof/>
          <w:lang w:eastAsia="fr-FR"/>
        </w:rPr>
        <mc:AlternateContent>
          <mc:Choice Requires="wps">
            <w:drawing>
              <wp:anchor distT="0" distB="0" distL="114300" distR="114300" simplePos="0" relativeHeight="252496896" behindDoc="0" locked="0" layoutInCell="1" allowOverlap="1" wp14:anchorId="02285F50" wp14:editId="61DD4153">
                <wp:simplePos x="0" y="0"/>
                <wp:positionH relativeFrom="column">
                  <wp:posOffset>-114300</wp:posOffset>
                </wp:positionH>
                <wp:positionV relativeFrom="paragraph">
                  <wp:posOffset>614680</wp:posOffset>
                </wp:positionV>
                <wp:extent cx="1548765" cy="662940"/>
                <wp:effectExtent l="0" t="330200" r="0" b="276860"/>
                <wp:wrapNone/>
                <wp:docPr id="432" name="Flèche vers la droite 432"/>
                <wp:cNvGraphicFramePr/>
                <a:graphic xmlns:a="http://schemas.openxmlformats.org/drawingml/2006/main">
                  <a:graphicData uri="http://schemas.microsoft.com/office/word/2010/wordprocessingShape">
                    <wps:wsp>
                      <wps:cNvSpPr/>
                      <wps:spPr>
                        <a:xfrm rot="2037712">
                          <a:off x="0" y="0"/>
                          <a:ext cx="1548765" cy="662940"/>
                        </a:xfrm>
                        <a:prstGeom prst="rightArrow">
                          <a:avLst/>
                        </a:prstGeom>
                        <a:solidFill>
                          <a:schemeClr val="tx1"/>
                        </a:solidFill>
                        <a:ln w="28575" cmpd="sng">
                          <a:solidFill>
                            <a:srgbClr val="8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F217EBD" w14:textId="77777777" w:rsidR="00573C95" w:rsidRPr="00406605" w:rsidRDefault="00573C95" w:rsidP="00D15E9A">
                            <w:pPr>
                              <w:jc w:val="center"/>
                              <w:rPr>
                                <w:sz w:val="22"/>
                                <w:szCs w:val="22"/>
                              </w:rPr>
                            </w:pPr>
                            <w:r w:rsidRPr="00406605">
                              <w:rPr>
                                <w:sz w:val="22"/>
                                <w:szCs w:val="22"/>
                              </w:rPr>
                              <w:t>Cotisation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droite 432" o:spid="_x0000_s1294" type="#_x0000_t13" style="position:absolute;margin-left:-8.95pt;margin-top:48.4pt;width:121.95pt;height:52.2pt;rotation:2225725fd;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" adj="16977" fillcolor="black [3213]" strokecolor="maroon" strokeweight="2.25pt">
                <v:textbox>
                  <w:txbxContent>
                    <w:p w14:paraId="6F217EBD" w14:textId="77777777" w:rsidR="001501D6" w:rsidRPr="00406605" w:rsidRDefault="001501D6" w:rsidP="00D15E9A">
                      <w:pPr>
                        <w:jc w:val="center"/>
                        <w:rPr>
                          <w:sz w:val="22"/>
                          <w:szCs w:val="22"/>
                        </w:rPr>
                      </w:pPr>
                      <w:r w:rsidRPr="00406605">
                        <w:rPr>
                          <w:sz w:val="22"/>
                          <w:szCs w:val="22"/>
                        </w:rPr>
                        <w:t>Cotisation</w:t>
                      </w:r>
                    </w:p>
                  </w:txbxContent>
                </v:textbox>
              </v:shape>
            </w:pict>
          </mc:Fallback>
        </mc:AlternateContent>
      </w:r>
      <w:r w:rsidR="00D15E9A">
        <w:rPr>
          <w:noProof/>
          <w:lang w:eastAsia="fr-FR"/>
        </w:rPr>
        <mc:AlternateContent>
          <mc:Choice Requires="wps">
            <w:drawing>
              <wp:anchor distT="0" distB="0" distL="114300" distR="114300" simplePos="0" relativeHeight="252508160" behindDoc="0" locked="0" layoutInCell="1" allowOverlap="1" wp14:anchorId="001FEF04" wp14:editId="582E479C">
                <wp:simplePos x="0" y="0"/>
                <wp:positionH relativeFrom="column">
                  <wp:posOffset>5859780</wp:posOffset>
                </wp:positionH>
                <wp:positionV relativeFrom="paragraph">
                  <wp:posOffset>2567305</wp:posOffset>
                </wp:positionV>
                <wp:extent cx="1776095" cy="922655"/>
                <wp:effectExtent l="0" t="81280" r="47625" b="73025"/>
                <wp:wrapThrough wrapText="bothSides">
                  <wp:wrapPolygon edited="0">
                    <wp:start x="22588" y="3092"/>
                    <wp:lineTo x="6834" y="3092"/>
                    <wp:lineTo x="2201" y="3687"/>
                    <wp:lineTo x="39" y="7849"/>
                    <wp:lineTo x="-579" y="8444"/>
                    <wp:lineTo x="-579" y="12606"/>
                    <wp:lineTo x="39" y="13201"/>
                    <wp:lineTo x="2201" y="17363"/>
                    <wp:lineTo x="6526" y="22120"/>
                    <wp:lineTo x="7143" y="19147"/>
                    <wp:lineTo x="22588" y="17958"/>
                    <wp:lineTo x="22588" y="3092"/>
                  </wp:wrapPolygon>
                </wp:wrapThrough>
                <wp:docPr id="433" name="Flèche vers la gauche 433"/>
                <wp:cNvGraphicFramePr/>
                <a:graphic xmlns:a="http://schemas.openxmlformats.org/drawingml/2006/main">
                  <a:graphicData uri="http://schemas.microsoft.com/office/word/2010/wordprocessingShape">
                    <wps:wsp>
                      <wps:cNvSpPr/>
                      <wps:spPr>
                        <a:xfrm rot="16200000">
                          <a:off x="0" y="0"/>
                          <a:ext cx="1776095" cy="922655"/>
                        </a:xfrm>
                        <a:prstGeom prst="leftArrow">
                          <a:avLst/>
                        </a:prstGeom>
                        <a:solidFill>
                          <a:srgbClr val="000000"/>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88949CA" w14:textId="77777777" w:rsidR="00573C95" w:rsidRPr="00190FCD" w:rsidRDefault="00573C95" w:rsidP="00D15E9A">
                            <w:pPr>
                              <w:jc w:val="center"/>
                              <w:rPr>
                                <w:sz w:val="22"/>
                                <w:szCs w:val="22"/>
                              </w:rPr>
                            </w:pPr>
                            <w:r>
                              <w:rPr>
                                <w:sz w:val="22"/>
                                <w:szCs w:val="22"/>
                              </w:rPr>
                              <w:t>Impôt à payer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id="Flèche vers la gauche 433" o:spid="_x0000_s1295" type="#_x0000_t66" style="position:absolute;margin-left:461.4pt;margin-top:202.15pt;width:139.85pt;height:72.65pt;rotation:-90;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" adj="5610" fillcolor="black" strokecolor="maroon" strokeweight="2.25pt">
                <v:textbox>
                  <w:txbxContent>
                    <w:p w14:paraId="188949CA" w14:textId="77777777" w:rsidR="001501D6" w:rsidRPr="00190FCD" w:rsidRDefault="001501D6" w:rsidP="00D15E9A">
                      <w:pPr>
                        <w:jc w:val="center"/>
                        <w:rPr>
                          <w:sz w:val="22"/>
                          <w:szCs w:val="22"/>
                        </w:rPr>
                      </w:pPr>
                      <w:r>
                        <w:rPr>
                          <w:sz w:val="22"/>
                          <w:szCs w:val="22"/>
                        </w:rPr>
                        <w:t>Impôt à payer</w:t>
                      </w:r>
                    </w:p>
                  </w:txbxContent>
                </v:textbox>
                <w10:wrap type="through"/>
              </v:shape>
            </w:pict>
          </mc:Fallback>
        </mc:AlternateContent>
      </w:r>
      <w:r w:rsidR="00D15E9A">
        <w:rPr>
          <w:noProof/>
          <w:lang w:eastAsia="fr-FR"/>
        </w:rPr>
        <mc:AlternateContent>
          <mc:Choice Requires="wps">
            <w:drawing>
              <wp:anchor distT="0" distB="0" distL="114300" distR="114300" simplePos="0" relativeHeight="252500992" behindDoc="0" locked="0" layoutInCell="1" allowOverlap="1" wp14:anchorId="199A3DDD" wp14:editId="2E92D82E">
                <wp:simplePos x="0" y="0"/>
                <wp:positionH relativeFrom="column">
                  <wp:posOffset>3657600</wp:posOffset>
                </wp:positionH>
                <wp:positionV relativeFrom="paragraph">
                  <wp:posOffset>997585</wp:posOffset>
                </wp:positionV>
                <wp:extent cx="1143000" cy="1143000"/>
                <wp:effectExtent l="76200" t="76200" r="76200" b="76200"/>
                <wp:wrapNone/>
                <wp:docPr id="438" name="Ellipse 438"/>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23EB398" w14:textId="13BBF9A8" w:rsidR="00573C95" w:rsidRPr="00406605" w:rsidRDefault="00573C95" w:rsidP="00D15E9A">
                            <w:pPr>
                              <w:jc w:val="center"/>
                              <w:rPr>
                                <w:sz w:val="22"/>
                                <w:szCs w:val="22"/>
                              </w:rPr>
                            </w:pPr>
                            <w:r>
                              <w:rPr>
                                <w:sz w:val="22"/>
                                <w:szCs w:val="22"/>
                              </w:rPr>
                              <w:t>33 219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38" o:spid="_x0000_s1296" style="position:absolute;margin-left:4in;margin-top:78.55pt;width:90pt;height:90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" fillcolor="#94c600 [3204]" strokecolor="black [3213]">
                <v:fill color2="#84b100 [2884]" rotate="t" focus="100%" type="gradient">
                  <o:fill v:ext="view" type="gradientUnscaled"/>
                </v:fill>
                <v:textbox>
                  <w:txbxContent>
                    <w:p w14:paraId="223EB398" w14:textId="13BBF9A8" w:rsidR="001501D6" w:rsidRPr="00406605" w:rsidRDefault="001501D6" w:rsidP="00D15E9A">
                      <w:pPr>
                        <w:jc w:val="center"/>
                        <w:rPr>
                          <w:sz w:val="22"/>
                          <w:szCs w:val="22"/>
                        </w:rPr>
                      </w:pPr>
                      <w:r>
                        <w:rPr>
                          <w:sz w:val="22"/>
                          <w:szCs w:val="22"/>
                        </w:rPr>
                        <w:t>33 219</w:t>
                      </w:r>
                      <w:r w:rsidRPr="00406605">
                        <w:rPr>
                          <w:sz w:val="22"/>
                          <w:szCs w:val="22"/>
                        </w:rPr>
                        <w:t xml:space="preserve"> $</w:t>
                      </w:r>
                    </w:p>
                  </w:txbxContent>
                </v:textbox>
              </v:oval>
            </w:pict>
          </mc:Fallback>
        </mc:AlternateContent>
      </w:r>
      <w:r w:rsidR="00D15E9A">
        <w:rPr>
          <w:color w:val="000000" w:themeColor="text1"/>
          <w:u w:val="single"/>
        </w:rPr>
        <w:br w:type="page"/>
      </w:r>
      <w:r w:rsidR="00D15E9A">
        <w:rPr>
          <w:noProof/>
          <w:lang w:eastAsia="fr-FR"/>
        </w:rPr>
        <mc:AlternateContent>
          <mc:Choice Requires="wps">
            <w:drawing>
              <wp:anchor distT="0" distB="0" distL="114300" distR="114300" simplePos="0" relativeHeight="252504064" behindDoc="0" locked="0" layoutInCell="1" allowOverlap="1" wp14:anchorId="3885901F" wp14:editId="76F6B639">
                <wp:simplePos x="0" y="0"/>
                <wp:positionH relativeFrom="column">
                  <wp:posOffset>5004435</wp:posOffset>
                </wp:positionH>
                <wp:positionV relativeFrom="paragraph">
                  <wp:posOffset>1089025</wp:posOffset>
                </wp:positionV>
                <wp:extent cx="822960" cy="822960"/>
                <wp:effectExtent l="0" t="0" r="0" b="0"/>
                <wp:wrapThrough wrapText="bothSides">
                  <wp:wrapPolygon edited="0">
                    <wp:start x="1333" y="2667"/>
                    <wp:lineTo x="1333" y="18000"/>
                    <wp:lineTo x="20000" y="18000"/>
                    <wp:lineTo x="20000" y="2667"/>
                    <wp:lineTo x="1333" y="2667"/>
                  </wp:wrapPolygon>
                </wp:wrapThrough>
                <wp:docPr id="440" name="Égal 440"/>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Égal 440" o:spid="_x0000_s1026" style="position:absolute;margin-left:394.05pt;margin-top:85.75pt;width:64.8pt;height:64.8pt;z-index:25250406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" path="m109083,169530l713877,169530,713877,363090,109083,363090,109083,169530xm109083,459870l713877,459870,713877,653430,109083,653430,109083,459870xe" fillcolor="black" strokecolor="#94c600 [3204]">
                <v:path arrowok="t" o:connecttype="custom" o:connectlocs="109083,169530;713877,169530;713877,363090;109083,363090;109083,169530;109083,459870;713877,459870;713877,653430;109083,653430;109083,459870" o:connectangles="0,0,0,0,0,0,0,0,0,0"/>
                <w10:wrap type="through"/>
              </v:shape>
            </w:pict>
          </mc:Fallback>
        </mc:AlternateContent>
      </w:r>
      <w:r w:rsidR="00D15E9A">
        <w:rPr>
          <w:noProof/>
          <w:lang w:eastAsia="fr-FR"/>
        </w:rPr>
        <mc:AlternateContent>
          <mc:Choice Requires="wps">
            <w:drawing>
              <wp:anchor distT="0" distB="0" distL="114300" distR="114300" simplePos="0" relativeHeight="252503040" behindDoc="0" locked="0" layoutInCell="1" allowOverlap="1" wp14:anchorId="71B9950D" wp14:editId="779806BC">
                <wp:simplePos x="0" y="0"/>
                <wp:positionH relativeFrom="column">
                  <wp:posOffset>2594610</wp:posOffset>
                </wp:positionH>
                <wp:positionV relativeFrom="paragraph">
                  <wp:posOffset>1158875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441" name="Croix 441"/>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Croix 441" o:spid="_x0000_s1026" style="position:absolute;margin-left:204.3pt;margin-top:91.25pt;width:64.8pt;height:64.8pt;z-index:252503040;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" path="m109083,314700l314700,314700,314700,109083,508260,109083,508260,314700,713877,314700,713877,508260,508260,508260,508260,713877,314700,713877,314700,508260,109083,508260,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p>
    <w:p w14:paraId="773244DA" w14:textId="01F06800" w:rsidR="00406605" w:rsidRPr="00BE7624" w:rsidRDefault="00BE7624" w:rsidP="00406605">
      <w:pPr>
        <w:jc w:val="both"/>
        <w:rPr>
          <w:color w:val="000000" w:themeColor="text1"/>
          <w:u w:val="single"/>
        </w:rPr>
      </w:pPr>
      <w:r w:rsidRPr="00BE7624">
        <w:rPr>
          <w:color w:val="000000" w:themeColor="text1"/>
          <w:u w:val="single"/>
        </w:rPr>
        <w:lastRenderedPageBreak/>
        <w:t xml:space="preserve">Observations et constats </w:t>
      </w:r>
    </w:p>
    <w:p w14:paraId="37E19C3E" w14:textId="782F4BDF" w:rsidR="00F27B04" w:rsidRDefault="00F27B04" w:rsidP="00AF064F">
      <w:pPr>
        <w:jc w:val="both"/>
        <w:rPr>
          <w:color w:val="000000" w:themeColor="text1"/>
        </w:rPr>
      </w:pPr>
    </w:p>
    <w:p w14:paraId="539730D7" w14:textId="054DE69B" w:rsidR="001A2F1C" w:rsidRDefault="001A57D5" w:rsidP="00AF064F">
      <w:pPr>
        <w:jc w:val="both"/>
        <w:rPr>
          <w:color w:val="000000" w:themeColor="text1"/>
        </w:rPr>
      </w:pPr>
      <w:r>
        <w:rPr>
          <w:color w:val="000000" w:themeColor="text1"/>
        </w:rPr>
        <w:t xml:space="preserve">En examinant les quatre  cas </w:t>
      </w:r>
      <w:r w:rsidR="004E2AEF">
        <w:rPr>
          <w:color w:val="000000" w:themeColor="text1"/>
        </w:rPr>
        <w:t>précédents,</w:t>
      </w:r>
      <w:r>
        <w:rPr>
          <w:color w:val="000000" w:themeColor="text1"/>
        </w:rPr>
        <w:t xml:space="preserve"> nous sommes à même de faire ressortir </w:t>
      </w:r>
      <w:r w:rsidR="001A2F1C">
        <w:rPr>
          <w:color w:val="000000" w:themeColor="text1"/>
        </w:rPr>
        <w:t xml:space="preserve">les différents contextes et </w:t>
      </w:r>
      <w:r>
        <w:rPr>
          <w:color w:val="000000" w:themeColor="text1"/>
        </w:rPr>
        <w:t>les principales règles du pouce quant à l’utilisation du REÉR dans une stratégie d’accumulation d</w:t>
      </w:r>
      <w:r w:rsidR="001A2F1C">
        <w:rPr>
          <w:color w:val="000000" w:themeColor="text1"/>
        </w:rPr>
        <w:t>’</w:t>
      </w:r>
      <w:r>
        <w:rPr>
          <w:color w:val="000000" w:themeColor="text1"/>
        </w:rPr>
        <w:t>u</w:t>
      </w:r>
      <w:r w:rsidR="001A2F1C">
        <w:rPr>
          <w:color w:val="000000" w:themeColor="text1"/>
        </w:rPr>
        <w:t>n</w:t>
      </w:r>
      <w:r>
        <w:rPr>
          <w:color w:val="000000" w:themeColor="text1"/>
        </w:rPr>
        <w:t xml:space="preserve"> patrimoine</w:t>
      </w:r>
      <w:r w:rsidR="001A2F1C">
        <w:rPr>
          <w:color w:val="000000" w:themeColor="text1"/>
        </w:rPr>
        <w:t xml:space="preserve"> de retraite.</w:t>
      </w:r>
    </w:p>
    <w:p w14:paraId="413B08F0" w14:textId="6A398C82" w:rsidR="001A57D5" w:rsidRDefault="001A57D5" w:rsidP="00AF064F">
      <w:pPr>
        <w:jc w:val="both"/>
        <w:rPr>
          <w:color w:val="000000" w:themeColor="text1"/>
        </w:rPr>
      </w:pPr>
      <w:r>
        <w:rPr>
          <w:color w:val="000000" w:themeColor="text1"/>
        </w:rPr>
        <w:t xml:space="preserve"> </w:t>
      </w:r>
    </w:p>
    <w:p w14:paraId="417DC390" w14:textId="77777777" w:rsidR="00DE5016" w:rsidRDefault="00DE5016" w:rsidP="00AF064F">
      <w:pPr>
        <w:jc w:val="both"/>
        <w:rPr>
          <w:color w:val="000000" w:themeColor="text1"/>
        </w:rPr>
      </w:pPr>
    </w:p>
    <w:p w14:paraId="4A38A0A3" w14:textId="6B04CBCC" w:rsidR="000D619D" w:rsidRPr="000D619D" w:rsidRDefault="001A2F1C" w:rsidP="006C34CF">
      <w:pPr>
        <w:pStyle w:val="Paragraphedeliste"/>
        <w:numPr>
          <w:ilvl w:val="0"/>
          <w:numId w:val="46"/>
        </w:numPr>
        <w:jc w:val="both"/>
        <w:rPr>
          <w:color w:val="FF6700" w:themeColor="accent3"/>
        </w:rPr>
      </w:pPr>
      <w:r>
        <w:rPr>
          <w:color w:val="000000" w:themeColor="text1"/>
        </w:rPr>
        <w:t xml:space="preserve">Le </w:t>
      </w:r>
      <w:r w:rsidR="003B6DC1" w:rsidRPr="003B6DC1">
        <w:rPr>
          <w:color w:val="FF6700" w:themeColor="accent3"/>
        </w:rPr>
        <w:t>CAS 1</w:t>
      </w:r>
      <w:r>
        <w:rPr>
          <w:color w:val="000000" w:themeColor="text1"/>
        </w:rPr>
        <w:t xml:space="preserve"> est l’illustration parfaite du point d’équilibre de l’utilisation du REÉR. Dans ce contexte, il y a report d’</w:t>
      </w:r>
      <w:r w:rsidR="004E2AEF">
        <w:rPr>
          <w:color w:val="000000" w:themeColor="text1"/>
        </w:rPr>
        <w:t>impôt,</w:t>
      </w:r>
      <w:r>
        <w:rPr>
          <w:color w:val="000000" w:themeColor="text1"/>
        </w:rPr>
        <w:t xml:space="preserve"> mais aucune économie d’impôt. C’est-à-dire que le remboursement d’impôt au moment de la cotisation (5 000 $) et l’impôt reporté sur les revenus du REÉR (16 </w:t>
      </w:r>
      <w:r w:rsidR="00445588">
        <w:rPr>
          <w:color w:val="000000" w:themeColor="text1"/>
        </w:rPr>
        <w:t>6</w:t>
      </w:r>
      <w:r>
        <w:rPr>
          <w:color w:val="000000" w:themeColor="text1"/>
        </w:rPr>
        <w:t>09 $) correspondent à l’impôt qui sera à payer lors du retrait du REÉR (21</w:t>
      </w:r>
      <w:r w:rsidR="0093200D">
        <w:rPr>
          <w:color w:val="000000" w:themeColor="text1"/>
        </w:rPr>
        <w:t xml:space="preserve"> </w:t>
      </w:r>
      <w:r w:rsidR="00445588">
        <w:rPr>
          <w:color w:val="000000" w:themeColor="text1"/>
        </w:rPr>
        <w:t>6</w:t>
      </w:r>
      <w:r>
        <w:rPr>
          <w:color w:val="000000" w:themeColor="text1"/>
        </w:rPr>
        <w:t xml:space="preserve">09 $). </w:t>
      </w:r>
      <w:r w:rsidRPr="0093200D">
        <w:rPr>
          <w:color w:val="FF6700" w:themeColor="accent3"/>
        </w:rPr>
        <w:t>Nous observons ce scénario lorsque le taux d’imposition marginal au moment de la cotisation est égal</w:t>
      </w:r>
      <w:r w:rsidR="0093200D" w:rsidRPr="0093200D">
        <w:rPr>
          <w:color w:val="FF6700" w:themeColor="accent3"/>
        </w:rPr>
        <w:t xml:space="preserve"> au taux d’imposition marginal </w:t>
      </w:r>
      <w:r w:rsidR="002729DD">
        <w:rPr>
          <w:color w:val="FF6700" w:themeColor="accent3"/>
        </w:rPr>
        <w:t xml:space="preserve">anticipé </w:t>
      </w:r>
      <w:r w:rsidR="0093200D" w:rsidRPr="0093200D">
        <w:rPr>
          <w:color w:val="FF6700" w:themeColor="accent3"/>
        </w:rPr>
        <w:t>au moment du retrait</w:t>
      </w:r>
      <w:r w:rsidR="0093200D">
        <w:t>. Le report d’impos</w:t>
      </w:r>
      <w:r w:rsidR="00EF652A">
        <w:t>i</w:t>
      </w:r>
      <w:r w:rsidR="0093200D">
        <w:t>tion est intéressant lorsque nous le comparons à un même investiss</w:t>
      </w:r>
      <w:r w:rsidR="00983A2E">
        <w:t>e</w:t>
      </w:r>
      <w:r w:rsidR="0093200D">
        <w:t xml:space="preserve">ment </w:t>
      </w:r>
      <w:r w:rsidR="0082468A">
        <w:t xml:space="preserve">de 10 000 $ </w:t>
      </w:r>
      <w:r w:rsidR="0093200D">
        <w:t>qui ne serait pas à l’abri de l’impôt</w:t>
      </w:r>
      <w:r w:rsidR="000D619D">
        <w:t xml:space="preserve">. </w:t>
      </w:r>
      <w:r w:rsidR="0093200D">
        <w:t>Dans ce cas</w:t>
      </w:r>
      <w:r w:rsidR="004E2AEF">
        <w:t xml:space="preserve">, </w:t>
      </w:r>
      <w:r w:rsidR="0093200D">
        <w:t>l</w:t>
      </w:r>
      <w:r w:rsidR="0082468A">
        <w:t>a</w:t>
      </w:r>
      <w:r w:rsidR="0093200D">
        <w:t xml:space="preserve"> </w:t>
      </w:r>
      <w:r w:rsidR="0082468A">
        <w:t>somme</w:t>
      </w:r>
      <w:r w:rsidR="00DA00D3">
        <w:t xml:space="preserve"> accumulé</w:t>
      </w:r>
      <w:r w:rsidR="0082468A">
        <w:t>e serait, après 30 années</w:t>
      </w:r>
      <w:r w:rsidR="0098775D">
        <w:t>,</w:t>
      </w:r>
      <w:r w:rsidR="0082468A">
        <w:t xml:space="preserve"> </w:t>
      </w:r>
      <w:r w:rsidR="0093200D">
        <w:t>de</w:t>
      </w:r>
      <w:r w:rsidR="00DA00D3">
        <w:t xml:space="preserve"> 20 976 $</w:t>
      </w:r>
      <w:r w:rsidR="000D619D">
        <w:t xml:space="preserve">. Alors que la somme accumulée par la stratégie REÉR serait </w:t>
      </w:r>
      <w:r w:rsidR="0098775D">
        <w:t xml:space="preserve">alors </w:t>
      </w:r>
      <w:r w:rsidR="000D619D">
        <w:t xml:space="preserve">de 43 219 $, </w:t>
      </w:r>
      <w:r w:rsidR="004E2AEF">
        <w:t>nets</w:t>
      </w:r>
      <w:r w:rsidR="000D619D">
        <w:t xml:space="preserve"> d'impôts, si le remboursement de 5 000 $ est initialement, comme il se doit, investi dans un CÉLI</w:t>
      </w:r>
      <w:r w:rsidR="00DA00D3">
        <w:t>.</w:t>
      </w:r>
      <w:r w:rsidR="0093200D">
        <w:t xml:space="preserve"> </w:t>
      </w:r>
      <w:r w:rsidR="00605BF7">
        <w:t xml:space="preserve">À notre avis, l’effet de levier procuré par le report d’impôt de 21 </w:t>
      </w:r>
      <w:r w:rsidR="000D619D">
        <w:t>6</w:t>
      </w:r>
      <w:r w:rsidR="00605BF7">
        <w:t>09 $ doit être cons</w:t>
      </w:r>
      <w:r w:rsidR="00527E6D">
        <w:t>i</w:t>
      </w:r>
      <w:r w:rsidR="00605BF7">
        <w:t xml:space="preserve">déré comme un prêt du fisc à coût financier nul. Le risque de l’opération étant surtout relié aux aspects </w:t>
      </w:r>
      <w:r w:rsidR="004E2AEF">
        <w:t>comportementaux</w:t>
      </w:r>
      <w:r w:rsidR="00605BF7">
        <w:t xml:space="preserve"> du contribua</w:t>
      </w:r>
      <w:r w:rsidR="000D619D">
        <w:t>b</w:t>
      </w:r>
      <w:r w:rsidR="00605BF7">
        <w:t>l</w:t>
      </w:r>
      <w:r w:rsidR="000D619D">
        <w:t>e</w:t>
      </w:r>
      <w:r w:rsidR="00605BF7">
        <w:t>.</w:t>
      </w:r>
      <w:r w:rsidR="004A3EC8">
        <w:t xml:space="preserve"> À savoir:</w:t>
      </w:r>
      <w:r w:rsidR="00605BF7">
        <w:t xml:space="preserve"> </w:t>
      </w:r>
    </w:p>
    <w:p w14:paraId="76DB7D2F" w14:textId="77777777" w:rsidR="000D619D" w:rsidRPr="000D619D" w:rsidRDefault="000D619D" w:rsidP="000D619D">
      <w:pPr>
        <w:ind w:left="751"/>
        <w:jc w:val="both"/>
        <w:rPr>
          <w:color w:val="FF6700" w:themeColor="accent3"/>
        </w:rPr>
      </w:pPr>
    </w:p>
    <w:p w14:paraId="0A8C09DB" w14:textId="59C0F5CD" w:rsidR="000D619D" w:rsidRPr="000D619D" w:rsidRDefault="004A3EC8" w:rsidP="006C34CF">
      <w:pPr>
        <w:pStyle w:val="Paragraphedeliste"/>
        <w:numPr>
          <w:ilvl w:val="1"/>
          <w:numId w:val="46"/>
        </w:numPr>
        <w:jc w:val="both"/>
        <w:rPr>
          <w:color w:val="FF6700" w:themeColor="accent3"/>
        </w:rPr>
      </w:pPr>
      <w:r>
        <w:t>E</w:t>
      </w:r>
      <w:r w:rsidR="00605BF7">
        <w:t xml:space="preserve">st-ce que le remboursement </w:t>
      </w:r>
      <w:r w:rsidR="000D619D">
        <w:t xml:space="preserve">initial </w:t>
      </w:r>
      <w:r w:rsidR="00605BF7">
        <w:t>de 5 000 $ va être utilisé pour en faire un placement ou pour augmenter le train de vie </w:t>
      </w:r>
      <w:r w:rsidR="00605BF7" w:rsidRPr="00605BF7">
        <w:rPr>
          <w:rFonts w:ascii="Avenir Book" w:hAnsi="Avenir Book"/>
        </w:rPr>
        <w:t>?</w:t>
      </w:r>
      <w:r w:rsidR="00605BF7">
        <w:t xml:space="preserve"> Dans un tel cas, ce n’est rien  d’autre qu’un</w:t>
      </w:r>
      <w:r w:rsidR="000D619D">
        <w:t xml:space="preserve"> </w:t>
      </w:r>
      <w:r w:rsidR="00605BF7">
        <w:t>emprunt</w:t>
      </w:r>
      <w:r w:rsidR="000D619D">
        <w:t xml:space="preserve"> de plus</w:t>
      </w:r>
      <w:r w:rsidR="00605BF7">
        <w:t xml:space="preserve"> pour financer son train de vie. </w:t>
      </w:r>
    </w:p>
    <w:p w14:paraId="2023D377" w14:textId="77777777" w:rsidR="000D619D" w:rsidRPr="000D619D" w:rsidRDefault="000D619D" w:rsidP="000D619D">
      <w:pPr>
        <w:ind w:left="1471"/>
        <w:jc w:val="both"/>
        <w:rPr>
          <w:color w:val="FF6700" w:themeColor="accent3"/>
        </w:rPr>
      </w:pPr>
    </w:p>
    <w:p w14:paraId="039D4117" w14:textId="021F5DFB" w:rsidR="003066DD" w:rsidRPr="00D12C8C" w:rsidRDefault="00605BF7" w:rsidP="006C34CF">
      <w:pPr>
        <w:pStyle w:val="Paragraphedeliste"/>
        <w:numPr>
          <w:ilvl w:val="1"/>
          <w:numId w:val="46"/>
        </w:numPr>
        <w:jc w:val="both"/>
        <w:rPr>
          <w:color w:val="FF6700" w:themeColor="accent3"/>
        </w:rPr>
      </w:pPr>
      <w:r>
        <w:t xml:space="preserve">Un imprévu amènera-t-il le contribuable à retirer prématurément une somme de son REÉR alors que </w:t>
      </w:r>
      <w:r w:rsidR="003B6DC1">
        <w:t>le</w:t>
      </w:r>
      <w:r>
        <w:t xml:space="preserve"> taux d’imposition marginal maximum </w:t>
      </w:r>
      <w:r w:rsidR="003B6DC1">
        <w:t xml:space="preserve">aura </w:t>
      </w:r>
      <w:r>
        <w:t>atteint un sommet </w:t>
      </w:r>
      <w:r w:rsidRPr="00605BF7">
        <w:rPr>
          <w:rFonts w:ascii="Avenir Book" w:hAnsi="Avenir Book"/>
        </w:rPr>
        <w:t>?</w:t>
      </w:r>
      <w:r w:rsidR="003066DD">
        <w:rPr>
          <w:rFonts w:ascii="Avenir Book" w:hAnsi="Avenir Book"/>
        </w:rPr>
        <w:t xml:space="preserve"> </w:t>
      </w:r>
      <w:r w:rsidR="00D12C8C" w:rsidRPr="00D12C8C">
        <w:t>Rappelons-nous</w:t>
      </w:r>
      <w:r w:rsidR="00D12C8C">
        <w:t xml:space="preserve"> qu'il </w:t>
      </w:r>
      <w:r w:rsidR="00B51155">
        <w:t>n'</w:t>
      </w:r>
      <w:r w:rsidR="00D12C8C">
        <w:t xml:space="preserve">existe </w:t>
      </w:r>
      <w:r w:rsidR="00B51155">
        <w:t xml:space="preserve">que </w:t>
      </w:r>
      <w:r w:rsidR="00D12C8C">
        <w:t>deux</w:t>
      </w:r>
      <w:r w:rsidR="00B51155">
        <w:t xml:space="preserve"> </w:t>
      </w:r>
      <w:r w:rsidR="00D12C8C">
        <w:t>types de retraits à même le REÉR qui ne déclenche</w:t>
      </w:r>
      <w:r w:rsidR="00B51155">
        <w:t>nt</w:t>
      </w:r>
      <w:r w:rsidR="00D12C8C">
        <w:t xml:space="preserve"> pas d'imposition, </w:t>
      </w:r>
      <w:r w:rsidR="00CD10A5">
        <w:t xml:space="preserve">soit </w:t>
      </w:r>
      <w:r w:rsidR="00894EA7">
        <w:t xml:space="preserve">ceux prévus dans le cadre du </w:t>
      </w:r>
      <w:r w:rsidR="00894EA7">
        <w:rPr>
          <w:rFonts w:asciiTheme="majorHAnsi" w:hAnsiTheme="majorHAnsi"/>
        </w:rPr>
        <w:t>Régime d'accession à la propriété (</w:t>
      </w:r>
      <w:r w:rsidR="00D12C8C">
        <w:t>RAP</w:t>
      </w:r>
      <w:r w:rsidR="00894EA7">
        <w:t>)</w:t>
      </w:r>
      <w:r w:rsidR="00D12C8C">
        <w:t xml:space="preserve"> et</w:t>
      </w:r>
      <w:r w:rsidR="00E144A8">
        <w:t xml:space="preserve"> </w:t>
      </w:r>
      <w:r w:rsidR="00D12C8C">
        <w:t xml:space="preserve"> </w:t>
      </w:r>
      <w:r w:rsidR="0098775D">
        <w:t xml:space="preserve">ceux effectués à même </w:t>
      </w:r>
      <w:r w:rsidR="00894EA7">
        <w:t>le</w:t>
      </w:r>
      <w:r w:rsidR="00E144A8">
        <w:t xml:space="preserve"> </w:t>
      </w:r>
      <w:r w:rsidR="004E2AEF">
        <w:t>régime</w:t>
      </w:r>
      <w:r w:rsidR="00E144A8">
        <w:t xml:space="preserve"> d'encouragement à l'éducation permanente</w:t>
      </w:r>
      <w:r w:rsidR="00894EA7">
        <w:t xml:space="preserve"> (</w:t>
      </w:r>
      <w:r w:rsidR="00D12C8C">
        <w:t>REEP</w:t>
      </w:r>
      <w:r w:rsidR="00894EA7">
        <w:t>)</w:t>
      </w:r>
      <w:r w:rsidR="00D12C8C">
        <w:t>. Tous les autres types de retraits seront imposables immédiatement.</w:t>
      </w:r>
    </w:p>
    <w:p w14:paraId="447BB15C" w14:textId="77777777" w:rsidR="003066DD" w:rsidRPr="003066DD" w:rsidRDefault="003066DD" w:rsidP="003066DD">
      <w:pPr>
        <w:ind w:left="1471"/>
        <w:jc w:val="both"/>
        <w:rPr>
          <w:color w:val="FF6700" w:themeColor="accent3"/>
        </w:rPr>
      </w:pPr>
    </w:p>
    <w:p w14:paraId="43F678DE" w14:textId="5807C2F1" w:rsidR="000D619D" w:rsidRPr="003066DD" w:rsidRDefault="00CD10A5" w:rsidP="003066DD">
      <w:pPr>
        <w:ind w:left="751"/>
        <w:jc w:val="both"/>
        <w:rPr>
          <w:color w:val="FF6700" w:themeColor="accent3"/>
        </w:rPr>
      </w:pPr>
      <w:r>
        <w:lastRenderedPageBreak/>
        <w:t>Maintenant, i</w:t>
      </w:r>
      <w:r w:rsidR="003066DD" w:rsidRPr="003066DD">
        <w:t>maginez l'effet combiné</w:t>
      </w:r>
      <w:r w:rsidR="003066DD">
        <w:t xml:space="preserve"> de ces deux derniers comportements et vous saisirez pourquoi, malgré de bonnes intentions initiales, l'aventure REÉR peut se solder  par une mauvaise expérience financière.</w:t>
      </w:r>
    </w:p>
    <w:p w14:paraId="2CE3FCEE" w14:textId="77777777" w:rsidR="000D619D" w:rsidRPr="000D619D" w:rsidRDefault="000D619D" w:rsidP="000D619D">
      <w:pPr>
        <w:ind w:left="1471"/>
        <w:jc w:val="both"/>
        <w:rPr>
          <w:color w:val="FF6700" w:themeColor="accent3"/>
        </w:rPr>
      </w:pPr>
    </w:p>
    <w:p w14:paraId="5E52D9AC" w14:textId="004DBDFA" w:rsidR="008871A5" w:rsidRPr="000D619D" w:rsidRDefault="00865E91" w:rsidP="000D619D">
      <w:pPr>
        <w:ind w:left="751"/>
        <w:jc w:val="both"/>
        <w:rPr>
          <w:color w:val="FF6700" w:themeColor="accent3"/>
        </w:rPr>
      </w:pPr>
      <w:r>
        <w:t xml:space="preserve">Par ailleurs, nous </w:t>
      </w:r>
      <w:r w:rsidR="006E26F9">
        <w:t>élaborerons</w:t>
      </w:r>
      <w:r>
        <w:t xml:space="preserve"> plus tard, </w:t>
      </w:r>
      <w:r w:rsidR="006E26F9">
        <w:t>une</w:t>
      </w:r>
      <w:r>
        <w:t xml:space="preserve"> </w:t>
      </w:r>
      <w:r w:rsidR="006E26F9">
        <w:t>présentation</w:t>
      </w:r>
      <w:r>
        <w:t xml:space="preserve"> qu</w:t>
      </w:r>
      <w:r w:rsidR="006E26F9">
        <w:t xml:space="preserve">i démontrera que </w:t>
      </w:r>
      <w:r w:rsidRPr="000D619D">
        <w:rPr>
          <w:color w:val="FF6700" w:themeColor="accent3"/>
        </w:rPr>
        <w:t>dans le cas présent, la cotisation de 10 000 $ au REÉR donnera exactement le même résultat qu’une cotisation d’un même montant au CÉLI</w:t>
      </w:r>
      <w:r w:rsidRPr="000D619D">
        <w:rPr>
          <w:rStyle w:val="Marquenotebasdepage"/>
          <w:color w:val="000000" w:themeColor="text1"/>
        </w:rPr>
        <w:footnoteReference w:customMarkFollows="1" w:id="59"/>
        <w:t>56</w:t>
      </w:r>
      <w:r w:rsidRPr="000D619D">
        <w:rPr>
          <w:color w:val="000000" w:themeColor="text1"/>
        </w:rPr>
        <w:t xml:space="preserve">. </w:t>
      </w:r>
    </w:p>
    <w:p w14:paraId="2B758642" w14:textId="618D065F" w:rsidR="008871A5" w:rsidRDefault="008871A5" w:rsidP="00AF064F">
      <w:pPr>
        <w:jc w:val="both"/>
        <w:rPr>
          <w:color w:val="000000" w:themeColor="text1"/>
        </w:rPr>
      </w:pPr>
    </w:p>
    <w:p w14:paraId="10C43772" w14:textId="77777777" w:rsidR="00DE5016" w:rsidRDefault="00DE5016" w:rsidP="00AF064F">
      <w:pPr>
        <w:jc w:val="both"/>
        <w:rPr>
          <w:color w:val="000000" w:themeColor="text1"/>
        </w:rPr>
      </w:pPr>
    </w:p>
    <w:p w14:paraId="56AC6598" w14:textId="41470D48" w:rsidR="008871A5" w:rsidRPr="00EC0418" w:rsidRDefault="004E01C6" w:rsidP="006C34CF">
      <w:pPr>
        <w:pStyle w:val="Paragraphedeliste"/>
        <w:numPr>
          <w:ilvl w:val="0"/>
          <w:numId w:val="46"/>
        </w:numPr>
        <w:jc w:val="both"/>
        <w:rPr>
          <w:color w:val="000000" w:themeColor="text1"/>
        </w:rPr>
      </w:pPr>
      <w:r>
        <w:rPr>
          <w:color w:val="000000" w:themeColor="text1"/>
        </w:rPr>
        <w:t>L</w:t>
      </w:r>
      <w:r w:rsidR="0068680A">
        <w:rPr>
          <w:color w:val="000000" w:themeColor="text1"/>
        </w:rPr>
        <w:t>e</w:t>
      </w:r>
      <w:r>
        <w:rPr>
          <w:color w:val="000000" w:themeColor="text1"/>
        </w:rPr>
        <w:t xml:space="preserve"> </w:t>
      </w:r>
      <w:r w:rsidRPr="004E01C6">
        <w:rPr>
          <w:color w:val="FF6700" w:themeColor="accent3"/>
        </w:rPr>
        <w:t>CAS 2</w:t>
      </w:r>
      <w:r>
        <w:rPr>
          <w:color w:val="FF6700" w:themeColor="accent3"/>
        </w:rPr>
        <w:t xml:space="preserve"> </w:t>
      </w:r>
      <w:r>
        <w:t>représente la situation où le contribuable devrait réserver son investissement de 10 000 $ à une stratégie autre que celle du REÉR.</w:t>
      </w:r>
      <w:r w:rsidR="008713D6">
        <w:t xml:space="preserve"> </w:t>
      </w:r>
      <w:r w:rsidR="004D7B3B">
        <w:t>Ici, d</w:t>
      </w:r>
      <w:r w:rsidR="008713D6">
        <w:t>'un point de vue strictement financier</w:t>
      </w:r>
      <w:r w:rsidR="004D7B3B">
        <w:t>, le contribuable retarde sur une période de 30 années le paiement d'un impôt</w:t>
      </w:r>
      <w:r w:rsidR="007A1107">
        <w:t xml:space="preserve"> de 17 949 $ pour aboutir à un paiement d'impôts de 21 609 $ au moment de l'encaissement du REÉR. Pour poursuivre l'analogie financière, c'est comme si le contribuable déboursait 3 660 $ (21 609 $ - 17 949 $) en frais d'intérêt pour un prêt de 17 949 $. </w:t>
      </w:r>
      <w:r w:rsidR="00EB5047">
        <w:t xml:space="preserve">À l'époque où le CÉLI n'existait pas, il n'était pas facile de trancher quant à la pertinence d'une telle proposition financière. Les avis pouvaient être partagés. Par contre, depuis l'arrivée du CÉLI (Plafond de </w:t>
      </w:r>
      <w:r w:rsidR="00652A9E">
        <w:t>41 0</w:t>
      </w:r>
      <w:r w:rsidR="00EB5047">
        <w:t xml:space="preserve">00 $ en 2015), l'incertitude quant à la stratégie à adopter s'est dissipée. Dans le cas présent, </w:t>
      </w:r>
      <w:r w:rsidR="00EB5047" w:rsidRPr="0093200D">
        <w:rPr>
          <w:color w:val="FF6700" w:themeColor="accent3"/>
        </w:rPr>
        <w:t xml:space="preserve">lorsque le taux d’imposition marginal au moment de la cotisation est </w:t>
      </w:r>
      <w:r w:rsidR="00EB5047">
        <w:rPr>
          <w:color w:val="FF6700" w:themeColor="accent3"/>
        </w:rPr>
        <w:t>moindre</w:t>
      </w:r>
      <w:r w:rsidR="00EB5047" w:rsidRPr="0093200D">
        <w:rPr>
          <w:color w:val="FF6700" w:themeColor="accent3"/>
        </w:rPr>
        <w:t xml:space="preserve"> au taux d’imposition marginal </w:t>
      </w:r>
      <w:r w:rsidR="002729DD">
        <w:rPr>
          <w:color w:val="FF6700" w:themeColor="accent3"/>
        </w:rPr>
        <w:t xml:space="preserve">anticipé </w:t>
      </w:r>
      <w:r w:rsidR="00EB5047" w:rsidRPr="0093200D">
        <w:rPr>
          <w:color w:val="FF6700" w:themeColor="accent3"/>
        </w:rPr>
        <w:t>au moment du retrait</w:t>
      </w:r>
      <w:r w:rsidR="00EB5047">
        <w:rPr>
          <w:color w:val="FF6700" w:themeColor="accent3"/>
        </w:rPr>
        <w:t>, la stratégie à adopter devient obligatoirement la priorisation de l'investissement dans le CÉLI</w:t>
      </w:r>
      <w:r w:rsidR="00EB5047">
        <w:t xml:space="preserve">. </w:t>
      </w:r>
      <w:r w:rsidR="00EC1E7C">
        <w:t xml:space="preserve">Compte tenu de la nature très souple du CÉLI, rien n'empêche plus tard, au moment où le revenu imposable du contribuable aura augmenté et que le </w:t>
      </w:r>
      <w:r w:rsidR="00EC1E7C" w:rsidRPr="00EC1E7C">
        <w:t xml:space="preserve">taux d’imposition marginal au moment de la cotisation </w:t>
      </w:r>
      <w:r w:rsidR="00EC1E7C">
        <w:t xml:space="preserve">sera devenu </w:t>
      </w:r>
      <w:r w:rsidR="00EC1E7C" w:rsidRPr="00EC1E7C">
        <w:rPr>
          <w:u w:val="single"/>
        </w:rPr>
        <w:t>égal</w:t>
      </w:r>
      <w:r w:rsidR="00EC1E7C">
        <w:t xml:space="preserve"> </w:t>
      </w:r>
      <w:r w:rsidR="00EC1E7C" w:rsidRPr="00EC1E7C">
        <w:t xml:space="preserve">au taux d’imposition marginal </w:t>
      </w:r>
      <w:r w:rsidR="00EC1E7C">
        <w:t xml:space="preserve">anticipé </w:t>
      </w:r>
      <w:r w:rsidR="00EC1E7C" w:rsidRPr="00EC1E7C">
        <w:t>au moment du retrait,</w:t>
      </w:r>
      <w:r w:rsidR="00EC1E7C">
        <w:rPr>
          <w:color w:val="FF6700" w:themeColor="accent3"/>
        </w:rPr>
        <w:t xml:space="preserve"> </w:t>
      </w:r>
      <w:r w:rsidR="00EC1E7C">
        <w:t>de transférer le montant du CÉLI dans le REÉR.</w:t>
      </w:r>
      <w:r w:rsidR="008712F9">
        <w:t xml:space="preserve"> Cette stratégie de la priorisation du CÉLI et du transfert subséquent dans le REÉR est très souvent celle à adopter en début de carrière, voire, d'autant plus lorsque nous sommes étudiants. </w:t>
      </w:r>
      <w:r w:rsidR="00EC1E7C">
        <w:t xml:space="preserve"> </w:t>
      </w:r>
      <w:r w:rsidR="00EB5047">
        <w:t xml:space="preserve">  </w:t>
      </w:r>
      <w:r w:rsidR="007A1107">
        <w:t xml:space="preserve"> </w:t>
      </w:r>
      <w:r w:rsidR="004D7B3B">
        <w:t xml:space="preserve"> </w:t>
      </w:r>
      <w:r w:rsidR="008713D6">
        <w:t xml:space="preserve"> </w:t>
      </w:r>
    </w:p>
    <w:p w14:paraId="2EC26D55" w14:textId="2C2A7098" w:rsidR="008871A5" w:rsidRDefault="008871A5" w:rsidP="00AF064F">
      <w:pPr>
        <w:jc w:val="both"/>
        <w:rPr>
          <w:color w:val="000000" w:themeColor="text1"/>
        </w:rPr>
      </w:pPr>
    </w:p>
    <w:p w14:paraId="528FC0E4" w14:textId="77777777" w:rsidR="00DE5016" w:rsidRDefault="00DE5016" w:rsidP="00AF064F">
      <w:pPr>
        <w:jc w:val="both"/>
        <w:rPr>
          <w:color w:val="000000" w:themeColor="text1"/>
        </w:rPr>
      </w:pPr>
    </w:p>
    <w:p w14:paraId="6FE7D8AC" w14:textId="77777777" w:rsidR="00DE5016" w:rsidRDefault="00DE5016" w:rsidP="00AF064F">
      <w:pPr>
        <w:jc w:val="both"/>
        <w:rPr>
          <w:color w:val="000000" w:themeColor="text1"/>
        </w:rPr>
      </w:pPr>
    </w:p>
    <w:p w14:paraId="2C702344" w14:textId="77777777" w:rsidR="00DE5016" w:rsidRDefault="00DE5016" w:rsidP="00AF064F">
      <w:pPr>
        <w:jc w:val="both"/>
        <w:rPr>
          <w:color w:val="000000" w:themeColor="text1"/>
        </w:rPr>
      </w:pPr>
    </w:p>
    <w:p w14:paraId="73E92C0B" w14:textId="20C0C683" w:rsidR="008871A5" w:rsidRPr="00DE5016" w:rsidRDefault="002729DD" w:rsidP="006C34CF">
      <w:pPr>
        <w:pStyle w:val="Paragraphedeliste"/>
        <w:numPr>
          <w:ilvl w:val="0"/>
          <w:numId w:val="49"/>
        </w:numPr>
        <w:jc w:val="both"/>
        <w:rPr>
          <w:color w:val="000000" w:themeColor="text1"/>
        </w:rPr>
      </w:pPr>
      <w:r>
        <w:rPr>
          <w:color w:val="000000" w:themeColor="text1"/>
        </w:rPr>
        <w:lastRenderedPageBreak/>
        <w:t xml:space="preserve">Le </w:t>
      </w:r>
      <w:r w:rsidRPr="002729DD">
        <w:rPr>
          <w:color w:val="FF6700" w:themeColor="accent3"/>
        </w:rPr>
        <w:t>CAS 3</w:t>
      </w:r>
      <w:r>
        <w:rPr>
          <w:color w:val="000000" w:themeColor="text1"/>
        </w:rPr>
        <w:t xml:space="preserve"> </w:t>
      </w:r>
      <w:r w:rsidR="00913DD3">
        <w:rPr>
          <w:color w:val="000000" w:themeColor="text1"/>
        </w:rPr>
        <w:t>présente</w:t>
      </w:r>
      <w:r>
        <w:rPr>
          <w:color w:val="000000" w:themeColor="text1"/>
        </w:rPr>
        <w:t xml:space="preserve"> le scénario de prédilection de l'investissement dans le REÉR. C'est dans ce contexte, </w:t>
      </w:r>
      <w:r w:rsidRPr="0093200D">
        <w:rPr>
          <w:color w:val="FF6700" w:themeColor="accent3"/>
        </w:rPr>
        <w:t xml:space="preserve">lorsque le taux d’imposition marginal au moment de la cotisation est </w:t>
      </w:r>
      <w:r>
        <w:rPr>
          <w:color w:val="FF6700" w:themeColor="accent3"/>
        </w:rPr>
        <w:t>plus élevé</w:t>
      </w:r>
      <w:r w:rsidRPr="0093200D">
        <w:rPr>
          <w:color w:val="FF6700" w:themeColor="accent3"/>
        </w:rPr>
        <w:t xml:space="preserve"> au taux d’imposition marginal </w:t>
      </w:r>
      <w:r>
        <w:rPr>
          <w:color w:val="FF6700" w:themeColor="accent3"/>
        </w:rPr>
        <w:t xml:space="preserve">anticipé </w:t>
      </w:r>
      <w:r w:rsidRPr="0093200D">
        <w:rPr>
          <w:color w:val="FF6700" w:themeColor="accent3"/>
        </w:rPr>
        <w:t>au moment du retrait</w:t>
      </w:r>
      <w:r>
        <w:rPr>
          <w:color w:val="FF6700" w:themeColor="accent3"/>
        </w:rPr>
        <w:t>, que la stratégie du REÉR devrait être adoptée</w:t>
      </w:r>
      <w:r>
        <w:t xml:space="preserve">. Dans cet exemple, le contribuable bénéficie, à la fois, d'un report d'impôt de 21 609 $ et d'une économie d'impôt de </w:t>
      </w:r>
      <w:r w:rsidR="00A1357D">
        <w:t xml:space="preserve">4 322 $ (17 287 $ - 21609 $). Si cette </w:t>
      </w:r>
      <w:r w:rsidR="00A13428">
        <w:t xml:space="preserve">proposition </w:t>
      </w:r>
      <w:r w:rsidR="00A1357D">
        <w:t xml:space="preserve">financière n'évoque pas en vous la foi du REÉR, considérez votre cause comme étant désespérée. </w:t>
      </w:r>
      <w:r w:rsidR="00801CE1">
        <w:t xml:space="preserve"> Par ailleurs, dans le cas de couples, il existe deux règles fiscales </w:t>
      </w:r>
      <w:r w:rsidR="004A3EC8">
        <w:t xml:space="preserve">qui permettent d'atteindre plus facilement cette zone de priorisation de la stratégie du REÉR (taux d'imposition marginal au moment de la cotisation &gt; taux d'imposition marginal anticipé au moment du retrait). À savoir: </w:t>
      </w:r>
      <w:r w:rsidR="00801CE1">
        <w:t xml:space="preserve">  </w:t>
      </w:r>
    </w:p>
    <w:p w14:paraId="534B9DDA" w14:textId="41C9D6A3" w:rsidR="008871A5" w:rsidRDefault="008871A5" w:rsidP="00AF064F">
      <w:pPr>
        <w:jc w:val="both"/>
        <w:rPr>
          <w:color w:val="000000" w:themeColor="text1"/>
        </w:rPr>
      </w:pPr>
    </w:p>
    <w:p w14:paraId="2071B3A9" w14:textId="45448834" w:rsidR="00D63638" w:rsidRPr="00D63638" w:rsidRDefault="004A3EC8" w:rsidP="006C34CF">
      <w:pPr>
        <w:pStyle w:val="Paragraphedeliste"/>
        <w:numPr>
          <w:ilvl w:val="1"/>
          <w:numId w:val="46"/>
        </w:numPr>
        <w:jc w:val="both"/>
        <w:rPr>
          <w:color w:val="FF6700" w:themeColor="accent3"/>
        </w:rPr>
      </w:pPr>
      <w:r>
        <w:t xml:space="preserve">Au moment de cotiser, il est toujours possible de </w:t>
      </w:r>
      <w:r w:rsidR="00D63638">
        <w:t>verser le montant</w:t>
      </w:r>
      <w:r>
        <w:t xml:space="preserve"> au REÉR du conjoint. De cette façon, il est possible de privilégier la cotisation et la déduction fiscale dans la déclaration du contribuable ayant le revenu le plus élevé et de permettre le retrait éventuel par le conjoint ayant les revenus les</w:t>
      </w:r>
      <w:r w:rsidR="00D63638">
        <w:t xml:space="preserve"> plus faibles et par conséquent le taux d'imposition marginal le plus bas. Cette stratégie pourra s'articuler sans crainte de conséquences financières fâcheuses pour les conjoints mariés. </w:t>
      </w:r>
      <w:r w:rsidR="00D63638" w:rsidRPr="003034DF">
        <w:rPr>
          <w:u w:val="single"/>
        </w:rPr>
        <w:t>Pour les conjoints de fait, la stratégie peut être périlleuse</w:t>
      </w:r>
      <w:r w:rsidR="00D63638">
        <w:t xml:space="preserve">. Nous en reparlerons plus tard.  </w:t>
      </w:r>
    </w:p>
    <w:p w14:paraId="42DDF1E3" w14:textId="45061C42" w:rsidR="004A3EC8" w:rsidRPr="00D63638" w:rsidRDefault="00D63638" w:rsidP="00D63638">
      <w:pPr>
        <w:ind w:left="1471"/>
        <w:jc w:val="both"/>
        <w:rPr>
          <w:color w:val="FF6700" w:themeColor="accent3"/>
        </w:rPr>
      </w:pPr>
      <w:r w:rsidRPr="00D63638">
        <w:rPr>
          <w:color w:val="FF6700" w:themeColor="accent3"/>
        </w:rPr>
        <w:t xml:space="preserve"> </w:t>
      </w:r>
    </w:p>
    <w:p w14:paraId="579575A5" w14:textId="212FDBE9" w:rsidR="004A3EC8" w:rsidRPr="00D12C8C" w:rsidRDefault="003034DF" w:rsidP="006C34CF">
      <w:pPr>
        <w:pStyle w:val="Paragraphedeliste"/>
        <w:numPr>
          <w:ilvl w:val="1"/>
          <w:numId w:val="46"/>
        </w:numPr>
        <w:jc w:val="both"/>
        <w:rPr>
          <w:color w:val="FF6700" w:themeColor="accent3"/>
        </w:rPr>
      </w:pPr>
      <w:r>
        <w:t xml:space="preserve">Depuis 2007, les conjoints peuvent fractionner la plupart de leurs revenus de retraite et ainsi niveler leur revenu imposable. Cette règle fiscale est purement mécanique et n'exige aucun mouvement de sommes d'argent ou de planification préalable. Cette disposition fiscale permet de réduire sensiblement le taux d'imposition marginal qui s'applique au moment de la retraite contribuant ainsi à créer des conditions favorables à la stratégie REÉR. Il faut cependant se rappeler que cette mesure est extrêmement coûteuse </w:t>
      </w:r>
      <w:r w:rsidR="0071074F">
        <w:t xml:space="preserve">pour le </w:t>
      </w:r>
      <w:r w:rsidR="00652A9E">
        <w:t>T</w:t>
      </w:r>
      <w:r w:rsidR="0071074F">
        <w:t xml:space="preserve">résor public </w:t>
      </w:r>
      <w:r>
        <w:t xml:space="preserve">et </w:t>
      </w:r>
      <w:r w:rsidR="0071074F">
        <w:t xml:space="preserve">celles-ci sont précarisées par l'ensemble </w:t>
      </w:r>
      <w:r>
        <w:t xml:space="preserve">des choix </w:t>
      </w:r>
      <w:r w:rsidR="004E2AEF">
        <w:t>sociétaux</w:t>
      </w:r>
      <w:r w:rsidR="0071074F">
        <w:t xml:space="preserve"> à venir. Bref, on ne peut prédire l'avenir d'une telle mesure. </w:t>
      </w:r>
      <w:r w:rsidR="003B4600">
        <w:t>À titre d'exemple probant, le Québec a aboli dernièrement cet allègement dans le cas des rentes payables aux contribuables âgés de moins de 65 ans.</w:t>
      </w:r>
    </w:p>
    <w:p w14:paraId="1BCF0F2A" w14:textId="77777777" w:rsidR="004A3EC8" w:rsidRPr="003066DD" w:rsidRDefault="004A3EC8" w:rsidP="004A3EC8">
      <w:pPr>
        <w:ind w:left="1471"/>
        <w:jc w:val="both"/>
        <w:rPr>
          <w:color w:val="FF6700" w:themeColor="accent3"/>
        </w:rPr>
      </w:pPr>
    </w:p>
    <w:p w14:paraId="71857806" w14:textId="33268240" w:rsidR="004A3EC8" w:rsidRDefault="004A3EC8" w:rsidP="004A3EC8">
      <w:pPr>
        <w:ind w:left="751"/>
        <w:jc w:val="both"/>
        <w:rPr>
          <w:color w:val="FF6700" w:themeColor="accent3"/>
        </w:rPr>
      </w:pPr>
    </w:p>
    <w:p w14:paraId="6C178D85" w14:textId="405E7A1D" w:rsidR="00C110C3" w:rsidRPr="00C110C3" w:rsidRDefault="00A13EB1" w:rsidP="006C34CF">
      <w:pPr>
        <w:pStyle w:val="Paragraphedeliste"/>
        <w:numPr>
          <w:ilvl w:val="0"/>
          <w:numId w:val="49"/>
        </w:numPr>
        <w:jc w:val="both"/>
        <w:rPr>
          <w:color w:val="FF6700" w:themeColor="accent3"/>
        </w:rPr>
      </w:pPr>
      <w:r w:rsidRPr="00A13EB1">
        <w:rPr>
          <w:color w:val="000000" w:themeColor="text1"/>
        </w:rPr>
        <w:t xml:space="preserve">Le </w:t>
      </w:r>
      <w:r w:rsidRPr="00A13EB1">
        <w:rPr>
          <w:color w:val="FF6700" w:themeColor="accent3"/>
        </w:rPr>
        <w:t xml:space="preserve">CAS </w:t>
      </w:r>
      <w:r>
        <w:rPr>
          <w:color w:val="FF6700" w:themeColor="accent3"/>
        </w:rPr>
        <w:t>4</w:t>
      </w:r>
      <w:r w:rsidRPr="00A13EB1">
        <w:rPr>
          <w:color w:val="000000" w:themeColor="text1"/>
        </w:rPr>
        <w:t xml:space="preserve"> illustre </w:t>
      </w:r>
      <w:r w:rsidR="007D4F1E">
        <w:rPr>
          <w:color w:val="000000" w:themeColor="text1"/>
        </w:rPr>
        <w:t>parfaitement</w:t>
      </w:r>
      <w:r w:rsidR="00913DD3">
        <w:rPr>
          <w:color w:val="000000" w:themeColor="text1"/>
        </w:rPr>
        <w:t xml:space="preserve"> </w:t>
      </w:r>
      <w:r w:rsidR="007D4F1E">
        <w:rPr>
          <w:color w:val="000000" w:themeColor="text1"/>
        </w:rPr>
        <w:t>que</w:t>
      </w:r>
      <w:r w:rsidR="00913DD3">
        <w:rPr>
          <w:color w:val="000000" w:themeColor="text1"/>
        </w:rPr>
        <w:t>,</w:t>
      </w:r>
      <w:r w:rsidR="007D4F1E">
        <w:rPr>
          <w:color w:val="000000" w:themeColor="text1"/>
        </w:rPr>
        <w:t xml:space="preserve"> même lorsque nous souhaitons arriver à des constats simples</w:t>
      </w:r>
      <w:r w:rsidR="00913DD3">
        <w:rPr>
          <w:color w:val="000000" w:themeColor="text1"/>
        </w:rPr>
        <w:t xml:space="preserve"> en finances personnelles (Cas 1 = indifférence entre CÉLI et REÉR, Cas 2 = priorité CÉLI et Cas 3 = priorité </w:t>
      </w:r>
      <w:r w:rsidR="00913DD3">
        <w:rPr>
          <w:color w:val="000000" w:themeColor="text1"/>
        </w:rPr>
        <w:lastRenderedPageBreak/>
        <w:t>REÉR, sans même avoir abordé la question du REÉÉ et la gestion de la dette), il subsiste presque toujours une particularité rendant l'analyse plus complexe, exigeant une plus grande acuité et nous obligeant à étudier la question au cas par cas.</w:t>
      </w:r>
      <w:r w:rsidR="00E0406A">
        <w:rPr>
          <w:color w:val="000000" w:themeColor="text1"/>
        </w:rPr>
        <w:t xml:space="preserve"> Dans le présent scénario, nous souhaitons soulever la problématique (en terme du véhicule financier à privilégier) du </w:t>
      </w:r>
      <w:r w:rsidR="009446CD" w:rsidRPr="009446CD">
        <w:rPr>
          <w:color w:val="FF6700" w:themeColor="accent3"/>
        </w:rPr>
        <w:t>GAIN EN CAPITAL</w:t>
      </w:r>
      <w:r w:rsidR="00E0406A">
        <w:rPr>
          <w:color w:val="000000" w:themeColor="text1"/>
        </w:rPr>
        <w:t xml:space="preserve">. </w:t>
      </w:r>
      <w:r w:rsidR="00F77621">
        <w:rPr>
          <w:color w:val="000000" w:themeColor="text1"/>
        </w:rPr>
        <w:t>Le point de départ de cette problématique est le mode usuel d'imposition du gain en capital (</w:t>
      </w:r>
      <w:r w:rsidR="004E2AEF">
        <w:rPr>
          <w:color w:val="000000" w:themeColor="text1"/>
        </w:rPr>
        <w:t>seule</w:t>
      </w:r>
      <w:r w:rsidR="00F77621">
        <w:rPr>
          <w:color w:val="000000" w:themeColor="text1"/>
        </w:rPr>
        <w:t xml:space="preserve"> la moitié du gain est imposable) jumelé à la recatégorisation des revenus provenant du REÉR. </w:t>
      </w:r>
      <w:r w:rsidR="00E80A7B">
        <w:rPr>
          <w:color w:val="000000" w:themeColor="text1"/>
        </w:rPr>
        <w:t>C'est-à-dire que peu importe le type de revenus (intérêt, dividende, gain en capital) gagné dans le REÉR, l'imposition de ceux-ci se matérialisera lors du retrait sous la forme d'un revenu imposable à 100 %</w:t>
      </w:r>
      <w:r w:rsidR="001B0E55">
        <w:rPr>
          <w:color w:val="000000" w:themeColor="text1"/>
        </w:rPr>
        <w:t>,</w:t>
      </w:r>
      <w:r w:rsidR="00E80A7B">
        <w:rPr>
          <w:color w:val="000000" w:themeColor="text1"/>
        </w:rPr>
        <w:t xml:space="preserve"> abandonnant au passage l'imposition préférentiel</w:t>
      </w:r>
      <w:r w:rsidR="001B0E55">
        <w:rPr>
          <w:color w:val="000000" w:themeColor="text1"/>
        </w:rPr>
        <w:t>le</w:t>
      </w:r>
      <w:r w:rsidR="00E80A7B">
        <w:rPr>
          <w:color w:val="000000" w:themeColor="text1"/>
        </w:rPr>
        <w:t xml:space="preserve"> des dividendes et </w:t>
      </w:r>
      <w:r w:rsidR="001B0E55">
        <w:rPr>
          <w:color w:val="000000" w:themeColor="text1"/>
        </w:rPr>
        <w:t>du</w:t>
      </w:r>
      <w:r w:rsidR="00E80A7B">
        <w:rPr>
          <w:color w:val="000000" w:themeColor="text1"/>
        </w:rPr>
        <w:t xml:space="preserve"> gain en capital.</w:t>
      </w:r>
      <w:r w:rsidR="001B0E55">
        <w:rPr>
          <w:color w:val="000000" w:themeColor="text1"/>
        </w:rPr>
        <w:t xml:space="preserve"> </w:t>
      </w:r>
      <w:r w:rsidR="00F3282C">
        <w:rPr>
          <w:color w:val="000000" w:themeColor="text1"/>
        </w:rPr>
        <w:t>Lorsque</w:t>
      </w:r>
      <w:r w:rsidR="001B0E55">
        <w:rPr>
          <w:color w:val="000000" w:themeColor="text1"/>
        </w:rPr>
        <w:t xml:space="preserve"> nous analysons un portefeuille de placement à long terme qui miserait intégralement sur la plus-value des titres, donc l</w:t>
      </w:r>
      <w:r w:rsidR="003F779F">
        <w:rPr>
          <w:color w:val="000000" w:themeColor="text1"/>
        </w:rPr>
        <w:t>a</w:t>
      </w:r>
      <w:r w:rsidR="001B0E55">
        <w:rPr>
          <w:color w:val="000000" w:themeColor="text1"/>
        </w:rPr>
        <w:t xml:space="preserve"> création de gain en capital</w:t>
      </w:r>
      <w:r w:rsidR="005809A0">
        <w:rPr>
          <w:color w:val="000000" w:themeColor="text1"/>
        </w:rPr>
        <w:t>, les ré</w:t>
      </w:r>
      <w:r w:rsidR="003F779F">
        <w:rPr>
          <w:color w:val="000000" w:themeColor="text1"/>
        </w:rPr>
        <w:t>sultats favorisant la stratégie REÉR s</w:t>
      </w:r>
      <w:r w:rsidR="006158EC">
        <w:rPr>
          <w:color w:val="000000" w:themeColor="text1"/>
        </w:rPr>
        <w:t>ont plus m</w:t>
      </w:r>
      <w:r w:rsidR="00F556AE">
        <w:rPr>
          <w:color w:val="000000" w:themeColor="text1"/>
        </w:rPr>
        <w:t>i</w:t>
      </w:r>
      <w:r w:rsidR="006158EC">
        <w:rPr>
          <w:color w:val="000000" w:themeColor="text1"/>
        </w:rPr>
        <w:t>tigés</w:t>
      </w:r>
      <w:r w:rsidR="001B0E55">
        <w:rPr>
          <w:color w:val="000000" w:themeColor="text1"/>
        </w:rPr>
        <w:t>.</w:t>
      </w:r>
    </w:p>
    <w:p w14:paraId="4D1075ED" w14:textId="77777777" w:rsidR="00C110C3" w:rsidRDefault="00C110C3" w:rsidP="00C110C3">
      <w:pPr>
        <w:ind w:left="348"/>
        <w:jc w:val="both"/>
        <w:rPr>
          <w:color w:val="FF6700" w:themeColor="accent3"/>
        </w:rPr>
      </w:pPr>
    </w:p>
    <w:p w14:paraId="33C31CB3" w14:textId="4B76C608" w:rsidR="003A597D" w:rsidRDefault="00C110C3" w:rsidP="00C110C3">
      <w:pPr>
        <w:ind w:left="1134" w:hanging="1418"/>
        <w:jc w:val="both"/>
      </w:pPr>
      <w:r>
        <w:rPr>
          <w:color w:val="FF6700" w:themeColor="accent3"/>
        </w:rPr>
        <w:tab/>
      </w:r>
      <w:r>
        <w:t>Avant même de considérer le CÉLI comme étant le meilleur des scénarios de placement dans le présent cas,</w:t>
      </w:r>
      <w:r w:rsidR="00540A17">
        <w:t xml:space="preserve"> la stratégie du REÉR </w:t>
      </w:r>
      <w:r w:rsidR="006158EC">
        <w:t xml:space="preserve">pourrait être </w:t>
      </w:r>
      <w:r w:rsidR="002265AD">
        <w:t xml:space="preserve">périlleuse si le remboursement de 5 000 $ est utilisé </w:t>
      </w:r>
      <w:r w:rsidR="00F556AE">
        <w:t xml:space="preserve">à des fins </w:t>
      </w:r>
      <w:r w:rsidR="004E2AEF">
        <w:t>personnelles</w:t>
      </w:r>
      <w:r w:rsidR="00F556AE">
        <w:t xml:space="preserve"> (</w:t>
      </w:r>
      <w:r w:rsidR="002265AD">
        <w:t>pour se payer des voyages dans le Sud</w:t>
      </w:r>
      <w:r w:rsidR="00F556AE">
        <w:t>, par exemple)</w:t>
      </w:r>
      <w:r w:rsidR="00540A17">
        <w:t xml:space="preserve">. En effet, il serait </w:t>
      </w:r>
      <w:r w:rsidR="00F556AE">
        <w:t xml:space="preserve">alors </w:t>
      </w:r>
      <w:r w:rsidR="002265AD">
        <w:t>risqué</w:t>
      </w:r>
      <w:r w:rsidR="00540A17">
        <w:t xml:space="preserve"> de reporter 13 305 $ (5 000 $ + 8 305 $) d'impôt pour en payer </w:t>
      </w:r>
      <w:r w:rsidR="005A71DC">
        <w:t>21 609 $ au moment des retraits du REÉR. Bien sûr dans le cas présent</w:t>
      </w:r>
      <w:r w:rsidR="006158EC">
        <w:t xml:space="preserve"> (indiscipline quant à l'utilisation du remboursement de 5 000 $)</w:t>
      </w:r>
      <w:r w:rsidR="005A71DC">
        <w:t xml:space="preserve">, </w:t>
      </w:r>
      <w:r w:rsidR="005A71DC" w:rsidRPr="005A71DC">
        <w:rPr>
          <w:color w:val="FF6700" w:themeColor="accent3"/>
        </w:rPr>
        <w:t xml:space="preserve">le CÉLI serait à privilégier jusqu'au maximum permis, par la suite une détention hors abri fiscal </w:t>
      </w:r>
      <w:r w:rsidR="00F556AE">
        <w:rPr>
          <w:color w:val="FF6700" w:themeColor="accent3"/>
        </w:rPr>
        <w:t>pourrait être</w:t>
      </w:r>
      <w:r w:rsidR="005A71DC" w:rsidRPr="005A71DC">
        <w:rPr>
          <w:color w:val="FF6700" w:themeColor="accent3"/>
        </w:rPr>
        <w:t xml:space="preserve"> </w:t>
      </w:r>
      <w:r w:rsidR="002265AD">
        <w:rPr>
          <w:color w:val="FF6700" w:themeColor="accent3"/>
        </w:rPr>
        <w:t>considér</w:t>
      </w:r>
      <w:r w:rsidR="00F556AE">
        <w:rPr>
          <w:color w:val="FF6700" w:themeColor="accent3"/>
        </w:rPr>
        <w:t>ée</w:t>
      </w:r>
      <w:r w:rsidR="005A71DC">
        <w:t>.</w:t>
      </w:r>
    </w:p>
    <w:p w14:paraId="7695D47E" w14:textId="77777777" w:rsidR="00DB753F" w:rsidRDefault="00DB753F" w:rsidP="00C110C3">
      <w:pPr>
        <w:ind w:left="1134" w:hanging="1418"/>
        <w:jc w:val="both"/>
      </w:pPr>
    </w:p>
    <w:p w14:paraId="4CA4D847" w14:textId="1E363B06" w:rsidR="00C110C3" w:rsidRPr="00C110C3" w:rsidRDefault="003A597D" w:rsidP="00DB753F">
      <w:pPr>
        <w:jc w:val="both"/>
      </w:pPr>
      <w:r>
        <w:t>Il est pratique à des fins pédagogiques d'établir des scénarios extrêmes (portefeuille de placements générant à 100 % du gain en capital), pourtant t</w:t>
      </w:r>
      <w:r w:rsidR="00B5730B">
        <w:t xml:space="preserve">oute la complexité de la priorisation </w:t>
      </w:r>
      <w:r w:rsidR="00257976">
        <w:t>se situe</w:t>
      </w:r>
      <w:r w:rsidR="00B5730B">
        <w:t xml:space="preserve"> </w:t>
      </w:r>
      <w:r>
        <w:t>dans les zones plus nuancées. L'</w:t>
      </w:r>
      <w:r w:rsidR="00B5730B">
        <w:t>interrogation demeur</w:t>
      </w:r>
      <w:r>
        <w:t xml:space="preserve">ant alors </w:t>
      </w:r>
      <w:r w:rsidR="00B5730B">
        <w:t>entière dans un contexte de répartition des placements qui serait, par exemple, ventilé</w:t>
      </w:r>
      <w:r w:rsidR="00257976">
        <w:t>e</w:t>
      </w:r>
      <w:r w:rsidR="00B5730B">
        <w:t xml:space="preserve"> à 70 % par des gains  en capital, 20 % par des dividende</w:t>
      </w:r>
      <w:r w:rsidR="00257976">
        <w:t>s</w:t>
      </w:r>
      <w:r w:rsidR="00B5730B">
        <w:t xml:space="preserve"> privilégié</w:t>
      </w:r>
      <w:r w:rsidR="00257976">
        <w:t>s</w:t>
      </w:r>
      <w:r w:rsidR="00B5730B">
        <w:t xml:space="preserve"> et 10 % par des revenus d'intérêts.</w:t>
      </w:r>
      <w:r w:rsidR="005A71DC">
        <w:t xml:space="preserve"> </w:t>
      </w:r>
      <w:r w:rsidR="002265AD">
        <w:t>D'autres variables seraient aussi des éléments complexifiant à l'analyse, pensons à la fréquence des transactions qui s'effectuerait hors abri fiscal et par conséquent le rythme des déboursés d'impôt à faire. Également, l'accès facile à des gains à l'extérieur de l'abri fiscal pourrait inciter le contribuable à dévier de</w:t>
      </w:r>
      <w:r w:rsidR="00192CD9">
        <w:t xml:space="preserve"> sa voie d'épargne pour se consentir des biens de consommation.</w:t>
      </w:r>
      <w:r w:rsidR="00652A9E">
        <w:t xml:space="preserve"> L'apparition d'un </w:t>
      </w:r>
      <w:r w:rsidR="000D194D">
        <w:t xml:space="preserve">tel </w:t>
      </w:r>
      <w:r w:rsidR="00652A9E">
        <w:t>gain fortuit aurait un impact comportemental i</w:t>
      </w:r>
      <w:r w:rsidR="00192CD9">
        <w:t xml:space="preserve">dentique à </w:t>
      </w:r>
      <w:r w:rsidR="000D194D">
        <w:t>celui</w:t>
      </w:r>
      <w:r w:rsidR="00192CD9">
        <w:t xml:space="preserve"> </w:t>
      </w:r>
      <w:r w:rsidR="00652A9E">
        <w:t xml:space="preserve">causé par le mauvais </w:t>
      </w:r>
      <w:r w:rsidR="00192CD9">
        <w:t>usage du remboursement de 5 000 $ dans le cadre d'un scénario REÉR.</w:t>
      </w:r>
    </w:p>
    <w:p w14:paraId="1F8287B2" w14:textId="77777777" w:rsidR="000A20EE" w:rsidRDefault="000A20EE" w:rsidP="00AF064F">
      <w:pPr>
        <w:jc w:val="both"/>
        <w:rPr>
          <w:color w:val="000000" w:themeColor="text1"/>
        </w:rPr>
      </w:pPr>
    </w:p>
    <w:p w14:paraId="5BE9F71D" w14:textId="628C8C20" w:rsidR="004D3B30" w:rsidRDefault="006D4BFA" w:rsidP="006C34CF">
      <w:pPr>
        <w:pStyle w:val="Titre4"/>
        <w:numPr>
          <w:ilvl w:val="3"/>
          <w:numId w:val="48"/>
        </w:numPr>
      </w:pPr>
      <w:bookmarkStart w:id="92" w:name="_Toc314397853"/>
      <w:bookmarkStart w:id="93" w:name="_Toc443569397"/>
      <w:r>
        <w:lastRenderedPageBreak/>
        <w:t>Les placements admissibles</w:t>
      </w:r>
      <w:bookmarkEnd w:id="92"/>
      <w:bookmarkEnd w:id="93"/>
    </w:p>
    <w:p w14:paraId="47D6A54E" w14:textId="77777777" w:rsidR="004A6267" w:rsidRDefault="004A6267" w:rsidP="004A6267"/>
    <w:p w14:paraId="1090763C" w14:textId="1AD96557" w:rsidR="004A6267" w:rsidRDefault="00145BA0" w:rsidP="0034512C">
      <w:pPr>
        <w:jc w:val="both"/>
      </w:pPr>
      <w:r>
        <w:t xml:space="preserve">Dans l'ensemble, les </w:t>
      </w:r>
      <w:r w:rsidRPr="003D39A9">
        <w:rPr>
          <w:u w:val="single"/>
        </w:rPr>
        <w:t>placements admissibles</w:t>
      </w:r>
      <w:r>
        <w:t xml:space="preserve"> dans le cadre d'un investissement dans un REÉR sont nombreux et </w:t>
      </w:r>
      <w:r w:rsidR="00BE33C5">
        <w:t>très diversifiés</w:t>
      </w:r>
      <w:r>
        <w:t>. La plupart des valeurs mobilières sont admissibles, notamment:</w:t>
      </w:r>
    </w:p>
    <w:p w14:paraId="37F8B0EB" w14:textId="77777777" w:rsidR="00145BA0" w:rsidRDefault="00145BA0" w:rsidP="004A6267"/>
    <w:p w14:paraId="5AA7EE54" w14:textId="25D4770B" w:rsidR="00145BA0" w:rsidRDefault="00145BA0" w:rsidP="006C34CF">
      <w:pPr>
        <w:pStyle w:val="Paragraphedeliste"/>
        <w:numPr>
          <w:ilvl w:val="0"/>
          <w:numId w:val="49"/>
        </w:numPr>
      </w:pPr>
      <w:r>
        <w:t>Actions dans les sociétés publiques</w:t>
      </w:r>
    </w:p>
    <w:p w14:paraId="7C13FCC1" w14:textId="6D428912" w:rsidR="00145BA0" w:rsidRDefault="00145BA0" w:rsidP="006C34CF">
      <w:pPr>
        <w:pStyle w:val="Paragraphedeliste"/>
        <w:numPr>
          <w:ilvl w:val="0"/>
          <w:numId w:val="49"/>
        </w:numPr>
      </w:pPr>
      <w:r>
        <w:t>Actions dans les sociétés privées</w:t>
      </w:r>
    </w:p>
    <w:p w14:paraId="62E7AF72" w14:textId="02111A60" w:rsidR="00145BA0" w:rsidRDefault="00145BA0" w:rsidP="006C34CF">
      <w:pPr>
        <w:pStyle w:val="Paragraphedeliste"/>
        <w:numPr>
          <w:ilvl w:val="0"/>
          <w:numId w:val="49"/>
        </w:numPr>
      </w:pPr>
      <w:r>
        <w:t>Obligations, débentures et titres de créances</w:t>
      </w:r>
    </w:p>
    <w:p w14:paraId="644578A0" w14:textId="58318690" w:rsidR="00BE33C5" w:rsidRDefault="00BE33C5" w:rsidP="006C34CF">
      <w:pPr>
        <w:pStyle w:val="Paragraphedeliste"/>
        <w:numPr>
          <w:ilvl w:val="0"/>
          <w:numId w:val="49"/>
        </w:numPr>
      </w:pPr>
      <w:r>
        <w:t>Bons du trésor</w:t>
      </w:r>
    </w:p>
    <w:p w14:paraId="16A63A23" w14:textId="3C686B94" w:rsidR="00145BA0" w:rsidRDefault="00145BA0" w:rsidP="006C34CF">
      <w:pPr>
        <w:pStyle w:val="Paragraphedeliste"/>
        <w:numPr>
          <w:ilvl w:val="0"/>
          <w:numId w:val="49"/>
        </w:numPr>
      </w:pPr>
      <w:r>
        <w:t>Certificats de placements garantis</w:t>
      </w:r>
    </w:p>
    <w:p w14:paraId="652D7731" w14:textId="0FB966F9" w:rsidR="00145BA0" w:rsidRDefault="00145BA0" w:rsidP="006C34CF">
      <w:pPr>
        <w:pStyle w:val="Paragraphedeliste"/>
        <w:numPr>
          <w:ilvl w:val="0"/>
          <w:numId w:val="49"/>
        </w:numPr>
      </w:pPr>
      <w:r>
        <w:t>Fonds communs de placement</w:t>
      </w:r>
      <w:r w:rsidR="002D30DB">
        <w:t>s</w:t>
      </w:r>
    </w:p>
    <w:p w14:paraId="3E87F512" w14:textId="1ABF3606" w:rsidR="00145BA0" w:rsidRDefault="00BE33C5" w:rsidP="006C34CF">
      <w:pPr>
        <w:pStyle w:val="Paragraphedeliste"/>
        <w:numPr>
          <w:ilvl w:val="0"/>
          <w:numId w:val="49"/>
        </w:numPr>
      </w:pPr>
      <w:r>
        <w:t>Fiducies de revenus</w:t>
      </w:r>
    </w:p>
    <w:p w14:paraId="71430910" w14:textId="0978BA34" w:rsidR="00BE33C5" w:rsidRPr="004A6267" w:rsidRDefault="00BE33C5" w:rsidP="006C34CF">
      <w:pPr>
        <w:pStyle w:val="Paragraphedeliste"/>
        <w:numPr>
          <w:ilvl w:val="0"/>
          <w:numId w:val="49"/>
        </w:numPr>
      </w:pPr>
      <w:r>
        <w:t>Lingots d'or et d'argent</w:t>
      </w:r>
    </w:p>
    <w:p w14:paraId="44E89F96" w14:textId="77777777" w:rsidR="006D4BFA" w:rsidRDefault="006D4BFA" w:rsidP="006D4BFA"/>
    <w:p w14:paraId="4FCEEE82" w14:textId="45DCE2DA" w:rsidR="003D39A9" w:rsidRDefault="003D39A9" w:rsidP="006D4BFA">
      <w:r>
        <w:t xml:space="preserve">Les placements qui </w:t>
      </w:r>
      <w:r w:rsidRPr="003D39A9">
        <w:rPr>
          <w:u w:val="single"/>
        </w:rPr>
        <w:t>ne sont pas admissibles</w:t>
      </w:r>
      <w:r>
        <w:t xml:space="preserve"> sont, notamment:</w:t>
      </w:r>
    </w:p>
    <w:p w14:paraId="50A0DA20" w14:textId="77777777" w:rsidR="003D39A9" w:rsidRDefault="003D39A9" w:rsidP="006D4BFA"/>
    <w:p w14:paraId="6E7F4080" w14:textId="49DAAE54" w:rsidR="0034512C" w:rsidRDefault="0034512C" w:rsidP="006C34CF">
      <w:pPr>
        <w:pStyle w:val="Paragraphedeliste"/>
        <w:numPr>
          <w:ilvl w:val="0"/>
          <w:numId w:val="50"/>
        </w:numPr>
      </w:pPr>
      <w:r>
        <w:t>Biens</w:t>
      </w:r>
      <w:r w:rsidR="003D39A9">
        <w:t xml:space="preserve"> personnels</w:t>
      </w:r>
      <w:r>
        <w:t xml:space="preserve"> (oeuvres d'art, résidences, bien précieux)</w:t>
      </w:r>
    </w:p>
    <w:p w14:paraId="45F7AE3F" w14:textId="2EF5C233" w:rsidR="003D39A9" w:rsidRDefault="0034512C" w:rsidP="006C34CF">
      <w:pPr>
        <w:pStyle w:val="Paragraphedeliste"/>
        <w:numPr>
          <w:ilvl w:val="0"/>
          <w:numId w:val="50"/>
        </w:numPr>
      </w:pPr>
      <w:r>
        <w:t xml:space="preserve">Métaux précieux </w:t>
      </w:r>
    </w:p>
    <w:p w14:paraId="655EA813" w14:textId="323E633F" w:rsidR="0034512C" w:rsidRDefault="0034512C" w:rsidP="006C34CF">
      <w:pPr>
        <w:pStyle w:val="Paragraphedeliste"/>
        <w:numPr>
          <w:ilvl w:val="0"/>
          <w:numId w:val="50"/>
        </w:numPr>
      </w:pPr>
      <w:r>
        <w:t xml:space="preserve">Contrats à terme </w:t>
      </w:r>
      <w:r w:rsidR="004E2AEF">
        <w:t>boursiers</w:t>
      </w:r>
      <w:r>
        <w:t xml:space="preserve"> sur les denrées</w:t>
      </w:r>
    </w:p>
    <w:p w14:paraId="778C0D5E" w14:textId="77777777" w:rsidR="00BE33C5" w:rsidRDefault="00BE33C5" w:rsidP="006D4BFA"/>
    <w:p w14:paraId="0BA4E726" w14:textId="77777777" w:rsidR="0034512C" w:rsidRDefault="0034512C" w:rsidP="0034512C">
      <w:pPr>
        <w:jc w:val="both"/>
      </w:pPr>
      <w:r>
        <w:t xml:space="preserve">Par ailleurs, il est impossible d'investir à même le REÉR, dans une société dans laquelle le contribuable possède une participation de 10 % ou plus. Il faut noter qu'il n'existe plus de contraintes relativement à la participation maximale dans des entités étrangères. Les options d'investissement sont maintenant géographiquement décloisonnées. </w:t>
      </w:r>
    </w:p>
    <w:p w14:paraId="695839D9" w14:textId="77777777" w:rsidR="0034512C" w:rsidRDefault="0034512C" w:rsidP="0034512C">
      <w:pPr>
        <w:jc w:val="both"/>
      </w:pPr>
    </w:p>
    <w:p w14:paraId="6630CE3F" w14:textId="0D43958B" w:rsidR="0034512C" w:rsidRDefault="0034512C" w:rsidP="0034512C">
      <w:pPr>
        <w:jc w:val="both"/>
      </w:pPr>
      <w:r>
        <w:t xml:space="preserve">Finalement, et ce point de la plus grande importance à saisir, ces placements admissibles au REÉR sont essentiellement les mêmes que ceux </w:t>
      </w:r>
      <w:r w:rsidR="004E2AEF">
        <w:t>applicables</w:t>
      </w:r>
      <w:r>
        <w:t xml:space="preserve"> dans le cas du CÉLI et d</w:t>
      </w:r>
      <w:r w:rsidR="000E3749">
        <w:t>u</w:t>
      </w:r>
      <w:r>
        <w:t xml:space="preserve"> REÉÉ. </w:t>
      </w:r>
      <w:r w:rsidRPr="00863F35">
        <w:rPr>
          <w:u w:val="single"/>
        </w:rPr>
        <w:t>C'est donc dire que le véhicule de placement (REÉR, CÉLI ou REÉÉ) n'a aucune incidence sur le potentiel de rendement de l'investissement</w:t>
      </w:r>
      <w:r>
        <w:t>. Il serait par conséquent</w:t>
      </w:r>
      <w:r w:rsidR="00863F35">
        <w:t xml:space="preserve"> possible de détenir des portefeuilles de placements identiques pour chacun de ces trois abris fiscaux. En clair, en terme financier, il n'existe pas de paramètres pour </w:t>
      </w:r>
      <w:r w:rsidR="004E2AEF">
        <w:t>favoriser</w:t>
      </w:r>
      <w:r w:rsidR="00863F35">
        <w:t xml:space="preserve"> l'un ou l'autre. L'analyse sera donc, comme nous avons commencé à le démontrer, </w:t>
      </w:r>
      <w:r w:rsidR="00863F35" w:rsidRPr="00863F35">
        <w:rPr>
          <w:color w:val="FF6700" w:themeColor="accent3"/>
        </w:rPr>
        <w:t>FISCALE</w:t>
      </w:r>
      <w:r w:rsidR="00863F35">
        <w:t xml:space="preserve">. </w:t>
      </w:r>
      <w:r>
        <w:t xml:space="preserve">   </w:t>
      </w:r>
    </w:p>
    <w:p w14:paraId="4AC7AC70" w14:textId="2B67359F" w:rsidR="006D4BFA" w:rsidRDefault="006D4BFA" w:rsidP="006C34CF">
      <w:pPr>
        <w:pStyle w:val="Titre4"/>
        <w:numPr>
          <w:ilvl w:val="3"/>
          <w:numId w:val="48"/>
        </w:numPr>
      </w:pPr>
      <w:bookmarkStart w:id="94" w:name="_Toc314397854"/>
      <w:bookmarkStart w:id="95" w:name="_Toc443569398"/>
      <w:r>
        <w:lastRenderedPageBreak/>
        <w:t>L'emprunt pour cotiser</w:t>
      </w:r>
      <w:bookmarkEnd w:id="94"/>
      <w:bookmarkEnd w:id="95"/>
    </w:p>
    <w:p w14:paraId="3180D08E" w14:textId="77777777" w:rsidR="006D4BFA" w:rsidRDefault="006D4BFA" w:rsidP="006D4BFA"/>
    <w:p w14:paraId="112C134C" w14:textId="74CCBFF9" w:rsidR="0051404A" w:rsidRDefault="00190BCC" w:rsidP="00A34D16">
      <w:pPr>
        <w:jc w:val="both"/>
        <w:rPr>
          <w:color w:val="000000" w:themeColor="text1"/>
        </w:rPr>
      </w:pPr>
      <w:r>
        <w:rPr>
          <w:color w:val="000000" w:themeColor="text1"/>
        </w:rPr>
        <w:t xml:space="preserve">Pour la petite histoire, le débat entourant la pertinence d'emprunter des sommes pour investir dans un REÉR remonte à l'époque lointaine (avant 1991) où les </w:t>
      </w:r>
      <w:r w:rsidR="00F00CCC">
        <w:rPr>
          <w:color w:val="000000" w:themeColor="text1"/>
        </w:rPr>
        <w:t xml:space="preserve">plafonds REÉR, s'ils n'étaient pas </w:t>
      </w:r>
      <w:r w:rsidR="004E2AEF">
        <w:rPr>
          <w:color w:val="000000" w:themeColor="text1"/>
        </w:rPr>
        <w:t>utilisés</w:t>
      </w:r>
      <w:r w:rsidR="00F00CCC">
        <w:rPr>
          <w:color w:val="000000" w:themeColor="text1"/>
        </w:rPr>
        <w:t xml:space="preserve"> dans l'année, se voyaient disparaître. Dans ce contexte du tout ou rien, il était normal de s'interroger, en </w:t>
      </w:r>
      <w:r w:rsidR="000E3749">
        <w:rPr>
          <w:color w:val="000000" w:themeColor="text1"/>
        </w:rPr>
        <w:t>l'</w:t>
      </w:r>
      <w:r w:rsidR="00F00CCC">
        <w:rPr>
          <w:color w:val="000000" w:themeColor="text1"/>
        </w:rPr>
        <w:t>absence de liquidité immédiate,   sur la possibilité d'emprunter le montant nécessaire</w:t>
      </w:r>
      <w:r w:rsidR="0051404A">
        <w:rPr>
          <w:color w:val="000000" w:themeColor="text1"/>
        </w:rPr>
        <w:t xml:space="preserve"> </w:t>
      </w:r>
      <w:r w:rsidR="00F00CCC">
        <w:rPr>
          <w:color w:val="000000" w:themeColor="text1"/>
        </w:rPr>
        <w:t>pour effectuer une cotisation en REÉR.</w:t>
      </w:r>
      <w:r w:rsidR="0051404A">
        <w:rPr>
          <w:color w:val="000000" w:themeColor="text1"/>
        </w:rPr>
        <w:t xml:space="preserve"> Même à cette époque, la question du financement de la cotisation au REÉR s'interprétait au gré du délai qui était prévu pour rembourser l'emprunt. </w:t>
      </w:r>
      <w:r w:rsidR="00A946EF">
        <w:rPr>
          <w:color w:val="000000" w:themeColor="text1"/>
        </w:rPr>
        <w:t>Si le délai était court, il était alors  approprié d'envisager un tel emprunt.</w:t>
      </w:r>
    </w:p>
    <w:p w14:paraId="377233F6" w14:textId="77777777" w:rsidR="0051404A" w:rsidRDefault="0051404A" w:rsidP="00A34D16">
      <w:pPr>
        <w:jc w:val="both"/>
        <w:rPr>
          <w:color w:val="000000" w:themeColor="text1"/>
        </w:rPr>
      </w:pPr>
    </w:p>
    <w:p w14:paraId="52F6BE2C" w14:textId="5FBA925D" w:rsidR="001A2555" w:rsidRDefault="002B1F07" w:rsidP="00A34D16">
      <w:pPr>
        <w:jc w:val="both"/>
        <w:rPr>
          <w:color w:val="000000" w:themeColor="text1"/>
        </w:rPr>
      </w:pPr>
      <w:r>
        <w:rPr>
          <w:color w:val="000000" w:themeColor="text1"/>
        </w:rPr>
        <w:t xml:space="preserve">Avec une telle entrée en matière, le lecteur a sûrement une idée de la position des auteurs quant </w:t>
      </w:r>
      <w:r w:rsidR="006A5A21">
        <w:rPr>
          <w:color w:val="000000" w:themeColor="text1"/>
        </w:rPr>
        <w:t xml:space="preserve">à </w:t>
      </w:r>
      <w:r>
        <w:rPr>
          <w:color w:val="000000" w:themeColor="text1"/>
        </w:rPr>
        <w:t xml:space="preserve">la pertinence d'emprunter pour cotiser à un REÉR, alors que le plafond inutilisé est reportable d'une année à l'autre. Nul besoin de s'inventer des vertus et de croire que le contribuable arrivera à rembourser l'emprunt alors qu'il n'a pas réussi à épargner cette </w:t>
      </w:r>
      <w:proofErr w:type="gramStart"/>
      <w:r>
        <w:rPr>
          <w:color w:val="000000" w:themeColor="text1"/>
        </w:rPr>
        <w:t>même somme</w:t>
      </w:r>
      <w:proofErr w:type="gramEnd"/>
      <w:r>
        <w:rPr>
          <w:color w:val="000000" w:themeColor="text1"/>
        </w:rPr>
        <w:t xml:space="preserve"> pour l'investir dans son propre REÉR. Laissons plutôt le contribuable faire ses preuves afin qu'il épargne dès maintenant le montant en question pour qu'il puisse l'investir dans son REÉR.</w:t>
      </w:r>
      <w:r w:rsidR="001A2555">
        <w:rPr>
          <w:color w:val="000000" w:themeColor="text1"/>
        </w:rPr>
        <w:t xml:space="preserve"> Bien sûr, cette position sans appel, pourrait être nuancée dans un contexte où le contribuable, par exemple:</w:t>
      </w:r>
    </w:p>
    <w:p w14:paraId="671D07A1" w14:textId="77777777" w:rsidR="001A2555" w:rsidRDefault="001A2555" w:rsidP="00A34D16">
      <w:pPr>
        <w:jc w:val="both"/>
        <w:rPr>
          <w:color w:val="000000" w:themeColor="text1"/>
        </w:rPr>
      </w:pPr>
    </w:p>
    <w:p w14:paraId="2D9DB20A" w14:textId="40723BAD" w:rsidR="001A2555" w:rsidRDefault="001A2555" w:rsidP="006C34CF">
      <w:pPr>
        <w:pStyle w:val="Paragraphedeliste"/>
        <w:numPr>
          <w:ilvl w:val="0"/>
          <w:numId w:val="51"/>
        </w:numPr>
        <w:jc w:val="both"/>
        <w:rPr>
          <w:color w:val="000000" w:themeColor="text1"/>
        </w:rPr>
      </w:pPr>
      <w:r>
        <w:rPr>
          <w:color w:val="000000" w:themeColor="text1"/>
        </w:rPr>
        <w:t>E</w:t>
      </w:r>
      <w:r w:rsidRPr="001A2555">
        <w:rPr>
          <w:color w:val="000000" w:themeColor="text1"/>
        </w:rPr>
        <w:t xml:space="preserve">mprunterait un montant </w:t>
      </w:r>
      <w:r>
        <w:rPr>
          <w:color w:val="000000" w:themeColor="text1"/>
        </w:rPr>
        <w:t>de 10 000 $, le 27</w:t>
      </w:r>
      <w:r w:rsidRPr="001A2555">
        <w:rPr>
          <w:color w:val="000000" w:themeColor="text1"/>
        </w:rPr>
        <w:t xml:space="preserve"> février pour effectuer une cotisation à son REÉR</w:t>
      </w:r>
      <w:r w:rsidR="00295977">
        <w:rPr>
          <w:color w:val="000000" w:themeColor="text1"/>
        </w:rPr>
        <w:t>;</w:t>
      </w:r>
    </w:p>
    <w:p w14:paraId="1753BDD8" w14:textId="77777777" w:rsidR="001A2555" w:rsidRPr="001A2555" w:rsidRDefault="001A2555" w:rsidP="001A2555">
      <w:pPr>
        <w:ind w:left="61"/>
        <w:jc w:val="both"/>
        <w:rPr>
          <w:color w:val="000000" w:themeColor="text1"/>
        </w:rPr>
      </w:pPr>
    </w:p>
    <w:p w14:paraId="2F745EF5" w14:textId="7968280C" w:rsidR="001A2555" w:rsidRDefault="001A2555" w:rsidP="006C34CF">
      <w:pPr>
        <w:pStyle w:val="Paragraphedeliste"/>
        <w:numPr>
          <w:ilvl w:val="0"/>
          <w:numId w:val="51"/>
        </w:numPr>
        <w:jc w:val="both"/>
        <w:rPr>
          <w:color w:val="000000" w:themeColor="text1"/>
        </w:rPr>
      </w:pPr>
      <w:r>
        <w:rPr>
          <w:color w:val="000000" w:themeColor="text1"/>
        </w:rPr>
        <w:t>Produirait sa déclaration immédiatement afin de recevoir son remboursement d'impôt le plus rapidement possible</w:t>
      </w:r>
      <w:r w:rsidR="00295977">
        <w:rPr>
          <w:color w:val="000000" w:themeColor="text1"/>
        </w:rPr>
        <w:t>;</w:t>
      </w:r>
    </w:p>
    <w:p w14:paraId="21EE3533" w14:textId="77777777" w:rsidR="001A2555" w:rsidRPr="001A2555" w:rsidRDefault="001A2555" w:rsidP="001A2555">
      <w:pPr>
        <w:ind w:left="61"/>
        <w:jc w:val="both"/>
        <w:rPr>
          <w:color w:val="000000" w:themeColor="text1"/>
        </w:rPr>
      </w:pPr>
    </w:p>
    <w:p w14:paraId="309E24AF" w14:textId="2BD54A26" w:rsidR="00F00CCC" w:rsidRDefault="001A2555" w:rsidP="006C34CF">
      <w:pPr>
        <w:pStyle w:val="Paragraphedeliste"/>
        <w:numPr>
          <w:ilvl w:val="0"/>
          <w:numId w:val="51"/>
        </w:numPr>
        <w:jc w:val="both"/>
        <w:rPr>
          <w:color w:val="000000" w:themeColor="text1"/>
        </w:rPr>
      </w:pPr>
      <w:r>
        <w:rPr>
          <w:color w:val="000000" w:themeColor="text1"/>
        </w:rPr>
        <w:t>Lors de la réception du remboursement d'impôt de 5 000 $</w:t>
      </w:r>
      <w:r>
        <w:rPr>
          <w:rStyle w:val="Marquenotebasdepage"/>
          <w:color w:val="000000" w:themeColor="text1"/>
        </w:rPr>
        <w:footnoteReference w:customMarkFollows="1" w:id="60"/>
        <w:t>57</w:t>
      </w:r>
      <w:r>
        <w:rPr>
          <w:color w:val="000000" w:themeColor="text1"/>
        </w:rPr>
        <w:t>, à la mi-mars, il affecte immédiatement ce montant au remboursement de l'emprunt</w:t>
      </w:r>
      <w:r w:rsidR="00295977">
        <w:rPr>
          <w:color w:val="000000" w:themeColor="text1"/>
        </w:rPr>
        <w:t>;</w:t>
      </w:r>
      <w:r w:rsidR="002B1F07" w:rsidRPr="001A2555">
        <w:rPr>
          <w:color w:val="000000" w:themeColor="text1"/>
        </w:rPr>
        <w:t xml:space="preserve"> </w:t>
      </w:r>
      <w:r w:rsidR="0051404A" w:rsidRPr="001A2555">
        <w:rPr>
          <w:color w:val="000000" w:themeColor="text1"/>
        </w:rPr>
        <w:t xml:space="preserve"> </w:t>
      </w:r>
      <w:r w:rsidR="00F00CCC" w:rsidRPr="001A2555">
        <w:rPr>
          <w:color w:val="000000" w:themeColor="text1"/>
        </w:rPr>
        <w:t xml:space="preserve"> </w:t>
      </w:r>
    </w:p>
    <w:p w14:paraId="6B193748" w14:textId="77777777" w:rsidR="00E17395" w:rsidRPr="00E17395" w:rsidRDefault="00E17395" w:rsidP="00E17395">
      <w:pPr>
        <w:ind w:left="61"/>
        <w:jc w:val="both"/>
        <w:rPr>
          <w:color w:val="000000" w:themeColor="text1"/>
        </w:rPr>
      </w:pPr>
    </w:p>
    <w:p w14:paraId="416AAE95" w14:textId="308A5BF6" w:rsidR="00E17395" w:rsidRPr="001A2555" w:rsidRDefault="007858F3" w:rsidP="006C34CF">
      <w:pPr>
        <w:pStyle w:val="Paragraphedeliste"/>
        <w:numPr>
          <w:ilvl w:val="0"/>
          <w:numId w:val="51"/>
        </w:numPr>
        <w:jc w:val="both"/>
        <w:rPr>
          <w:color w:val="000000" w:themeColor="text1"/>
        </w:rPr>
      </w:pPr>
      <w:r>
        <w:rPr>
          <w:color w:val="000000" w:themeColor="text1"/>
        </w:rPr>
        <w:t xml:space="preserve">Dans les deux prochains mois, le contribuable a prévu recevoir une </w:t>
      </w:r>
      <w:r w:rsidR="00665AC4">
        <w:rPr>
          <w:color w:val="000000" w:themeColor="text1"/>
        </w:rPr>
        <w:t>r</w:t>
      </w:r>
      <w:r>
        <w:rPr>
          <w:color w:val="000000" w:themeColor="text1"/>
        </w:rPr>
        <w:t>entrée de liquidité de 5 000 $ qu'il affectera immédiatement à la quittance de son emprunt</w:t>
      </w:r>
      <w:r w:rsidR="00295977">
        <w:rPr>
          <w:color w:val="000000" w:themeColor="text1"/>
        </w:rPr>
        <w:t>.</w:t>
      </w:r>
    </w:p>
    <w:p w14:paraId="0B1BBEFF" w14:textId="77777777" w:rsidR="00F00CCC" w:rsidRDefault="00F00CCC" w:rsidP="00A34D16">
      <w:pPr>
        <w:jc w:val="both"/>
        <w:rPr>
          <w:color w:val="000000" w:themeColor="text1"/>
        </w:rPr>
      </w:pPr>
    </w:p>
    <w:p w14:paraId="05772419" w14:textId="1CA27979" w:rsidR="00665AC4" w:rsidRDefault="00665AC4" w:rsidP="00A34D16">
      <w:pPr>
        <w:jc w:val="both"/>
        <w:rPr>
          <w:color w:val="000000" w:themeColor="text1"/>
        </w:rPr>
      </w:pPr>
      <w:r>
        <w:rPr>
          <w:color w:val="000000" w:themeColor="text1"/>
        </w:rPr>
        <w:lastRenderedPageBreak/>
        <w:t xml:space="preserve">Avouons que ces scénarios, sans aucune faille, sont très rares; ce qui nous amène à </w:t>
      </w:r>
      <w:r w:rsidR="000E3749">
        <w:rPr>
          <w:color w:val="000000" w:themeColor="text1"/>
        </w:rPr>
        <w:t xml:space="preserve">faire des mises </w:t>
      </w:r>
      <w:r>
        <w:rPr>
          <w:color w:val="000000" w:themeColor="text1"/>
        </w:rPr>
        <w:t xml:space="preserve">en garde </w:t>
      </w:r>
      <w:r w:rsidR="000E3749">
        <w:rPr>
          <w:color w:val="000000" w:themeColor="text1"/>
        </w:rPr>
        <w:t>à l'égard d'o</w:t>
      </w:r>
      <w:r>
        <w:rPr>
          <w:color w:val="000000" w:themeColor="text1"/>
        </w:rPr>
        <w:t xml:space="preserve">ffres de financement de </w:t>
      </w:r>
      <w:r w:rsidR="000E3749">
        <w:rPr>
          <w:color w:val="000000" w:themeColor="text1"/>
        </w:rPr>
        <w:t>la part d'</w:t>
      </w:r>
      <w:r>
        <w:rPr>
          <w:color w:val="000000" w:themeColor="text1"/>
        </w:rPr>
        <w:t xml:space="preserve">institutions financières qui </w:t>
      </w:r>
      <w:r w:rsidR="006877F3">
        <w:rPr>
          <w:color w:val="000000" w:themeColor="text1"/>
        </w:rPr>
        <w:t>souhaite</w:t>
      </w:r>
      <w:r w:rsidR="000E3749">
        <w:rPr>
          <w:color w:val="000000" w:themeColor="text1"/>
        </w:rPr>
        <w:t>raient</w:t>
      </w:r>
      <w:r>
        <w:rPr>
          <w:color w:val="000000" w:themeColor="text1"/>
        </w:rPr>
        <w:t xml:space="preserve"> permettre </w:t>
      </w:r>
      <w:r w:rsidR="000E3749">
        <w:rPr>
          <w:color w:val="000000" w:themeColor="text1"/>
        </w:rPr>
        <w:t xml:space="preserve">à leurs clients </w:t>
      </w:r>
      <w:r>
        <w:rPr>
          <w:color w:val="000000" w:themeColor="text1"/>
        </w:rPr>
        <w:t xml:space="preserve">d'effectuer une cotisation à </w:t>
      </w:r>
      <w:r w:rsidR="000E3749">
        <w:rPr>
          <w:color w:val="000000" w:themeColor="text1"/>
        </w:rPr>
        <w:t>leur</w:t>
      </w:r>
      <w:r>
        <w:rPr>
          <w:color w:val="000000" w:themeColor="text1"/>
        </w:rPr>
        <w:t xml:space="preserve"> REÉR. </w:t>
      </w:r>
    </w:p>
    <w:p w14:paraId="4B759E29" w14:textId="77777777" w:rsidR="00EE043B" w:rsidRDefault="00EE043B" w:rsidP="00A34D16">
      <w:pPr>
        <w:jc w:val="both"/>
        <w:rPr>
          <w:color w:val="000000" w:themeColor="text1"/>
        </w:rPr>
      </w:pPr>
    </w:p>
    <w:p w14:paraId="6AA06CC2" w14:textId="7F509C32" w:rsidR="006877F3" w:rsidRDefault="00FA38E1" w:rsidP="00A34D16">
      <w:pPr>
        <w:jc w:val="both"/>
        <w:rPr>
          <w:color w:val="000000" w:themeColor="text1"/>
        </w:rPr>
      </w:pPr>
      <w:r>
        <w:rPr>
          <w:color w:val="000000" w:themeColor="text1"/>
        </w:rPr>
        <w:t xml:space="preserve">Malgré la piètre opinion que nous présentons de l'effet de levier (l'emprunt) pour faire fructifier </w:t>
      </w:r>
      <w:r w:rsidR="000E3749">
        <w:rPr>
          <w:color w:val="000000" w:themeColor="text1"/>
        </w:rPr>
        <w:t>le</w:t>
      </w:r>
      <w:r>
        <w:rPr>
          <w:color w:val="000000" w:themeColor="text1"/>
        </w:rPr>
        <w:t xml:space="preserve"> REÉR, la très grande majorité des gens s</w:t>
      </w:r>
      <w:r w:rsidR="005970FA">
        <w:rPr>
          <w:color w:val="000000" w:themeColor="text1"/>
        </w:rPr>
        <w:t>'y</w:t>
      </w:r>
      <w:r>
        <w:rPr>
          <w:color w:val="000000" w:themeColor="text1"/>
        </w:rPr>
        <w:t xml:space="preserve"> adonne à leur insu.</w:t>
      </w:r>
      <w:r w:rsidR="005970FA">
        <w:rPr>
          <w:color w:val="000000" w:themeColor="text1"/>
        </w:rPr>
        <w:t xml:space="preserve"> C'est en substance ce qui se produit à chaque fois qu'un contribuable </w:t>
      </w:r>
      <w:r w:rsidR="004E2AEF">
        <w:rPr>
          <w:color w:val="000000" w:themeColor="text1"/>
        </w:rPr>
        <w:t>choisit</w:t>
      </w:r>
      <w:r w:rsidR="005970FA">
        <w:rPr>
          <w:color w:val="000000" w:themeColor="text1"/>
        </w:rPr>
        <w:t xml:space="preserve"> de cotiser à son REÉR au détriment du remboursement de l'une de ses dettes. Cette stratégie peut être bénéfique lorsque la seule dette est l'hypothèque résidentielle. Par contre, s'il existe un prêt SPA à 7,8 %, c'est la catastrophe</w:t>
      </w:r>
      <w:r w:rsidR="00FE2153">
        <w:rPr>
          <w:color w:val="000000" w:themeColor="text1"/>
        </w:rPr>
        <w:t xml:space="preserve"> et le leurre le plus total</w:t>
      </w:r>
      <w:r w:rsidR="005970FA">
        <w:rPr>
          <w:color w:val="000000" w:themeColor="text1"/>
        </w:rPr>
        <w:t xml:space="preserve">! </w:t>
      </w:r>
      <w:r>
        <w:rPr>
          <w:color w:val="000000" w:themeColor="text1"/>
        </w:rPr>
        <w:t xml:space="preserve"> Ce thème sera abordé en détail dans la </w:t>
      </w:r>
      <w:r w:rsidRPr="005970FA">
        <w:rPr>
          <w:color w:val="008000"/>
        </w:rPr>
        <w:t>PARTIE 5</w:t>
      </w:r>
      <w:r>
        <w:rPr>
          <w:color w:val="000000" w:themeColor="text1"/>
        </w:rPr>
        <w:t xml:space="preserve"> portant sur </w:t>
      </w:r>
      <w:r w:rsidR="005970FA">
        <w:rPr>
          <w:color w:val="000000" w:themeColor="text1"/>
        </w:rPr>
        <w:t>l</w:t>
      </w:r>
      <w:r>
        <w:rPr>
          <w:color w:val="000000" w:themeColor="text1"/>
        </w:rPr>
        <w:t>a gestion de la dette.</w:t>
      </w:r>
    </w:p>
    <w:p w14:paraId="0AFA0B03" w14:textId="77777777" w:rsidR="00723FD5" w:rsidRDefault="00723FD5" w:rsidP="00A34D16">
      <w:pPr>
        <w:jc w:val="both"/>
        <w:rPr>
          <w:color w:val="000000" w:themeColor="text1"/>
        </w:rPr>
      </w:pPr>
    </w:p>
    <w:p w14:paraId="358530E1" w14:textId="7FA05831" w:rsidR="00723FD5" w:rsidRDefault="00EE043B" w:rsidP="00A34D16">
      <w:pPr>
        <w:jc w:val="both"/>
        <w:rPr>
          <w:color w:val="000000" w:themeColor="text1"/>
        </w:rPr>
      </w:pPr>
      <w:r>
        <w:rPr>
          <w:color w:val="000000" w:themeColor="text1"/>
        </w:rPr>
        <w:t>Finalement, comme dans tous les cas d'investissement dans les divers abris fiscaux</w:t>
      </w:r>
      <w:r w:rsidR="009068B9">
        <w:rPr>
          <w:color w:val="000000" w:themeColor="text1"/>
        </w:rPr>
        <w:t xml:space="preserve"> </w:t>
      </w:r>
      <w:r>
        <w:rPr>
          <w:color w:val="000000" w:themeColor="text1"/>
        </w:rPr>
        <w:t xml:space="preserve">les intérêts </w:t>
      </w:r>
      <w:r w:rsidR="009068B9">
        <w:rPr>
          <w:color w:val="000000" w:themeColor="text1"/>
        </w:rPr>
        <w:t xml:space="preserve">qui seraient payés </w:t>
      </w:r>
      <w:r>
        <w:rPr>
          <w:color w:val="000000" w:themeColor="text1"/>
        </w:rPr>
        <w:t xml:space="preserve">sur </w:t>
      </w:r>
      <w:r w:rsidR="000E3749">
        <w:rPr>
          <w:color w:val="000000" w:themeColor="text1"/>
        </w:rPr>
        <w:t>ces emprunts</w:t>
      </w:r>
      <w:r w:rsidR="009068B9">
        <w:rPr>
          <w:color w:val="000000" w:themeColor="text1"/>
        </w:rPr>
        <w:t xml:space="preserve"> ne seraient pas déductibles. </w:t>
      </w:r>
      <w:r>
        <w:rPr>
          <w:color w:val="000000" w:themeColor="text1"/>
        </w:rPr>
        <w:t xml:space="preserve"> </w:t>
      </w:r>
    </w:p>
    <w:p w14:paraId="59513BA2" w14:textId="77777777" w:rsidR="00A34D16" w:rsidRDefault="00A34D16" w:rsidP="006D4BFA"/>
    <w:p w14:paraId="3E7E934D" w14:textId="11EC25F0" w:rsidR="006D4BFA" w:rsidRDefault="006D4BFA" w:rsidP="006C34CF">
      <w:pPr>
        <w:pStyle w:val="Titre4"/>
        <w:numPr>
          <w:ilvl w:val="3"/>
          <w:numId w:val="48"/>
        </w:numPr>
      </w:pPr>
      <w:bookmarkStart w:id="96" w:name="_Toc314397855"/>
      <w:bookmarkStart w:id="97" w:name="_Toc443569399"/>
      <w:r>
        <w:t>La cotisation au profit du conjoint</w:t>
      </w:r>
      <w:bookmarkEnd w:id="96"/>
      <w:bookmarkEnd w:id="97"/>
    </w:p>
    <w:p w14:paraId="35CDAF7A" w14:textId="77777777" w:rsidR="006D4BFA" w:rsidRDefault="006D4BFA" w:rsidP="006D4BFA"/>
    <w:p w14:paraId="1E9E8F26" w14:textId="1A901F22" w:rsidR="004A4D4E" w:rsidRDefault="005B6A60" w:rsidP="004A4D4E">
      <w:pPr>
        <w:jc w:val="both"/>
      </w:pPr>
      <w:r>
        <w:t xml:space="preserve">La cotisation REÉR au profit du conjoint </w:t>
      </w:r>
      <w:r w:rsidR="004A4D4E">
        <w:t xml:space="preserve">lorsqu'elle est judicieusement utilisée peut s'avérer un outil d'optimisation très efficace. </w:t>
      </w:r>
      <w:r w:rsidR="00F118A2">
        <w:t>Revisitons</w:t>
      </w:r>
      <w:r w:rsidR="004A4D4E">
        <w:t xml:space="preserve"> le mode de fonctionnement d'une telle stratégie.</w:t>
      </w:r>
    </w:p>
    <w:p w14:paraId="0AB76282" w14:textId="77777777" w:rsidR="004E27F8" w:rsidRDefault="004E27F8" w:rsidP="004A4D4E">
      <w:pPr>
        <w:jc w:val="both"/>
      </w:pPr>
    </w:p>
    <w:tbl>
      <w:tblPr>
        <w:tblStyle w:val="Grille"/>
        <w:tblW w:w="0" w:type="auto"/>
        <w:tblLook w:val="04A0" w:firstRow="1" w:lastRow="0" w:firstColumn="1" w:lastColumn="0" w:noHBand="0" w:noVBand="1"/>
      </w:tblPr>
      <w:tblGrid>
        <w:gridCol w:w="4382"/>
        <w:gridCol w:w="4382"/>
        <w:gridCol w:w="4382"/>
      </w:tblGrid>
      <w:tr w:rsidR="00F118A2" w14:paraId="40090A45" w14:textId="77777777" w:rsidTr="00F51454">
        <w:tc>
          <w:tcPr>
            <w:tcW w:w="4382" w:type="dxa"/>
            <w:tcBorders>
              <w:top w:val="nil"/>
              <w:left w:val="nil"/>
              <w:bottom w:val="nil"/>
              <w:right w:val="nil"/>
            </w:tcBorders>
            <w:shd w:val="clear" w:color="auto" w:fill="7F7F7F" w:themeFill="text1" w:themeFillTint="80"/>
          </w:tcPr>
          <w:p w14:paraId="7256EF62" w14:textId="77777777" w:rsidR="00F118A2" w:rsidRDefault="00F118A2" w:rsidP="00130595">
            <w:pPr>
              <w:jc w:val="both"/>
            </w:pPr>
          </w:p>
        </w:tc>
        <w:tc>
          <w:tcPr>
            <w:tcW w:w="4382" w:type="dxa"/>
            <w:tcBorders>
              <w:top w:val="nil"/>
              <w:left w:val="nil"/>
              <w:bottom w:val="nil"/>
              <w:right w:val="nil"/>
            </w:tcBorders>
            <w:shd w:val="clear" w:color="auto" w:fill="7F7F7F" w:themeFill="text1" w:themeFillTint="80"/>
          </w:tcPr>
          <w:p w14:paraId="0C2A82F5" w14:textId="77777777" w:rsidR="00F118A2" w:rsidRDefault="00F118A2" w:rsidP="00130595">
            <w:pPr>
              <w:jc w:val="center"/>
            </w:pPr>
            <w:r>
              <w:t>Contribuable</w:t>
            </w:r>
          </w:p>
        </w:tc>
        <w:tc>
          <w:tcPr>
            <w:tcW w:w="4382" w:type="dxa"/>
            <w:tcBorders>
              <w:top w:val="nil"/>
              <w:left w:val="nil"/>
              <w:bottom w:val="nil"/>
              <w:right w:val="nil"/>
            </w:tcBorders>
            <w:shd w:val="clear" w:color="auto" w:fill="7F7F7F" w:themeFill="text1" w:themeFillTint="80"/>
          </w:tcPr>
          <w:p w14:paraId="55EEAA53" w14:textId="77777777" w:rsidR="00F118A2" w:rsidRDefault="00F118A2" w:rsidP="00130595">
            <w:pPr>
              <w:jc w:val="center"/>
            </w:pPr>
            <w:r>
              <w:t>Conjoint</w:t>
            </w:r>
          </w:p>
        </w:tc>
      </w:tr>
      <w:tr w:rsidR="00F118A2" w14:paraId="5A8C507F" w14:textId="77777777" w:rsidTr="00F51454">
        <w:tc>
          <w:tcPr>
            <w:tcW w:w="4382" w:type="dxa"/>
            <w:tcBorders>
              <w:top w:val="nil"/>
              <w:left w:val="nil"/>
              <w:bottom w:val="nil"/>
              <w:right w:val="nil"/>
            </w:tcBorders>
            <w:shd w:val="clear" w:color="auto" w:fill="7F7F7F" w:themeFill="text1" w:themeFillTint="80"/>
          </w:tcPr>
          <w:p w14:paraId="35DBC3EC" w14:textId="77777777" w:rsidR="00F118A2" w:rsidRDefault="00F118A2" w:rsidP="00130595"/>
          <w:p w14:paraId="4AF7F9D1" w14:textId="77777777" w:rsidR="00F118A2" w:rsidRDefault="00F118A2" w:rsidP="00130595">
            <w:r>
              <w:t>Le plafond du REÉR disponible</w:t>
            </w:r>
          </w:p>
          <w:p w14:paraId="2637B2E6" w14:textId="77777777" w:rsidR="00F118A2" w:rsidRDefault="00F118A2" w:rsidP="00130595"/>
        </w:tc>
        <w:tc>
          <w:tcPr>
            <w:tcW w:w="4382" w:type="dxa"/>
            <w:tcBorders>
              <w:top w:val="nil"/>
              <w:left w:val="nil"/>
              <w:bottom w:val="nil"/>
              <w:right w:val="nil"/>
            </w:tcBorders>
            <w:shd w:val="clear" w:color="auto" w:fill="CCFFCC"/>
          </w:tcPr>
          <w:p w14:paraId="41D6F194" w14:textId="77777777" w:rsidR="00F118A2" w:rsidRDefault="00F118A2" w:rsidP="00130595">
            <w:pPr>
              <w:jc w:val="both"/>
            </w:pPr>
            <w:r>
              <w:rPr>
                <w:noProof/>
                <w:lang w:eastAsia="fr-FR"/>
              </w:rPr>
              <w:drawing>
                <wp:anchor distT="0" distB="0" distL="114300" distR="114300" simplePos="0" relativeHeight="252529664" behindDoc="0" locked="0" layoutInCell="1" allowOverlap="1" wp14:anchorId="0C187B78" wp14:editId="22456A36">
                  <wp:simplePos x="0" y="0"/>
                  <wp:positionH relativeFrom="column">
                    <wp:posOffset>1103630</wp:posOffset>
                  </wp:positionH>
                  <wp:positionV relativeFrom="paragraph">
                    <wp:posOffset>143510</wp:posOffset>
                  </wp:positionV>
                  <wp:extent cx="342900" cy="344805"/>
                  <wp:effectExtent l="0" t="0" r="12700" b="10795"/>
                  <wp:wrapNone/>
                  <wp:docPr id="446" name="Image 446"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4382" w:type="dxa"/>
            <w:tcBorders>
              <w:top w:val="nil"/>
              <w:left w:val="nil"/>
              <w:bottom w:val="nil"/>
              <w:right w:val="nil"/>
            </w:tcBorders>
            <w:shd w:val="clear" w:color="auto" w:fill="5DDEDB"/>
          </w:tcPr>
          <w:p w14:paraId="6DFE944D" w14:textId="77777777" w:rsidR="00F118A2" w:rsidRDefault="00F118A2" w:rsidP="00130595">
            <w:pPr>
              <w:jc w:val="both"/>
            </w:pPr>
          </w:p>
        </w:tc>
      </w:tr>
      <w:tr w:rsidR="00F118A2" w14:paraId="1BE32981" w14:textId="77777777" w:rsidTr="00F51454">
        <w:tc>
          <w:tcPr>
            <w:tcW w:w="4382" w:type="dxa"/>
            <w:tcBorders>
              <w:top w:val="nil"/>
              <w:left w:val="nil"/>
              <w:bottom w:val="nil"/>
              <w:right w:val="nil"/>
            </w:tcBorders>
            <w:shd w:val="clear" w:color="auto" w:fill="7F7F7F" w:themeFill="text1" w:themeFillTint="80"/>
          </w:tcPr>
          <w:p w14:paraId="53F90229" w14:textId="77777777" w:rsidR="00F118A2" w:rsidRDefault="00F118A2" w:rsidP="00130595">
            <w:r>
              <w:t>La cotisation au REÉR</w:t>
            </w:r>
          </w:p>
          <w:p w14:paraId="12D4B990" w14:textId="77777777" w:rsidR="00F118A2" w:rsidRDefault="00F118A2" w:rsidP="00130595"/>
        </w:tc>
        <w:tc>
          <w:tcPr>
            <w:tcW w:w="4382" w:type="dxa"/>
            <w:tcBorders>
              <w:top w:val="nil"/>
              <w:left w:val="nil"/>
              <w:bottom w:val="nil"/>
              <w:right w:val="nil"/>
            </w:tcBorders>
            <w:shd w:val="clear" w:color="auto" w:fill="CCFFCC"/>
          </w:tcPr>
          <w:p w14:paraId="05DF748D" w14:textId="77777777" w:rsidR="00F118A2" w:rsidRDefault="00F118A2" w:rsidP="00130595">
            <w:pPr>
              <w:jc w:val="both"/>
            </w:pPr>
            <w:r>
              <w:rPr>
                <w:noProof/>
                <w:lang w:eastAsia="fr-FR"/>
              </w:rPr>
              <w:drawing>
                <wp:anchor distT="0" distB="0" distL="114300" distR="114300" simplePos="0" relativeHeight="252531712" behindDoc="0" locked="0" layoutInCell="1" allowOverlap="1" wp14:anchorId="5C085542" wp14:editId="46BBB54B">
                  <wp:simplePos x="0" y="0"/>
                  <wp:positionH relativeFrom="column">
                    <wp:posOffset>1103630</wp:posOffset>
                  </wp:positionH>
                  <wp:positionV relativeFrom="paragraph">
                    <wp:posOffset>334645</wp:posOffset>
                  </wp:positionV>
                  <wp:extent cx="342900" cy="344805"/>
                  <wp:effectExtent l="0" t="0" r="12700" b="10795"/>
                  <wp:wrapNone/>
                  <wp:docPr id="448" name="Image 448"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2530688" behindDoc="0" locked="0" layoutInCell="1" allowOverlap="1" wp14:anchorId="2A26E2CD" wp14:editId="30D7A32C">
                  <wp:simplePos x="0" y="0"/>
                  <wp:positionH relativeFrom="column">
                    <wp:posOffset>1103630</wp:posOffset>
                  </wp:positionH>
                  <wp:positionV relativeFrom="paragraph">
                    <wp:posOffset>-8255</wp:posOffset>
                  </wp:positionV>
                  <wp:extent cx="342900" cy="344805"/>
                  <wp:effectExtent l="0" t="0" r="12700" b="10795"/>
                  <wp:wrapNone/>
                  <wp:docPr id="449" name="Image 449"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4382" w:type="dxa"/>
            <w:tcBorders>
              <w:top w:val="nil"/>
              <w:left w:val="nil"/>
              <w:bottom w:val="nil"/>
              <w:right w:val="nil"/>
            </w:tcBorders>
            <w:shd w:val="clear" w:color="auto" w:fill="5DDEDB"/>
          </w:tcPr>
          <w:p w14:paraId="6886F147" w14:textId="77777777" w:rsidR="00F118A2" w:rsidRDefault="00F118A2" w:rsidP="00130595">
            <w:pPr>
              <w:jc w:val="both"/>
            </w:pPr>
          </w:p>
        </w:tc>
      </w:tr>
      <w:tr w:rsidR="00F118A2" w14:paraId="3954BC46" w14:textId="77777777" w:rsidTr="00F51454">
        <w:tc>
          <w:tcPr>
            <w:tcW w:w="4382" w:type="dxa"/>
            <w:tcBorders>
              <w:top w:val="nil"/>
              <w:left w:val="nil"/>
              <w:bottom w:val="nil"/>
              <w:right w:val="nil"/>
            </w:tcBorders>
            <w:shd w:val="clear" w:color="auto" w:fill="7F7F7F" w:themeFill="text1" w:themeFillTint="80"/>
          </w:tcPr>
          <w:p w14:paraId="74BC053D" w14:textId="77777777" w:rsidR="00F118A2" w:rsidRDefault="00F118A2" w:rsidP="00130595">
            <w:r>
              <w:t>La déduction fiscale</w:t>
            </w:r>
          </w:p>
          <w:p w14:paraId="6C21EB05" w14:textId="77777777" w:rsidR="00F118A2" w:rsidRDefault="00F118A2" w:rsidP="00130595"/>
        </w:tc>
        <w:tc>
          <w:tcPr>
            <w:tcW w:w="4382" w:type="dxa"/>
            <w:tcBorders>
              <w:top w:val="nil"/>
              <w:left w:val="nil"/>
              <w:bottom w:val="nil"/>
              <w:right w:val="nil"/>
            </w:tcBorders>
            <w:shd w:val="clear" w:color="auto" w:fill="CCFFCC"/>
          </w:tcPr>
          <w:p w14:paraId="6C421460" w14:textId="77777777" w:rsidR="00F118A2" w:rsidRDefault="00F118A2" w:rsidP="00130595">
            <w:pPr>
              <w:jc w:val="both"/>
            </w:pPr>
          </w:p>
        </w:tc>
        <w:tc>
          <w:tcPr>
            <w:tcW w:w="4382" w:type="dxa"/>
            <w:tcBorders>
              <w:top w:val="nil"/>
              <w:left w:val="nil"/>
              <w:bottom w:val="nil"/>
              <w:right w:val="nil"/>
            </w:tcBorders>
            <w:shd w:val="clear" w:color="auto" w:fill="5DDEDB"/>
          </w:tcPr>
          <w:p w14:paraId="3E14A6EE" w14:textId="77777777" w:rsidR="00F118A2" w:rsidRDefault="00F118A2" w:rsidP="00130595">
            <w:pPr>
              <w:jc w:val="both"/>
            </w:pPr>
            <w:r>
              <w:rPr>
                <w:noProof/>
                <w:lang w:eastAsia="fr-FR"/>
              </w:rPr>
              <w:drawing>
                <wp:anchor distT="0" distB="0" distL="114300" distR="114300" simplePos="0" relativeHeight="252532736" behindDoc="0" locked="0" layoutInCell="1" allowOverlap="1" wp14:anchorId="5B9B9A83" wp14:editId="4AEC5275">
                  <wp:simplePos x="0" y="0"/>
                  <wp:positionH relativeFrom="column">
                    <wp:posOffset>1178560</wp:posOffset>
                  </wp:positionH>
                  <wp:positionV relativeFrom="paragraph">
                    <wp:posOffset>358140</wp:posOffset>
                  </wp:positionV>
                  <wp:extent cx="342900" cy="344805"/>
                  <wp:effectExtent l="0" t="0" r="12700" b="10795"/>
                  <wp:wrapNone/>
                  <wp:docPr id="450" name="Image 450"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F118A2" w14:paraId="16AAD419" w14:textId="77777777" w:rsidTr="00F51454">
        <w:tc>
          <w:tcPr>
            <w:tcW w:w="4382" w:type="dxa"/>
            <w:tcBorders>
              <w:top w:val="nil"/>
              <w:left w:val="nil"/>
              <w:bottom w:val="nil"/>
              <w:right w:val="nil"/>
            </w:tcBorders>
            <w:shd w:val="clear" w:color="auto" w:fill="7F7F7F" w:themeFill="text1" w:themeFillTint="80"/>
          </w:tcPr>
          <w:p w14:paraId="02C78BAC" w14:textId="77777777" w:rsidR="00F118A2" w:rsidRDefault="00F118A2" w:rsidP="00130595">
            <w:r>
              <w:t>La propriété du REÉR</w:t>
            </w:r>
          </w:p>
          <w:p w14:paraId="3C45E87A" w14:textId="77777777" w:rsidR="00F118A2" w:rsidRDefault="00F118A2" w:rsidP="00130595"/>
        </w:tc>
        <w:tc>
          <w:tcPr>
            <w:tcW w:w="4382" w:type="dxa"/>
            <w:tcBorders>
              <w:top w:val="nil"/>
              <w:left w:val="nil"/>
              <w:bottom w:val="nil"/>
              <w:right w:val="nil"/>
            </w:tcBorders>
            <w:shd w:val="clear" w:color="auto" w:fill="CCFFCC"/>
          </w:tcPr>
          <w:p w14:paraId="60F4637E" w14:textId="77777777" w:rsidR="00F118A2" w:rsidRDefault="00F118A2" w:rsidP="00130595">
            <w:pPr>
              <w:jc w:val="both"/>
            </w:pPr>
          </w:p>
        </w:tc>
        <w:tc>
          <w:tcPr>
            <w:tcW w:w="4382" w:type="dxa"/>
            <w:tcBorders>
              <w:top w:val="nil"/>
              <w:left w:val="nil"/>
              <w:bottom w:val="nil"/>
              <w:right w:val="nil"/>
            </w:tcBorders>
            <w:shd w:val="clear" w:color="auto" w:fill="5DDEDB"/>
          </w:tcPr>
          <w:p w14:paraId="1A99BB15" w14:textId="77777777" w:rsidR="00F118A2" w:rsidRDefault="00F118A2" w:rsidP="00130595">
            <w:pPr>
              <w:jc w:val="both"/>
            </w:pPr>
            <w:r>
              <w:rPr>
                <w:noProof/>
                <w:lang w:eastAsia="fr-FR"/>
              </w:rPr>
              <w:drawing>
                <wp:anchor distT="0" distB="0" distL="114300" distR="114300" simplePos="0" relativeHeight="252533760" behindDoc="0" locked="0" layoutInCell="1" allowOverlap="1" wp14:anchorId="7C93E06C" wp14:editId="50158924">
                  <wp:simplePos x="0" y="0"/>
                  <wp:positionH relativeFrom="column">
                    <wp:posOffset>1178560</wp:posOffset>
                  </wp:positionH>
                  <wp:positionV relativeFrom="paragraph">
                    <wp:posOffset>327660</wp:posOffset>
                  </wp:positionV>
                  <wp:extent cx="342900" cy="344805"/>
                  <wp:effectExtent l="0" t="0" r="12700" b="10795"/>
                  <wp:wrapNone/>
                  <wp:docPr id="451" name="Image 451"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F118A2" w14:paraId="61AEDB1B" w14:textId="77777777" w:rsidTr="00F51454">
        <w:tc>
          <w:tcPr>
            <w:tcW w:w="4382" w:type="dxa"/>
            <w:tcBorders>
              <w:top w:val="nil"/>
              <w:left w:val="nil"/>
              <w:bottom w:val="nil"/>
              <w:right w:val="nil"/>
            </w:tcBorders>
            <w:shd w:val="clear" w:color="auto" w:fill="7F7F7F" w:themeFill="text1" w:themeFillTint="80"/>
          </w:tcPr>
          <w:p w14:paraId="329770CA" w14:textId="352D0A57" w:rsidR="00F118A2" w:rsidRDefault="00F118A2" w:rsidP="00130595">
            <w:r>
              <w:t>Les retraits</w:t>
            </w:r>
            <w:r w:rsidR="000E3749">
              <w:t xml:space="preserve"> et l'</w:t>
            </w:r>
            <w:r w:rsidR="004E27F8">
              <w:t>imposition</w:t>
            </w:r>
            <w:r>
              <w:t xml:space="preserve"> du REÉR</w:t>
            </w:r>
          </w:p>
          <w:p w14:paraId="76CEC793" w14:textId="77777777" w:rsidR="00F118A2" w:rsidRDefault="00F118A2" w:rsidP="00130595"/>
        </w:tc>
        <w:tc>
          <w:tcPr>
            <w:tcW w:w="4382" w:type="dxa"/>
            <w:tcBorders>
              <w:top w:val="nil"/>
              <w:left w:val="nil"/>
              <w:bottom w:val="nil"/>
              <w:right w:val="nil"/>
            </w:tcBorders>
            <w:shd w:val="clear" w:color="auto" w:fill="CCFFCC"/>
          </w:tcPr>
          <w:p w14:paraId="75CB5C91" w14:textId="77777777" w:rsidR="00F118A2" w:rsidRDefault="00F118A2" w:rsidP="00130595">
            <w:pPr>
              <w:jc w:val="both"/>
            </w:pPr>
          </w:p>
        </w:tc>
        <w:tc>
          <w:tcPr>
            <w:tcW w:w="4382" w:type="dxa"/>
            <w:tcBorders>
              <w:top w:val="nil"/>
              <w:left w:val="nil"/>
              <w:bottom w:val="nil"/>
              <w:right w:val="nil"/>
            </w:tcBorders>
            <w:shd w:val="clear" w:color="auto" w:fill="5DDEDB"/>
          </w:tcPr>
          <w:p w14:paraId="15AB24C8" w14:textId="77777777" w:rsidR="00F118A2" w:rsidRDefault="00F118A2" w:rsidP="00130595"/>
        </w:tc>
      </w:tr>
    </w:tbl>
    <w:p w14:paraId="7B815E06" w14:textId="1DABF5AB" w:rsidR="004A4D4E" w:rsidRDefault="00130595" w:rsidP="004A4D4E">
      <w:pPr>
        <w:jc w:val="both"/>
      </w:pPr>
      <w:r>
        <w:lastRenderedPageBreak/>
        <w:t xml:space="preserve">Bien que nous avons déjà étudié cette règle fiscale à la </w:t>
      </w:r>
      <w:r w:rsidRPr="00130595">
        <w:rPr>
          <w:color w:val="008000"/>
        </w:rPr>
        <w:t>SECTION 2.1.1.3.2.</w:t>
      </w:r>
      <w:r>
        <w:t xml:space="preserve"> </w:t>
      </w:r>
      <w:proofErr w:type="gramStart"/>
      <w:r w:rsidR="00647BA9">
        <w:t>dans</w:t>
      </w:r>
      <w:proofErr w:type="gramEnd"/>
      <w:r w:rsidR="00647BA9">
        <w:t xml:space="preserve"> le cadre de</w:t>
      </w:r>
      <w:r>
        <w:t xml:space="preserve"> la planification et l'optimisation de la PSV, nous aimerions, ici, examin</w:t>
      </w:r>
      <w:r w:rsidR="00D822C3">
        <w:t>er</w:t>
      </w:r>
      <w:r>
        <w:t xml:space="preserve"> plus en détail les avantages fiscaux reliés </w:t>
      </w:r>
      <w:r w:rsidR="004E27F8">
        <w:t xml:space="preserve">à la cotisation elle-même. </w:t>
      </w:r>
    </w:p>
    <w:p w14:paraId="2EAD29F9" w14:textId="77777777" w:rsidR="004A4D4E" w:rsidRDefault="004A4D4E" w:rsidP="004A4D4E">
      <w:pPr>
        <w:jc w:val="both"/>
      </w:pPr>
    </w:p>
    <w:p w14:paraId="4F22224D" w14:textId="77777777" w:rsidR="00647BA9" w:rsidRDefault="00065DCF" w:rsidP="00647BA9">
      <w:pPr>
        <w:jc w:val="both"/>
      </w:pPr>
      <w:r>
        <w:t xml:space="preserve">Au-delà des bénéfices futurs entourant la possibilité de fractionner le revenu à la retraite, il peut être intéressant, dans certains cas, d'identifier celui ou celle (dans le couple) qui devrait utiliser la déduction fiscale. </w:t>
      </w:r>
    </w:p>
    <w:p w14:paraId="482A1D7F" w14:textId="77777777" w:rsidR="00647BA9" w:rsidRDefault="00647BA9" w:rsidP="00647BA9">
      <w:pPr>
        <w:jc w:val="both"/>
      </w:pPr>
    </w:p>
    <w:p w14:paraId="12BA70D3" w14:textId="77777777" w:rsidR="00647BA9" w:rsidRDefault="00647BA9" w:rsidP="00647BA9">
      <w:pPr>
        <w:jc w:val="both"/>
      </w:pPr>
    </w:p>
    <w:p w14:paraId="51325A0E" w14:textId="548A800B" w:rsidR="00647BA9" w:rsidRPr="00647BA9" w:rsidRDefault="00D22389" w:rsidP="006C34CF">
      <w:pPr>
        <w:pStyle w:val="Paragraphedeliste"/>
        <w:numPr>
          <w:ilvl w:val="0"/>
          <w:numId w:val="52"/>
        </w:numPr>
        <w:jc w:val="both"/>
        <w:rPr>
          <w:color w:val="FF6700" w:themeColor="accent3"/>
        </w:rPr>
      </w:pPr>
      <w:r>
        <w:rPr>
          <w:noProof/>
          <w:lang w:eastAsia="fr-FR"/>
        </w:rPr>
        <w:drawing>
          <wp:anchor distT="0" distB="0" distL="114300" distR="114300" simplePos="0" relativeHeight="252535808" behindDoc="0" locked="0" layoutInCell="1" allowOverlap="1" wp14:anchorId="65BF85BD" wp14:editId="605F1BEE">
            <wp:simplePos x="0" y="0"/>
            <wp:positionH relativeFrom="column">
              <wp:posOffset>-529590</wp:posOffset>
            </wp:positionH>
            <wp:positionV relativeFrom="paragraph">
              <wp:posOffset>38100</wp:posOffset>
            </wp:positionV>
            <wp:extent cx="383540" cy="723265"/>
            <wp:effectExtent l="177800" t="50800" r="99060" b="64135"/>
            <wp:wrapNone/>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11">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47BA9" w:rsidRPr="00647BA9">
        <w:rPr>
          <w:color w:val="FF6700" w:themeColor="accent3"/>
        </w:rPr>
        <w:t>EXEMPLE 7-11</w:t>
      </w:r>
    </w:p>
    <w:p w14:paraId="13B5A707" w14:textId="68BA7795" w:rsidR="00647BA9" w:rsidRDefault="00647BA9" w:rsidP="00647BA9"/>
    <w:p w14:paraId="404216F3" w14:textId="0A43D399" w:rsidR="00647BA9" w:rsidRDefault="00647BA9" w:rsidP="00647BA9">
      <w:pPr>
        <w:jc w:val="both"/>
      </w:pPr>
      <w:r>
        <w:t xml:space="preserve">Prenons l'exemple de </w:t>
      </w:r>
      <w:r w:rsidRPr="00647BA9">
        <w:rPr>
          <w:color w:val="008000"/>
        </w:rPr>
        <w:t>Marie Richer</w:t>
      </w:r>
      <w:r>
        <w:t xml:space="preserve"> et </w:t>
      </w:r>
      <w:r w:rsidRPr="00AF32A3">
        <w:rPr>
          <w:color w:val="FF0000"/>
        </w:rPr>
        <w:t>Jean Faucher</w:t>
      </w:r>
      <w:r>
        <w:t xml:space="preserve">, conjoints de fait depuis près de 10 années. </w:t>
      </w:r>
    </w:p>
    <w:p w14:paraId="094261E9" w14:textId="501E06E5" w:rsidR="00647BA9" w:rsidRDefault="00647BA9" w:rsidP="00647BA9">
      <w:pPr>
        <w:jc w:val="both"/>
      </w:pPr>
    </w:p>
    <w:p w14:paraId="52B2DD84" w14:textId="77777777" w:rsidR="00647BA9" w:rsidRDefault="00647BA9" w:rsidP="00647BA9">
      <w:pPr>
        <w:jc w:val="both"/>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647BA9" w14:paraId="26F2C1B2" w14:textId="77777777" w:rsidTr="00EF3FC6">
        <w:tc>
          <w:tcPr>
            <w:tcW w:w="6573" w:type="dxa"/>
            <w:gridSpan w:val="2"/>
            <w:shd w:val="clear" w:color="auto" w:fill="BFBFBF" w:themeFill="background1" w:themeFillShade="BF"/>
          </w:tcPr>
          <w:p w14:paraId="32E901CC" w14:textId="079661CA" w:rsidR="00647BA9" w:rsidRDefault="00AF32A3" w:rsidP="00AF32A3">
            <w:pPr>
              <w:jc w:val="both"/>
            </w:pPr>
            <w:r>
              <w:t>Informations - Marie Richer</w:t>
            </w:r>
          </w:p>
        </w:tc>
        <w:tc>
          <w:tcPr>
            <w:tcW w:w="6574" w:type="dxa"/>
            <w:gridSpan w:val="2"/>
            <w:shd w:val="clear" w:color="auto" w:fill="BFBFBF" w:themeFill="background1" w:themeFillShade="BF"/>
          </w:tcPr>
          <w:p w14:paraId="2FF6B7B7" w14:textId="34AA9D6A" w:rsidR="00647BA9" w:rsidRDefault="00AF32A3" w:rsidP="00AF32A3">
            <w:pPr>
              <w:jc w:val="both"/>
            </w:pPr>
            <w:r>
              <w:t>Informations - Jean Faucher</w:t>
            </w:r>
          </w:p>
        </w:tc>
      </w:tr>
      <w:tr w:rsidR="00647BA9" w14:paraId="16C06818" w14:textId="77777777" w:rsidTr="00EF3FC6">
        <w:tc>
          <w:tcPr>
            <w:tcW w:w="3286" w:type="dxa"/>
            <w:shd w:val="clear" w:color="auto" w:fill="BBB9A1" w:themeFill="text2" w:themeFillTint="66"/>
          </w:tcPr>
          <w:p w14:paraId="49FD97D0" w14:textId="77777777" w:rsidR="00647BA9" w:rsidRDefault="00647BA9" w:rsidP="00647BA9">
            <w:pPr>
              <w:jc w:val="both"/>
            </w:pPr>
          </w:p>
          <w:p w14:paraId="20B5F1B6" w14:textId="77777777" w:rsidR="00647BA9" w:rsidRDefault="00647BA9" w:rsidP="00647BA9">
            <w:pPr>
              <w:jc w:val="both"/>
            </w:pPr>
            <w:r>
              <w:t>Salaire annuel</w:t>
            </w:r>
          </w:p>
        </w:tc>
        <w:tc>
          <w:tcPr>
            <w:tcW w:w="3287" w:type="dxa"/>
            <w:shd w:val="clear" w:color="auto" w:fill="BBB9A1"/>
          </w:tcPr>
          <w:p w14:paraId="7F06A336" w14:textId="77777777" w:rsidR="00647BA9" w:rsidRDefault="00647BA9" w:rsidP="00647BA9">
            <w:pPr>
              <w:jc w:val="both"/>
            </w:pPr>
          </w:p>
          <w:p w14:paraId="3CB0557D" w14:textId="06491792" w:rsidR="00647BA9" w:rsidRDefault="00EF3FC6" w:rsidP="00EF3FC6">
            <w:pPr>
              <w:tabs>
                <w:tab w:val="right" w:pos="3071"/>
              </w:tabs>
              <w:jc w:val="both"/>
            </w:pPr>
            <w:r>
              <w:t>35 000</w:t>
            </w:r>
            <w:r w:rsidR="00647BA9">
              <w:t xml:space="preserve"> $</w:t>
            </w:r>
            <w:r w:rsidR="00647BA9">
              <w:tab/>
            </w:r>
          </w:p>
        </w:tc>
        <w:tc>
          <w:tcPr>
            <w:tcW w:w="3287" w:type="dxa"/>
            <w:shd w:val="clear" w:color="auto" w:fill="FF5D72"/>
          </w:tcPr>
          <w:p w14:paraId="53CC7473" w14:textId="77777777" w:rsidR="00647BA9" w:rsidRDefault="00647BA9" w:rsidP="00647BA9">
            <w:pPr>
              <w:jc w:val="both"/>
            </w:pPr>
          </w:p>
          <w:p w14:paraId="659C4A06" w14:textId="77777777" w:rsidR="00647BA9" w:rsidRDefault="00647BA9" w:rsidP="00647BA9">
            <w:pPr>
              <w:jc w:val="both"/>
            </w:pPr>
            <w:r>
              <w:t>Salaire annuel</w:t>
            </w:r>
          </w:p>
        </w:tc>
        <w:tc>
          <w:tcPr>
            <w:tcW w:w="3287" w:type="dxa"/>
            <w:shd w:val="clear" w:color="auto" w:fill="FF5D72"/>
          </w:tcPr>
          <w:p w14:paraId="37D0B7C0" w14:textId="77777777" w:rsidR="00647BA9" w:rsidRDefault="00647BA9" w:rsidP="00647BA9">
            <w:pPr>
              <w:jc w:val="both"/>
            </w:pPr>
          </w:p>
          <w:p w14:paraId="5D2605FB" w14:textId="3BDC32E6" w:rsidR="00647BA9" w:rsidRDefault="00647BA9" w:rsidP="00EF3FC6">
            <w:pPr>
              <w:jc w:val="both"/>
            </w:pPr>
            <w:r>
              <w:t>1</w:t>
            </w:r>
            <w:r w:rsidR="00EF3FC6">
              <w:t>70</w:t>
            </w:r>
            <w:r>
              <w:t xml:space="preserve"> 000 $</w:t>
            </w:r>
          </w:p>
        </w:tc>
      </w:tr>
      <w:tr w:rsidR="00647BA9" w14:paraId="15955069" w14:textId="77777777" w:rsidTr="00EF3FC6">
        <w:tc>
          <w:tcPr>
            <w:tcW w:w="3286" w:type="dxa"/>
            <w:shd w:val="clear" w:color="auto" w:fill="BBB9A1" w:themeFill="text2" w:themeFillTint="66"/>
          </w:tcPr>
          <w:p w14:paraId="6E66287F" w14:textId="5CE305C8" w:rsidR="00647BA9" w:rsidRDefault="00EF3FC6" w:rsidP="00EF3FC6">
            <w:pPr>
              <w:jc w:val="both"/>
            </w:pPr>
            <w:r>
              <w:t>Plafond inutilisé REÉR</w:t>
            </w:r>
          </w:p>
        </w:tc>
        <w:tc>
          <w:tcPr>
            <w:tcW w:w="3287" w:type="dxa"/>
            <w:shd w:val="clear" w:color="auto" w:fill="BBB9A1" w:themeFill="text2" w:themeFillTint="66"/>
          </w:tcPr>
          <w:p w14:paraId="602C90C9" w14:textId="0A71CEEA" w:rsidR="00647BA9" w:rsidRDefault="00EF3FC6" w:rsidP="00EF3FC6">
            <w:pPr>
              <w:jc w:val="both"/>
            </w:pPr>
            <w:r>
              <w:t>28 000 $</w:t>
            </w:r>
          </w:p>
        </w:tc>
        <w:tc>
          <w:tcPr>
            <w:tcW w:w="3287" w:type="dxa"/>
            <w:shd w:val="clear" w:color="auto" w:fill="FF5D72"/>
          </w:tcPr>
          <w:p w14:paraId="28BB6A94" w14:textId="600BF485" w:rsidR="00647BA9" w:rsidRDefault="00EF3FC6" w:rsidP="00647BA9">
            <w:pPr>
              <w:jc w:val="both"/>
            </w:pPr>
            <w:r>
              <w:t>Plafond inutilisé REÉR</w:t>
            </w:r>
          </w:p>
        </w:tc>
        <w:tc>
          <w:tcPr>
            <w:tcW w:w="3287" w:type="dxa"/>
            <w:shd w:val="clear" w:color="auto" w:fill="FF5D72"/>
          </w:tcPr>
          <w:p w14:paraId="38F47766" w14:textId="1732B9B5" w:rsidR="00647BA9" w:rsidRDefault="00EF3FC6" w:rsidP="00EF3FC6">
            <w:pPr>
              <w:jc w:val="both"/>
            </w:pPr>
            <w:r>
              <w:t xml:space="preserve">  88 000 $</w:t>
            </w:r>
          </w:p>
        </w:tc>
      </w:tr>
      <w:tr w:rsidR="00647BA9" w14:paraId="185702DA" w14:textId="77777777" w:rsidTr="00EF3FC6">
        <w:tc>
          <w:tcPr>
            <w:tcW w:w="3286" w:type="dxa"/>
            <w:shd w:val="clear" w:color="auto" w:fill="BBB9A1" w:themeFill="text2" w:themeFillTint="66"/>
          </w:tcPr>
          <w:p w14:paraId="1C3A8325" w14:textId="391A4040" w:rsidR="00647BA9" w:rsidRDefault="00EF3FC6" w:rsidP="00EF3FC6">
            <w:pPr>
              <w:jc w:val="both"/>
            </w:pPr>
            <w:r>
              <w:t>REÉR</w:t>
            </w:r>
          </w:p>
        </w:tc>
        <w:tc>
          <w:tcPr>
            <w:tcW w:w="3287" w:type="dxa"/>
            <w:shd w:val="clear" w:color="auto" w:fill="BBB9A1" w:themeFill="text2" w:themeFillTint="66"/>
          </w:tcPr>
          <w:p w14:paraId="0BC5E25C" w14:textId="2A101C81" w:rsidR="00647BA9" w:rsidRDefault="00EF3FC6" w:rsidP="00EF3FC6">
            <w:pPr>
              <w:jc w:val="both"/>
            </w:pPr>
            <w:r>
              <w:t>18 000 $</w:t>
            </w:r>
          </w:p>
        </w:tc>
        <w:tc>
          <w:tcPr>
            <w:tcW w:w="3287" w:type="dxa"/>
            <w:shd w:val="clear" w:color="auto" w:fill="FF5D72"/>
          </w:tcPr>
          <w:p w14:paraId="41899493" w14:textId="0C578A88" w:rsidR="00647BA9" w:rsidRDefault="00EF3FC6" w:rsidP="00EF3FC6">
            <w:pPr>
              <w:jc w:val="both"/>
            </w:pPr>
            <w:r>
              <w:t>REÉR</w:t>
            </w:r>
          </w:p>
        </w:tc>
        <w:tc>
          <w:tcPr>
            <w:tcW w:w="3287" w:type="dxa"/>
            <w:shd w:val="clear" w:color="auto" w:fill="FF5D72"/>
          </w:tcPr>
          <w:p w14:paraId="5615AB3C" w14:textId="174D9AA7" w:rsidR="00647BA9" w:rsidRDefault="00EF3FC6" w:rsidP="00EF3FC6">
            <w:pPr>
              <w:jc w:val="both"/>
            </w:pPr>
            <w:r>
              <w:t>122 000 $</w:t>
            </w:r>
          </w:p>
        </w:tc>
      </w:tr>
      <w:tr w:rsidR="00647BA9" w14:paraId="61E497A8" w14:textId="77777777" w:rsidTr="00EF3FC6">
        <w:tc>
          <w:tcPr>
            <w:tcW w:w="3286" w:type="dxa"/>
            <w:shd w:val="clear" w:color="auto" w:fill="BBB9A1" w:themeFill="text2" w:themeFillTint="66"/>
          </w:tcPr>
          <w:p w14:paraId="5D1527CE" w14:textId="31C3B1E7" w:rsidR="00647BA9" w:rsidRDefault="00EF3FC6" w:rsidP="00EF3FC6">
            <w:pPr>
              <w:jc w:val="both"/>
            </w:pPr>
            <w:r>
              <w:t>CÉLI</w:t>
            </w:r>
          </w:p>
        </w:tc>
        <w:tc>
          <w:tcPr>
            <w:tcW w:w="3287" w:type="dxa"/>
            <w:shd w:val="clear" w:color="auto" w:fill="BBB9A1" w:themeFill="text2" w:themeFillTint="66"/>
          </w:tcPr>
          <w:p w14:paraId="0FA4F609" w14:textId="020F2E1E" w:rsidR="00647BA9" w:rsidRDefault="00EF3FC6" w:rsidP="00EF3FC6">
            <w:pPr>
              <w:jc w:val="both"/>
            </w:pPr>
            <w:r>
              <w:t>22 000 $</w:t>
            </w:r>
          </w:p>
        </w:tc>
        <w:tc>
          <w:tcPr>
            <w:tcW w:w="3287" w:type="dxa"/>
            <w:shd w:val="clear" w:color="auto" w:fill="FF5D72"/>
          </w:tcPr>
          <w:p w14:paraId="467F75D6" w14:textId="33B83D48" w:rsidR="00647BA9" w:rsidRDefault="00EF3FC6" w:rsidP="00EF3FC6">
            <w:pPr>
              <w:jc w:val="both"/>
            </w:pPr>
            <w:r>
              <w:t>CÉLI</w:t>
            </w:r>
          </w:p>
        </w:tc>
        <w:tc>
          <w:tcPr>
            <w:tcW w:w="3287" w:type="dxa"/>
            <w:shd w:val="clear" w:color="auto" w:fill="FF5D72"/>
          </w:tcPr>
          <w:p w14:paraId="22D85FEC" w14:textId="60D2DD6E" w:rsidR="00647BA9" w:rsidRDefault="00EF3FC6" w:rsidP="00EF3FC6">
            <w:pPr>
              <w:jc w:val="both"/>
            </w:pPr>
            <w:r>
              <w:t>Nul</w:t>
            </w:r>
          </w:p>
        </w:tc>
      </w:tr>
      <w:tr w:rsidR="00647BA9" w14:paraId="4FE4D8B1" w14:textId="77777777" w:rsidTr="00EF3FC6">
        <w:tc>
          <w:tcPr>
            <w:tcW w:w="3286" w:type="dxa"/>
            <w:shd w:val="clear" w:color="auto" w:fill="BBB9A1" w:themeFill="text2" w:themeFillTint="66"/>
          </w:tcPr>
          <w:p w14:paraId="199AE758" w14:textId="14B46175" w:rsidR="00647BA9" w:rsidRDefault="00EF3FC6" w:rsidP="00EF3FC6">
            <w:pPr>
              <w:jc w:val="both"/>
            </w:pPr>
            <w:r>
              <w:t xml:space="preserve">Âge </w:t>
            </w:r>
          </w:p>
        </w:tc>
        <w:tc>
          <w:tcPr>
            <w:tcW w:w="3287" w:type="dxa"/>
            <w:shd w:val="clear" w:color="auto" w:fill="BBB9A1" w:themeFill="text2" w:themeFillTint="66"/>
          </w:tcPr>
          <w:p w14:paraId="66A9D03E" w14:textId="59CCD18E" w:rsidR="00647BA9" w:rsidRDefault="00EF3FC6" w:rsidP="00EF3FC6">
            <w:pPr>
              <w:jc w:val="both"/>
            </w:pPr>
            <w:r>
              <w:t>51 ans</w:t>
            </w:r>
          </w:p>
        </w:tc>
        <w:tc>
          <w:tcPr>
            <w:tcW w:w="3287" w:type="dxa"/>
            <w:shd w:val="clear" w:color="auto" w:fill="FF5D72"/>
          </w:tcPr>
          <w:p w14:paraId="1BA6B9FC" w14:textId="06DA79BF" w:rsidR="00647BA9" w:rsidRDefault="00EF3FC6" w:rsidP="00EF3FC6">
            <w:pPr>
              <w:jc w:val="both"/>
            </w:pPr>
            <w:r>
              <w:t>Âge</w:t>
            </w:r>
          </w:p>
        </w:tc>
        <w:tc>
          <w:tcPr>
            <w:tcW w:w="3287" w:type="dxa"/>
            <w:shd w:val="clear" w:color="auto" w:fill="FF5D72"/>
          </w:tcPr>
          <w:p w14:paraId="6639BBC1" w14:textId="1F458162" w:rsidR="00647BA9" w:rsidRDefault="00EF3FC6" w:rsidP="00EF3FC6">
            <w:pPr>
              <w:jc w:val="both"/>
            </w:pPr>
            <w:r>
              <w:t>50 ans</w:t>
            </w:r>
          </w:p>
        </w:tc>
      </w:tr>
    </w:tbl>
    <w:p w14:paraId="149CFDC1" w14:textId="77777777" w:rsidR="00647BA9" w:rsidRDefault="00647BA9" w:rsidP="00647BA9">
      <w:pPr>
        <w:jc w:val="both"/>
      </w:pPr>
    </w:p>
    <w:p w14:paraId="7F0D5337" w14:textId="4E1D9FCD" w:rsidR="004A4D4E" w:rsidRDefault="00EF3FC6" w:rsidP="004A4D4E">
      <w:pPr>
        <w:jc w:val="both"/>
      </w:pPr>
      <w:r>
        <w:t>De manière autonome</w:t>
      </w:r>
      <w:r w:rsidR="004E2AEF">
        <w:t xml:space="preserve">, </w:t>
      </w:r>
      <w:r>
        <w:t xml:space="preserve">Marie et Jean tentent d'épargner pour leurs vieux jours. Ils appliquent essentiellement les stratégies de priorisation entre le REÉR et le CÉLI selon les principes que nous </w:t>
      </w:r>
      <w:r w:rsidR="00D63DA1">
        <w:t>avons présenté</w:t>
      </w:r>
      <w:r w:rsidR="009A5C68">
        <w:t>s</w:t>
      </w:r>
      <w:r w:rsidR="00D63DA1">
        <w:t xml:space="preserve"> précédemment</w:t>
      </w:r>
      <w:r>
        <w:t>.</w:t>
      </w:r>
      <w:r w:rsidR="00D63DA1">
        <w:t xml:space="preserve"> C'est-à-dire que Marie privilégie le CÉLI alors que Jean priorise le REÉR. C'est bien, mais en mettant leur stratégie en commun, ils peuvent faire mieux. Voici ce que nous proposons à Marie et Jean. Notre stratégie tient compte du fait qu'ils ne sont pas mariés et qu'ils souhaitent de façon générale gérer leur patrimoine de manière autonome. En clair, la stratégie doit être gagnant-gagnant ou dans le pire des scénarios, gagnant-indifférent.</w:t>
      </w:r>
    </w:p>
    <w:p w14:paraId="3D3E57D9" w14:textId="77777777" w:rsidR="004A4D4E" w:rsidRDefault="004A4D4E" w:rsidP="004A4D4E">
      <w:pPr>
        <w:jc w:val="both"/>
      </w:pPr>
    </w:p>
    <w:p w14:paraId="1BBCE4D8" w14:textId="77777777" w:rsidR="004A4D4E" w:rsidRDefault="004A4D4E" w:rsidP="004A4D4E">
      <w:pPr>
        <w:jc w:val="both"/>
      </w:pPr>
    </w:p>
    <w:p w14:paraId="38A3F11C" w14:textId="77777777" w:rsidR="004A4D4E" w:rsidRDefault="004A4D4E" w:rsidP="004A4D4E">
      <w:pPr>
        <w:jc w:val="both"/>
      </w:pPr>
    </w:p>
    <w:p w14:paraId="04659352" w14:textId="77777777" w:rsidR="004A4D4E" w:rsidRDefault="004A4D4E" w:rsidP="004A4D4E">
      <w:pPr>
        <w:jc w:val="both"/>
      </w:pPr>
    </w:p>
    <w:p w14:paraId="4CC2677A" w14:textId="77777777" w:rsidR="00DB0FF2" w:rsidRDefault="00DB0FF2" w:rsidP="00DB0FF2">
      <w:r>
        <w:t>Voici la solution proposée</w:t>
      </w:r>
    </w:p>
    <w:p w14:paraId="59089C85" w14:textId="231982D2" w:rsidR="00DB0FF2" w:rsidRDefault="00DB0FF2"/>
    <w:p w14:paraId="7408416D" w14:textId="24BC6CCF" w:rsidR="00DB0FF2" w:rsidRDefault="00DB0FF2">
      <w:r>
        <w:rPr>
          <w:noProof/>
          <w:lang w:eastAsia="fr-FR"/>
        </w:rPr>
        <mc:AlternateContent>
          <mc:Choice Requires="wps">
            <w:drawing>
              <wp:anchor distT="0" distB="0" distL="114300" distR="114300" simplePos="0" relativeHeight="252536832" behindDoc="0" locked="0" layoutInCell="1" allowOverlap="1" wp14:anchorId="4C2A7AD3" wp14:editId="6BA715B7">
                <wp:simplePos x="0" y="0"/>
                <wp:positionH relativeFrom="column">
                  <wp:posOffset>-800100</wp:posOffset>
                </wp:positionH>
                <wp:positionV relativeFrom="paragraph">
                  <wp:posOffset>83185</wp:posOffset>
                </wp:positionV>
                <wp:extent cx="457200" cy="457200"/>
                <wp:effectExtent l="0" t="0" r="25400" b="25400"/>
                <wp:wrapNone/>
                <wp:docPr id="452" name="Ellipse 452"/>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0528243" w14:textId="77777777" w:rsidR="00573C95" w:rsidRPr="00F42166" w:rsidRDefault="00573C95" w:rsidP="00647BA9">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52" o:spid="_x0000_s1297" style="position:absolute;margin-left:-62.95pt;margin-top:6.55pt;width:36pt;height:36pt;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" fillcolor="black [3200]" strokecolor="white [3201]" strokeweight="1.75pt">
                <v:textbox>
                  <w:txbxContent>
                    <w:p w14:paraId="50528243" w14:textId="77777777" w:rsidR="001501D6" w:rsidRPr="00F42166" w:rsidRDefault="001501D6" w:rsidP="00647BA9">
                      <w:pPr>
                        <w:jc w:val="center"/>
                        <w:rPr>
                          <w:sz w:val="20"/>
                          <w:szCs w:val="20"/>
                        </w:rPr>
                      </w:pPr>
                      <w:r>
                        <w:rPr>
                          <w:sz w:val="20"/>
                          <w:szCs w:val="20"/>
                        </w:rPr>
                        <w:t>1</w:t>
                      </w:r>
                      <w:r w:rsidRPr="00F42166">
                        <w:rPr>
                          <w:sz w:val="20"/>
                          <w:szCs w:val="20"/>
                        </w:rPr>
                        <w:t xml:space="preserve"> </w:t>
                      </w:r>
                    </w:p>
                  </w:txbxContent>
                </v:textbox>
              </v:oval>
            </w:pict>
          </mc:Fallback>
        </mc:AlternateContent>
      </w:r>
    </w:p>
    <w:p w14:paraId="51385112" w14:textId="61CA2A44" w:rsidR="00A62D8C" w:rsidRDefault="00DB0FF2" w:rsidP="00A62D8C">
      <w:pPr>
        <w:jc w:val="both"/>
      </w:pPr>
      <w:r>
        <w:t>Marie vide son CÉLI et transfère sa valeur à son conjoint, Jean. Nous verrons plus tard que l'espace CÉLI va se reconstituer automatiquement. Cela veut dire que</w:t>
      </w:r>
      <w:r w:rsidR="00A62D8C">
        <w:t xml:space="preserve"> cette transaction ne met pas en cause les </w:t>
      </w:r>
      <w:r w:rsidR="004E2AEF">
        <w:t>occasions</w:t>
      </w:r>
      <w:r w:rsidR="00A62D8C">
        <w:t xml:space="preserve"> futures pour Marie de réinvestir dans son CÉLI.</w:t>
      </w:r>
    </w:p>
    <w:p w14:paraId="094B305C" w14:textId="77777777" w:rsidR="00A62D8C" w:rsidRDefault="00A62D8C" w:rsidP="00A62D8C">
      <w:pPr>
        <w:jc w:val="both"/>
      </w:pPr>
    </w:p>
    <w:p w14:paraId="248AE482" w14:textId="2AFB4ED7" w:rsidR="00A62D8C" w:rsidRDefault="00A62D8C" w:rsidP="00A62D8C">
      <w:pPr>
        <w:jc w:val="both"/>
      </w:pPr>
      <w:r>
        <w:rPr>
          <w:noProof/>
          <w:lang w:eastAsia="fr-FR"/>
        </w:rPr>
        <mc:AlternateContent>
          <mc:Choice Requires="wps">
            <w:drawing>
              <wp:anchor distT="0" distB="0" distL="114300" distR="114300" simplePos="0" relativeHeight="252537856" behindDoc="0" locked="0" layoutInCell="1" allowOverlap="1" wp14:anchorId="1E438E97" wp14:editId="0BB19D2F">
                <wp:simplePos x="0" y="0"/>
                <wp:positionH relativeFrom="column">
                  <wp:posOffset>-800100</wp:posOffset>
                </wp:positionH>
                <wp:positionV relativeFrom="paragraph">
                  <wp:posOffset>63500</wp:posOffset>
                </wp:positionV>
                <wp:extent cx="457200" cy="457200"/>
                <wp:effectExtent l="0" t="0" r="25400" b="25400"/>
                <wp:wrapNone/>
                <wp:docPr id="379" name="Ellipse 379"/>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014D8B1" w14:textId="77777777" w:rsidR="00573C95" w:rsidRPr="00F42166" w:rsidRDefault="00573C95" w:rsidP="00647BA9">
                            <w:pPr>
                              <w:jc w:val="center"/>
                              <w:rPr>
                                <w:sz w:val="20"/>
                                <w:szCs w:val="20"/>
                              </w:rPr>
                            </w:pPr>
                            <w:r>
                              <w:rPr>
                                <w:sz w:val="20"/>
                                <w:szCs w:val="20"/>
                              </w:rPr>
                              <w:t>2</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79" o:spid="_x0000_s1298" style="position:absolute;left:0;text-align:left;margin-left:-62.95pt;margin-top:5pt;width:36pt;height:36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" fillcolor="black [3200]" strokecolor="white [3201]" strokeweight="1.75pt">
                <v:textbox>
                  <w:txbxContent>
                    <w:p w14:paraId="6014D8B1" w14:textId="77777777" w:rsidR="001501D6" w:rsidRPr="00F42166" w:rsidRDefault="001501D6" w:rsidP="00647BA9">
                      <w:pPr>
                        <w:jc w:val="center"/>
                        <w:rPr>
                          <w:sz w:val="20"/>
                          <w:szCs w:val="20"/>
                        </w:rPr>
                      </w:pPr>
                      <w:r>
                        <w:rPr>
                          <w:sz w:val="20"/>
                          <w:szCs w:val="20"/>
                        </w:rPr>
                        <w:t>2</w:t>
                      </w:r>
                      <w:r w:rsidRPr="00F42166">
                        <w:rPr>
                          <w:sz w:val="20"/>
                          <w:szCs w:val="20"/>
                        </w:rPr>
                        <w:t xml:space="preserve"> </w:t>
                      </w:r>
                    </w:p>
                  </w:txbxContent>
                </v:textbox>
              </v:oval>
            </w:pict>
          </mc:Fallback>
        </mc:AlternateContent>
      </w:r>
    </w:p>
    <w:p w14:paraId="37E7CC0C" w14:textId="77777777" w:rsidR="00A62D8C" w:rsidRDefault="00A62D8C" w:rsidP="00A62D8C">
      <w:pPr>
        <w:jc w:val="both"/>
      </w:pPr>
      <w:r>
        <w:t>Jean utilise la valeur des nouveaux biens provenant du CÉLI de Marie pour en faire le transfert au REÉR de son conjoint (Marie). Cette opération déclenche les impacts suivants:</w:t>
      </w:r>
    </w:p>
    <w:p w14:paraId="38910A6B" w14:textId="77777777" w:rsidR="00A62D8C" w:rsidRDefault="00A62D8C" w:rsidP="00A62D8C">
      <w:pPr>
        <w:jc w:val="both"/>
      </w:pPr>
    </w:p>
    <w:p w14:paraId="2F49871C" w14:textId="7D117BFF" w:rsidR="00A62D8C" w:rsidRDefault="00A62D8C" w:rsidP="006C34CF">
      <w:pPr>
        <w:pStyle w:val="Paragraphedeliste"/>
        <w:numPr>
          <w:ilvl w:val="0"/>
          <w:numId w:val="52"/>
        </w:numPr>
        <w:jc w:val="both"/>
      </w:pPr>
      <w:r>
        <w:t>Jean bénéficie d'une déduction fiscale de 22 000 $ pour avoir fait une cotisation au REÉR de sa conjointe</w:t>
      </w:r>
      <w:r w:rsidR="007860FF">
        <w:t>.</w:t>
      </w:r>
    </w:p>
    <w:p w14:paraId="6C23846A" w14:textId="77777777" w:rsidR="00A62D8C" w:rsidRDefault="00A62D8C" w:rsidP="00A62D8C">
      <w:pPr>
        <w:jc w:val="both"/>
      </w:pPr>
    </w:p>
    <w:p w14:paraId="573E9BD5" w14:textId="22CEE95D" w:rsidR="00A62D8C" w:rsidRDefault="00A62D8C" w:rsidP="006C34CF">
      <w:pPr>
        <w:pStyle w:val="Paragraphedeliste"/>
        <w:numPr>
          <w:ilvl w:val="0"/>
          <w:numId w:val="52"/>
        </w:numPr>
        <w:jc w:val="both"/>
      </w:pPr>
      <w:r>
        <w:t>Jean voit son plafond inutilisé à son REÉR réduit à 66 000 $ (88 000 $ - 22 000 $). Un moindre mal pu</w:t>
      </w:r>
      <w:r w:rsidR="007860FF">
        <w:t>i</w:t>
      </w:r>
      <w:r>
        <w:t xml:space="preserve">squ'il ne semble pas en mesure d'utiliser pleinement </w:t>
      </w:r>
      <w:r w:rsidR="007860FF">
        <w:t>ce plafond.</w:t>
      </w:r>
    </w:p>
    <w:p w14:paraId="7246A0B0" w14:textId="77777777" w:rsidR="007860FF" w:rsidRDefault="007860FF" w:rsidP="007860FF">
      <w:pPr>
        <w:jc w:val="both"/>
      </w:pPr>
    </w:p>
    <w:p w14:paraId="0B39F92D" w14:textId="3D82791E" w:rsidR="007860FF" w:rsidRDefault="007860FF" w:rsidP="006C34CF">
      <w:pPr>
        <w:pStyle w:val="Paragraphedeliste"/>
        <w:numPr>
          <w:ilvl w:val="0"/>
          <w:numId w:val="52"/>
        </w:numPr>
        <w:jc w:val="both"/>
      </w:pPr>
      <w:r>
        <w:t>Le REÉR de Marie augmente d'une valeur de 22 000 $. En substance</w:t>
      </w:r>
      <w:r w:rsidR="004E2AEF">
        <w:t xml:space="preserve">, </w:t>
      </w:r>
      <w:r>
        <w:t>l'opération aura déplacé les placements de Marie du CÉLI au REÉR.</w:t>
      </w:r>
    </w:p>
    <w:p w14:paraId="238C3E43" w14:textId="77777777" w:rsidR="007860FF" w:rsidRDefault="007860FF" w:rsidP="007860FF">
      <w:pPr>
        <w:jc w:val="both"/>
      </w:pPr>
    </w:p>
    <w:p w14:paraId="0B676C2C" w14:textId="3FBD3124" w:rsidR="007860FF" w:rsidRDefault="007860FF" w:rsidP="006C34CF">
      <w:pPr>
        <w:pStyle w:val="Paragraphedeliste"/>
        <w:numPr>
          <w:ilvl w:val="0"/>
          <w:numId w:val="52"/>
        </w:numPr>
        <w:jc w:val="both"/>
      </w:pPr>
      <w:r>
        <w:t xml:space="preserve">Lors de la production de sa déclaration fiscale, Jean recevra des remboursements d'impôts totalisant environ 11 000 $. Cette somme qui représente, en partie l'impôt latent sur le REÉR de Marie, devra être </w:t>
      </w:r>
      <w:r w:rsidR="006C663D">
        <w:t>remise</w:t>
      </w:r>
      <w:r>
        <w:t xml:space="preserve"> à celle-ci.</w:t>
      </w:r>
    </w:p>
    <w:p w14:paraId="5C563016" w14:textId="77777777" w:rsidR="007860FF" w:rsidRDefault="007860FF" w:rsidP="007860FF">
      <w:pPr>
        <w:jc w:val="both"/>
      </w:pPr>
    </w:p>
    <w:p w14:paraId="4B52881F" w14:textId="25BD25E7" w:rsidR="007860FF" w:rsidRDefault="007860FF" w:rsidP="006C34CF">
      <w:pPr>
        <w:pStyle w:val="Paragraphedeliste"/>
        <w:numPr>
          <w:ilvl w:val="0"/>
          <w:numId w:val="52"/>
        </w:numPr>
        <w:jc w:val="both"/>
      </w:pPr>
      <w:r>
        <w:t xml:space="preserve">Marie utilise le montant de 11 000 $ pour l'investir dans son CÉLI. Il faut valider que le plafond CÉLI de Marie </w:t>
      </w:r>
      <w:r w:rsidR="006C663D">
        <w:t>permette</w:t>
      </w:r>
      <w:r>
        <w:t xml:space="preserve"> immédiatement une telle opération puisque l'espace CÉLI relativement au retrait initial de 22 000 $ sera reconstitué l'année </w:t>
      </w:r>
      <w:r w:rsidR="006C663D">
        <w:t>subséquente</w:t>
      </w:r>
      <w:r>
        <w:t xml:space="preserve"> au retrait. </w:t>
      </w:r>
    </w:p>
    <w:p w14:paraId="4D87290A" w14:textId="77777777" w:rsidR="007860FF" w:rsidRDefault="007860FF" w:rsidP="007860FF">
      <w:pPr>
        <w:jc w:val="both"/>
      </w:pPr>
    </w:p>
    <w:p w14:paraId="52B70096" w14:textId="42D0B7BD" w:rsidR="007860FF" w:rsidRDefault="007860FF" w:rsidP="006C34CF">
      <w:pPr>
        <w:pStyle w:val="Paragraphedeliste"/>
        <w:numPr>
          <w:ilvl w:val="0"/>
          <w:numId w:val="52"/>
        </w:numPr>
        <w:jc w:val="both"/>
      </w:pPr>
      <w:r>
        <w:t xml:space="preserve">Par cette utilisation judicieuse de la cotisation au REÉR du conjoint, Marie a augmenté la valeur de son actif de retraite d'une somme totalisant 11 000 $. Compte tenu des taux d'imposition </w:t>
      </w:r>
      <w:r w:rsidR="006C663D">
        <w:t>marginaux</w:t>
      </w:r>
      <w:r>
        <w:t xml:space="preserve"> </w:t>
      </w:r>
      <w:r w:rsidR="006C663D">
        <w:t>anticipés</w:t>
      </w:r>
      <w:r w:rsidR="001C2987">
        <w:t xml:space="preserve"> </w:t>
      </w:r>
      <w:r w:rsidR="001C2987">
        <w:lastRenderedPageBreak/>
        <w:t>à la retraite de Marie, cette somme est déjà supérieure à l'impôt qui sera à payer lors des retraits subséquents du REÉR.</w:t>
      </w:r>
    </w:p>
    <w:p w14:paraId="3A34BDE2" w14:textId="77777777" w:rsidR="00192CD9" w:rsidRDefault="00192CD9" w:rsidP="00192CD9">
      <w:pPr>
        <w:ind w:left="360"/>
        <w:jc w:val="both"/>
      </w:pPr>
    </w:p>
    <w:p w14:paraId="5D1CA21A" w14:textId="560882F0" w:rsidR="00403421" w:rsidRDefault="001D49B5" w:rsidP="001D49B5">
      <w:pPr>
        <w:jc w:val="both"/>
      </w:pPr>
      <w:r>
        <w:t>Ce</w:t>
      </w:r>
      <w:r w:rsidR="008F0CC5">
        <w:t xml:space="preserve"> type de</w:t>
      </w:r>
      <w:r>
        <w:t xml:space="preserve"> planification</w:t>
      </w:r>
      <w:r w:rsidR="008F0CC5">
        <w:t xml:space="preserve"> se doit d'être analysé </w:t>
      </w:r>
      <w:r w:rsidR="00403421">
        <w:t xml:space="preserve">finement </w:t>
      </w:r>
      <w:r w:rsidR="008F0CC5">
        <w:t xml:space="preserve">afin d'y identifier les conséquences juridiques possibles. Le point de départ de l'analyse se situe </w:t>
      </w:r>
      <w:r w:rsidR="00232FAD">
        <w:t>au niveau de</w:t>
      </w:r>
      <w:r w:rsidR="008F0CC5">
        <w:t xml:space="preserve"> la protection offerte par le patrimoine familial aux conjoints mariés. Dans ces situations, l'enjeu</w:t>
      </w:r>
      <w:r>
        <w:t xml:space="preserve"> est sans risque</w:t>
      </w:r>
      <w:r w:rsidR="00A4016C">
        <w:t xml:space="preserve"> </w:t>
      </w:r>
      <w:r>
        <w:t xml:space="preserve">puisque les REÉR font partie </w:t>
      </w:r>
      <w:r w:rsidR="00403421">
        <w:t xml:space="preserve">de toute façon </w:t>
      </w:r>
      <w:r>
        <w:t xml:space="preserve">du patrimoine familial qui se doit d’être réparti de façon égale en cas d’échec à l’union. </w:t>
      </w:r>
      <w:r w:rsidR="00403421">
        <w:t>Il demeure que le déplacement d'un actif qui n'est normalement pas inclus dans le patrimoine familial (CÉLI) vers un actif qui y clairement identifié (REÉR) augmente le patrimoine familial à repartir en cas de divorce ou de décès.</w:t>
      </w:r>
    </w:p>
    <w:p w14:paraId="57550F1E" w14:textId="77777777" w:rsidR="00403421" w:rsidRDefault="00403421" w:rsidP="001D49B5">
      <w:pPr>
        <w:jc w:val="both"/>
      </w:pPr>
    </w:p>
    <w:p w14:paraId="14788B48" w14:textId="2CC57D98" w:rsidR="00403421" w:rsidRDefault="00403421" w:rsidP="001D49B5">
      <w:pPr>
        <w:jc w:val="both"/>
      </w:pPr>
      <w:r>
        <w:t xml:space="preserve">Dans le cas de Marie et de Jean, qui sont conjoints de fait, le patrimoine familial ne s'applique pas. Cela </w:t>
      </w:r>
      <w:r w:rsidR="006C663D">
        <w:t>signifie</w:t>
      </w:r>
      <w:r>
        <w:t xml:space="preserve"> qu'en toute prudence, les conjoints qui font des transactions comme celles présentées ici doivent s'assurer que la source initiale et la destination finale de l'opération correspondent à des actifs du même contribuable. C'est le cas dans la planification qui est proposée à Marie et Jean. La somme de 22 000 $ provient du CÉLI de Marie et se loge ultimement dans le REÉR de celle-ci.</w:t>
      </w:r>
    </w:p>
    <w:p w14:paraId="245593DF" w14:textId="77777777" w:rsidR="005661E0" w:rsidRDefault="005661E0" w:rsidP="001D49B5">
      <w:pPr>
        <w:jc w:val="both"/>
      </w:pPr>
    </w:p>
    <w:p w14:paraId="7FD6ACF1" w14:textId="77777777" w:rsidR="00ED4E70" w:rsidRDefault="00ED4E70" w:rsidP="001D49B5">
      <w:pPr>
        <w:jc w:val="both"/>
      </w:pPr>
    </w:p>
    <w:p w14:paraId="69B5867F" w14:textId="77777777" w:rsidR="00ED4E70" w:rsidRDefault="00ED4E70" w:rsidP="001D49B5">
      <w:pPr>
        <w:jc w:val="both"/>
      </w:pPr>
    </w:p>
    <w:p w14:paraId="73F5942B" w14:textId="77777777" w:rsidR="00ED4E70" w:rsidRDefault="00ED4E70" w:rsidP="001D49B5">
      <w:pPr>
        <w:jc w:val="both"/>
      </w:pPr>
    </w:p>
    <w:p w14:paraId="2F423440" w14:textId="77777777" w:rsidR="00ED4E70" w:rsidRDefault="00ED4E70" w:rsidP="001D49B5">
      <w:pPr>
        <w:jc w:val="both"/>
      </w:pPr>
    </w:p>
    <w:p w14:paraId="19DB5431" w14:textId="77777777" w:rsidR="00ED4E70" w:rsidRDefault="00ED4E70" w:rsidP="001D49B5">
      <w:pPr>
        <w:jc w:val="both"/>
      </w:pPr>
    </w:p>
    <w:p w14:paraId="0E39A695" w14:textId="77777777" w:rsidR="00ED4E70" w:rsidRDefault="00ED4E70" w:rsidP="001D49B5">
      <w:pPr>
        <w:jc w:val="both"/>
      </w:pPr>
    </w:p>
    <w:p w14:paraId="54B8603E" w14:textId="77777777" w:rsidR="00ED4E70" w:rsidRDefault="00ED4E70" w:rsidP="001D49B5">
      <w:pPr>
        <w:jc w:val="both"/>
      </w:pPr>
    </w:p>
    <w:p w14:paraId="056B62BE" w14:textId="77777777" w:rsidR="006158EC" w:rsidRDefault="006158EC" w:rsidP="001D49B5">
      <w:pPr>
        <w:jc w:val="both"/>
      </w:pPr>
    </w:p>
    <w:p w14:paraId="03B7B545" w14:textId="77777777" w:rsidR="006158EC" w:rsidRDefault="006158EC" w:rsidP="001D49B5">
      <w:pPr>
        <w:jc w:val="both"/>
      </w:pPr>
    </w:p>
    <w:p w14:paraId="39B1CBEB" w14:textId="77777777" w:rsidR="006158EC" w:rsidRDefault="006158EC" w:rsidP="001D49B5">
      <w:pPr>
        <w:jc w:val="both"/>
      </w:pPr>
    </w:p>
    <w:p w14:paraId="74E8C485" w14:textId="77777777" w:rsidR="006158EC" w:rsidRDefault="006158EC" w:rsidP="001D49B5">
      <w:pPr>
        <w:jc w:val="both"/>
      </w:pPr>
    </w:p>
    <w:p w14:paraId="40511A9E" w14:textId="77777777" w:rsidR="00ED4E70" w:rsidRDefault="00ED4E70" w:rsidP="001D49B5">
      <w:pPr>
        <w:jc w:val="both"/>
      </w:pPr>
    </w:p>
    <w:p w14:paraId="0276EF0D" w14:textId="77777777" w:rsidR="00ED4E70" w:rsidRDefault="00ED4E70" w:rsidP="001D49B5">
      <w:pPr>
        <w:jc w:val="both"/>
      </w:pPr>
    </w:p>
    <w:p w14:paraId="27BD7C6C" w14:textId="77777777" w:rsidR="00ED4E70" w:rsidRDefault="00ED4E70" w:rsidP="001D49B5">
      <w:pPr>
        <w:jc w:val="both"/>
      </w:pPr>
    </w:p>
    <w:p w14:paraId="2B5B05A4" w14:textId="77777777" w:rsidR="00ED4E70" w:rsidRDefault="00ED4E70" w:rsidP="001D49B5">
      <w:pPr>
        <w:jc w:val="both"/>
      </w:pPr>
    </w:p>
    <w:p w14:paraId="5DF43D37" w14:textId="77777777" w:rsidR="00ED4E70" w:rsidRDefault="00ED4E70" w:rsidP="001D49B5">
      <w:pPr>
        <w:jc w:val="both"/>
      </w:pPr>
    </w:p>
    <w:p w14:paraId="7DDD629C" w14:textId="77777777" w:rsidR="00ED4E70" w:rsidRDefault="00ED4E70" w:rsidP="001D49B5">
      <w:pPr>
        <w:jc w:val="both"/>
      </w:pPr>
    </w:p>
    <w:p w14:paraId="02169B4C" w14:textId="0C99B286" w:rsidR="005661E0" w:rsidRDefault="005661E0" w:rsidP="006C34CF">
      <w:pPr>
        <w:pStyle w:val="Paragraphedeliste"/>
        <w:numPr>
          <w:ilvl w:val="0"/>
          <w:numId w:val="53"/>
        </w:numPr>
        <w:jc w:val="both"/>
        <w:rPr>
          <w:color w:val="FF6700" w:themeColor="accent3"/>
        </w:rPr>
      </w:pPr>
      <w:r>
        <w:rPr>
          <w:color w:val="FF6700" w:themeColor="accent3"/>
        </w:rPr>
        <w:t>Règles spéciales</w:t>
      </w:r>
    </w:p>
    <w:p w14:paraId="3F21BE98" w14:textId="77777777" w:rsidR="005661E0" w:rsidRPr="005661E0" w:rsidRDefault="005661E0" w:rsidP="005661E0">
      <w:pPr>
        <w:jc w:val="both"/>
      </w:pPr>
    </w:p>
    <w:p w14:paraId="7F628855" w14:textId="0D7BFF78" w:rsidR="005661E0" w:rsidRDefault="005661E0" w:rsidP="005661E0">
      <w:pPr>
        <w:jc w:val="both"/>
      </w:pPr>
      <w:r>
        <w:t xml:space="preserve">Dans le cadre de la cotisation au </w:t>
      </w:r>
      <w:r w:rsidRPr="005661E0">
        <w:rPr>
          <w:color w:val="FF6700" w:themeColor="accent3"/>
        </w:rPr>
        <w:t>REÉR DU CONJOINT</w:t>
      </w:r>
      <w:r w:rsidRPr="005661E0">
        <w:t>,</w:t>
      </w:r>
      <w:r>
        <w:rPr>
          <w:color w:val="FF6700" w:themeColor="accent3"/>
        </w:rPr>
        <w:t xml:space="preserve"> </w:t>
      </w:r>
      <w:r w:rsidRPr="005661E0">
        <w:t xml:space="preserve">nous retrouvons deux règles fiscales particulières à connaître. Comme c'est souvent le cas en fiscalité, ces règles peuvent entraîner des contraintes de conformité, mais aussi, des opportunités de planification. </w:t>
      </w:r>
    </w:p>
    <w:p w14:paraId="0A899AD2" w14:textId="77777777" w:rsidR="00036496" w:rsidRDefault="00036496" w:rsidP="005661E0">
      <w:pPr>
        <w:jc w:val="both"/>
      </w:pPr>
    </w:p>
    <w:tbl>
      <w:tblPr>
        <w:tblStyle w:val="Grilleclaire"/>
        <w:tblW w:w="0" w:type="auto"/>
        <w:tblLook w:val="04A0" w:firstRow="1" w:lastRow="0" w:firstColumn="1" w:lastColumn="0" w:noHBand="0" w:noVBand="1"/>
      </w:tblPr>
      <w:tblGrid>
        <w:gridCol w:w="4382"/>
        <w:gridCol w:w="4382"/>
        <w:gridCol w:w="4382"/>
      </w:tblGrid>
      <w:tr w:rsidR="00036496" w14:paraId="18567D8F" w14:textId="77777777" w:rsidTr="000364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0D018331" w14:textId="77777777" w:rsidR="00036496" w:rsidRDefault="00036496" w:rsidP="005661E0">
            <w:pPr>
              <w:jc w:val="both"/>
            </w:pPr>
          </w:p>
        </w:tc>
        <w:tc>
          <w:tcPr>
            <w:tcW w:w="4382" w:type="dxa"/>
          </w:tcPr>
          <w:p w14:paraId="0E129F95" w14:textId="254AD7DB" w:rsidR="00036496" w:rsidRDefault="00036496" w:rsidP="00036496">
            <w:pPr>
              <w:jc w:val="center"/>
              <w:cnfStyle w:val="100000000000" w:firstRow="1" w:lastRow="0" w:firstColumn="0" w:lastColumn="0" w:oddVBand="0" w:evenVBand="0" w:oddHBand="0" w:evenHBand="0" w:firstRowFirstColumn="0" w:firstRowLastColumn="0" w:lastRowFirstColumn="0" w:lastRowLastColumn="0"/>
            </w:pPr>
            <w:r>
              <w:t>Règle du trois ans</w:t>
            </w:r>
          </w:p>
        </w:tc>
        <w:tc>
          <w:tcPr>
            <w:tcW w:w="4382" w:type="dxa"/>
          </w:tcPr>
          <w:p w14:paraId="7B80D41E" w14:textId="4347A91A" w:rsidR="00036496" w:rsidRDefault="00036496" w:rsidP="00036496">
            <w:pPr>
              <w:jc w:val="center"/>
              <w:cnfStyle w:val="100000000000" w:firstRow="1" w:lastRow="0" w:firstColumn="0" w:lastColumn="0" w:oddVBand="0" w:evenVBand="0" w:oddHBand="0" w:evenHBand="0" w:firstRowFirstColumn="0" w:firstRowLastColumn="0" w:lastRowFirstColumn="0" w:lastRowLastColumn="0"/>
            </w:pPr>
            <w:r>
              <w:t>Conjoint plus jeune</w:t>
            </w:r>
          </w:p>
        </w:tc>
      </w:tr>
      <w:tr w:rsidR="00036496" w14:paraId="46C2DBD2" w14:textId="77777777" w:rsidTr="000364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491B97C3" w14:textId="2F2F1B4B" w:rsidR="00036496" w:rsidRDefault="00036496" w:rsidP="005661E0">
            <w:pPr>
              <w:jc w:val="both"/>
            </w:pPr>
            <w:r>
              <w:t>Fonctionnement</w:t>
            </w:r>
          </w:p>
        </w:tc>
        <w:tc>
          <w:tcPr>
            <w:tcW w:w="4382" w:type="dxa"/>
          </w:tcPr>
          <w:p w14:paraId="4299F240" w14:textId="76926663" w:rsidR="00036496" w:rsidRDefault="006C663D" w:rsidP="001B1426">
            <w:pPr>
              <w:jc w:val="both"/>
              <w:cnfStyle w:val="000000100000" w:firstRow="0" w:lastRow="0" w:firstColumn="0" w:lastColumn="0" w:oddVBand="0" w:evenVBand="0" w:oddHBand="1" w:evenHBand="0" w:firstRowFirstColumn="0" w:firstRowLastColumn="0" w:lastRowFirstColumn="0" w:lastRowLastColumn="0"/>
            </w:pPr>
            <w:r>
              <w:t>Lorsqu'</w:t>
            </w:r>
            <w:r w:rsidR="00036496">
              <w:t>un contribuable cotise au REÉR de son conjoint, celui-ci doit attendre obligatoirement</w:t>
            </w:r>
            <w:r w:rsidR="001B1426">
              <w:t xml:space="preserve"> deux années civiles complètes (trois 3</w:t>
            </w:r>
            <w:r w:rsidR="009C4579">
              <w:t>1 décembre)</w:t>
            </w:r>
            <w:r w:rsidR="00036496">
              <w:t xml:space="preserve"> avant de pouvoir en retirer un montant.</w:t>
            </w:r>
            <w:r w:rsidR="001B1426">
              <w:t xml:space="preserve"> </w:t>
            </w:r>
          </w:p>
        </w:tc>
        <w:tc>
          <w:tcPr>
            <w:tcW w:w="4382" w:type="dxa"/>
          </w:tcPr>
          <w:p w14:paraId="26EF55FF" w14:textId="347AC2DA" w:rsidR="00036496" w:rsidRDefault="00036496" w:rsidP="005661E0">
            <w:pPr>
              <w:jc w:val="both"/>
              <w:cnfStyle w:val="000000100000" w:firstRow="0" w:lastRow="0" w:firstColumn="0" w:lastColumn="0" w:oddVBand="0" w:evenVBand="0" w:oddHBand="1" w:evenHBand="0" w:firstRowFirstColumn="0" w:firstRowLastColumn="0" w:lastRowFirstColumn="0" w:lastRowLastColumn="0"/>
            </w:pPr>
            <w:r>
              <w:t>Malgré qu'un contribuable soit âgé de plus de 71 ans, il peut contribuer au REÉR de son conjoint si celui-ci n'a pas encore atteint cet âge limite.</w:t>
            </w:r>
          </w:p>
        </w:tc>
      </w:tr>
      <w:tr w:rsidR="00036496" w14:paraId="355067A9" w14:textId="77777777" w:rsidTr="000364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691BD0D6" w14:textId="77777777" w:rsidR="00036496" w:rsidRDefault="00036496" w:rsidP="005661E0">
            <w:pPr>
              <w:jc w:val="both"/>
            </w:pPr>
            <w:r>
              <w:t>Impact - Conformité</w:t>
            </w:r>
          </w:p>
          <w:p w14:paraId="3C77EC5E" w14:textId="3D36E5B6" w:rsidR="00036496" w:rsidRDefault="00036496" w:rsidP="005661E0">
            <w:pPr>
              <w:jc w:val="both"/>
            </w:pPr>
          </w:p>
        </w:tc>
        <w:tc>
          <w:tcPr>
            <w:tcW w:w="4382" w:type="dxa"/>
          </w:tcPr>
          <w:p w14:paraId="1139E360" w14:textId="5E2B77AE" w:rsidR="00036496" w:rsidRDefault="009C4579" w:rsidP="005661E0">
            <w:pPr>
              <w:jc w:val="both"/>
              <w:cnfStyle w:val="000000010000" w:firstRow="0" w:lastRow="0" w:firstColumn="0" w:lastColumn="0" w:oddVBand="0" w:evenVBand="0" w:oddHBand="0" w:evenHBand="1" w:firstRowFirstColumn="0" w:firstRowLastColumn="0" w:lastRowFirstColumn="0" w:lastRowLastColumn="0"/>
            </w:pPr>
            <w:r>
              <w:t xml:space="preserve">En cas de </w:t>
            </w:r>
            <w:r w:rsidR="006C663D">
              <w:t>non-respect</w:t>
            </w:r>
            <w:r>
              <w:t xml:space="preserve"> de cette règle, c'est celui qui cotise qui s'impose sur le montant retiré.</w:t>
            </w:r>
          </w:p>
          <w:p w14:paraId="5FB3AD42" w14:textId="77777777" w:rsidR="009C4579" w:rsidRDefault="009C4579" w:rsidP="005661E0">
            <w:pPr>
              <w:jc w:val="both"/>
              <w:cnfStyle w:val="000000010000" w:firstRow="0" w:lastRow="0" w:firstColumn="0" w:lastColumn="0" w:oddVBand="0" w:evenVBand="0" w:oddHBand="0" w:evenHBand="1" w:firstRowFirstColumn="0" w:firstRowLastColumn="0" w:lastRowFirstColumn="0" w:lastRowLastColumn="0"/>
            </w:pPr>
          </w:p>
        </w:tc>
        <w:tc>
          <w:tcPr>
            <w:tcW w:w="4382" w:type="dxa"/>
          </w:tcPr>
          <w:p w14:paraId="0B0AB863" w14:textId="1A30FC82" w:rsidR="00036496" w:rsidRDefault="009C4579" w:rsidP="005661E0">
            <w:pPr>
              <w:jc w:val="both"/>
              <w:cnfStyle w:val="000000010000" w:firstRow="0" w:lastRow="0" w:firstColumn="0" w:lastColumn="0" w:oddVBand="0" w:evenVBand="0" w:oddHBand="0" w:evenHBand="1" w:firstRowFirstColumn="0" w:firstRowLastColumn="0" w:lastRowFirstColumn="0" w:lastRowLastColumn="0"/>
            </w:pPr>
            <w:r>
              <w:t>Sans objet.</w:t>
            </w:r>
          </w:p>
        </w:tc>
      </w:tr>
      <w:tr w:rsidR="00036496" w14:paraId="22EE2695" w14:textId="77777777" w:rsidTr="000364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68A592FD" w14:textId="74D493A4" w:rsidR="00036496" w:rsidRDefault="00036496" w:rsidP="005661E0">
            <w:pPr>
              <w:jc w:val="both"/>
            </w:pPr>
            <w:r>
              <w:t>Opportunité - Planification</w:t>
            </w:r>
          </w:p>
        </w:tc>
        <w:tc>
          <w:tcPr>
            <w:tcW w:w="4382" w:type="dxa"/>
          </w:tcPr>
          <w:p w14:paraId="3304D086" w14:textId="56326368" w:rsidR="00036496" w:rsidRDefault="009C4579" w:rsidP="0020711C">
            <w:pPr>
              <w:jc w:val="both"/>
              <w:cnfStyle w:val="000000100000" w:firstRow="0" w:lastRow="0" w:firstColumn="0" w:lastColumn="0" w:oddVBand="0" w:evenVBand="0" w:oddHBand="1" w:evenHBand="0" w:firstRowFirstColumn="0" w:firstRowLastColumn="0" w:lastRowFirstColumn="0" w:lastRowLastColumn="0"/>
            </w:pPr>
            <w:r>
              <w:t xml:space="preserve">En cas de sabbatique ou de diminution </w:t>
            </w:r>
            <w:r w:rsidR="0020711C">
              <w:t xml:space="preserve">importante </w:t>
            </w:r>
            <w:r>
              <w:t xml:space="preserve">de revenus, en planifiant le tout à l'avance, il est possible de retirer des sommes du REÉR </w:t>
            </w:r>
            <w:r w:rsidR="0020711C">
              <w:t>à</w:t>
            </w:r>
            <w:r>
              <w:t xml:space="preserve"> faible coût fiscal</w:t>
            </w:r>
            <w:r w:rsidR="0020711C">
              <w:t xml:space="preserve"> et de loger le montant dans le CÉLI</w:t>
            </w:r>
            <w:r>
              <w:t>.</w:t>
            </w:r>
          </w:p>
        </w:tc>
        <w:tc>
          <w:tcPr>
            <w:tcW w:w="4382" w:type="dxa"/>
          </w:tcPr>
          <w:p w14:paraId="5AC06BA3" w14:textId="618860ED" w:rsidR="00036496" w:rsidRDefault="009C4579" w:rsidP="0011246B">
            <w:pPr>
              <w:jc w:val="both"/>
              <w:cnfStyle w:val="000000100000" w:firstRow="0" w:lastRow="0" w:firstColumn="0" w:lastColumn="0" w:oddVBand="0" w:evenVBand="0" w:oddHBand="1" w:evenHBand="0" w:firstRowFirstColumn="0" w:firstRowLastColumn="0" w:lastRowFirstColumn="0" w:lastRowLastColumn="0"/>
            </w:pPr>
            <w:r>
              <w:t>Dans le contexte où le contribuable (</w:t>
            </w:r>
            <w:r w:rsidR="00ED4E70">
              <w:t>&gt;</w:t>
            </w:r>
            <w:r>
              <w:t xml:space="preserve"> 71 ans</w:t>
            </w:r>
            <w:r w:rsidR="00ED4E70">
              <w:t xml:space="preserve">) possède un plafond REÉR inutilisé et </w:t>
            </w:r>
            <w:r w:rsidR="00EA51E9">
              <w:t xml:space="preserve">que </w:t>
            </w:r>
            <w:r w:rsidR="00ED4E70">
              <w:t>ses revenus</w:t>
            </w:r>
            <w:r w:rsidR="00EA51E9">
              <w:t xml:space="preserve"> </w:t>
            </w:r>
            <w:r w:rsidR="00ED4E70">
              <w:t>so</w:t>
            </w:r>
            <w:r w:rsidR="00EA51E9">
              <w:t>nt assez</w:t>
            </w:r>
            <w:r w:rsidR="00ED4E70">
              <w:t xml:space="preserve"> </w:t>
            </w:r>
            <w:proofErr w:type="gramStart"/>
            <w:r w:rsidR="00ED4E70">
              <w:t>important</w:t>
            </w:r>
            <w:r w:rsidR="009A5C68">
              <w:t>s</w:t>
            </w:r>
            <w:proofErr w:type="gramEnd"/>
            <w:r>
              <w:t>,</w:t>
            </w:r>
            <w:r w:rsidR="00ED4E70">
              <w:t xml:space="preserve"> il p</w:t>
            </w:r>
            <w:r w:rsidR="00EA51E9">
              <w:t>ourrait</w:t>
            </w:r>
            <w:r w:rsidR="00ED4E70">
              <w:t xml:space="preserve"> contribuer au REÉR de son conjoint tant que celui-ci n'a pas dépassé l'âge de 71 ans.</w:t>
            </w:r>
          </w:p>
        </w:tc>
      </w:tr>
    </w:tbl>
    <w:p w14:paraId="5C05100D" w14:textId="77777777" w:rsidR="00036496" w:rsidRPr="005661E0" w:rsidRDefault="00036496" w:rsidP="005661E0">
      <w:pPr>
        <w:jc w:val="both"/>
      </w:pPr>
    </w:p>
    <w:p w14:paraId="093D7B76" w14:textId="77777777" w:rsidR="00403421" w:rsidRPr="005661E0" w:rsidRDefault="00403421" w:rsidP="005661E0">
      <w:pPr>
        <w:jc w:val="both"/>
      </w:pPr>
    </w:p>
    <w:p w14:paraId="05585CBD" w14:textId="528BB622" w:rsidR="00DB0FF2" w:rsidRDefault="00DB0FF2" w:rsidP="006C34CF">
      <w:pPr>
        <w:pStyle w:val="Paragraphedeliste"/>
        <w:numPr>
          <w:ilvl w:val="0"/>
          <w:numId w:val="52"/>
        </w:numPr>
        <w:jc w:val="both"/>
      </w:pPr>
      <w:r>
        <w:br w:type="page"/>
      </w:r>
    </w:p>
    <w:p w14:paraId="5D801046" w14:textId="731FFCE4" w:rsidR="00BD543B" w:rsidRDefault="001500EF" w:rsidP="00BD543B">
      <w:pPr>
        <w:pStyle w:val="Titre3"/>
      </w:pPr>
      <w:bookmarkStart w:id="98" w:name="_Toc314397856"/>
      <w:bookmarkStart w:id="99" w:name="_Toc443569400"/>
      <w:r>
        <w:lastRenderedPageBreak/>
        <w:t>Les principes à respecter au moment du décaissement</w:t>
      </w:r>
      <w:bookmarkEnd w:id="98"/>
      <w:bookmarkEnd w:id="99"/>
    </w:p>
    <w:p w14:paraId="2B782029" w14:textId="77777777" w:rsidR="006D4BFA" w:rsidRDefault="006D4BFA" w:rsidP="006D4BFA"/>
    <w:p w14:paraId="75E7E33C" w14:textId="7CDFB2AF" w:rsidR="007A5F4A" w:rsidRDefault="007A5F4A" w:rsidP="007A5F4A">
      <w:pPr>
        <w:jc w:val="both"/>
      </w:pPr>
      <w:r>
        <w:t xml:space="preserve">Après avoir parcouru l'étude des règles et des scénarios d'optimisation lors de la cotisation au REÉR, nous en sommes maintenant à établir les principes à respecter pour déterminer le moment où il convient d'entamer </w:t>
      </w:r>
      <w:r w:rsidR="00423EAF">
        <w:t>le</w:t>
      </w:r>
      <w:r>
        <w:t xml:space="preserve"> décaissement</w:t>
      </w:r>
      <w:r w:rsidR="00423EAF">
        <w:t xml:space="preserve"> de celui-ci</w:t>
      </w:r>
      <w:r>
        <w:t xml:space="preserve">. </w:t>
      </w:r>
    </w:p>
    <w:p w14:paraId="6AFC1605" w14:textId="77777777" w:rsidR="007A5F4A" w:rsidRDefault="007A5F4A" w:rsidP="007A5F4A">
      <w:pPr>
        <w:jc w:val="both"/>
      </w:pPr>
    </w:p>
    <w:p w14:paraId="030DC176" w14:textId="77777777" w:rsidR="00FE1921" w:rsidRDefault="007A5F4A" w:rsidP="007A5F4A">
      <w:pPr>
        <w:jc w:val="both"/>
      </w:pPr>
      <w:r>
        <w:t>La réponse courte à ce questionnement est</w:t>
      </w:r>
      <w:r w:rsidR="00FE1921">
        <w:t xml:space="preserve"> </w:t>
      </w:r>
      <w:r>
        <w:t>"le plus tard possib</w:t>
      </w:r>
      <w:r w:rsidR="00C70182">
        <w:t>le".</w:t>
      </w:r>
      <w:r w:rsidR="00FE1921">
        <w:t xml:space="preserve"> En réalité, il faut tenir compte de plusieurs facteurs et variables qui seront présentés sous la forme, à la fois, de grands principes et de petits moments de lucidités fiscales. </w:t>
      </w:r>
      <w:r w:rsidR="00C70182">
        <w:t xml:space="preserve"> </w:t>
      </w:r>
    </w:p>
    <w:p w14:paraId="63E5BB65" w14:textId="41C3821E" w:rsidR="007A5F4A" w:rsidRDefault="007A5F4A" w:rsidP="007A5F4A">
      <w:pPr>
        <w:jc w:val="both"/>
      </w:pPr>
      <w:r>
        <w:t xml:space="preserve"> </w:t>
      </w:r>
    </w:p>
    <w:p w14:paraId="7D237240" w14:textId="14DD9CE0" w:rsidR="001B77A7" w:rsidRDefault="001B77A7" w:rsidP="006C34CF">
      <w:pPr>
        <w:pStyle w:val="Titre4"/>
        <w:numPr>
          <w:ilvl w:val="3"/>
          <w:numId w:val="48"/>
        </w:numPr>
      </w:pPr>
      <w:bookmarkStart w:id="100" w:name="_Toc314397857"/>
      <w:bookmarkStart w:id="101" w:name="_Toc443569401"/>
      <w:r>
        <w:t xml:space="preserve">Dois-je retirer des </w:t>
      </w:r>
      <w:r w:rsidR="00DD78CB">
        <w:t>sommes</w:t>
      </w:r>
      <w:r>
        <w:t xml:space="preserve"> de mon REÉR ?</w:t>
      </w:r>
      <w:bookmarkEnd w:id="100"/>
      <w:bookmarkEnd w:id="101"/>
    </w:p>
    <w:p w14:paraId="459759EA" w14:textId="77777777" w:rsidR="001B77A7" w:rsidRDefault="001B77A7" w:rsidP="001B77A7"/>
    <w:p w14:paraId="21D0B940" w14:textId="05EA8A95" w:rsidR="00402CF7" w:rsidRDefault="00511917" w:rsidP="002F44E4">
      <w:pPr>
        <w:jc w:val="both"/>
      </w:pPr>
      <w:r>
        <w:t xml:space="preserve">Tout d'abord, rappelons-nous quelques grandes vérités à propos du </w:t>
      </w:r>
      <w:r w:rsidR="00386D58">
        <w:t xml:space="preserve">décaissement du </w:t>
      </w:r>
      <w:r>
        <w:t xml:space="preserve">REÉR. </w:t>
      </w:r>
    </w:p>
    <w:p w14:paraId="6E7B9B40" w14:textId="77777777" w:rsidR="00402CF7" w:rsidRDefault="00402CF7" w:rsidP="002F44E4">
      <w:pPr>
        <w:jc w:val="both"/>
      </w:pPr>
    </w:p>
    <w:p w14:paraId="16FFE748" w14:textId="112557D6" w:rsidR="00402CF7" w:rsidRDefault="00402CF7" w:rsidP="002F44E4">
      <w:pPr>
        <w:jc w:val="both"/>
      </w:pPr>
      <w:r w:rsidRPr="00402CF7">
        <w:rPr>
          <w:color w:val="FF6700" w:themeColor="accent3"/>
        </w:rPr>
        <w:t>PREMIÈREMENT</w:t>
      </w:r>
      <w:r>
        <w:t xml:space="preserve">, </w:t>
      </w:r>
      <w:r w:rsidR="006A165F">
        <w:t>l</w:t>
      </w:r>
      <w:r w:rsidR="00511917">
        <w:t>es retraits, sauf quelques courtes exceptions que nous verrons, s'</w:t>
      </w:r>
      <w:r w:rsidR="006C663D">
        <w:t>ajoutent</w:t>
      </w:r>
      <w:r w:rsidR="00511917">
        <w:t xml:space="preserve"> au revenu du contribuable et sont ainsi pleinement imposables. </w:t>
      </w:r>
    </w:p>
    <w:p w14:paraId="437C6E7E" w14:textId="77777777" w:rsidR="00402CF7" w:rsidRDefault="00402CF7" w:rsidP="002F44E4">
      <w:pPr>
        <w:jc w:val="both"/>
      </w:pPr>
    </w:p>
    <w:p w14:paraId="17A7A208" w14:textId="71994193" w:rsidR="00402CF7" w:rsidRDefault="00402CF7" w:rsidP="002F44E4">
      <w:pPr>
        <w:jc w:val="both"/>
      </w:pPr>
      <w:r w:rsidRPr="00402CF7">
        <w:rPr>
          <w:color w:val="FF6700" w:themeColor="accent3"/>
        </w:rPr>
        <w:t>DEUXIÈMEMENT</w:t>
      </w:r>
      <w:r w:rsidR="006A165F">
        <w:t>, t</w:t>
      </w:r>
      <w:r w:rsidR="002F44E4">
        <w:t>out contribuable doit mettre fin à son REÉR, au plus tard, le 31 décembre de l'année où celui-ci célèbre son 71</w:t>
      </w:r>
      <w:r w:rsidR="002F44E4" w:rsidRPr="00DE2455">
        <w:rPr>
          <w:vertAlign w:val="superscript"/>
        </w:rPr>
        <w:t>e</w:t>
      </w:r>
      <w:r w:rsidR="002F44E4">
        <w:t xml:space="preserve"> anniversaire. Entamant ainsi </w:t>
      </w:r>
      <w:r w:rsidR="007A47CD">
        <w:t>un</w:t>
      </w:r>
      <w:r w:rsidR="002F44E4">
        <w:t xml:space="preserve"> processus progressif de retrait</w:t>
      </w:r>
      <w:r w:rsidR="001559B4">
        <w:t>s</w:t>
      </w:r>
      <w:r w:rsidR="002F44E4">
        <w:t>.</w:t>
      </w:r>
    </w:p>
    <w:p w14:paraId="328CE0E3" w14:textId="77777777" w:rsidR="00402CF7" w:rsidRDefault="00402CF7" w:rsidP="002F44E4">
      <w:pPr>
        <w:jc w:val="both"/>
      </w:pPr>
    </w:p>
    <w:p w14:paraId="4E56EE9B" w14:textId="0FDE1240" w:rsidR="00511917" w:rsidRDefault="00402CF7" w:rsidP="002F44E4">
      <w:pPr>
        <w:jc w:val="both"/>
      </w:pPr>
      <w:r w:rsidRPr="00402CF7">
        <w:rPr>
          <w:color w:val="FF6700" w:themeColor="accent3"/>
        </w:rPr>
        <w:t>TROISIÈMEMENT</w:t>
      </w:r>
      <w:r>
        <w:t>,</w:t>
      </w:r>
      <w:r w:rsidR="006A165F">
        <w:t xml:space="preserve"> la grande souplesse du REÉR (</w:t>
      </w:r>
      <w:r w:rsidR="006D2E09">
        <w:t>comparativement au</w:t>
      </w:r>
      <w:r w:rsidR="006A165F">
        <w:t xml:space="preserve"> RPA </w:t>
      </w:r>
      <w:r w:rsidR="006D2E09">
        <w:t xml:space="preserve">qui </w:t>
      </w:r>
      <w:r w:rsidR="006A165F">
        <w:t>est essentiellement immobilisé jusqu'à l'âge de 55 ans) est, à la fois, un atout et une tentation de tous les instants pour bien des gens. La possibilité bien réelle de faire dévier</w:t>
      </w:r>
      <w:r w:rsidR="00FC649D">
        <w:t>,</w:t>
      </w:r>
      <w:r w:rsidR="006A165F">
        <w:t xml:space="preserve"> à tout moment</w:t>
      </w:r>
      <w:r w:rsidR="00FC649D">
        <w:t>,</w:t>
      </w:r>
      <w:r w:rsidR="006A165F">
        <w:t xml:space="preserve"> un montant durement épargné en vue de la retraite </w:t>
      </w:r>
      <w:r w:rsidR="00FC649D">
        <w:t>vers une</w:t>
      </w:r>
      <w:r w:rsidR="006A165F">
        <w:t xml:space="preserve"> nouvelle</w:t>
      </w:r>
      <w:r w:rsidR="00FC649D">
        <w:t xml:space="preserve"> source de</w:t>
      </w:r>
      <w:r w:rsidR="006A165F">
        <w:t xml:space="preserve"> liquidité</w:t>
      </w:r>
      <w:r w:rsidR="00FC649D">
        <w:t>s</w:t>
      </w:r>
      <w:r w:rsidR="006A165F">
        <w:t xml:space="preserve"> pour entretenir un train de vie trop grand est une véritable </w:t>
      </w:r>
      <w:r w:rsidR="00EC68F9">
        <w:t>"</w:t>
      </w:r>
      <w:r w:rsidR="006A165F">
        <w:t>épée de Damocl</w:t>
      </w:r>
      <w:r w:rsidR="00EC68F9">
        <w:t>è</w:t>
      </w:r>
      <w:r w:rsidR="006A165F">
        <w:t>s</w:t>
      </w:r>
      <w:r w:rsidR="00EC68F9">
        <w:t>"</w:t>
      </w:r>
      <w:r w:rsidR="006A165F">
        <w:t xml:space="preserve"> pour le contribuable</w:t>
      </w:r>
      <w:r w:rsidR="00EC68F9">
        <w:t xml:space="preserve"> à la discipline fragile</w:t>
      </w:r>
      <w:r w:rsidR="006A165F">
        <w:t>.</w:t>
      </w:r>
      <w:r w:rsidR="001559B4">
        <w:t xml:space="preserve"> </w:t>
      </w:r>
      <w:r w:rsidR="006A165F">
        <w:t xml:space="preserve"> </w:t>
      </w:r>
    </w:p>
    <w:p w14:paraId="0FE89DF5" w14:textId="77777777" w:rsidR="001559B4" w:rsidRDefault="001559B4" w:rsidP="002F44E4">
      <w:pPr>
        <w:jc w:val="both"/>
      </w:pPr>
    </w:p>
    <w:p w14:paraId="09EDD1A4" w14:textId="77777777" w:rsidR="009A38A7" w:rsidRDefault="00386D58">
      <w:r>
        <w:t xml:space="preserve">Nous vous présentons maintenant différents principes d'optimisation de décaissement du REÉR en utilisant et analysant </w:t>
      </w:r>
      <w:r w:rsidR="00AD751D">
        <w:t>diverses situation</w:t>
      </w:r>
      <w:r w:rsidR="009A38A7">
        <w:t>s</w:t>
      </w:r>
      <w:r w:rsidR="00AD751D">
        <w:t xml:space="preserve"> où le contribuable se retrouve devant des</w:t>
      </w:r>
      <w:r w:rsidR="009A38A7">
        <w:t xml:space="preserve"> choix à réaliser.</w:t>
      </w:r>
      <w:r>
        <w:t xml:space="preserve"> </w:t>
      </w:r>
    </w:p>
    <w:p w14:paraId="4EB0E8AE" w14:textId="77777777" w:rsidR="009A38A7" w:rsidRDefault="009A38A7"/>
    <w:p w14:paraId="73DB32B9" w14:textId="77777777" w:rsidR="009A38A7" w:rsidRDefault="009A38A7"/>
    <w:p w14:paraId="3B35E967" w14:textId="77777777" w:rsidR="009A38A7" w:rsidRDefault="009A38A7"/>
    <w:p w14:paraId="236256C8" w14:textId="60A469AD" w:rsidR="00602F6F" w:rsidRDefault="004F4085">
      <w:pPr>
        <w:rPr>
          <w:color w:val="000000" w:themeColor="text1"/>
          <w:u w:val="single"/>
        </w:rPr>
      </w:pPr>
      <w:r>
        <w:rPr>
          <w:noProof/>
          <w:lang w:eastAsia="fr-FR"/>
        </w:rPr>
        <w:lastRenderedPageBreak/>
        <mc:AlternateContent>
          <mc:Choice Requires="wps">
            <w:drawing>
              <wp:anchor distT="0" distB="0" distL="114300" distR="114300" simplePos="0" relativeHeight="252571648" behindDoc="0" locked="0" layoutInCell="1" allowOverlap="1" wp14:anchorId="5A38FC75" wp14:editId="4768E363">
                <wp:simplePos x="0" y="0"/>
                <wp:positionH relativeFrom="column">
                  <wp:posOffset>5257800</wp:posOffset>
                </wp:positionH>
                <wp:positionV relativeFrom="paragraph">
                  <wp:posOffset>-457200</wp:posOffset>
                </wp:positionV>
                <wp:extent cx="800100" cy="800100"/>
                <wp:effectExtent l="25400" t="25400" r="38100" b="38100"/>
                <wp:wrapNone/>
                <wp:docPr id="475" name="Ellipse 475"/>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426FA9F" w14:textId="5ABD5BB6" w:rsidR="00573C95" w:rsidRPr="008A460A" w:rsidRDefault="00573C95" w:rsidP="004F4085">
                            <w:pPr>
                              <w:jc w:val="center"/>
                            </w:pPr>
                            <w:r w:rsidRPr="008A460A">
                              <w:t xml:space="preserve">= 71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75" o:spid="_x0000_s1299" style="position:absolute;margin-left:414pt;margin-top:-35.95pt;width:63pt;height:63pt;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" fillcolor="#70ffca" strokecolor="black [3213]" strokeweight="3pt">
                <v:textbox>
                  <w:txbxContent>
                    <w:p w14:paraId="7426FA9F" w14:textId="5ABD5BB6" w:rsidR="001501D6" w:rsidRPr="008A460A" w:rsidRDefault="001501D6" w:rsidP="004F4085">
                      <w:pPr>
                        <w:jc w:val="center"/>
                      </w:pPr>
                      <w:r w:rsidRPr="008A460A">
                        <w:t xml:space="preserve">= 71 </w:t>
                      </w:r>
                    </w:p>
                  </w:txbxContent>
                </v:textbox>
              </v:oval>
            </w:pict>
          </mc:Fallback>
        </mc:AlternateContent>
      </w:r>
      <w:r w:rsidR="0086445F">
        <w:rPr>
          <w:color w:val="000000" w:themeColor="text1"/>
        </w:rPr>
        <w:t xml:space="preserve">Situation 1 - </w:t>
      </w:r>
      <w:r w:rsidR="006D2E09">
        <w:rPr>
          <w:color w:val="000000" w:themeColor="text1"/>
          <w:u w:val="single"/>
        </w:rPr>
        <w:t>Le contribuable</w:t>
      </w:r>
      <w:r w:rsidR="00602F6F">
        <w:rPr>
          <w:color w:val="000000" w:themeColor="text1"/>
          <w:u w:val="single"/>
        </w:rPr>
        <w:t xml:space="preserve"> cél</w:t>
      </w:r>
      <w:r w:rsidR="006D2E09">
        <w:rPr>
          <w:color w:val="000000" w:themeColor="text1"/>
          <w:u w:val="single"/>
        </w:rPr>
        <w:t>è</w:t>
      </w:r>
      <w:r w:rsidR="00602F6F">
        <w:rPr>
          <w:color w:val="000000" w:themeColor="text1"/>
          <w:u w:val="single"/>
        </w:rPr>
        <w:t xml:space="preserve">bre </w:t>
      </w:r>
      <w:r w:rsidR="006D2E09">
        <w:rPr>
          <w:color w:val="000000" w:themeColor="text1"/>
          <w:u w:val="single"/>
        </w:rPr>
        <w:t>son</w:t>
      </w:r>
      <w:r w:rsidR="00602F6F">
        <w:rPr>
          <w:color w:val="000000" w:themeColor="text1"/>
          <w:u w:val="single"/>
        </w:rPr>
        <w:t xml:space="preserve"> 71</w:t>
      </w:r>
      <w:r w:rsidR="00602F6F" w:rsidRPr="00602F6F">
        <w:rPr>
          <w:color w:val="000000" w:themeColor="text1"/>
          <w:u w:val="single"/>
          <w:vertAlign w:val="superscript"/>
        </w:rPr>
        <w:t>e</w:t>
      </w:r>
      <w:r w:rsidR="00602F6F">
        <w:rPr>
          <w:color w:val="000000" w:themeColor="text1"/>
          <w:u w:val="single"/>
        </w:rPr>
        <w:t xml:space="preserve"> anniversaire cette année</w:t>
      </w:r>
      <w:r w:rsidR="0086445F" w:rsidRPr="00F27B04">
        <w:rPr>
          <w:color w:val="000000" w:themeColor="text1"/>
          <w:u w:val="single"/>
        </w:rPr>
        <w:t xml:space="preserve"> </w:t>
      </w:r>
    </w:p>
    <w:p w14:paraId="5F2659F9" w14:textId="77777777" w:rsidR="00602F6F" w:rsidRDefault="00602F6F">
      <w:pPr>
        <w:rPr>
          <w:color w:val="000000" w:themeColor="text1"/>
          <w:u w:val="single"/>
        </w:rPr>
      </w:pPr>
    </w:p>
    <w:p w14:paraId="6A008C0E" w14:textId="1F75A20F" w:rsidR="00402CF7" w:rsidRDefault="00443D8D" w:rsidP="00443D8D">
      <w:pPr>
        <w:jc w:val="both"/>
      </w:pPr>
      <w:r>
        <w:t xml:space="preserve">Que le contribuable soit à la retraite ou non, cette date est à encercler </w:t>
      </w:r>
      <w:r w:rsidR="00786F98">
        <w:t>au</w:t>
      </w:r>
      <w:r>
        <w:t xml:space="preserve"> calendrier puisqu'elle constitue la lisière entre le report de l'imposition des sommes incluses au REÉR et le début de l'imposition de celles-ci. Nous pouvons féliciter </w:t>
      </w:r>
      <w:r w:rsidR="007A47CD">
        <w:t xml:space="preserve">dès maintenant </w:t>
      </w:r>
      <w:r>
        <w:t>le contribuable qui n'aurait pas encore décaissé un seul dollar de son REÉR. Ces situations sont rares. Normalement</w:t>
      </w:r>
      <w:r w:rsidR="00786F98">
        <w:t>,</w:t>
      </w:r>
      <w:r>
        <w:t xml:space="preserve"> elle</w:t>
      </w:r>
      <w:r w:rsidR="006C663D">
        <w:t xml:space="preserve">s </w:t>
      </w:r>
      <w:r>
        <w:t>se produise</w:t>
      </w:r>
      <w:r w:rsidR="006C663D">
        <w:t xml:space="preserve">nt </w:t>
      </w:r>
      <w:r>
        <w:t>lorsque le contribuable n'est pas encore à la retraite ou lorsqu'il reçoit d'autres revenus de retraite qui lui permettent d'assumer son train de vie. Dans ces situations, nul besoin de retirer des sommes de son REÉR et de déclencher une imposition qui peut être reportée.</w:t>
      </w:r>
    </w:p>
    <w:p w14:paraId="30DFC119" w14:textId="77777777" w:rsidR="00786F98" w:rsidRDefault="00786F98" w:rsidP="00443D8D">
      <w:pPr>
        <w:jc w:val="both"/>
      </w:pPr>
    </w:p>
    <w:p w14:paraId="12FF9A20" w14:textId="04EC7D74" w:rsidR="00786F98" w:rsidRDefault="00786F98" w:rsidP="00443D8D">
      <w:pPr>
        <w:jc w:val="both"/>
        <w:rPr>
          <w:color w:val="000000" w:themeColor="text1"/>
        </w:rPr>
      </w:pPr>
      <w:r>
        <w:t>Cependant, lorsque l</w:t>
      </w:r>
      <w:r>
        <w:rPr>
          <w:color w:val="000000" w:themeColor="text1"/>
          <w:u w:val="single"/>
        </w:rPr>
        <w:t>e contribuable célèbre son 71</w:t>
      </w:r>
      <w:r w:rsidRPr="00602F6F">
        <w:rPr>
          <w:color w:val="000000" w:themeColor="text1"/>
          <w:u w:val="single"/>
          <w:vertAlign w:val="superscript"/>
        </w:rPr>
        <w:t>e</w:t>
      </w:r>
      <w:r>
        <w:rPr>
          <w:color w:val="000000" w:themeColor="text1"/>
          <w:u w:val="single"/>
        </w:rPr>
        <w:t xml:space="preserve"> anniversaire, </w:t>
      </w:r>
      <w:r w:rsidRPr="00786F98">
        <w:rPr>
          <w:color w:val="000000" w:themeColor="text1"/>
        </w:rPr>
        <w:t>il doit avant le 31 décembre convenir d'un des choix suivants:</w:t>
      </w:r>
    </w:p>
    <w:p w14:paraId="29730B86" w14:textId="77777777" w:rsidR="00786F98" w:rsidRDefault="00786F98" w:rsidP="00443D8D">
      <w:pPr>
        <w:jc w:val="both"/>
        <w:rPr>
          <w:color w:val="000000" w:themeColor="text1"/>
        </w:rPr>
      </w:pPr>
    </w:p>
    <w:p w14:paraId="09713178" w14:textId="77777777" w:rsidR="00C32F14" w:rsidRDefault="00C32F14" w:rsidP="006C34CF">
      <w:pPr>
        <w:pStyle w:val="Paragraphedeliste"/>
        <w:numPr>
          <w:ilvl w:val="0"/>
          <w:numId w:val="52"/>
        </w:numPr>
        <w:jc w:val="both"/>
        <w:rPr>
          <w:color w:val="000000" w:themeColor="text1"/>
        </w:rPr>
      </w:pPr>
      <w:r>
        <w:rPr>
          <w:color w:val="000000" w:themeColor="text1"/>
        </w:rPr>
        <w:t>Encaisser, avec une pleine imposition, la valeur de son REÉR</w:t>
      </w:r>
    </w:p>
    <w:p w14:paraId="62CA6428" w14:textId="77777777" w:rsidR="00C32F14" w:rsidRDefault="00C32F14" w:rsidP="00443D8D">
      <w:pPr>
        <w:jc w:val="both"/>
        <w:rPr>
          <w:color w:val="000000" w:themeColor="text1"/>
        </w:rPr>
      </w:pPr>
    </w:p>
    <w:p w14:paraId="60569A62" w14:textId="77777777" w:rsidR="00786F98" w:rsidRDefault="00786F98" w:rsidP="006C34CF">
      <w:pPr>
        <w:pStyle w:val="Paragraphedeliste"/>
        <w:numPr>
          <w:ilvl w:val="0"/>
          <w:numId w:val="52"/>
        </w:numPr>
        <w:jc w:val="both"/>
        <w:rPr>
          <w:color w:val="000000" w:themeColor="text1"/>
        </w:rPr>
      </w:pPr>
      <w:r>
        <w:rPr>
          <w:color w:val="000000" w:themeColor="text1"/>
        </w:rPr>
        <w:t>Transférer, sans impact fiscal, les actifs inclus dans son REÉR vers un FERR</w:t>
      </w:r>
    </w:p>
    <w:p w14:paraId="08D9D98A" w14:textId="1C512521" w:rsidR="00786F98" w:rsidRPr="00786F98" w:rsidRDefault="00786F98" w:rsidP="00786F98">
      <w:pPr>
        <w:jc w:val="both"/>
        <w:rPr>
          <w:color w:val="000000" w:themeColor="text1"/>
        </w:rPr>
      </w:pPr>
    </w:p>
    <w:p w14:paraId="3991765D" w14:textId="77777777" w:rsidR="00786F98" w:rsidRDefault="00786F98" w:rsidP="006C34CF">
      <w:pPr>
        <w:pStyle w:val="Paragraphedeliste"/>
        <w:numPr>
          <w:ilvl w:val="0"/>
          <w:numId w:val="52"/>
        </w:numPr>
        <w:jc w:val="both"/>
        <w:rPr>
          <w:color w:val="000000" w:themeColor="text1"/>
        </w:rPr>
      </w:pPr>
      <w:r>
        <w:rPr>
          <w:color w:val="000000" w:themeColor="text1"/>
        </w:rPr>
        <w:t>Utiliser, sans impact fiscal, les sommes incluses dans son REÉR pour faire l'achat d'une rente viagère</w:t>
      </w:r>
    </w:p>
    <w:p w14:paraId="0D490AFA" w14:textId="37225505" w:rsidR="00786F98" w:rsidRPr="00786F98" w:rsidRDefault="00786F98" w:rsidP="00786F98">
      <w:pPr>
        <w:jc w:val="both"/>
        <w:rPr>
          <w:color w:val="000000" w:themeColor="text1"/>
        </w:rPr>
      </w:pPr>
    </w:p>
    <w:p w14:paraId="2FA36C88" w14:textId="22C0D958" w:rsidR="003E1BE1" w:rsidRDefault="0051413F">
      <w:pPr>
        <w:rPr>
          <w:color w:val="000000" w:themeColor="text1"/>
        </w:rPr>
      </w:pPr>
      <w:r w:rsidRPr="002A57B7">
        <w:rPr>
          <w:noProof/>
          <w:color w:val="000000" w:themeColor="text1"/>
          <w:lang w:eastAsia="fr-FR"/>
        </w:rPr>
        <mc:AlternateContent>
          <mc:Choice Requires="wps">
            <w:drawing>
              <wp:anchor distT="0" distB="0" distL="114300" distR="114300" simplePos="0" relativeHeight="253424640" behindDoc="0" locked="0" layoutInCell="1" allowOverlap="1" wp14:anchorId="2DCE8B06" wp14:editId="0C0398CF">
                <wp:simplePos x="0" y="0"/>
                <wp:positionH relativeFrom="column">
                  <wp:posOffset>4229100</wp:posOffset>
                </wp:positionH>
                <wp:positionV relativeFrom="paragraph">
                  <wp:posOffset>179705</wp:posOffset>
                </wp:positionV>
                <wp:extent cx="2706370" cy="999490"/>
                <wp:effectExtent l="0" t="0" r="36830" b="16510"/>
                <wp:wrapThrough wrapText="bothSides">
                  <wp:wrapPolygon edited="0">
                    <wp:start x="3244" y="0"/>
                    <wp:lineTo x="0" y="8783"/>
                    <wp:lineTo x="0" y="12076"/>
                    <wp:lineTo x="3041" y="21408"/>
                    <wp:lineTo x="3244" y="21408"/>
                    <wp:lineTo x="4663" y="21408"/>
                    <wp:lineTo x="4460" y="17565"/>
                    <wp:lineTo x="21691" y="17017"/>
                    <wp:lineTo x="21691" y="4391"/>
                    <wp:lineTo x="4663" y="0"/>
                    <wp:lineTo x="3244" y="0"/>
                  </wp:wrapPolygon>
                </wp:wrapThrough>
                <wp:docPr id="944" name="Flèche vers la gauche 944"/>
                <wp:cNvGraphicFramePr/>
                <a:graphic xmlns:a="http://schemas.openxmlformats.org/drawingml/2006/main">
                  <a:graphicData uri="http://schemas.microsoft.com/office/word/2010/wordprocessingShape">
                    <wps:wsp>
                      <wps:cNvSpPr/>
                      <wps:spPr>
                        <a:xfrm>
                          <a:off x="0" y="0"/>
                          <a:ext cx="2706370" cy="999490"/>
                        </a:xfrm>
                        <a:prstGeom prst="leftArrow">
                          <a:avLst/>
                        </a:prstGeom>
                        <a:solidFill>
                          <a:schemeClr val="tx1">
                            <a:lumMod val="65000"/>
                            <a:lumOff val="35000"/>
                          </a:schemeClr>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5334C0D2" w14:textId="132D5477" w:rsidR="00573C95" w:rsidRDefault="00573C95" w:rsidP="002A57B7">
                            <w:pPr>
                              <w:jc w:val="center"/>
                            </w:pPr>
                            <w:r>
                              <w:t xml:space="preserve">100 % IMPOSABLE </w:t>
                            </w:r>
                          </w:p>
                        </w:txbxContent>
                      </wps:txbx>
                      <wps:bodyPr anchor="ctr" anchorCtr="0"/>
                    </wps:wsp>
                  </a:graphicData>
                </a:graphic>
                <wp14:sizeRelH relativeFrom="margin">
                  <wp14:pctWidth>0</wp14:pctWidth>
                </wp14:sizeRelH>
                <wp14:sizeRelV relativeFrom="margin">
                  <wp14:pctHeight>0</wp14:pctHeight>
                </wp14:sizeRelV>
              </wp:anchor>
            </w:drawing>
          </mc:Choice>
          <mc:Fallback>
            <w:pict>
              <v:shape id="Flèche vers la gauche 944" o:spid="_x0000_s1300" type="#_x0000_t66" style="position:absolute;margin-left:333pt;margin-top:14.15pt;width:213.1pt;height:78.7pt;z-index:2534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" adj="3989" fillcolor="#5a5a5a [2109]" strokecolor="#38332c [1605]" strokeweight="1.25pt">
                <v:textbox>
                  <w:txbxContent>
                    <w:p w14:paraId="5334C0D2" w14:textId="132D5477" w:rsidR="001501D6" w:rsidRDefault="001501D6" w:rsidP="002A57B7">
                      <w:pPr>
                        <w:jc w:val="center"/>
                      </w:pPr>
                      <w:r>
                        <w:t xml:space="preserve">100 % IMPOSABLE </w:t>
                      </w:r>
                    </w:p>
                  </w:txbxContent>
                </v:textbox>
                <w10:wrap type="through"/>
              </v:shape>
            </w:pict>
          </mc:Fallback>
        </mc:AlternateContent>
      </w:r>
      <w:r w:rsidR="003E1BE1">
        <w:rPr>
          <w:noProof/>
          <w:lang w:eastAsia="fr-FR"/>
        </w:rPr>
        <mc:AlternateContent>
          <mc:Choice Requires="wps">
            <w:drawing>
              <wp:anchor distT="0" distB="0" distL="114300" distR="114300" simplePos="0" relativeHeight="252540928" behindDoc="0" locked="0" layoutInCell="1" allowOverlap="1" wp14:anchorId="40CA36B4" wp14:editId="003A9F73">
                <wp:simplePos x="0" y="0"/>
                <wp:positionH relativeFrom="column">
                  <wp:posOffset>2971800</wp:posOffset>
                </wp:positionH>
                <wp:positionV relativeFrom="paragraph">
                  <wp:posOffset>138430</wp:posOffset>
                </wp:positionV>
                <wp:extent cx="1028700" cy="1028700"/>
                <wp:effectExtent l="0" t="0" r="38100" b="38100"/>
                <wp:wrapThrough wrapText="bothSides">
                  <wp:wrapPolygon edited="0">
                    <wp:start x="533" y="0"/>
                    <wp:lineTo x="0" y="1600"/>
                    <wp:lineTo x="0" y="20800"/>
                    <wp:lineTo x="533" y="21867"/>
                    <wp:lineTo x="21333" y="21867"/>
                    <wp:lineTo x="21867" y="20800"/>
                    <wp:lineTo x="21867" y="1600"/>
                    <wp:lineTo x="21333" y="0"/>
                    <wp:lineTo x="533" y="0"/>
                  </wp:wrapPolygon>
                </wp:wrapThrough>
                <wp:docPr id="455" name="Rectangle à coins arrondis 455"/>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FF0000"/>
                        </a:solidFill>
                        <a:ln>
                          <a:solidFill>
                            <a:srgbClr val="000000"/>
                          </a:solidFill>
                        </a:ln>
                      </wps:spPr>
                      <wps:style>
                        <a:lnRef idx="3">
                          <a:schemeClr val="lt1"/>
                        </a:lnRef>
                        <a:fillRef idx="1">
                          <a:schemeClr val="accent4"/>
                        </a:fillRef>
                        <a:effectRef idx="1">
                          <a:schemeClr val="accent4"/>
                        </a:effectRef>
                        <a:fontRef idx="minor">
                          <a:schemeClr val="lt1"/>
                        </a:fontRef>
                      </wps:style>
                      <wps:txbx>
                        <w:txbxContent>
                          <w:p w14:paraId="4921A025" w14:textId="19616531" w:rsidR="00573C95" w:rsidRPr="00393954" w:rsidRDefault="00573C95" w:rsidP="003E1BE1">
                            <w:pPr>
                              <w:jc w:val="center"/>
                              <w:rPr>
                                <w:color w:val="000000"/>
                                <w:sz w:val="20"/>
                                <w:szCs w:val="20"/>
                              </w:rPr>
                            </w:pPr>
                            <w:r>
                              <w:rPr>
                                <w:color w:val="000000"/>
                                <w:sz w:val="20"/>
                                <w:szCs w:val="20"/>
                              </w:rPr>
                              <w:t>Hors abri fiscal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55" o:spid="_x0000_s1301" style="position:absolute;margin-left:234pt;margin-top:10.9pt;width:81pt;height:81pt;z-index:2525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" fillcolor="red" strokeweight="1.75pt">
                <v:textbox>
                  <w:txbxContent>
                    <w:p w14:paraId="4921A025" w14:textId="19616531" w:rsidR="001501D6" w:rsidRPr="00393954" w:rsidRDefault="001501D6" w:rsidP="003E1BE1">
                      <w:pPr>
                        <w:jc w:val="center"/>
                        <w:rPr>
                          <w:color w:val="000000"/>
                          <w:sz w:val="20"/>
                          <w:szCs w:val="20"/>
                        </w:rPr>
                      </w:pPr>
                      <w:r>
                        <w:rPr>
                          <w:color w:val="000000"/>
                          <w:sz w:val="20"/>
                          <w:szCs w:val="20"/>
                        </w:rPr>
                        <w:t>Hors abri fiscal</w:t>
                      </w:r>
                    </w:p>
                  </w:txbxContent>
                </v:textbox>
                <w10:wrap type="through"/>
              </v:roundrect>
            </w:pict>
          </mc:Fallback>
        </mc:AlternateContent>
      </w:r>
    </w:p>
    <w:p w14:paraId="398493B6" w14:textId="5E688B12" w:rsidR="000107D7" w:rsidRDefault="0051413F">
      <w:pPr>
        <w:rPr>
          <w:color w:val="000000" w:themeColor="text1"/>
        </w:rPr>
      </w:pPr>
      <w:r w:rsidRPr="002A57B7">
        <w:rPr>
          <w:noProof/>
          <w:color w:val="000000" w:themeColor="text1"/>
          <w:lang w:eastAsia="fr-FR"/>
        </w:rPr>
        <mc:AlternateContent>
          <mc:Choice Requires="wps">
            <w:drawing>
              <wp:anchor distT="0" distB="0" distL="114300" distR="114300" simplePos="0" relativeHeight="253426688" behindDoc="0" locked="0" layoutInCell="1" allowOverlap="1" wp14:anchorId="6BAC162A" wp14:editId="21531970">
                <wp:simplePos x="0" y="0"/>
                <wp:positionH relativeFrom="column">
                  <wp:posOffset>4229100</wp:posOffset>
                </wp:positionH>
                <wp:positionV relativeFrom="paragraph">
                  <wp:posOffset>2050415</wp:posOffset>
                </wp:positionV>
                <wp:extent cx="2706370" cy="999490"/>
                <wp:effectExtent l="0" t="0" r="36830" b="16510"/>
                <wp:wrapThrough wrapText="bothSides">
                  <wp:wrapPolygon edited="0">
                    <wp:start x="3244" y="0"/>
                    <wp:lineTo x="0" y="8783"/>
                    <wp:lineTo x="0" y="12076"/>
                    <wp:lineTo x="3041" y="21408"/>
                    <wp:lineTo x="3244" y="21408"/>
                    <wp:lineTo x="4663" y="21408"/>
                    <wp:lineTo x="4460" y="17565"/>
                    <wp:lineTo x="21691" y="17017"/>
                    <wp:lineTo x="21691" y="4391"/>
                    <wp:lineTo x="4663" y="0"/>
                    <wp:lineTo x="3244" y="0"/>
                  </wp:wrapPolygon>
                </wp:wrapThrough>
                <wp:docPr id="949" name="Flèche vers la gauche 949"/>
                <wp:cNvGraphicFramePr/>
                <a:graphic xmlns:a="http://schemas.openxmlformats.org/drawingml/2006/main">
                  <a:graphicData uri="http://schemas.microsoft.com/office/word/2010/wordprocessingShape">
                    <wps:wsp>
                      <wps:cNvSpPr/>
                      <wps:spPr>
                        <a:xfrm>
                          <a:off x="0" y="0"/>
                          <a:ext cx="2706370" cy="999490"/>
                        </a:xfrm>
                        <a:prstGeom prst="leftArrow">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27A376BB" w14:textId="77777777" w:rsidR="00573C95" w:rsidRDefault="00573C95" w:rsidP="0051413F">
                            <w:pPr>
                              <w:jc w:val="center"/>
                            </w:pPr>
                            <w:r>
                              <w:t>OPÉRATIONS NON IMPOSABLES</w:t>
                            </w:r>
                          </w:p>
                        </w:txbxContent>
                      </wps:txbx>
                      <wps:bodyPr/>
                    </wps:wsp>
                  </a:graphicData>
                </a:graphic>
                <wp14:sizeRelH relativeFrom="margin">
                  <wp14:pctWidth>0</wp14:pctWidth>
                </wp14:sizeRelH>
                <wp14:sizeRelV relativeFrom="margin">
                  <wp14:pctHeight>0</wp14:pctHeight>
                </wp14:sizeRelV>
              </wp:anchor>
            </w:drawing>
          </mc:Choice>
          <mc:Fallback>
            <w:pict>
              <v:shape id="Flèche vers la gauche 949" o:spid="_x0000_s1302" type="#_x0000_t66" style="position:absolute;margin-left:333pt;margin-top:161.45pt;width:213.1pt;height:78.7pt;z-index:2534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" adj="3989" fillcolor="#71685a [3205]" strokecolor="#38332c [1605]" strokeweight="1.25pt">
                <v:textbox>
                  <w:txbxContent>
                    <w:p w14:paraId="27A376BB" w14:textId="77777777" w:rsidR="001501D6" w:rsidRDefault="001501D6" w:rsidP="0051413F">
                      <w:pPr>
                        <w:jc w:val="center"/>
                      </w:pPr>
                      <w:r>
                        <w:t>OPÉRATIONS NON IMPOSABLES</w:t>
                      </w:r>
                    </w:p>
                  </w:txbxContent>
                </v:textbox>
                <w10:wrap type="through"/>
              </v:shape>
            </w:pict>
          </mc:Fallback>
        </mc:AlternateContent>
      </w:r>
      <w:r w:rsidRPr="002A57B7">
        <w:rPr>
          <w:noProof/>
          <w:color w:val="000000" w:themeColor="text1"/>
          <w:lang w:eastAsia="fr-FR"/>
        </w:rPr>
        <mc:AlternateContent>
          <mc:Choice Requires="wps">
            <w:drawing>
              <wp:anchor distT="0" distB="0" distL="114300" distR="114300" simplePos="0" relativeHeight="253423616" behindDoc="0" locked="0" layoutInCell="1" allowOverlap="1" wp14:anchorId="544FACC8" wp14:editId="7F93EEE3">
                <wp:simplePos x="0" y="0"/>
                <wp:positionH relativeFrom="column">
                  <wp:posOffset>4229100</wp:posOffset>
                </wp:positionH>
                <wp:positionV relativeFrom="paragraph">
                  <wp:posOffset>1021715</wp:posOffset>
                </wp:positionV>
                <wp:extent cx="2706370" cy="999490"/>
                <wp:effectExtent l="0" t="0" r="36830" b="16510"/>
                <wp:wrapThrough wrapText="bothSides">
                  <wp:wrapPolygon edited="0">
                    <wp:start x="3244" y="0"/>
                    <wp:lineTo x="0" y="8783"/>
                    <wp:lineTo x="0" y="12076"/>
                    <wp:lineTo x="3041" y="21408"/>
                    <wp:lineTo x="3244" y="21408"/>
                    <wp:lineTo x="4663" y="21408"/>
                    <wp:lineTo x="4460" y="17565"/>
                    <wp:lineTo x="21691" y="17017"/>
                    <wp:lineTo x="21691" y="4391"/>
                    <wp:lineTo x="4663" y="0"/>
                    <wp:lineTo x="3244" y="0"/>
                  </wp:wrapPolygon>
                </wp:wrapThrough>
                <wp:docPr id="931" name="Flèche vers la gauche 931"/>
                <wp:cNvGraphicFramePr/>
                <a:graphic xmlns:a="http://schemas.openxmlformats.org/drawingml/2006/main">
                  <a:graphicData uri="http://schemas.microsoft.com/office/word/2010/wordprocessingShape">
                    <wps:wsp>
                      <wps:cNvSpPr/>
                      <wps:spPr>
                        <a:xfrm>
                          <a:off x="0" y="0"/>
                          <a:ext cx="2706370" cy="999490"/>
                        </a:xfrm>
                        <a:prstGeom prst="leftArrow">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518BD37D" w14:textId="77777777" w:rsidR="00573C95" w:rsidRDefault="00573C95" w:rsidP="002A57B7">
                            <w:pPr>
                              <w:jc w:val="center"/>
                            </w:pPr>
                            <w:r>
                              <w:t>OPÉRATIONS NON IMPOSABLES</w:t>
                            </w:r>
                          </w:p>
                        </w:txbxContent>
                      </wps:txbx>
                      <wps:bodyPr/>
                    </wps:wsp>
                  </a:graphicData>
                </a:graphic>
                <wp14:sizeRelH relativeFrom="margin">
                  <wp14:pctWidth>0</wp14:pctWidth>
                </wp14:sizeRelH>
                <wp14:sizeRelV relativeFrom="margin">
                  <wp14:pctHeight>0</wp14:pctHeight>
                </wp14:sizeRelV>
              </wp:anchor>
            </w:drawing>
          </mc:Choice>
          <mc:Fallback>
            <w:pict>
              <v:shape id="Flèche vers la gauche 931" o:spid="_x0000_s1303" type="#_x0000_t66" style="position:absolute;margin-left:333pt;margin-top:80.45pt;width:213.1pt;height:78.7pt;z-index:2534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" adj="3989" fillcolor="#71685a [3205]" strokecolor="#38332c [1605]" strokeweight="1.25pt">
                <v:textbox>
                  <w:txbxContent>
                    <w:p w14:paraId="518BD37D" w14:textId="77777777" w:rsidR="001501D6" w:rsidRDefault="001501D6" w:rsidP="002A57B7">
                      <w:pPr>
                        <w:jc w:val="center"/>
                      </w:pPr>
                      <w:r>
                        <w:t>OPÉRATIONS NON IMPOSABLES</w:t>
                      </w:r>
                    </w:p>
                  </w:txbxContent>
                </v:textbox>
                <w10:wrap type="through"/>
              </v:shape>
            </w:pict>
          </mc:Fallback>
        </mc:AlternateContent>
      </w:r>
      <w:r w:rsidR="005345B5">
        <w:rPr>
          <w:noProof/>
          <w:u w:val="single"/>
          <w:lang w:eastAsia="fr-FR"/>
        </w:rPr>
        <mc:AlternateContent>
          <mc:Choice Requires="wps">
            <w:drawing>
              <wp:anchor distT="0" distB="0" distL="114300" distR="114300" simplePos="0" relativeHeight="252556288" behindDoc="0" locked="0" layoutInCell="1" allowOverlap="1" wp14:anchorId="19CA18AB" wp14:editId="03749354">
                <wp:simplePos x="0" y="0"/>
                <wp:positionH relativeFrom="column">
                  <wp:posOffset>918210</wp:posOffset>
                </wp:positionH>
                <wp:positionV relativeFrom="paragraph">
                  <wp:posOffset>1966595</wp:posOffset>
                </wp:positionV>
                <wp:extent cx="2400300" cy="470535"/>
                <wp:effectExtent l="0" t="406400" r="12700" b="393065"/>
                <wp:wrapSquare wrapText="bothSides"/>
                <wp:docPr id="464" name="Zone de texte 464"/>
                <wp:cNvGraphicFramePr/>
                <a:graphic xmlns:a="http://schemas.openxmlformats.org/drawingml/2006/main">
                  <a:graphicData uri="http://schemas.microsoft.com/office/word/2010/wordprocessingShape">
                    <wps:wsp>
                      <wps:cNvSpPr txBox="1"/>
                      <wps:spPr>
                        <a:xfrm rot="1264680">
                          <a:off x="0" y="0"/>
                          <a:ext cx="2400300" cy="4705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011CDD" w14:textId="77777777" w:rsidR="00573C95" w:rsidRPr="005345B5" w:rsidRDefault="00573C95" w:rsidP="005345B5">
                            <w:pPr>
                              <w:jc w:val="center"/>
                            </w:pPr>
                          </w:p>
                          <w:p w14:paraId="59BD0F98" w14:textId="00696C09" w:rsidR="00573C95" w:rsidRPr="005345B5" w:rsidRDefault="00573C95" w:rsidP="005345B5">
                            <w:pPr>
                              <w:jc w:val="center"/>
                            </w:pPr>
                            <w:r>
                              <w:t>ACHAT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64" o:spid="_x0000_s1304" type="#_x0000_t202" style="position:absolute;margin-left:72.3pt;margin-top:154.85pt;width:189pt;height:37.05pt;rotation:1381368fd;z-index:2525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" filled="f" stroked="f">
                <v:textbox>
                  <w:txbxContent>
                    <w:p w14:paraId="24011CDD" w14:textId="77777777" w:rsidR="001501D6" w:rsidRPr="005345B5" w:rsidRDefault="001501D6" w:rsidP="005345B5">
                      <w:pPr>
                        <w:jc w:val="center"/>
                      </w:pPr>
                    </w:p>
                    <w:p w14:paraId="59BD0F98" w14:textId="00696C09" w:rsidR="001501D6" w:rsidRPr="005345B5" w:rsidRDefault="001501D6" w:rsidP="005345B5">
                      <w:pPr>
                        <w:jc w:val="center"/>
                      </w:pPr>
                      <w:r>
                        <w:t>ACHAT</w:t>
                      </w:r>
                    </w:p>
                  </w:txbxContent>
                </v:textbox>
                <w10:wrap type="square"/>
              </v:shape>
            </w:pict>
          </mc:Fallback>
        </mc:AlternateContent>
      </w:r>
      <w:r w:rsidR="005345B5">
        <w:rPr>
          <w:noProof/>
          <w:u w:val="single"/>
          <w:lang w:eastAsia="fr-FR"/>
        </w:rPr>
        <mc:AlternateContent>
          <mc:Choice Requires="wps">
            <w:drawing>
              <wp:anchor distT="0" distB="0" distL="114300" distR="114300" simplePos="0" relativeHeight="252554240" behindDoc="0" locked="0" layoutInCell="1" allowOverlap="1" wp14:anchorId="5CEB65C0" wp14:editId="5CAC419A">
                <wp:simplePos x="0" y="0"/>
                <wp:positionH relativeFrom="column">
                  <wp:posOffset>929005</wp:posOffset>
                </wp:positionH>
                <wp:positionV relativeFrom="paragraph">
                  <wp:posOffset>990600</wp:posOffset>
                </wp:positionV>
                <wp:extent cx="2400300" cy="470535"/>
                <wp:effectExtent l="0" t="0" r="0" b="12065"/>
                <wp:wrapSquare wrapText="bothSides"/>
                <wp:docPr id="463" name="Zone de texte 463"/>
                <wp:cNvGraphicFramePr/>
                <a:graphic xmlns:a="http://schemas.openxmlformats.org/drawingml/2006/main">
                  <a:graphicData uri="http://schemas.microsoft.com/office/word/2010/wordprocessingShape">
                    <wps:wsp>
                      <wps:cNvSpPr txBox="1"/>
                      <wps:spPr>
                        <a:xfrm>
                          <a:off x="0" y="0"/>
                          <a:ext cx="2400300" cy="4705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654EA2" w14:textId="77777777" w:rsidR="00573C95" w:rsidRPr="005345B5" w:rsidRDefault="00573C95" w:rsidP="005345B5">
                            <w:pPr>
                              <w:jc w:val="center"/>
                            </w:pPr>
                          </w:p>
                          <w:p w14:paraId="2E866097" w14:textId="6E5F64D5" w:rsidR="00573C95" w:rsidRPr="005345B5" w:rsidRDefault="00573C95" w:rsidP="005345B5">
                            <w:pPr>
                              <w:jc w:val="center"/>
                            </w:pPr>
                            <w:r>
                              <w:t>TRANSFERT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63" o:spid="_x0000_s1305" type="#_x0000_t202" style="position:absolute;margin-left:73.15pt;margin-top:78pt;width:189pt;height:37.05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" filled="f" stroked="f">
                <v:textbox>
                  <w:txbxContent>
                    <w:p w14:paraId="29654EA2" w14:textId="77777777" w:rsidR="001501D6" w:rsidRPr="005345B5" w:rsidRDefault="001501D6" w:rsidP="005345B5">
                      <w:pPr>
                        <w:jc w:val="center"/>
                      </w:pPr>
                    </w:p>
                    <w:p w14:paraId="2E866097" w14:textId="6E5F64D5" w:rsidR="001501D6" w:rsidRPr="005345B5" w:rsidRDefault="001501D6" w:rsidP="005345B5">
                      <w:pPr>
                        <w:jc w:val="center"/>
                      </w:pPr>
                      <w:r>
                        <w:t>TRANSFERT</w:t>
                      </w:r>
                    </w:p>
                  </w:txbxContent>
                </v:textbox>
                <w10:wrap type="square"/>
              </v:shape>
            </w:pict>
          </mc:Fallback>
        </mc:AlternateContent>
      </w:r>
      <w:r w:rsidR="005345B5">
        <w:rPr>
          <w:noProof/>
          <w:u w:val="single"/>
          <w:lang w:eastAsia="fr-FR"/>
        </w:rPr>
        <mc:AlternateContent>
          <mc:Choice Requires="wps">
            <w:drawing>
              <wp:anchor distT="0" distB="0" distL="114300" distR="114300" simplePos="0" relativeHeight="252552192" behindDoc="0" locked="0" layoutInCell="1" allowOverlap="1" wp14:anchorId="1FA056A2" wp14:editId="7A364A66">
                <wp:simplePos x="0" y="0"/>
                <wp:positionH relativeFrom="column">
                  <wp:posOffset>702310</wp:posOffset>
                </wp:positionH>
                <wp:positionV relativeFrom="paragraph">
                  <wp:posOffset>287655</wp:posOffset>
                </wp:positionV>
                <wp:extent cx="2400300" cy="470535"/>
                <wp:effectExtent l="0" t="355600" r="0" b="342265"/>
                <wp:wrapSquare wrapText="bothSides"/>
                <wp:docPr id="462" name="Zone de texte 462"/>
                <wp:cNvGraphicFramePr/>
                <a:graphic xmlns:a="http://schemas.openxmlformats.org/drawingml/2006/main">
                  <a:graphicData uri="http://schemas.microsoft.com/office/word/2010/wordprocessingShape">
                    <wps:wsp>
                      <wps:cNvSpPr txBox="1"/>
                      <wps:spPr>
                        <a:xfrm rot="20537509">
                          <a:off x="0" y="0"/>
                          <a:ext cx="2400300" cy="4705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86AD32" w14:textId="77777777" w:rsidR="00573C95" w:rsidRPr="005345B5" w:rsidRDefault="00573C95" w:rsidP="005345B5">
                            <w:pPr>
                              <w:jc w:val="center"/>
                            </w:pPr>
                          </w:p>
                          <w:p w14:paraId="3AAF246A" w14:textId="6820EF97" w:rsidR="00573C95" w:rsidRPr="005345B5" w:rsidRDefault="00573C95" w:rsidP="005345B5">
                            <w:pPr>
                              <w:jc w:val="center"/>
                            </w:pPr>
                            <w:r>
                              <w:t>ENCAISSEMENT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62" o:spid="_x0000_s1306" type="#_x0000_t202" style="position:absolute;margin-left:55.3pt;margin-top:22.65pt;width:189pt;height:37.05pt;rotation:-1160524fd;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" filled="f" stroked="f">
                <v:textbox>
                  <w:txbxContent>
                    <w:p w14:paraId="2586AD32" w14:textId="77777777" w:rsidR="001501D6" w:rsidRPr="005345B5" w:rsidRDefault="001501D6" w:rsidP="005345B5">
                      <w:pPr>
                        <w:jc w:val="center"/>
                      </w:pPr>
                    </w:p>
                    <w:p w14:paraId="3AAF246A" w14:textId="6820EF97" w:rsidR="001501D6" w:rsidRPr="005345B5" w:rsidRDefault="001501D6" w:rsidP="005345B5">
                      <w:pPr>
                        <w:jc w:val="center"/>
                      </w:pPr>
                      <w:r>
                        <w:t>ENCAISSEMENT</w:t>
                      </w:r>
                    </w:p>
                  </w:txbxContent>
                </v:textbox>
                <w10:wrap type="square"/>
              </v:shape>
            </w:pict>
          </mc:Fallback>
        </mc:AlternateContent>
      </w:r>
      <w:r w:rsidR="00C61D58">
        <w:rPr>
          <w:noProof/>
          <w:lang w:eastAsia="fr-FR"/>
        </w:rPr>
        <mc:AlternateContent>
          <mc:Choice Requires="wps">
            <w:drawing>
              <wp:anchor distT="0" distB="0" distL="114300" distR="114300" simplePos="0" relativeHeight="252550144" behindDoc="0" locked="0" layoutInCell="1" allowOverlap="1" wp14:anchorId="2BBC3EB8" wp14:editId="20B0EBEF">
                <wp:simplePos x="0" y="0"/>
                <wp:positionH relativeFrom="column">
                  <wp:posOffset>1257300</wp:posOffset>
                </wp:positionH>
                <wp:positionV relativeFrom="paragraph">
                  <wp:posOffset>1551305</wp:posOffset>
                </wp:positionV>
                <wp:extent cx="1714500" cy="0"/>
                <wp:effectExtent l="0" t="101600" r="38100" b="127000"/>
                <wp:wrapNone/>
                <wp:docPr id="461" name="Connecteur droit 461"/>
                <wp:cNvGraphicFramePr/>
                <a:graphic xmlns:a="http://schemas.openxmlformats.org/drawingml/2006/main">
                  <a:graphicData uri="http://schemas.microsoft.com/office/word/2010/wordprocessingShape">
                    <wps:wsp>
                      <wps:cNvCnPr/>
                      <wps:spPr>
                        <a:xfrm>
                          <a:off x="0" y="0"/>
                          <a:ext cx="1714500" cy="0"/>
                        </a:xfrm>
                        <a:prstGeom prst="line">
                          <a:avLst/>
                        </a:prstGeom>
                        <a:ln>
                          <a:solidFill>
                            <a:srgbClr val="00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461" o:spid="_x0000_s1026" style="position:absolute;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pt,122.15pt" to="234pt,12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" strokeweight="1.25pt">
                <v:stroke endarrow="block" endarrowwidth="wide"/>
              </v:line>
            </w:pict>
          </mc:Fallback>
        </mc:AlternateContent>
      </w:r>
      <w:r w:rsidR="00C61D58">
        <w:rPr>
          <w:noProof/>
          <w:lang w:eastAsia="fr-FR"/>
        </w:rPr>
        <mc:AlternateContent>
          <mc:Choice Requires="wps">
            <w:drawing>
              <wp:anchor distT="0" distB="0" distL="114300" distR="114300" simplePos="0" relativeHeight="252548096" behindDoc="0" locked="0" layoutInCell="1" allowOverlap="1" wp14:anchorId="3D603015" wp14:editId="3E57E77F">
                <wp:simplePos x="0" y="0"/>
                <wp:positionH relativeFrom="column">
                  <wp:posOffset>1143000</wp:posOffset>
                </wp:positionH>
                <wp:positionV relativeFrom="paragraph">
                  <wp:posOffset>2122805</wp:posOffset>
                </wp:positionV>
                <wp:extent cx="1828800" cy="685800"/>
                <wp:effectExtent l="0" t="0" r="101600" b="101600"/>
                <wp:wrapNone/>
                <wp:docPr id="460" name="Connecteur droit 460"/>
                <wp:cNvGraphicFramePr/>
                <a:graphic xmlns:a="http://schemas.openxmlformats.org/drawingml/2006/main">
                  <a:graphicData uri="http://schemas.microsoft.com/office/word/2010/wordprocessingShape">
                    <wps:wsp>
                      <wps:cNvCnPr/>
                      <wps:spPr>
                        <a:xfrm>
                          <a:off x="0" y="0"/>
                          <a:ext cx="1828800" cy="685800"/>
                        </a:xfrm>
                        <a:prstGeom prst="line">
                          <a:avLst/>
                        </a:prstGeom>
                        <a:ln>
                          <a:solidFill>
                            <a:srgbClr val="00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460" o:spid="_x0000_s1026" style="position:absolute;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pt,167.15pt" to="234pt,221.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" strokeweight="1.25pt">
                <v:stroke endarrow="block" endarrowwidth="wide"/>
              </v:line>
            </w:pict>
          </mc:Fallback>
        </mc:AlternateContent>
      </w:r>
      <w:r w:rsidR="0098390C">
        <w:rPr>
          <w:noProof/>
          <w:lang w:eastAsia="fr-FR"/>
        </w:rPr>
        <mc:AlternateContent>
          <mc:Choice Requires="wps">
            <w:drawing>
              <wp:anchor distT="0" distB="0" distL="114300" distR="114300" simplePos="0" relativeHeight="252546048" behindDoc="0" locked="0" layoutInCell="1" allowOverlap="1" wp14:anchorId="6006251C" wp14:editId="6BB8841B">
                <wp:simplePos x="0" y="0"/>
                <wp:positionH relativeFrom="column">
                  <wp:posOffset>1143000</wp:posOffset>
                </wp:positionH>
                <wp:positionV relativeFrom="paragraph">
                  <wp:posOffset>522605</wp:posOffset>
                </wp:positionV>
                <wp:extent cx="1828800" cy="571500"/>
                <wp:effectExtent l="0" t="76200" r="50800" b="38100"/>
                <wp:wrapNone/>
                <wp:docPr id="459" name="Connecteur droit 459"/>
                <wp:cNvGraphicFramePr/>
                <a:graphic xmlns:a="http://schemas.openxmlformats.org/drawingml/2006/main">
                  <a:graphicData uri="http://schemas.microsoft.com/office/word/2010/wordprocessingShape">
                    <wps:wsp>
                      <wps:cNvCnPr/>
                      <wps:spPr>
                        <a:xfrm flipV="1">
                          <a:off x="0" y="0"/>
                          <a:ext cx="1828800" cy="571500"/>
                        </a:xfrm>
                        <a:prstGeom prst="line">
                          <a:avLst/>
                        </a:prstGeom>
                        <a:ln>
                          <a:solidFill>
                            <a:srgbClr val="00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459" o:spid="_x0000_s1026" style="position:absolute;flip:y;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pt,41.15pt" to="234pt,8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" strokeweight="1.25pt">
                <v:stroke endarrow="block" endarrowwidth="wide"/>
              </v:line>
            </w:pict>
          </mc:Fallback>
        </mc:AlternateContent>
      </w:r>
      <w:r w:rsidR="0098390C">
        <w:rPr>
          <w:noProof/>
          <w:lang w:eastAsia="fr-FR"/>
        </w:rPr>
        <mc:AlternateContent>
          <mc:Choice Requires="wps">
            <w:drawing>
              <wp:anchor distT="0" distB="0" distL="114300" distR="114300" simplePos="0" relativeHeight="252539904" behindDoc="0" locked="0" layoutInCell="1" allowOverlap="1" wp14:anchorId="317B84DA" wp14:editId="1CFFC03C">
                <wp:simplePos x="0" y="0"/>
                <wp:positionH relativeFrom="column">
                  <wp:posOffset>228600</wp:posOffset>
                </wp:positionH>
                <wp:positionV relativeFrom="paragraph">
                  <wp:posOffset>1094105</wp:posOffset>
                </wp:positionV>
                <wp:extent cx="1028700" cy="1028700"/>
                <wp:effectExtent l="0" t="0" r="38100" b="38100"/>
                <wp:wrapThrough wrapText="bothSides">
                  <wp:wrapPolygon edited="0">
                    <wp:start x="533" y="0"/>
                    <wp:lineTo x="0" y="1600"/>
                    <wp:lineTo x="0" y="20800"/>
                    <wp:lineTo x="533" y="21867"/>
                    <wp:lineTo x="21333" y="21867"/>
                    <wp:lineTo x="21867" y="20800"/>
                    <wp:lineTo x="21867" y="1600"/>
                    <wp:lineTo x="21333" y="0"/>
                    <wp:lineTo x="533" y="0"/>
                  </wp:wrapPolygon>
                </wp:wrapThrough>
                <wp:docPr id="454" name="Rectangle à coins arrondis 454"/>
                <wp:cNvGraphicFramePr/>
                <a:graphic xmlns:a="http://schemas.openxmlformats.org/drawingml/2006/main">
                  <a:graphicData uri="http://schemas.microsoft.com/office/word/2010/wordprocessingShape">
                    <wps:wsp>
                      <wps:cNvSpPr/>
                      <wps:spPr>
                        <a:xfrm>
                          <a:off x="0" y="0"/>
                          <a:ext cx="1028700" cy="1028700"/>
                        </a:xfrm>
                        <a:prstGeom prst="roundRect">
                          <a:avLst/>
                        </a:prstGeom>
                        <a:ln>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877A52" w14:textId="5ADF3737" w:rsidR="00573C95" w:rsidRPr="00937E48" w:rsidRDefault="00573C95" w:rsidP="003E1BE1">
                            <w:pPr>
                              <w:jc w:val="center"/>
                              <w:rPr>
                                <w:sz w:val="20"/>
                                <w:szCs w:val="20"/>
                              </w:rPr>
                            </w:pPr>
                            <w:r>
                              <w:rPr>
                                <w:sz w:val="20"/>
                                <w:szCs w:val="20"/>
                              </w:rPr>
                              <w:t>REÉR avant le 31 décembre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54" o:spid="_x0000_s1307" style="position:absolute;margin-left:18pt;margin-top:86.15pt;width:81pt;height:81p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" fillcolor="#94c600 [3204]" strokeweight="1.25pt">
                <v:textbox>
                  <w:txbxContent>
                    <w:p w14:paraId="2B877A52" w14:textId="5ADF3737" w:rsidR="001501D6" w:rsidRPr="00937E48" w:rsidRDefault="001501D6" w:rsidP="003E1BE1">
                      <w:pPr>
                        <w:jc w:val="center"/>
                        <w:rPr>
                          <w:sz w:val="20"/>
                          <w:szCs w:val="20"/>
                        </w:rPr>
                      </w:pPr>
                      <w:r>
                        <w:rPr>
                          <w:sz w:val="20"/>
                          <w:szCs w:val="20"/>
                        </w:rPr>
                        <w:t>REÉR avant le 31 décembre</w:t>
                      </w:r>
                    </w:p>
                  </w:txbxContent>
                </v:textbox>
                <w10:wrap type="through"/>
              </v:roundrect>
            </w:pict>
          </mc:Fallback>
        </mc:AlternateContent>
      </w:r>
      <w:r w:rsidR="0098390C">
        <w:rPr>
          <w:noProof/>
          <w:lang w:eastAsia="fr-FR"/>
        </w:rPr>
        <mc:AlternateContent>
          <mc:Choice Requires="wps">
            <w:drawing>
              <wp:anchor distT="0" distB="0" distL="114300" distR="114300" simplePos="0" relativeHeight="252541952" behindDoc="0" locked="0" layoutInCell="1" allowOverlap="1" wp14:anchorId="53E67D17" wp14:editId="1DA7B119">
                <wp:simplePos x="0" y="0"/>
                <wp:positionH relativeFrom="column">
                  <wp:posOffset>2971800</wp:posOffset>
                </wp:positionH>
                <wp:positionV relativeFrom="paragraph">
                  <wp:posOffset>1094105</wp:posOffset>
                </wp:positionV>
                <wp:extent cx="1028700" cy="1028700"/>
                <wp:effectExtent l="0" t="0" r="38100" b="38100"/>
                <wp:wrapThrough wrapText="bothSides">
                  <wp:wrapPolygon edited="0">
                    <wp:start x="533" y="0"/>
                    <wp:lineTo x="0" y="1600"/>
                    <wp:lineTo x="0" y="20800"/>
                    <wp:lineTo x="533" y="21867"/>
                    <wp:lineTo x="21333" y="21867"/>
                    <wp:lineTo x="21867" y="20800"/>
                    <wp:lineTo x="21867" y="1600"/>
                    <wp:lineTo x="21333" y="0"/>
                    <wp:lineTo x="533" y="0"/>
                  </wp:wrapPolygon>
                </wp:wrapThrough>
                <wp:docPr id="456" name="Rectangle à coins arrondis 456"/>
                <wp:cNvGraphicFramePr/>
                <a:graphic xmlns:a="http://schemas.openxmlformats.org/drawingml/2006/main">
                  <a:graphicData uri="http://schemas.microsoft.com/office/word/2010/wordprocessingShape">
                    <wps:wsp>
                      <wps:cNvSpPr/>
                      <wps:spPr>
                        <a:xfrm>
                          <a:off x="0" y="0"/>
                          <a:ext cx="1028700" cy="1028700"/>
                        </a:xfrm>
                        <a:prstGeom prst="roundRect">
                          <a:avLst/>
                        </a:prstGeom>
                        <a:ln>
                          <a:solidFill>
                            <a:srgbClr val="000000"/>
                          </a:solidFill>
                        </a:ln>
                      </wps:spPr>
                      <wps:style>
                        <a:lnRef idx="3">
                          <a:schemeClr val="lt1"/>
                        </a:lnRef>
                        <a:fillRef idx="1">
                          <a:schemeClr val="accent1"/>
                        </a:fillRef>
                        <a:effectRef idx="1">
                          <a:schemeClr val="accent1"/>
                        </a:effectRef>
                        <a:fontRef idx="minor">
                          <a:schemeClr val="lt1"/>
                        </a:fontRef>
                      </wps:style>
                      <wps:txbx>
                        <w:txbxContent>
                          <w:p w14:paraId="498A557E" w14:textId="7DB52533" w:rsidR="00573C95" w:rsidRPr="00937E48" w:rsidRDefault="00573C95" w:rsidP="003E1BE1">
                            <w:pPr>
                              <w:jc w:val="center"/>
                              <w:rPr>
                                <w:sz w:val="20"/>
                                <w:szCs w:val="20"/>
                              </w:rPr>
                            </w:pPr>
                            <w:r>
                              <w:rPr>
                                <w:sz w:val="20"/>
                                <w:szCs w:val="20"/>
                              </w:rPr>
                              <w:t>FEER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56" o:spid="_x0000_s1308" style="position:absolute;margin-left:234pt;margin-top:86.15pt;width:81pt;height:81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" fillcolor="#94c600 [3204]" strokeweight="1.75pt">
                <v:textbox>
                  <w:txbxContent>
                    <w:p w14:paraId="498A557E" w14:textId="7DB52533" w:rsidR="001501D6" w:rsidRPr="00937E48" w:rsidRDefault="001501D6" w:rsidP="003E1BE1">
                      <w:pPr>
                        <w:jc w:val="center"/>
                        <w:rPr>
                          <w:sz w:val="20"/>
                          <w:szCs w:val="20"/>
                        </w:rPr>
                      </w:pPr>
                      <w:r>
                        <w:rPr>
                          <w:sz w:val="20"/>
                          <w:szCs w:val="20"/>
                        </w:rPr>
                        <w:t>FEER</w:t>
                      </w:r>
                    </w:p>
                  </w:txbxContent>
                </v:textbox>
                <w10:wrap type="through"/>
              </v:roundrect>
            </w:pict>
          </mc:Fallback>
        </mc:AlternateContent>
      </w:r>
      <w:r w:rsidR="0098390C">
        <w:rPr>
          <w:noProof/>
          <w:lang w:eastAsia="fr-FR"/>
        </w:rPr>
        <mc:AlternateContent>
          <mc:Choice Requires="wps">
            <w:drawing>
              <wp:anchor distT="0" distB="0" distL="114300" distR="114300" simplePos="0" relativeHeight="252542976" behindDoc="0" locked="0" layoutInCell="1" allowOverlap="1" wp14:anchorId="27529ECE" wp14:editId="55FE58B6">
                <wp:simplePos x="0" y="0"/>
                <wp:positionH relativeFrom="column">
                  <wp:posOffset>2971800</wp:posOffset>
                </wp:positionH>
                <wp:positionV relativeFrom="paragraph">
                  <wp:posOffset>2237105</wp:posOffset>
                </wp:positionV>
                <wp:extent cx="1028700" cy="1028700"/>
                <wp:effectExtent l="0" t="0" r="38100" b="38100"/>
                <wp:wrapThrough wrapText="bothSides">
                  <wp:wrapPolygon edited="0">
                    <wp:start x="533" y="0"/>
                    <wp:lineTo x="0" y="1600"/>
                    <wp:lineTo x="0" y="20800"/>
                    <wp:lineTo x="533" y="21867"/>
                    <wp:lineTo x="21333" y="21867"/>
                    <wp:lineTo x="21867" y="20800"/>
                    <wp:lineTo x="21867" y="1600"/>
                    <wp:lineTo x="21333" y="0"/>
                    <wp:lineTo x="533" y="0"/>
                  </wp:wrapPolygon>
                </wp:wrapThrough>
                <wp:docPr id="457" name="Rectangle à coins arrondis 457"/>
                <wp:cNvGraphicFramePr/>
                <a:graphic xmlns:a="http://schemas.openxmlformats.org/drawingml/2006/main">
                  <a:graphicData uri="http://schemas.microsoft.com/office/word/2010/wordprocessingShape">
                    <wps:wsp>
                      <wps:cNvSpPr/>
                      <wps:spPr>
                        <a:xfrm>
                          <a:off x="0" y="0"/>
                          <a:ext cx="1028700" cy="1028700"/>
                        </a:xfrm>
                        <a:prstGeom prst="roundRect">
                          <a:avLst/>
                        </a:prstGeom>
                        <a:ln>
                          <a:solidFill>
                            <a:srgbClr val="000000"/>
                          </a:solidFill>
                        </a:ln>
                      </wps:spPr>
                      <wps:style>
                        <a:lnRef idx="3">
                          <a:schemeClr val="lt1"/>
                        </a:lnRef>
                        <a:fillRef idx="1">
                          <a:schemeClr val="accent1"/>
                        </a:fillRef>
                        <a:effectRef idx="1">
                          <a:schemeClr val="accent1"/>
                        </a:effectRef>
                        <a:fontRef idx="minor">
                          <a:schemeClr val="lt1"/>
                        </a:fontRef>
                      </wps:style>
                      <wps:txbx>
                        <w:txbxContent>
                          <w:p w14:paraId="75DC186B" w14:textId="2E8A2928" w:rsidR="00573C95" w:rsidRPr="00937E48" w:rsidRDefault="00573C95" w:rsidP="003E1BE1">
                            <w:pPr>
                              <w:jc w:val="center"/>
                              <w:rPr>
                                <w:sz w:val="20"/>
                                <w:szCs w:val="20"/>
                              </w:rPr>
                            </w:pPr>
                            <w:r>
                              <w:rPr>
                                <w:sz w:val="20"/>
                                <w:szCs w:val="20"/>
                              </w:rPr>
                              <w:t>R</w:t>
                            </w:r>
                            <w:r w:rsidRPr="00937E48">
                              <w:rPr>
                                <w:sz w:val="20"/>
                                <w:szCs w:val="20"/>
                              </w:rPr>
                              <w:t>ente viagère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57" o:spid="_x0000_s1309" style="position:absolute;margin-left:234pt;margin-top:176.15pt;width:81pt;height:81pt;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" fillcolor="#94c600 [3204]" strokeweight="1.75pt">
                <v:textbox>
                  <w:txbxContent>
                    <w:p w14:paraId="75DC186B" w14:textId="2E8A2928" w:rsidR="001501D6" w:rsidRPr="00937E48" w:rsidRDefault="001501D6" w:rsidP="003E1BE1">
                      <w:pPr>
                        <w:jc w:val="center"/>
                        <w:rPr>
                          <w:sz w:val="20"/>
                          <w:szCs w:val="20"/>
                        </w:rPr>
                      </w:pPr>
                      <w:r>
                        <w:rPr>
                          <w:sz w:val="20"/>
                          <w:szCs w:val="20"/>
                        </w:rPr>
                        <w:t>R</w:t>
                      </w:r>
                      <w:r w:rsidRPr="00937E48">
                        <w:rPr>
                          <w:sz w:val="20"/>
                          <w:szCs w:val="20"/>
                        </w:rPr>
                        <w:t>ente viagère</w:t>
                      </w:r>
                    </w:p>
                  </w:txbxContent>
                </v:textbox>
                <w10:wrap type="through"/>
              </v:roundrect>
            </w:pict>
          </mc:Fallback>
        </mc:AlternateContent>
      </w:r>
      <w:r w:rsidR="000107D7">
        <w:rPr>
          <w:color w:val="000000" w:themeColor="text1"/>
        </w:rPr>
        <w:br w:type="page"/>
      </w:r>
    </w:p>
    <w:p w14:paraId="27C485CB" w14:textId="77777777" w:rsidR="00786F98" w:rsidRPr="00786F98" w:rsidRDefault="00786F98" w:rsidP="00786F98">
      <w:pPr>
        <w:jc w:val="both"/>
        <w:rPr>
          <w:color w:val="000000" w:themeColor="text1"/>
        </w:rPr>
      </w:pPr>
    </w:p>
    <w:p w14:paraId="59E75917" w14:textId="38D34739" w:rsidR="000E17F4" w:rsidRDefault="000E17F4" w:rsidP="000E17F4">
      <w:pPr>
        <w:jc w:val="both"/>
      </w:pPr>
      <w:r>
        <w:rPr>
          <w:color w:val="000000" w:themeColor="text1"/>
        </w:rPr>
        <w:t xml:space="preserve">Sauf lorsque la valeur du REÉR est très minime, la </w:t>
      </w:r>
      <w:r w:rsidR="0051413F">
        <w:rPr>
          <w:color w:val="000000" w:themeColor="text1"/>
        </w:rPr>
        <w:t>première</w:t>
      </w:r>
      <w:r>
        <w:rPr>
          <w:color w:val="000000" w:themeColor="text1"/>
        </w:rPr>
        <w:t xml:space="preserve"> option est rejetée et le choix s'opère entre le transfert au FERR, l'achat d'une rente viagère ou un mélange de ces deux options. L'ensemble de la discussion sur le choix entre l'option du FERR et de la rente viagère a été abordé à la </w:t>
      </w:r>
      <w:r w:rsidRPr="00957678">
        <w:rPr>
          <w:color w:val="008000"/>
        </w:rPr>
        <w:t xml:space="preserve">SECTION </w:t>
      </w:r>
      <w:r>
        <w:rPr>
          <w:color w:val="008000"/>
        </w:rPr>
        <w:t>3</w:t>
      </w:r>
      <w:r w:rsidRPr="00957678">
        <w:rPr>
          <w:color w:val="008000"/>
        </w:rPr>
        <w:t>.2.1.3.</w:t>
      </w:r>
      <w:r>
        <w:t xml:space="preserve"> </w:t>
      </w:r>
      <w:proofErr w:type="gramStart"/>
      <w:r>
        <w:t>portant</w:t>
      </w:r>
      <w:proofErr w:type="gramEnd"/>
      <w:r>
        <w:t xml:space="preserve"> sur les rentes à la retraite provenant d'un RPACD. Les propos qui sont tenus sur le FRV correspondent à ceux applicables au FERR. Ces deux véhicules sont presque identiques, à l'exception du fait que le FRV comporte la contrainte d'un retrait maximum annuel qui ne s'applique pas dans le cas des FERR (Les deux ont la même obligation d'un même pourcentage de retrait minimum annuel).</w:t>
      </w:r>
    </w:p>
    <w:p w14:paraId="1B51BF9E" w14:textId="77777777" w:rsidR="000E17F4" w:rsidRDefault="000E17F4" w:rsidP="000E17F4">
      <w:pPr>
        <w:jc w:val="both"/>
      </w:pPr>
    </w:p>
    <w:p w14:paraId="2A30D855" w14:textId="3DC7EAD1" w:rsidR="000E17F4" w:rsidRDefault="000E17F4" w:rsidP="000E17F4">
      <w:pPr>
        <w:jc w:val="both"/>
      </w:pPr>
      <w:r>
        <w:t>Nous aimerions toutefois ajouter aux propos déjà tenus sur les rentes viagères. Le choix entre un prolongement du REÉR vers le FERR et l'achat d</w:t>
      </w:r>
      <w:r w:rsidR="006C663D">
        <w:t>’u</w:t>
      </w:r>
      <w:r>
        <w:t xml:space="preserve">ne rente viagère est fort important et ne fait pas toujours l'objet d'une analyse sérieuse. Bien que les deux options visent à pourvoir le contribuable d'un revenu de retraite, les caractéristiques du FERR et de la rente viagère sont surtout </w:t>
      </w:r>
      <w:r w:rsidR="006C663D">
        <w:t>distinctives</w:t>
      </w:r>
      <w:r>
        <w:t>.</w:t>
      </w:r>
    </w:p>
    <w:p w14:paraId="2EE7F6BE" w14:textId="77777777" w:rsidR="000E17F4" w:rsidRDefault="000E17F4" w:rsidP="000E17F4">
      <w:pPr>
        <w:jc w:val="both"/>
      </w:pPr>
    </w:p>
    <w:p w14:paraId="13F1A3E7" w14:textId="77777777" w:rsidR="000E17F4" w:rsidRDefault="000E17F4" w:rsidP="000E17F4">
      <w:pPr>
        <w:jc w:val="both"/>
      </w:pPr>
      <w:r>
        <w:t xml:space="preserve">Il est curieux de constater combien les gens souhaiteraient pouvoir bénéficier d'un RPAPD, alors qu'ils possèdent en toute liberté l'atout pour transformer leur REÉR en promesse de rente semblable à celles provenant d'un RPAPD, sans pour autant y avoir habituellement recours. Pourtant, c'est ce que la rente viagère fait; </w:t>
      </w:r>
      <w:r w:rsidRPr="00765C7C">
        <w:rPr>
          <w:color w:val="FF6700" w:themeColor="accent3"/>
        </w:rPr>
        <w:t>TRANSFORMER UN CAPITAL EN PROMESSE DE RENTES JUSQU'AU DÉCÈS</w:t>
      </w:r>
      <w:r>
        <w:t xml:space="preserve">. </w:t>
      </w:r>
    </w:p>
    <w:p w14:paraId="38299655" w14:textId="77777777" w:rsidR="000E17F4" w:rsidRDefault="000E17F4" w:rsidP="000E17F4">
      <w:pPr>
        <w:jc w:val="both"/>
      </w:pPr>
    </w:p>
    <w:p w14:paraId="2E79044F" w14:textId="74179723" w:rsidR="000E17F4" w:rsidRDefault="000E17F4" w:rsidP="000E17F4">
      <w:pPr>
        <w:jc w:val="both"/>
      </w:pPr>
      <w:r>
        <w:t>Par ailleurs, le recours des gens à l'assurance-vie afin de se prémunir des conséquences financières fâcheuses pour la famille d'un décès prématuré d'un des conjoints est bien intégré aux saines pratiques en matière de finances personnelles. Pourtant, le risque financier de vivre trop longtemps et ainsi survivre à son capital</w:t>
      </w:r>
      <w:r w:rsidR="00DE61F1">
        <w:t>-</w:t>
      </w:r>
      <w:r>
        <w:t xml:space="preserve">retraite est aussi bien réel. À cet égard, l'achat d'une rente viagère agit telle une assurance décès, le risque à couvrir étant de manquer d'argent parce que l'on vit trop longtemps.   </w:t>
      </w:r>
    </w:p>
    <w:p w14:paraId="73A724D6" w14:textId="77777777" w:rsidR="000E17F4" w:rsidRDefault="000E17F4" w:rsidP="000E17F4">
      <w:pPr>
        <w:jc w:val="both"/>
      </w:pPr>
    </w:p>
    <w:p w14:paraId="6E3D1349" w14:textId="0EE31F0F" w:rsidR="000E17F4" w:rsidRDefault="00DE61F1" w:rsidP="000E17F4">
      <w:pPr>
        <w:jc w:val="both"/>
      </w:pPr>
      <w:r>
        <w:t>Le</w:t>
      </w:r>
      <w:r w:rsidR="000E17F4">
        <w:t xml:space="preserve"> transfert du REÉR dans un FERR est le choix privilégié par la majorité des contribuables. Les avantages quant à la souplesse du FE</w:t>
      </w:r>
      <w:r w:rsidR="006C663D">
        <w:t>R</w:t>
      </w:r>
      <w:r w:rsidR="000E17F4">
        <w:t>R, tout autant dans la gestion des placements et la possibilité de moduler les retraits (limite minimum seulement, aucune limite sur le maximum) selon les besoins du retraité, sont des arguments importants lorsque le contribuable doit choisir son option de retraite. Dans le même ordre d'idée, le FE</w:t>
      </w:r>
      <w:r w:rsidR="006C663D">
        <w:t>R</w:t>
      </w:r>
      <w:r w:rsidR="000E17F4">
        <w:t xml:space="preserve">R demeure une option où il est possible de changer d'idée au gré des événements (conversion en rente viagère) alors que l'achat de la rente viagère constitue un geste irréversible.  </w:t>
      </w:r>
    </w:p>
    <w:p w14:paraId="3819C6F0" w14:textId="3D2107C0" w:rsidR="000E17F4" w:rsidRDefault="000E17F4" w:rsidP="000E17F4">
      <w:pPr>
        <w:jc w:val="both"/>
      </w:pPr>
      <w:r>
        <w:lastRenderedPageBreak/>
        <w:t>Finalement, bien des gens hésitent à faire l'acquisition de rentes viagères lorsque les taux d'</w:t>
      </w:r>
      <w:r w:rsidR="006C663D">
        <w:t>intérêt</w:t>
      </w:r>
      <w:r>
        <w:t xml:space="preserve"> sont faibles. À notre avis, il faut davantage porter attention aux objectifs financiers et à la personnalité du retraité. Quant à la question de rendements, </w:t>
      </w:r>
      <w:r w:rsidR="006C663D">
        <w:t>il</w:t>
      </w:r>
      <w:r>
        <w:t xml:space="preserve"> faut convenir que malgré le potentiel de rendement qui est offert dans un véhicule comme le FERR, les investissements d'un retraité </w:t>
      </w:r>
      <w:r w:rsidR="006C663D">
        <w:t>devraient</w:t>
      </w:r>
      <w:r>
        <w:t xml:space="preserve"> être prudents et tend</w:t>
      </w:r>
      <w:r w:rsidR="00D822C3">
        <w:t>re</w:t>
      </w:r>
      <w:r>
        <w:t xml:space="preserve"> eux aussi vers les rendements fixes </w:t>
      </w:r>
      <w:r w:rsidR="001B3078">
        <w:t xml:space="preserve">propres aux revenus </w:t>
      </w:r>
      <w:r>
        <w:t>d'intérêt. Aussi, le rendement de la rente viagère s'appréciera grandement si vous décédez à un âge avancé. C'est la nature même de la rente viagère</w:t>
      </w:r>
      <w:r w:rsidR="00846CC9">
        <w:t>. V</w:t>
      </w:r>
      <w:r>
        <w:t xml:space="preserve">ous pourrez </w:t>
      </w:r>
      <w:r w:rsidR="00846CC9">
        <w:t>alors</w:t>
      </w:r>
      <w:r>
        <w:t xml:space="preserve"> augmenter vo</w:t>
      </w:r>
      <w:r w:rsidR="00846CC9">
        <w:t>tre</w:t>
      </w:r>
      <w:r>
        <w:t xml:space="preserve"> rendement en surpassant l'espérance de vie normale</w:t>
      </w:r>
      <w:r w:rsidR="00846CC9">
        <w:t>. L'opération se financera</w:t>
      </w:r>
      <w:r>
        <w:t xml:space="preserve"> à même les contrats de rentes viagères de</w:t>
      </w:r>
      <w:r w:rsidR="00846CC9">
        <w:t xml:space="preserve">s rentiers </w:t>
      </w:r>
      <w:r>
        <w:t xml:space="preserve">qui </w:t>
      </w:r>
      <w:r w:rsidR="006C663D">
        <w:t>sont</w:t>
      </w:r>
      <w:r>
        <w:t xml:space="preserve"> </w:t>
      </w:r>
      <w:r w:rsidR="006C663D">
        <w:t>décédés</w:t>
      </w:r>
      <w:r>
        <w:t xml:space="preserve"> prématurément.</w:t>
      </w:r>
    </w:p>
    <w:p w14:paraId="4FF1C2EC" w14:textId="77777777" w:rsidR="000E17F4" w:rsidRDefault="000E17F4" w:rsidP="000E17F4">
      <w:pPr>
        <w:jc w:val="both"/>
      </w:pPr>
    </w:p>
    <w:p w14:paraId="60485B35" w14:textId="073B48B8" w:rsidR="004B694B" w:rsidRDefault="004B694B">
      <w:r>
        <w:rPr>
          <w:noProof/>
          <w:lang w:eastAsia="fr-FR"/>
        </w:rPr>
        <w:drawing>
          <wp:anchor distT="0" distB="0" distL="114300" distR="114300" simplePos="0" relativeHeight="252557312" behindDoc="0" locked="0" layoutInCell="1" allowOverlap="1" wp14:anchorId="6B7C130E" wp14:editId="4448A9A5">
            <wp:simplePos x="0" y="0"/>
            <wp:positionH relativeFrom="column">
              <wp:posOffset>-114300</wp:posOffset>
            </wp:positionH>
            <wp:positionV relativeFrom="paragraph">
              <wp:posOffset>33020</wp:posOffset>
            </wp:positionV>
            <wp:extent cx="5372993" cy="2413840"/>
            <wp:effectExtent l="0" t="0" r="12065" b="0"/>
            <wp:wrapNone/>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5-10-15 à 15.28.51.png"/>
                    <pic:cNvPicPr/>
                  </pic:nvPicPr>
                  <pic:blipFill>
                    <a:blip r:embed="rId116">
                      <a:extLst>
                        <a:ext uri="{28A0092B-C50C-407E-A947-70E740481C1C}">
                          <a14:useLocalDpi xmlns:a14="http://schemas.microsoft.com/office/drawing/2010/main" val="0"/>
                        </a:ext>
                      </a:extLst>
                    </a:blip>
                    <a:stretch>
                      <a:fillRect/>
                    </a:stretch>
                  </pic:blipFill>
                  <pic:spPr>
                    <a:xfrm>
                      <a:off x="0" y="0"/>
                      <a:ext cx="5372993" cy="241384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br w:type="page"/>
      </w:r>
    </w:p>
    <w:p w14:paraId="3568B948" w14:textId="7EEE6E9A" w:rsidR="000E17F4" w:rsidRDefault="000E17F4" w:rsidP="000E17F4">
      <w:pPr>
        <w:jc w:val="both"/>
      </w:pPr>
      <w:r>
        <w:lastRenderedPageBreak/>
        <w:t>Tableau comparatif</w:t>
      </w:r>
      <w:r w:rsidR="00513CDD">
        <w:t xml:space="preserve"> (FERR vs Rente viagère)</w:t>
      </w:r>
    </w:p>
    <w:p w14:paraId="31384534" w14:textId="77777777" w:rsidR="00513CDD" w:rsidRDefault="00513CDD" w:rsidP="000E17F4">
      <w:pPr>
        <w:jc w:val="both"/>
      </w:pPr>
    </w:p>
    <w:tbl>
      <w:tblPr>
        <w:tblStyle w:val="Grille"/>
        <w:tblW w:w="131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2977"/>
        <w:gridCol w:w="2693"/>
      </w:tblGrid>
      <w:tr w:rsidR="00513CDD" w14:paraId="6EED08DD" w14:textId="77777777" w:rsidTr="00513CDD">
        <w:tc>
          <w:tcPr>
            <w:tcW w:w="7479" w:type="dxa"/>
            <w:shd w:val="clear" w:color="auto" w:fill="000000" w:themeFill="text1"/>
          </w:tcPr>
          <w:p w14:paraId="1B0D2055" w14:textId="77777777" w:rsidR="00513CDD" w:rsidRDefault="00513CDD" w:rsidP="00513CDD">
            <w:pPr>
              <w:jc w:val="both"/>
            </w:pPr>
            <w:r>
              <w:t>Situations et critères</w:t>
            </w:r>
          </w:p>
        </w:tc>
        <w:tc>
          <w:tcPr>
            <w:tcW w:w="2977" w:type="dxa"/>
            <w:shd w:val="clear" w:color="auto" w:fill="000000" w:themeFill="text1"/>
          </w:tcPr>
          <w:p w14:paraId="619E0B2F" w14:textId="4982907A" w:rsidR="00513CDD" w:rsidRDefault="00513CDD" w:rsidP="00513CDD">
            <w:pPr>
              <w:jc w:val="center"/>
            </w:pPr>
            <w:r>
              <w:t>FERR</w:t>
            </w:r>
          </w:p>
        </w:tc>
        <w:tc>
          <w:tcPr>
            <w:tcW w:w="2693" w:type="dxa"/>
            <w:shd w:val="clear" w:color="auto" w:fill="000000" w:themeFill="text1"/>
          </w:tcPr>
          <w:p w14:paraId="071FEDA8" w14:textId="26B80BF6" w:rsidR="00513CDD" w:rsidRDefault="00ED201E" w:rsidP="00ED201E">
            <w:pPr>
              <w:jc w:val="center"/>
            </w:pPr>
            <w:r>
              <w:t>Rente viagère</w:t>
            </w:r>
          </w:p>
        </w:tc>
      </w:tr>
      <w:tr w:rsidR="00513CDD" w:rsidRPr="00C911A8" w14:paraId="5A79BCF9" w14:textId="77777777" w:rsidTr="00513CDD">
        <w:tc>
          <w:tcPr>
            <w:tcW w:w="7479" w:type="dxa"/>
            <w:shd w:val="clear" w:color="auto" w:fill="D9D9D9" w:themeFill="background1" w:themeFillShade="D9"/>
          </w:tcPr>
          <w:p w14:paraId="167A0764" w14:textId="77777777" w:rsidR="00513CDD" w:rsidRDefault="00513CDD" w:rsidP="00513CDD"/>
          <w:p w14:paraId="627A399A" w14:textId="565E7E69" w:rsidR="00513CDD" w:rsidRDefault="00ED201E" w:rsidP="00513CDD">
            <w:r>
              <w:t>Santé précaire</w:t>
            </w:r>
          </w:p>
          <w:p w14:paraId="0600C495" w14:textId="77777777" w:rsidR="00513CDD" w:rsidRDefault="00513CDD" w:rsidP="00513CDD"/>
        </w:tc>
        <w:tc>
          <w:tcPr>
            <w:tcW w:w="2977" w:type="dxa"/>
            <w:shd w:val="clear" w:color="auto" w:fill="DFFF82" w:themeFill="accent1" w:themeFillTint="66"/>
          </w:tcPr>
          <w:p w14:paraId="6682305D" w14:textId="22171B05" w:rsidR="00513CDD" w:rsidRPr="00C911A8" w:rsidRDefault="00ED201E" w:rsidP="00513CDD">
            <w:pPr>
              <w:jc w:val="center"/>
              <w:rPr>
                <w:color w:val="FFFFFF" w:themeColor="background1"/>
              </w:rPr>
            </w:pPr>
            <w:r>
              <w:rPr>
                <w:noProof/>
                <w:lang w:eastAsia="fr-FR"/>
              </w:rPr>
              <w:drawing>
                <wp:anchor distT="0" distB="0" distL="114300" distR="114300" simplePos="0" relativeHeight="252560384" behindDoc="0" locked="0" layoutInCell="1" allowOverlap="1" wp14:anchorId="61D4DCB2" wp14:editId="678478E1">
                  <wp:simplePos x="0" y="0"/>
                  <wp:positionH relativeFrom="column">
                    <wp:posOffset>622935</wp:posOffset>
                  </wp:positionH>
                  <wp:positionV relativeFrom="paragraph">
                    <wp:posOffset>467995</wp:posOffset>
                  </wp:positionV>
                  <wp:extent cx="342900" cy="344805"/>
                  <wp:effectExtent l="0" t="0" r="12700" b="10795"/>
                  <wp:wrapNone/>
                  <wp:docPr id="465" name="Image 465"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2559360" behindDoc="0" locked="0" layoutInCell="1" allowOverlap="1" wp14:anchorId="75B51970" wp14:editId="6B744B95">
                  <wp:simplePos x="0" y="0"/>
                  <wp:positionH relativeFrom="column">
                    <wp:posOffset>622935</wp:posOffset>
                  </wp:positionH>
                  <wp:positionV relativeFrom="paragraph">
                    <wp:posOffset>125095</wp:posOffset>
                  </wp:positionV>
                  <wp:extent cx="342900" cy="344805"/>
                  <wp:effectExtent l="0" t="0" r="12700" b="10795"/>
                  <wp:wrapNone/>
                  <wp:docPr id="466" name="Image 466"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2B864E62" w14:textId="77777777" w:rsidR="00513CDD" w:rsidRPr="00C911A8" w:rsidRDefault="00513CDD" w:rsidP="00513CDD">
            <w:pPr>
              <w:jc w:val="center"/>
              <w:rPr>
                <w:color w:val="FFFFFF" w:themeColor="background1"/>
              </w:rPr>
            </w:pPr>
          </w:p>
        </w:tc>
      </w:tr>
      <w:tr w:rsidR="00513CDD" w:rsidRPr="00C911A8" w14:paraId="185493A8" w14:textId="77777777" w:rsidTr="00513CDD">
        <w:tc>
          <w:tcPr>
            <w:tcW w:w="7479" w:type="dxa"/>
            <w:shd w:val="clear" w:color="auto" w:fill="D9D9D9" w:themeFill="background1" w:themeFillShade="D9"/>
          </w:tcPr>
          <w:p w14:paraId="0B537F37" w14:textId="00875536" w:rsidR="00513CDD" w:rsidRDefault="00ED201E" w:rsidP="00513CDD">
            <w:r>
              <w:t>Train de vie variable</w:t>
            </w:r>
          </w:p>
          <w:p w14:paraId="1D4423E5" w14:textId="77777777" w:rsidR="00513CDD" w:rsidRDefault="00513CDD" w:rsidP="00513CDD"/>
        </w:tc>
        <w:tc>
          <w:tcPr>
            <w:tcW w:w="2977" w:type="dxa"/>
            <w:shd w:val="clear" w:color="auto" w:fill="DFFF82" w:themeFill="accent1" w:themeFillTint="66"/>
          </w:tcPr>
          <w:p w14:paraId="5A21C389" w14:textId="77777777" w:rsidR="00513CDD" w:rsidRPr="00C911A8" w:rsidRDefault="00513CDD" w:rsidP="00513CDD">
            <w:pPr>
              <w:jc w:val="center"/>
              <w:rPr>
                <w:color w:val="FFFFFF" w:themeColor="background1"/>
              </w:rPr>
            </w:pPr>
            <w:r>
              <w:rPr>
                <w:noProof/>
                <w:lang w:eastAsia="fr-FR"/>
              </w:rPr>
              <w:drawing>
                <wp:anchor distT="0" distB="0" distL="114300" distR="114300" simplePos="0" relativeHeight="252561408" behindDoc="0" locked="0" layoutInCell="1" allowOverlap="1" wp14:anchorId="27A3B693" wp14:editId="040AB7F4">
                  <wp:simplePos x="0" y="0"/>
                  <wp:positionH relativeFrom="column">
                    <wp:posOffset>622935</wp:posOffset>
                  </wp:positionH>
                  <wp:positionV relativeFrom="paragraph">
                    <wp:posOffset>250190</wp:posOffset>
                  </wp:positionV>
                  <wp:extent cx="342900" cy="344805"/>
                  <wp:effectExtent l="0" t="0" r="12700" b="10795"/>
                  <wp:wrapNone/>
                  <wp:docPr id="467" name="Image 467"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5C573336" w14:textId="77777777" w:rsidR="00513CDD" w:rsidRPr="00C911A8" w:rsidRDefault="00513CDD" w:rsidP="00513CDD">
            <w:pPr>
              <w:jc w:val="center"/>
              <w:rPr>
                <w:color w:val="FFFFFF" w:themeColor="background1"/>
              </w:rPr>
            </w:pPr>
          </w:p>
        </w:tc>
      </w:tr>
      <w:tr w:rsidR="00513CDD" w:rsidRPr="00C911A8" w14:paraId="298C445C" w14:textId="77777777" w:rsidTr="00513CDD">
        <w:tc>
          <w:tcPr>
            <w:tcW w:w="7479" w:type="dxa"/>
            <w:shd w:val="clear" w:color="auto" w:fill="D9D9D9" w:themeFill="background1" w:themeFillShade="D9"/>
          </w:tcPr>
          <w:p w14:paraId="7FB1633A" w14:textId="618131F8" w:rsidR="00513CDD" w:rsidRDefault="00ED201E" w:rsidP="00513CDD">
            <w:r>
              <w:t>Objectif de legs testamentaire</w:t>
            </w:r>
          </w:p>
          <w:p w14:paraId="5338A80C" w14:textId="77777777" w:rsidR="00513CDD" w:rsidRDefault="00513CDD" w:rsidP="00513CDD"/>
        </w:tc>
        <w:tc>
          <w:tcPr>
            <w:tcW w:w="2977" w:type="dxa"/>
            <w:shd w:val="clear" w:color="auto" w:fill="DFFF82" w:themeFill="accent1" w:themeFillTint="66"/>
          </w:tcPr>
          <w:p w14:paraId="3F93B77D" w14:textId="1A771E05" w:rsidR="00513CDD" w:rsidRPr="00C911A8" w:rsidRDefault="00ED201E" w:rsidP="00513CDD">
            <w:pPr>
              <w:jc w:val="center"/>
              <w:rPr>
                <w:color w:val="FFFFFF" w:themeColor="background1"/>
              </w:rPr>
            </w:pPr>
            <w:r>
              <w:rPr>
                <w:noProof/>
                <w:lang w:eastAsia="fr-FR"/>
              </w:rPr>
              <w:drawing>
                <wp:anchor distT="0" distB="0" distL="114300" distR="114300" simplePos="0" relativeHeight="252562432" behindDoc="0" locked="0" layoutInCell="1" allowOverlap="1" wp14:anchorId="69637276" wp14:editId="6AC7713D">
                  <wp:simplePos x="0" y="0"/>
                  <wp:positionH relativeFrom="column">
                    <wp:posOffset>622935</wp:posOffset>
                  </wp:positionH>
                  <wp:positionV relativeFrom="paragraph">
                    <wp:posOffset>219710</wp:posOffset>
                  </wp:positionV>
                  <wp:extent cx="342900" cy="344805"/>
                  <wp:effectExtent l="0" t="0" r="12700" b="10795"/>
                  <wp:wrapNone/>
                  <wp:docPr id="468" name="Image 468"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20F31C2A" w14:textId="77777777" w:rsidR="00513CDD" w:rsidRPr="00C911A8" w:rsidRDefault="00513CDD" w:rsidP="00513CDD">
            <w:pPr>
              <w:jc w:val="center"/>
              <w:rPr>
                <w:color w:val="FFFFFF" w:themeColor="background1"/>
              </w:rPr>
            </w:pPr>
          </w:p>
        </w:tc>
      </w:tr>
      <w:tr w:rsidR="00513CDD" w:rsidRPr="00C911A8" w14:paraId="43E6F70E" w14:textId="77777777" w:rsidTr="00513CDD">
        <w:tc>
          <w:tcPr>
            <w:tcW w:w="7479" w:type="dxa"/>
            <w:shd w:val="clear" w:color="auto" w:fill="D9D9D9" w:themeFill="background1" w:themeFillShade="D9"/>
          </w:tcPr>
          <w:p w14:paraId="052753BE" w14:textId="694F771B" w:rsidR="00513CDD" w:rsidRDefault="00ED201E" w:rsidP="00513CDD">
            <w:r>
              <w:t>Incertitude quant au choix</w:t>
            </w:r>
          </w:p>
          <w:p w14:paraId="50C45D17" w14:textId="77777777" w:rsidR="00513CDD" w:rsidRDefault="00513CDD" w:rsidP="00513CDD"/>
        </w:tc>
        <w:tc>
          <w:tcPr>
            <w:tcW w:w="2977" w:type="dxa"/>
            <w:shd w:val="clear" w:color="auto" w:fill="DFFF82" w:themeFill="accent1" w:themeFillTint="66"/>
          </w:tcPr>
          <w:p w14:paraId="1834169F" w14:textId="0AA4BF41" w:rsidR="00513CDD" w:rsidRPr="00C911A8" w:rsidRDefault="00ED201E" w:rsidP="00513CDD">
            <w:pPr>
              <w:jc w:val="center"/>
              <w:rPr>
                <w:color w:val="FFFFFF" w:themeColor="background1"/>
              </w:rPr>
            </w:pPr>
            <w:r>
              <w:rPr>
                <w:noProof/>
                <w:lang w:eastAsia="fr-FR"/>
              </w:rPr>
              <w:drawing>
                <wp:anchor distT="0" distB="0" distL="114300" distR="114300" simplePos="0" relativeHeight="252569600" behindDoc="0" locked="0" layoutInCell="1" allowOverlap="1" wp14:anchorId="1E66237F" wp14:editId="6D49CF84">
                  <wp:simplePos x="0" y="0"/>
                  <wp:positionH relativeFrom="column">
                    <wp:posOffset>622935</wp:posOffset>
                  </wp:positionH>
                  <wp:positionV relativeFrom="paragraph">
                    <wp:posOffset>188595</wp:posOffset>
                  </wp:positionV>
                  <wp:extent cx="342900" cy="344805"/>
                  <wp:effectExtent l="0" t="0" r="12700" b="10795"/>
                  <wp:wrapNone/>
                  <wp:docPr id="474" name="Image 474"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21548E62" w14:textId="3C7B50CA" w:rsidR="00513CDD" w:rsidRPr="00C911A8" w:rsidRDefault="00513CDD" w:rsidP="00513CDD">
            <w:pPr>
              <w:jc w:val="center"/>
              <w:rPr>
                <w:color w:val="FFFFFF" w:themeColor="background1"/>
              </w:rPr>
            </w:pPr>
          </w:p>
        </w:tc>
      </w:tr>
      <w:tr w:rsidR="00ED201E" w:rsidRPr="00C911A8" w14:paraId="004F2F88" w14:textId="77777777" w:rsidTr="00513CDD">
        <w:tc>
          <w:tcPr>
            <w:tcW w:w="7479" w:type="dxa"/>
            <w:shd w:val="clear" w:color="auto" w:fill="D9D9D9" w:themeFill="background1" w:themeFillShade="D9"/>
          </w:tcPr>
          <w:p w14:paraId="78DF23E8" w14:textId="237181A2" w:rsidR="00ED201E" w:rsidRDefault="00ED201E" w:rsidP="00513CDD">
            <w:r>
              <w:t>Prise de valeur des marchés</w:t>
            </w:r>
          </w:p>
          <w:p w14:paraId="3FB2202D" w14:textId="77777777" w:rsidR="00ED201E" w:rsidRDefault="00ED201E" w:rsidP="00513CDD"/>
        </w:tc>
        <w:tc>
          <w:tcPr>
            <w:tcW w:w="2977" w:type="dxa"/>
            <w:shd w:val="clear" w:color="auto" w:fill="DFFF82" w:themeFill="accent1" w:themeFillTint="66"/>
          </w:tcPr>
          <w:p w14:paraId="2F89320B" w14:textId="31905F4C" w:rsidR="00ED201E" w:rsidRPr="00C911A8" w:rsidRDefault="00ED201E" w:rsidP="00513CDD">
            <w:pPr>
              <w:jc w:val="center"/>
              <w:rPr>
                <w:color w:val="FFFFFF" w:themeColor="background1"/>
              </w:rPr>
            </w:pPr>
          </w:p>
        </w:tc>
        <w:tc>
          <w:tcPr>
            <w:tcW w:w="2693" w:type="dxa"/>
            <w:shd w:val="clear" w:color="auto" w:fill="30EAF5"/>
          </w:tcPr>
          <w:p w14:paraId="3D51A5B7" w14:textId="77777777" w:rsidR="00ED201E" w:rsidRPr="00C911A8" w:rsidRDefault="00ED201E" w:rsidP="00513CDD">
            <w:pPr>
              <w:jc w:val="center"/>
              <w:rPr>
                <w:color w:val="FFFFFF" w:themeColor="background1"/>
              </w:rPr>
            </w:pPr>
          </w:p>
        </w:tc>
      </w:tr>
      <w:tr w:rsidR="00513CDD" w:rsidRPr="00C911A8" w14:paraId="15EA2E0D" w14:textId="77777777" w:rsidTr="00513CDD">
        <w:tc>
          <w:tcPr>
            <w:tcW w:w="7479" w:type="dxa"/>
            <w:shd w:val="clear" w:color="auto" w:fill="D9D9D9" w:themeFill="background1" w:themeFillShade="D9"/>
          </w:tcPr>
          <w:p w14:paraId="0EA0A96F" w14:textId="6C7C9EA2" w:rsidR="00513CDD" w:rsidRDefault="00ED201E" w:rsidP="00513CDD">
            <w:r>
              <w:t>Excellente santé</w:t>
            </w:r>
          </w:p>
          <w:p w14:paraId="4490B687" w14:textId="77777777" w:rsidR="00513CDD" w:rsidRDefault="00513CDD" w:rsidP="00513CDD"/>
        </w:tc>
        <w:tc>
          <w:tcPr>
            <w:tcW w:w="2977" w:type="dxa"/>
            <w:shd w:val="clear" w:color="auto" w:fill="DFFF82" w:themeFill="accent1" w:themeFillTint="66"/>
          </w:tcPr>
          <w:p w14:paraId="7EB74383" w14:textId="77777777" w:rsidR="00513CDD" w:rsidRPr="00C911A8" w:rsidRDefault="00513CDD" w:rsidP="00513CDD">
            <w:pPr>
              <w:jc w:val="center"/>
              <w:rPr>
                <w:color w:val="FFFFFF" w:themeColor="background1"/>
              </w:rPr>
            </w:pPr>
          </w:p>
        </w:tc>
        <w:tc>
          <w:tcPr>
            <w:tcW w:w="2693" w:type="dxa"/>
            <w:shd w:val="clear" w:color="auto" w:fill="30EAF5"/>
          </w:tcPr>
          <w:p w14:paraId="57A5FD10" w14:textId="61D72448" w:rsidR="00513CDD" w:rsidRPr="00C911A8" w:rsidRDefault="00ED201E" w:rsidP="00513CDD">
            <w:pPr>
              <w:jc w:val="center"/>
              <w:rPr>
                <w:color w:val="FFFFFF" w:themeColor="background1"/>
              </w:rPr>
            </w:pPr>
            <w:r>
              <w:rPr>
                <w:noProof/>
                <w:lang w:eastAsia="fr-FR"/>
              </w:rPr>
              <w:drawing>
                <wp:anchor distT="0" distB="0" distL="114300" distR="114300" simplePos="0" relativeHeight="252563456" behindDoc="0" locked="0" layoutInCell="1" allowOverlap="1" wp14:anchorId="3B64F999" wp14:editId="1597C243">
                  <wp:simplePos x="0" y="0"/>
                  <wp:positionH relativeFrom="column">
                    <wp:posOffset>561340</wp:posOffset>
                  </wp:positionH>
                  <wp:positionV relativeFrom="paragraph">
                    <wp:posOffset>43815</wp:posOffset>
                  </wp:positionV>
                  <wp:extent cx="342900" cy="344805"/>
                  <wp:effectExtent l="0" t="0" r="12700" b="10795"/>
                  <wp:wrapNone/>
                  <wp:docPr id="469" name="Image 469"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513CDD" w:rsidRPr="00C911A8" w14:paraId="02430CF4" w14:textId="77777777" w:rsidTr="00513CDD">
        <w:tc>
          <w:tcPr>
            <w:tcW w:w="7479" w:type="dxa"/>
            <w:shd w:val="clear" w:color="auto" w:fill="D9D9D9" w:themeFill="background1" w:themeFillShade="D9"/>
          </w:tcPr>
          <w:p w14:paraId="53F55707" w14:textId="2B5C9AE0" w:rsidR="00513CDD" w:rsidRDefault="00ED201E" w:rsidP="00513CDD">
            <w:r>
              <w:t>Couverture de risque (décès âgé)</w:t>
            </w:r>
          </w:p>
          <w:p w14:paraId="06188B20" w14:textId="77777777" w:rsidR="00513CDD" w:rsidRDefault="00513CDD" w:rsidP="00513CDD"/>
        </w:tc>
        <w:tc>
          <w:tcPr>
            <w:tcW w:w="2977" w:type="dxa"/>
            <w:shd w:val="clear" w:color="auto" w:fill="DFFF82" w:themeFill="accent1" w:themeFillTint="66"/>
          </w:tcPr>
          <w:p w14:paraId="769E0D75" w14:textId="77777777" w:rsidR="00513CDD" w:rsidRPr="00C911A8" w:rsidRDefault="00513CDD" w:rsidP="00513CDD">
            <w:pPr>
              <w:jc w:val="center"/>
              <w:rPr>
                <w:color w:val="FFFFFF" w:themeColor="background1"/>
              </w:rPr>
            </w:pPr>
          </w:p>
        </w:tc>
        <w:tc>
          <w:tcPr>
            <w:tcW w:w="2693" w:type="dxa"/>
            <w:shd w:val="clear" w:color="auto" w:fill="30EAF5"/>
          </w:tcPr>
          <w:p w14:paraId="2877429B" w14:textId="5CB267BA" w:rsidR="00513CDD" w:rsidRPr="00C911A8" w:rsidRDefault="00ED201E" w:rsidP="00513CDD">
            <w:pPr>
              <w:jc w:val="center"/>
              <w:rPr>
                <w:color w:val="FFFFFF" w:themeColor="background1"/>
              </w:rPr>
            </w:pPr>
            <w:r>
              <w:rPr>
                <w:noProof/>
                <w:lang w:eastAsia="fr-FR"/>
              </w:rPr>
              <w:drawing>
                <wp:anchor distT="0" distB="0" distL="114300" distR="114300" simplePos="0" relativeHeight="252564480" behindDoc="0" locked="0" layoutInCell="1" allowOverlap="1" wp14:anchorId="3D8BD858" wp14:editId="7F011C94">
                  <wp:simplePos x="0" y="0"/>
                  <wp:positionH relativeFrom="column">
                    <wp:posOffset>561340</wp:posOffset>
                  </wp:positionH>
                  <wp:positionV relativeFrom="paragraph">
                    <wp:posOffset>12700</wp:posOffset>
                  </wp:positionV>
                  <wp:extent cx="342900" cy="344805"/>
                  <wp:effectExtent l="25400" t="25400" r="0" b="36195"/>
                  <wp:wrapNone/>
                  <wp:docPr id="470" name="Image 470"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21172743">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13CDD">
              <w:rPr>
                <w:noProof/>
                <w:lang w:eastAsia="fr-FR"/>
              </w:rPr>
              <w:drawing>
                <wp:anchor distT="0" distB="0" distL="114300" distR="114300" simplePos="0" relativeHeight="252565504" behindDoc="0" locked="0" layoutInCell="1" allowOverlap="1" wp14:anchorId="09B499F4" wp14:editId="1FD30AEA">
                  <wp:simplePos x="0" y="0"/>
                  <wp:positionH relativeFrom="column">
                    <wp:posOffset>561340</wp:posOffset>
                  </wp:positionH>
                  <wp:positionV relativeFrom="paragraph">
                    <wp:posOffset>355600</wp:posOffset>
                  </wp:positionV>
                  <wp:extent cx="342900" cy="344805"/>
                  <wp:effectExtent l="0" t="0" r="12700" b="10795"/>
                  <wp:wrapNone/>
                  <wp:docPr id="471" name="Image 471"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513CDD" w:rsidRPr="00C911A8" w14:paraId="2FB4C41E" w14:textId="77777777" w:rsidTr="00513CDD">
        <w:tc>
          <w:tcPr>
            <w:tcW w:w="7479" w:type="dxa"/>
            <w:shd w:val="clear" w:color="auto" w:fill="D9D9D9" w:themeFill="background1" w:themeFillShade="D9"/>
          </w:tcPr>
          <w:p w14:paraId="61549B8B" w14:textId="18B6C31C" w:rsidR="00513CDD" w:rsidRDefault="00ED201E" w:rsidP="00513CDD">
            <w:r>
              <w:t>Couverture de risque (volatilité des marchés)</w:t>
            </w:r>
          </w:p>
          <w:p w14:paraId="05E01877" w14:textId="77777777" w:rsidR="00513CDD" w:rsidRDefault="00513CDD" w:rsidP="00513CDD"/>
        </w:tc>
        <w:tc>
          <w:tcPr>
            <w:tcW w:w="2977" w:type="dxa"/>
            <w:shd w:val="clear" w:color="auto" w:fill="DFFF82" w:themeFill="accent1" w:themeFillTint="66"/>
          </w:tcPr>
          <w:p w14:paraId="0117461B" w14:textId="77777777" w:rsidR="00513CDD" w:rsidRPr="00C911A8" w:rsidRDefault="00513CDD" w:rsidP="00513CDD">
            <w:pPr>
              <w:jc w:val="center"/>
              <w:rPr>
                <w:color w:val="FFFFFF" w:themeColor="background1"/>
              </w:rPr>
            </w:pPr>
          </w:p>
        </w:tc>
        <w:tc>
          <w:tcPr>
            <w:tcW w:w="2693" w:type="dxa"/>
            <w:shd w:val="clear" w:color="auto" w:fill="30EAF5"/>
          </w:tcPr>
          <w:p w14:paraId="74E9281D" w14:textId="77777777" w:rsidR="00513CDD" w:rsidRPr="00C911A8" w:rsidRDefault="00513CDD" w:rsidP="00513CDD">
            <w:pPr>
              <w:jc w:val="center"/>
              <w:rPr>
                <w:color w:val="FFFFFF" w:themeColor="background1"/>
              </w:rPr>
            </w:pPr>
            <w:r>
              <w:rPr>
                <w:noProof/>
                <w:lang w:eastAsia="fr-FR"/>
              </w:rPr>
              <w:drawing>
                <wp:anchor distT="0" distB="0" distL="114300" distR="114300" simplePos="0" relativeHeight="252566528" behindDoc="0" locked="0" layoutInCell="1" allowOverlap="1" wp14:anchorId="6706C31C" wp14:editId="44A31F24">
                  <wp:simplePos x="0" y="0"/>
                  <wp:positionH relativeFrom="column">
                    <wp:posOffset>561340</wp:posOffset>
                  </wp:positionH>
                  <wp:positionV relativeFrom="paragraph">
                    <wp:posOffset>325120</wp:posOffset>
                  </wp:positionV>
                  <wp:extent cx="342900" cy="344805"/>
                  <wp:effectExtent l="0" t="0" r="12700" b="10795"/>
                  <wp:wrapNone/>
                  <wp:docPr id="472" name="Image 472"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513CDD" w:rsidRPr="00C911A8" w14:paraId="151B5FEA" w14:textId="77777777" w:rsidTr="00513CDD">
        <w:tc>
          <w:tcPr>
            <w:tcW w:w="7479" w:type="dxa"/>
            <w:shd w:val="clear" w:color="auto" w:fill="D9D9D9" w:themeFill="background1" w:themeFillShade="D9"/>
          </w:tcPr>
          <w:p w14:paraId="44D48159" w14:textId="209826A2" w:rsidR="00513CDD" w:rsidRDefault="00ED201E" w:rsidP="00513CDD">
            <w:r>
              <w:t>Simplicité</w:t>
            </w:r>
          </w:p>
          <w:p w14:paraId="277313FE" w14:textId="77777777" w:rsidR="00513CDD" w:rsidRDefault="00513CDD" w:rsidP="00513CDD"/>
        </w:tc>
        <w:tc>
          <w:tcPr>
            <w:tcW w:w="2977" w:type="dxa"/>
            <w:shd w:val="clear" w:color="auto" w:fill="DFFF82" w:themeFill="accent1" w:themeFillTint="66"/>
          </w:tcPr>
          <w:p w14:paraId="04D2B6E4" w14:textId="77777777" w:rsidR="00513CDD" w:rsidRPr="00C911A8" w:rsidRDefault="00513CDD" w:rsidP="00513CDD">
            <w:pPr>
              <w:jc w:val="center"/>
              <w:rPr>
                <w:color w:val="FFFFFF" w:themeColor="background1"/>
              </w:rPr>
            </w:pPr>
          </w:p>
        </w:tc>
        <w:tc>
          <w:tcPr>
            <w:tcW w:w="2693" w:type="dxa"/>
            <w:shd w:val="clear" w:color="auto" w:fill="30EAF5"/>
          </w:tcPr>
          <w:p w14:paraId="22BF0479" w14:textId="77777777" w:rsidR="00513CDD" w:rsidRPr="00C911A8" w:rsidRDefault="00513CDD" w:rsidP="00513CDD">
            <w:pPr>
              <w:jc w:val="center"/>
              <w:rPr>
                <w:color w:val="FFFFFF" w:themeColor="background1"/>
              </w:rPr>
            </w:pPr>
            <w:r>
              <w:rPr>
                <w:noProof/>
                <w:lang w:eastAsia="fr-FR"/>
              </w:rPr>
              <w:drawing>
                <wp:anchor distT="0" distB="0" distL="114300" distR="114300" simplePos="0" relativeHeight="252567552" behindDoc="0" locked="0" layoutInCell="1" allowOverlap="1" wp14:anchorId="5CC1BCE8" wp14:editId="0F790818">
                  <wp:simplePos x="0" y="0"/>
                  <wp:positionH relativeFrom="column">
                    <wp:posOffset>561340</wp:posOffset>
                  </wp:positionH>
                  <wp:positionV relativeFrom="paragraph">
                    <wp:posOffset>377825</wp:posOffset>
                  </wp:positionV>
                  <wp:extent cx="342900" cy="344805"/>
                  <wp:effectExtent l="0" t="0" r="12700" b="10795"/>
                  <wp:wrapNone/>
                  <wp:docPr id="473" name="Image 473"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bl>
    <w:p w14:paraId="0D98D39B" w14:textId="77777777" w:rsidR="000E17F4" w:rsidRDefault="000E17F4" w:rsidP="000E17F4">
      <w:pPr>
        <w:jc w:val="both"/>
      </w:pPr>
    </w:p>
    <w:p w14:paraId="3AFA899F" w14:textId="77777777" w:rsidR="000E17F4" w:rsidRDefault="000E17F4" w:rsidP="000E17F4">
      <w:pPr>
        <w:jc w:val="both"/>
      </w:pPr>
      <w:r>
        <w:t xml:space="preserve">   </w:t>
      </w:r>
    </w:p>
    <w:p w14:paraId="387E67F6" w14:textId="679F2AE3" w:rsidR="000E6134" w:rsidRDefault="000E17F4" w:rsidP="000E17F4">
      <w:pPr>
        <w:jc w:val="both"/>
      </w:pPr>
      <w:r>
        <w:t xml:space="preserve"> </w:t>
      </w:r>
    </w:p>
    <w:p w14:paraId="603D2EFD" w14:textId="77777777" w:rsidR="000E6134" w:rsidRDefault="000E6134">
      <w:r>
        <w:br w:type="page"/>
      </w:r>
    </w:p>
    <w:p w14:paraId="475334DE" w14:textId="05CD8BD5" w:rsidR="000E6134" w:rsidRDefault="004F4085" w:rsidP="000E6134">
      <w:pPr>
        <w:rPr>
          <w:color w:val="000000" w:themeColor="text1"/>
          <w:u w:val="single"/>
        </w:rPr>
      </w:pPr>
      <w:r>
        <w:rPr>
          <w:noProof/>
          <w:lang w:eastAsia="fr-FR"/>
        </w:rPr>
        <w:lastRenderedPageBreak/>
        <mc:AlternateContent>
          <mc:Choice Requires="wps">
            <w:drawing>
              <wp:anchor distT="0" distB="0" distL="114300" distR="114300" simplePos="0" relativeHeight="252573696" behindDoc="0" locked="0" layoutInCell="1" allowOverlap="1" wp14:anchorId="3DC87236" wp14:editId="0F558302">
                <wp:simplePos x="0" y="0"/>
                <wp:positionH relativeFrom="column">
                  <wp:posOffset>4114800</wp:posOffset>
                </wp:positionH>
                <wp:positionV relativeFrom="paragraph">
                  <wp:posOffset>-457200</wp:posOffset>
                </wp:positionV>
                <wp:extent cx="800100" cy="800100"/>
                <wp:effectExtent l="25400" t="25400" r="38100" b="38100"/>
                <wp:wrapNone/>
                <wp:docPr id="476" name="Ellipse 476"/>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53EF198A" w14:textId="77777777" w:rsidR="00573C95" w:rsidRPr="004F4085" w:rsidRDefault="00573C95" w:rsidP="004F4085">
                            <w:pPr>
                              <w:jc w:val="center"/>
                            </w:pPr>
                            <w:r w:rsidRPr="004F4085">
                              <w:t xml:space="preserve">&gt; 71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76" o:spid="_x0000_s1310" style="position:absolute;margin-left:324pt;margin-top:-35.95pt;width:63pt;height:63pt;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" fillcolor="#70ffca" strokecolor="black [3213]" strokeweight="3pt">
                <v:textbox>
                  <w:txbxContent>
                    <w:p w14:paraId="53EF198A" w14:textId="77777777" w:rsidR="001501D6" w:rsidRPr="004F4085" w:rsidRDefault="001501D6" w:rsidP="004F4085">
                      <w:pPr>
                        <w:jc w:val="center"/>
                      </w:pPr>
                      <w:r w:rsidRPr="004F4085">
                        <w:t xml:space="preserve">&gt; 71 </w:t>
                      </w:r>
                    </w:p>
                  </w:txbxContent>
                </v:textbox>
              </v:oval>
            </w:pict>
          </mc:Fallback>
        </mc:AlternateContent>
      </w:r>
      <w:r w:rsidR="000E6134">
        <w:rPr>
          <w:color w:val="000000" w:themeColor="text1"/>
        </w:rPr>
        <w:t xml:space="preserve">Situation 2 - </w:t>
      </w:r>
      <w:r w:rsidR="000E6134">
        <w:rPr>
          <w:color w:val="000000" w:themeColor="text1"/>
          <w:u w:val="single"/>
        </w:rPr>
        <w:t>Le contribuable est âgé de plus de 71 ans</w:t>
      </w:r>
      <w:r w:rsidR="000E6134" w:rsidRPr="00F27B04">
        <w:rPr>
          <w:color w:val="000000" w:themeColor="text1"/>
          <w:u w:val="single"/>
        </w:rPr>
        <w:t xml:space="preserve"> </w:t>
      </w:r>
    </w:p>
    <w:p w14:paraId="6D160711" w14:textId="77777777" w:rsidR="000E6134" w:rsidRDefault="000E6134" w:rsidP="000E6134">
      <w:pPr>
        <w:rPr>
          <w:color w:val="000000" w:themeColor="text1"/>
          <w:u w:val="single"/>
        </w:rPr>
      </w:pPr>
    </w:p>
    <w:p w14:paraId="42DE5F2E" w14:textId="23970022" w:rsidR="0065652A" w:rsidRDefault="00450C58" w:rsidP="00450C58">
      <w:pPr>
        <w:jc w:val="both"/>
        <w:rPr>
          <w:color w:val="000000" w:themeColor="text1"/>
        </w:rPr>
      </w:pPr>
      <w:r>
        <w:rPr>
          <w:color w:val="000000" w:themeColor="text1"/>
        </w:rPr>
        <w:t xml:space="preserve">Puisque le contribuable est maintenant âgé de plus de 71 ans, celui-ci a déjà fait le choix d'opter pour </w:t>
      </w:r>
      <w:r w:rsidR="001D2685">
        <w:rPr>
          <w:color w:val="000000" w:themeColor="text1"/>
        </w:rPr>
        <w:t xml:space="preserve">un </w:t>
      </w:r>
      <w:r>
        <w:rPr>
          <w:color w:val="000000" w:themeColor="text1"/>
        </w:rPr>
        <w:t>transf</w:t>
      </w:r>
      <w:r w:rsidR="001D2685">
        <w:rPr>
          <w:color w:val="000000" w:themeColor="text1"/>
        </w:rPr>
        <w:t>e</w:t>
      </w:r>
      <w:r>
        <w:rPr>
          <w:color w:val="000000" w:themeColor="text1"/>
        </w:rPr>
        <w:t>r</w:t>
      </w:r>
      <w:r w:rsidR="001D2685">
        <w:rPr>
          <w:color w:val="000000" w:themeColor="text1"/>
        </w:rPr>
        <w:t>t</w:t>
      </w:r>
      <w:r>
        <w:rPr>
          <w:color w:val="000000" w:themeColor="text1"/>
        </w:rPr>
        <w:t xml:space="preserve"> </w:t>
      </w:r>
      <w:r w:rsidR="001D2685">
        <w:rPr>
          <w:color w:val="000000" w:themeColor="text1"/>
        </w:rPr>
        <w:t>du</w:t>
      </w:r>
      <w:r>
        <w:rPr>
          <w:color w:val="000000" w:themeColor="text1"/>
        </w:rPr>
        <w:t xml:space="preserve"> REÉR </w:t>
      </w:r>
      <w:r w:rsidR="001D2685">
        <w:rPr>
          <w:color w:val="000000" w:themeColor="text1"/>
        </w:rPr>
        <w:t>au</w:t>
      </w:r>
      <w:r>
        <w:rPr>
          <w:color w:val="000000" w:themeColor="text1"/>
        </w:rPr>
        <w:t xml:space="preserve"> FERR ou de procéder à l'achat d'une rente viagère. Il faut tout d'abord comprendre que</w:t>
      </w:r>
      <w:r w:rsidR="001D2685">
        <w:rPr>
          <w:color w:val="000000" w:themeColor="text1"/>
        </w:rPr>
        <w:t>, peu importe le choix,</w:t>
      </w:r>
      <w:r>
        <w:rPr>
          <w:color w:val="000000" w:themeColor="text1"/>
        </w:rPr>
        <w:t xml:space="preserve"> </w:t>
      </w:r>
      <w:r w:rsidR="0065652A">
        <w:rPr>
          <w:color w:val="000000" w:themeColor="text1"/>
        </w:rPr>
        <w:t>le capital</w:t>
      </w:r>
      <w:r w:rsidR="001D2685">
        <w:rPr>
          <w:color w:val="000000" w:themeColor="text1"/>
        </w:rPr>
        <w:t>-</w:t>
      </w:r>
      <w:r w:rsidR="0065652A">
        <w:rPr>
          <w:color w:val="000000" w:themeColor="text1"/>
        </w:rPr>
        <w:t>retraite qui se retrouvait dans un REÉR continue en très grande partie d'être à l'abri de l'impôt. Le processus d'imposition ne fait que débuter sous la forme de l'inclusion au revenu imposable des retraits du FERR ou des versements de la rente viagère.</w:t>
      </w:r>
    </w:p>
    <w:p w14:paraId="12481E7F" w14:textId="77777777" w:rsidR="0065652A" w:rsidRDefault="0065652A" w:rsidP="00450C58">
      <w:pPr>
        <w:jc w:val="both"/>
        <w:rPr>
          <w:color w:val="000000" w:themeColor="text1"/>
        </w:rPr>
      </w:pPr>
    </w:p>
    <w:p w14:paraId="44676539" w14:textId="676F480B" w:rsidR="001B1195" w:rsidRDefault="0065652A" w:rsidP="00450C58">
      <w:pPr>
        <w:jc w:val="both"/>
        <w:rPr>
          <w:color w:val="000000" w:themeColor="text1"/>
        </w:rPr>
      </w:pPr>
      <w:r>
        <w:rPr>
          <w:color w:val="000000" w:themeColor="text1"/>
        </w:rPr>
        <w:t xml:space="preserve">Dans les cas d'une rente viagère, le montant est fixé d'avance et le contribuable n'a plus aucun contrôle sur le versement des sommes et </w:t>
      </w:r>
      <w:r w:rsidR="0018773F">
        <w:rPr>
          <w:color w:val="000000" w:themeColor="text1"/>
        </w:rPr>
        <w:t xml:space="preserve">de </w:t>
      </w:r>
      <w:r>
        <w:rPr>
          <w:color w:val="000000" w:themeColor="text1"/>
        </w:rPr>
        <w:t xml:space="preserve">leur imposition. </w:t>
      </w:r>
      <w:r w:rsidR="0018773F">
        <w:rPr>
          <w:color w:val="000000" w:themeColor="text1"/>
        </w:rPr>
        <w:t>Pour les</w:t>
      </w:r>
      <w:r>
        <w:rPr>
          <w:color w:val="000000" w:themeColor="text1"/>
        </w:rPr>
        <w:t xml:space="preserve"> couples, il convient bien sûr de fractionner au maximum les revenus admissibles afin de réduire l'impôt du couple</w:t>
      </w:r>
      <w:r w:rsidR="00665137">
        <w:rPr>
          <w:color w:val="000000" w:themeColor="text1"/>
        </w:rPr>
        <w:t xml:space="preserve"> (au besoin revoir</w:t>
      </w:r>
      <w:r w:rsidR="008C26FA">
        <w:rPr>
          <w:color w:val="000000" w:themeColor="text1"/>
        </w:rPr>
        <w:t xml:space="preserve"> le concept avec la</w:t>
      </w:r>
      <w:r w:rsidR="00665137">
        <w:rPr>
          <w:color w:val="000000" w:themeColor="text1"/>
        </w:rPr>
        <w:t xml:space="preserve"> </w:t>
      </w:r>
      <w:hyperlink r:id="rId117" w:history="1">
        <w:r w:rsidR="00665137">
          <w:rPr>
            <w:rStyle w:val="Lienhypertexte"/>
            <w:color w:val="AF0013"/>
          </w:rPr>
          <w:t xml:space="preserve">Capsule 7-2 Fractionnement du revenu de </w:t>
        </w:r>
        <w:r w:rsidR="00665137" w:rsidRPr="00E367D8">
          <w:rPr>
            <w:rStyle w:val="Lienhypertexte"/>
            <w:color w:val="9D0010"/>
          </w:rPr>
          <w:t>pension</w:t>
        </w:r>
      </w:hyperlink>
      <w:r w:rsidR="00C03C83" w:rsidRPr="00C03C83">
        <w:rPr>
          <w:rStyle w:val="Lienhypertexte"/>
          <w:color w:val="auto"/>
          <w:u w:val="none"/>
        </w:rPr>
        <w:t>)</w:t>
      </w:r>
      <w:r w:rsidRPr="00C03C83">
        <w:t>.</w:t>
      </w:r>
      <w:r>
        <w:rPr>
          <w:color w:val="000000" w:themeColor="text1"/>
        </w:rPr>
        <w:t xml:space="preserve"> Le montant des rentes viagères versées à compter de 65 ans</w:t>
      </w:r>
      <w:r w:rsidR="001B1195">
        <w:rPr>
          <w:color w:val="000000" w:themeColor="text1"/>
        </w:rPr>
        <w:t xml:space="preserve"> constitue un revenu admissible au fractionnement de revenus de retraite entre conjoints.</w:t>
      </w:r>
    </w:p>
    <w:p w14:paraId="7CC055D1" w14:textId="77777777" w:rsidR="008C26FA" w:rsidRDefault="008C26FA" w:rsidP="00450C58">
      <w:pPr>
        <w:jc w:val="both"/>
        <w:rPr>
          <w:color w:val="000000" w:themeColor="text1"/>
        </w:rPr>
      </w:pPr>
    </w:p>
    <w:p w14:paraId="79A9203E" w14:textId="4F36A6A6" w:rsidR="008C26FA" w:rsidRDefault="00C03C83" w:rsidP="00450C58">
      <w:pPr>
        <w:jc w:val="both"/>
        <w:rPr>
          <w:color w:val="000000" w:themeColor="text1"/>
        </w:rPr>
      </w:pPr>
      <w:r>
        <w:rPr>
          <w:color w:val="000000" w:themeColor="text1"/>
        </w:rPr>
        <w:t>Si le contribuable a opté pour un transfert du REÉR au FERR, celui-ci a davantage d'options quant à sa planification fiscale. N'oublions pas que la seule obligation du contribuable à l'égard du FERR et d'y effectuer un retrait minimum selon une table prescrite par le fisc (</w:t>
      </w:r>
      <w:r w:rsidR="001B2572">
        <w:rPr>
          <w:color w:val="000000" w:themeColor="text1"/>
        </w:rPr>
        <w:t>V</w:t>
      </w:r>
      <w:r>
        <w:rPr>
          <w:color w:val="000000" w:themeColor="text1"/>
        </w:rPr>
        <w:t xml:space="preserve">oir </w:t>
      </w:r>
      <w:r>
        <w:rPr>
          <w:color w:val="FF6700" w:themeColor="accent3"/>
        </w:rPr>
        <w:t>I</w:t>
      </w:r>
      <w:r w:rsidR="00286E95">
        <w:rPr>
          <w:color w:val="FF6700" w:themeColor="accent3"/>
        </w:rPr>
        <w:t>MAGE</w:t>
      </w:r>
      <w:r w:rsidRPr="00EC2312">
        <w:rPr>
          <w:color w:val="FF6700" w:themeColor="accent3"/>
        </w:rPr>
        <w:t xml:space="preserve"> 7</w:t>
      </w:r>
      <w:r>
        <w:rPr>
          <w:color w:val="FF6700" w:themeColor="accent3"/>
        </w:rPr>
        <w:t>-11</w:t>
      </w:r>
      <w:r w:rsidRPr="00EC2312">
        <w:rPr>
          <w:color w:val="FF6700" w:themeColor="accent3"/>
        </w:rPr>
        <w:tab/>
      </w:r>
      <w:r>
        <w:rPr>
          <w:color w:val="FF6700" w:themeColor="accent3"/>
        </w:rPr>
        <w:t>Table des retraits minimums FRV et FERR</w:t>
      </w:r>
      <w:r w:rsidRPr="00C03C83">
        <w:t>)</w:t>
      </w:r>
      <w:r>
        <w:t>.</w:t>
      </w:r>
      <w:r w:rsidR="001B2572">
        <w:t xml:space="preserve"> À titre indicatif, le pourcentage du retrait minimum du FERR à l'âge de 72 ans est de 5,4</w:t>
      </w:r>
      <w:r w:rsidR="006C663D">
        <w:t xml:space="preserve"> %</w:t>
      </w:r>
      <w:r w:rsidR="001B2572">
        <w:t>. C'est donc dire que si le FERR, au début de la 72</w:t>
      </w:r>
      <w:r w:rsidR="001B2572" w:rsidRPr="001B2572">
        <w:rPr>
          <w:vertAlign w:val="superscript"/>
        </w:rPr>
        <w:t>e</w:t>
      </w:r>
      <w:r w:rsidR="001B2572">
        <w:t xml:space="preserve"> année, totalise 200 000 $, le contribuable doit retirer un montant minimum de 10 800 $. Par ailleurs, aucun autre retrait n'est requis, sauf celui qui est manquant pour combler le train de vie du retraité. Ici, la "règle du pouce" serait de ne jamais </w:t>
      </w:r>
      <w:r w:rsidR="006C663D">
        <w:t>anticiper</w:t>
      </w:r>
      <w:r w:rsidR="001B2572">
        <w:t xml:space="preserve"> un retrait du FERR qui est au-delà de ce qui est requis pour boucler le budget du retraité. </w:t>
      </w:r>
      <w:r w:rsidR="00A74BA0">
        <w:t xml:space="preserve">Une exception pointue à cette règle, dans le contexte où le contribuable se retrouve dans la zone de perdition de la PSV (Revenu brut entre 71 592 $ et 116 692 $ par contribuable), serait d'évaluer la </w:t>
      </w:r>
      <w:r w:rsidR="006C663D">
        <w:t>conséquence</w:t>
      </w:r>
      <w:r w:rsidR="00A74BA0">
        <w:t xml:space="preserve"> de verser un montant supplémentaire pour une année donnée afin de réduire d'une même somme le versement de l'année subséquente. Dans certains cas, cette stratégie pourrait permettre la récupération de la PSV une année sur deux. Cette opération doit s'effectuer cas par cas et tenir compte du taux d'imposition marginal du contribuable.</w:t>
      </w:r>
    </w:p>
    <w:p w14:paraId="5E4DF081" w14:textId="77777777" w:rsidR="00A74BA0" w:rsidRDefault="00A74BA0" w:rsidP="00A74BA0"/>
    <w:p w14:paraId="6F107926" w14:textId="77777777" w:rsidR="00A74BA0" w:rsidRDefault="00A74BA0" w:rsidP="00A74BA0"/>
    <w:p w14:paraId="6604A369" w14:textId="77777777" w:rsidR="00A74BA0" w:rsidRDefault="00A74BA0" w:rsidP="00A74BA0"/>
    <w:p w14:paraId="79590845" w14:textId="6EC436BA" w:rsidR="000E17F4" w:rsidRDefault="000E17F4" w:rsidP="00A74BA0"/>
    <w:p w14:paraId="46DF230A" w14:textId="7874669E" w:rsidR="000E6134" w:rsidRDefault="00A74BA0" w:rsidP="000E6134">
      <w:pPr>
        <w:rPr>
          <w:color w:val="000000" w:themeColor="text1"/>
          <w:u w:val="single"/>
        </w:rPr>
      </w:pPr>
      <w:r>
        <w:rPr>
          <w:noProof/>
          <w:lang w:eastAsia="fr-FR"/>
        </w:rPr>
        <w:lastRenderedPageBreak/>
        <mc:AlternateContent>
          <mc:Choice Requires="wps">
            <w:drawing>
              <wp:anchor distT="0" distB="0" distL="114300" distR="114300" simplePos="0" relativeHeight="252575744" behindDoc="0" locked="0" layoutInCell="1" allowOverlap="1" wp14:anchorId="63D9F401" wp14:editId="6F78AF3F">
                <wp:simplePos x="0" y="0"/>
                <wp:positionH relativeFrom="column">
                  <wp:posOffset>4457700</wp:posOffset>
                </wp:positionH>
                <wp:positionV relativeFrom="paragraph">
                  <wp:posOffset>-457200</wp:posOffset>
                </wp:positionV>
                <wp:extent cx="800100" cy="800100"/>
                <wp:effectExtent l="25400" t="25400" r="38100" b="38100"/>
                <wp:wrapNone/>
                <wp:docPr id="477" name="Ellipse 477"/>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495CF7E1" w14:textId="77777777" w:rsidR="00573C95" w:rsidRDefault="00573C95" w:rsidP="008A460A">
                            <w:pPr>
                              <w:jc w:val="center"/>
                            </w:pPr>
                            <w:r w:rsidRPr="004F4085">
                              <w:t xml:space="preserve">&gt; </w:t>
                            </w:r>
                            <w:r>
                              <w:t xml:space="preserve">65 </w:t>
                            </w:r>
                          </w:p>
                          <w:p w14:paraId="3CE3E0C2" w14:textId="33518DE5" w:rsidR="00573C95" w:rsidRPr="004F4085" w:rsidRDefault="00573C95" w:rsidP="008A460A">
                            <w:pPr>
                              <w:jc w:val="center"/>
                            </w:pPr>
                            <w:r>
                              <w:t>&lt; 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77" o:spid="_x0000_s1311" style="position:absolute;margin-left:351pt;margin-top:-35.95pt;width:63pt;height:63pt;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" fillcolor="#70ffca" strokecolor="black [3213]" strokeweight="3pt">
                <v:textbox>
                  <w:txbxContent>
                    <w:p w14:paraId="495CF7E1" w14:textId="77777777" w:rsidR="001501D6" w:rsidRDefault="001501D6" w:rsidP="008A460A">
                      <w:pPr>
                        <w:jc w:val="center"/>
                      </w:pPr>
                      <w:r w:rsidRPr="004F4085">
                        <w:t xml:space="preserve">&gt; </w:t>
                      </w:r>
                      <w:r>
                        <w:t xml:space="preserve">65 </w:t>
                      </w:r>
                    </w:p>
                    <w:p w14:paraId="3CE3E0C2" w14:textId="33518DE5" w:rsidR="001501D6" w:rsidRPr="004F4085" w:rsidRDefault="001501D6" w:rsidP="008A460A">
                      <w:pPr>
                        <w:jc w:val="center"/>
                      </w:pPr>
                      <w:r>
                        <w:t>&lt; 71</w:t>
                      </w:r>
                    </w:p>
                  </w:txbxContent>
                </v:textbox>
              </v:oval>
            </w:pict>
          </mc:Fallback>
        </mc:AlternateContent>
      </w:r>
      <w:r w:rsidR="000E6134">
        <w:rPr>
          <w:color w:val="000000" w:themeColor="text1"/>
        </w:rPr>
        <w:t xml:space="preserve">Situation 3 - </w:t>
      </w:r>
      <w:r w:rsidR="000E6134">
        <w:rPr>
          <w:color w:val="000000" w:themeColor="text1"/>
          <w:u w:val="single"/>
        </w:rPr>
        <w:t>Le contribuable est âgé entre 65 ans et 71 ans</w:t>
      </w:r>
      <w:r w:rsidR="000E6134" w:rsidRPr="00F27B04">
        <w:rPr>
          <w:color w:val="000000" w:themeColor="text1"/>
          <w:u w:val="single"/>
        </w:rPr>
        <w:t xml:space="preserve"> </w:t>
      </w:r>
    </w:p>
    <w:p w14:paraId="6ACC6220" w14:textId="77777777" w:rsidR="000E6134" w:rsidRDefault="000E6134" w:rsidP="000E17F4">
      <w:pPr>
        <w:jc w:val="both"/>
      </w:pPr>
    </w:p>
    <w:p w14:paraId="03C713A2" w14:textId="77777777" w:rsidR="00192CD9" w:rsidRDefault="00192CD9" w:rsidP="004F5E2E">
      <w:pPr>
        <w:jc w:val="both"/>
      </w:pPr>
      <w:r>
        <w:t>Lorsque le contribuable est toujours dans une phase active de sa vie et qu'il n'a pas entrepris sa retraite, l'objectif demeure toujours le même, soit de ne pas empiéter sur les montants épargnés qui se retrouvent dans le REÉR. Dans un tel contexte, il ne devrait pas effectuer de transfert dans un FERR afin de ne pas déclencher automatiquement la mécanique des retraits minimums obligatoires.</w:t>
      </w:r>
    </w:p>
    <w:p w14:paraId="12CDDB9F" w14:textId="77777777" w:rsidR="00192CD9" w:rsidRDefault="00192CD9" w:rsidP="004F5E2E">
      <w:pPr>
        <w:jc w:val="both"/>
      </w:pPr>
    </w:p>
    <w:p w14:paraId="7E84090E" w14:textId="5D4D2263" w:rsidR="00EE047B" w:rsidRDefault="00192CD9" w:rsidP="004F5E2E">
      <w:pPr>
        <w:jc w:val="both"/>
      </w:pPr>
      <w:r>
        <w:t>Pourtant, il n'est pas rare de voir des gens effectuer des transferts du REÉR au FERR avant que cette opération devienne obligatoire</w:t>
      </w:r>
      <w:r w:rsidR="00EE047B">
        <w:t xml:space="preserve"> (71 ans). Il faut alors savoir que les retraits provenant directement d'un REÉR ne sont pas considérés comme des revenus admissibles à la règle du fractionnement des revenus de retraite entre conjoints et qu'ils ne donnent pas davantage droit au crédit d'</w:t>
      </w:r>
      <w:r w:rsidR="006C663D">
        <w:t>impôt</w:t>
      </w:r>
      <w:r w:rsidR="00EE047B">
        <w:t xml:space="preserve"> de 2 000 $ sur les revenus de pension. Par contre, les montants provenant d'un FE</w:t>
      </w:r>
      <w:r w:rsidR="006C663D">
        <w:t>R</w:t>
      </w:r>
      <w:r w:rsidR="00EE047B">
        <w:t>R permettent de bénéficier de ce</w:t>
      </w:r>
      <w:r w:rsidR="00AE482E">
        <w:t>s</w:t>
      </w:r>
      <w:r w:rsidR="00EE047B">
        <w:t xml:space="preserve"> deux allègements fiscaux.</w:t>
      </w:r>
    </w:p>
    <w:p w14:paraId="360FBDD1" w14:textId="77777777" w:rsidR="00EE047B" w:rsidRDefault="00EE047B" w:rsidP="004F5E2E">
      <w:pPr>
        <w:jc w:val="both"/>
      </w:pPr>
    </w:p>
    <w:p w14:paraId="085728BC" w14:textId="0994A022" w:rsidR="00DC57EA" w:rsidRDefault="00EE047B" w:rsidP="004F5E2E">
      <w:pPr>
        <w:jc w:val="both"/>
      </w:pPr>
      <w:r>
        <w:t xml:space="preserve">Par conséquent, lorsque le contribuable est à la retraite et qu'il a besoin de prélever de nouveaux revenus à même le capital qu'il a accumulé dans son REÉR, celui devrait transférer à son FERR une somme telle que les retraits minimums </w:t>
      </w:r>
      <w:r w:rsidR="00DC57EA">
        <w:t>correspondront au besoin financier préalablement identifié. De cette façon, le contribuable aura accès au fractionnement de revenus sans pour autant déclencher une imposition sur des retraits minimums qui seraient excédentaires au besoin financier pour soutenir le train de vie des retraités. La dernière portion du REÉR sera transféré</w:t>
      </w:r>
      <w:r w:rsidR="005A102C">
        <w:t>e</w:t>
      </w:r>
      <w:r w:rsidR="00DC57EA">
        <w:t xml:space="preserve"> lorsqu'il sera obligatoire de le faire.</w:t>
      </w:r>
    </w:p>
    <w:p w14:paraId="25CFFDBD" w14:textId="77777777" w:rsidR="005A102C" w:rsidRDefault="005A102C" w:rsidP="004F5E2E">
      <w:pPr>
        <w:jc w:val="both"/>
      </w:pPr>
    </w:p>
    <w:p w14:paraId="3745F6C8" w14:textId="07EC88CC" w:rsidR="005A102C" w:rsidRDefault="005E4B62" w:rsidP="004F5E2E">
      <w:pPr>
        <w:jc w:val="both"/>
      </w:pPr>
      <w:r>
        <w:t>Aussi, même lorsque le contribuable n'est pas à la retraite, il pourrait transférer un montant du REÉR vers le FERR afin de générer un faible retrait minimum de 2 000 $. Cette stratégie lui permettrait d'avoir droit au crédit d'impôt fédéral de 2 000 $. Pour un couple, sur une période de 6 années, cette mesure leur permettrait de récolter environ 3 000 $.</w:t>
      </w:r>
    </w:p>
    <w:p w14:paraId="39576CB9" w14:textId="77777777" w:rsidR="005E4B62" w:rsidRDefault="005E4B62" w:rsidP="004F5E2E">
      <w:pPr>
        <w:jc w:val="both"/>
      </w:pPr>
    </w:p>
    <w:p w14:paraId="1B6189B4" w14:textId="1894B072" w:rsidR="005E4B62" w:rsidRDefault="005E4B62" w:rsidP="004F5E2E">
      <w:pPr>
        <w:jc w:val="both"/>
      </w:pPr>
      <w:r>
        <w:t>Toujours dans le cas de contribuables qui persisterai</w:t>
      </w:r>
      <w:r w:rsidR="00AE482E">
        <w:t>en</w:t>
      </w:r>
      <w:r>
        <w:t xml:space="preserve">t </w:t>
      </w:r>
      <w:r w:rsidR="00AE482E">
        <w:t xml:space="preserve">à oeuvrer </w:t>
      </w:r>
      <w:r>
        <w:t xml:space="preserve">dans </w:t>
      </w:r>
      <w:r w:rsidR="00AE482E">
        <w:t xml:space="preserve">une </w:t>
      </w:r>
      <w:r>
        <w:t>vie active et reporterai</w:t>
      </w:r>
      <w:r w:rsidR="00AE482E">
        <w:t>en</w:t>
      </w:r>
      <w:r>
        <w:t>t à plus tard l'heure de la retraite, il</w:t>
      </w:r>
      <w:r w:rsidR="00AE482E">
        <w:t>s</w:t>
      </w:r>
      <w:r>
        <w:t xml:space="preserve"> pourrai</w:t>
      </w:r>
      <w:r w:rsidR="00AE482E">
        <w:t>en</w:t>
      </w:r>
      <w:r>
        <w:t xml:space="preserve">t être intéressant de recatégoriser </w:t>
      </w:r>
      <w:r w:rsidR="00AE482E">
        <w:t>le</w:t>
      </w:r>
      <w:r>
        <w:t xml:space="preserve"> revenu d'emploi en </w:t>
      </w:r>
      <w:r w:rsidR="00EC3D27">
        <w:t>revenu de retraite pouvait faire l'objet d'un fractionnement de revenu.</w:t>
      </w:r>
      <w:r w:rsidR="004E3FA8">
        <w:t xml:space="preserve"> Pour y arriver, le contribuable </w:t>
      </w:r>
      <w:r w:rsidR="00AE482E">
        <w:t xml:space="preserve">pourrait </w:t>
      </w:r>
      <w:r w:rsidR="004E3FA8">
        <w:t>élimine</w:t>
      </w:r>
      <w:r w:rsidR="00AE482E">
        <w:t>r</w:t>
      </w:r>
      <w:r w:rsidR="004E3FA8">
        <w:t xml:space="preserve"> l'effet fiscal de son salaire jusqu'à concurrence de son plafond REÉR en effectuant une cotisation dans son REER. Par la suite, le contribuable transfert le montant à son FERR pour finalement en faire le retrait, tout en bénéficiant de l'allègement fiscal du fractionnement de revenu de retraite entre </w:t>
      </w:r>
      <w:r w:rsidR="006C663D">
        <w:t>conjoints</w:t>
      </w:r>
      <w:r w:rsidR="004E3FA8">
        <w:t>.</w:t>
      </w:r>
      <w:r w:rsidR="0044205D">
        <w:t xml:space="preserve"> Bien sûr, la dernière </w:t>
      </w:r>
      <w:r w:rsidR="0044205D">
        <w:lastRenderedPageBreak/>
        <w:t xml:space="preserve">portion de  cette voltige est facultative. Le retrait du FERR </w:t>
      </w:r>
      <w:r w:rsidR="001A4280">
        <w:t>ne</w:t>
      </w:r>
      <w:r w:rsidR="0044205D">
        <w:t xml:space="preserve"> sert </w:t>
      </w:r>
      <w:r w:rsidR="001A4280">
        <w:t>qu'</w:t>
      </w:r>
      <w:r w:rsidR="0044205D">
        <w:t>à rétablir (à plus faible coût fiscal</w:t>
      </w:r>
      <w:r w:rsidR="001A4280">
        <w:t>)</w:t>
      </w:r>
      <w:r w:rsidR="0044205D">
        <w:t xml:space="preserve"> le montant du salaire qui </w:t>
      </w:r>
      <w:r w:rsidR="001A4280">
        <w:t>s'est volatilisé au début de la transaction dans le REÉR.</w:t>
      </w:r>
    </w:p>
    <w:p w14:paraId="49C36911" w14:textId="3CF81F92" w:rsidR="001A4280" w:rsidRDefault="001A4280" w:rsidP="004F5E2E">
      <w:pPr>
        <w:jc w:val="both"/>
      </w:pPr>
    </w:p>
    <w:p w14:paraId="68A29B0C" w14:textId="3FEA7214" w:rsidR="001A4280" w:rsidRDefault="001A4280" w:rsidP="004F5E2E">
      <w:pPr>
        <w:jc w:val="both"/>
      </w:pPr>
      <w:r>
        <w:t xml:space="preserve">Voici ce que cela pourrait donner pour notre héroïne des bonnes idées, </w:t>
      </w:r>
      <w:r w:rsidRPr="001A4280">
        <w:rPr>
          <w:color w:val="008000"/>
        </w:rPr>
        <w:t>Marie Richer</w:t>
      </w:r>
      <w:r>
        <w:t>.</w:t>
      </w:r>
    </w:p>
    <w:p w14:paraId="1848BBC0" w14:textId="77777777" w:rsidR="005E4B62" w:rsidRDefault="005E4B62" w:rsidP="004F5E2E">
      <w:pPr>
        <w:jc w:val="both"/>
      </w:pPr>
    </w:p>
    <w:p w14:paraId="4A6F5130" w14:textId="2F820AD8" w:rsidR="001A4280" w:rsidRPr="00611FEC" w:rsidRDefault="001A4280" w:rsidP="006C34CF">
      <w:pPr>
        <w:pStyle w:val="Paragraphedeliste"/>
        <w:numPr>
          <w:ilvl w:val="0"/>
          <w:numId w:val="92"/>
        </w:numPr>
        <w:jc w:val="both"/>
      </w:pPr>
      <w:r w:rsidRPr="00611FEC">
        <w:rPr>
          <w:color w:val="FF6700" w:themeColor="accent3"/>
        </w:rPr>
        <w:t>EXEMPLE 7-12</w:t>
      </w:r>
      <w:r w:rsidR="00984E36" w:rsidRPr="00611FEC">
        <w:rPr>
          <w:color w:val="FF6700" w:themeColor="accent3"/>
        </w:rPr>
        <w:tab/>
      </w:r>
      <w:r w:rsidR="00984E36" w:rsidRPr="00611FEC">
        <w:rPr>
          <w:color w:val="FF6700" w:themeColor="accent3"/>
        </w:rPr>
        <w:tab/>
      </w:r>
    </w:p>
    <w:p w14:paraId="4B21C7AD" w14:textId="2AE6C987" w:rsidR="00611FEC" w:rsidRPr="00611FEC" w:rsidRDefault="00611FEC" w:rsidP="00611FEC">
      <w:pPr>
        <w:ind w:left="360"/>
        <w:jc w:val="both"/>
      </w:pPr>
      <w:r>
        <w:rPr>
          <w:noProof/>
          <w:lang w:eastAsia="fr-FR"/>
        </w:rPr>
        <w:drawing>
          <wp:anchor distT="0" distB="0" distL="114300" distR="114300" simplePos="0" relativeHeight="252581888" behindDoc="0" locked="0" layoutInCell="1" allowOverlap="1" wp14:anchorId="46AD371B" wp14:editId="72CDF756">
            <wp:simplePos x="0" y="0"/>
            <wp:positionH relativeFrom="column">
              <wp:posOffset>-643890</wp:posOffset>
            </wp:positionH>
            <wp:positionV relativeFrom="paragraph">
              <wp:posOffset>68580</wp:posOffset>
            </wp:positionV>
            <wp:extent cx="383540" cy="723265"/>
            <wp:effectExtent l="177800" t="50800" r="99060" b="64135"/>
            <wp:wrapNone/>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11">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B8A8D8F" w14:textId="571D4C38" w:rsidR="001A4280" w:rsidRDefault="001A4280" w:rsidP="001A4280">
      <w:pPr>
        <w:jc w:val="both"/>
      </w:pPr>
      <w:r>
        <w:t xml:space="preserve">Prenons les informations suivantes pour </w:t>
      </w:r>
      <w:r w:rsidRPr="00647BA9">
        <w:rPr>
          <w:color w:val="008000"/>
        </w:rPr>
        <w:t>Marie Richer</w:t>
      </w:r>
      <w:r w:rsidR="00151D76">
        <w:rPr>
          <w:color w:val="008000"/>
        </w:rPr>
        <w:t xml:space="preserve"> </w:t>
      </w:r>
      <w:r w:rsidR="00151D76" w:rsidRPr="00151D76">
        <w:t>(toujours active)</w:t>
      </w:r>
      <w:r>
        <w:t xml:space="preserve"> et </w:t>
      </w:r>
      <w:r w:rsidRPr="00AF32A3">
        <w:rPr>
          <w:color w:val="FF0000"/>
        </w:rPr>
        <w:t>Jean Faucher</w:t>
      </w:r>
      <w:r w:rsidR="00151D76">
        <w:rPr>
          <w:color w:val="FF0000"/>
        </w:rPr>
        <w:t xml:space="preserve"> </w:t>
      </w:r>
      <w:r w:rsidR="00151D76" w:rsidRPr="00151D76">
        <w:t>(à la retraite)</w:t>
      </w:r>
      <w:r>
        <w:t xml:space="preserve">, conjoints de fait depuis près de 10 années. </w:t>
      </w: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1A4280" w14:paraId="63DC160E" w14:textId="77777777" w:rsidTr="006158EC">
        <w:tc>
          <w:tcPr>
            <w:tcW w:w="6573" w:type="dxa"/>
            <w:gridSpan w:val="2"/>
            <w:shd w:val="clear" w:color="auto" w:fill="BFBFBF" w:themeFill="background1" w:themeFillShade="BF"/>
          </w:tcPr>
          <w:p w14:paraId="7D0706A5" w14:textId="77777777" w:rsidR="001A4280" w:rsidRDefault="001A4280" w:rsidP="000C3A14">
            <w:pPr>
              <w:jc w:val="center"/>
            </w:pPr>
            <w:r>
              <w:t>Informations - Marie Richer</w:t>
            </w:r>
          </w:p>
        </w:tc>
        <w:tc>
          <w:tcPr>
            <w:tcW w:w="6574" w:type="dxa"/>
            <w:gridSpan w:val="2"/>
            <w:shd w:val="clear" w:color="auto" w:fill="BFBFBF" w:themeFill="background1" w:themeFillShade="BF"/>
          </w:tcPr>
          <w:p w14:paraId="1196DE55" w14:textId="77777777" w:rsidR="001A4280" w:rsidRDefault="001A4280" w:rsidP="000C3A14">
            <w:pPr>
              <w:jc w:val="center"/>
            </w:pPr>
            <w:r>
              <w:t>Informations - Jean Faucher</w:t>
            </w:r>
          </w:p>
        </w:tc>
      </w:tr>
      <w:tr w:rsidR="001A4280" w14:paraId="0B951536" w14:textId="77777777" w:rsidTr="00C735B8">
        <w:tc>
          <w:tcPr>
            <w:tcW w:w="3286" w:type="dxa"/>
            <w:shd w:val="clear" w:color="auto" w:fill="909465" w:themeFill="accent4"/>
          </w:tcPr>
          <w:p w14:paraId="0D46F340" w14:textId="77777777" w:rsidR="001A4280" w:rsidRDefault="001A4280" w:rsidP="006158EC">
            <w:pPr>
              <w:jc w:val="both"/>
            </w:pPr>
          </w:p>
          <w:p w14:paraId="75EEA1C2" w14:textId="77777777" w:rsidR="001A4280" w:rsidRDefault="001A4280" w:rsidP="006158EC">
            <w:pPr>
              <w:jc w:val="both"/>
            </w:pPr>
            <w:r>
              <w:t>Salaire annuel</w:t>
            </w:r>
          </w:p>
        </w:tc>
        <w:tc>
          <w:tcPr>
            <w:tcW w:w="3287" w:type="dxa"/>
            <w:shd w:val="clear" w:color="auto" w:fill="909465" w:themeFill="accent4"/>
          </w:tcPr>
          <w:p w14:paraId="5EC08291" w14:textId="77777777" w:rsidR="001A4280" w:rsidRDefault="001A4280" w:rsidP="006158EC">
            <w:pPr>
              <w:jc w:val="both"/>
            </w:pPr>
          </w:p>
          <w:p w14:paraId="1A5DCE84" w14:textId="1DEDB791" w:rsidR="001A4280" w:rsidRDefault="00611FEC" w:rsidP="00611FEC">
            <w:pPr>
              <w:tabs>
                <w:tab w:val="right" w:pos="3071"/>
              </w:tabs>
              <w:jc w:val="both"/>
            </w:pPr>
            <w:r>
              <w:t>170</w:t>
            </w:r>
            <w:r w:rsidR="001A4280">
              <w:t xml:space="preserve"> 000 $</w:t>
            </w:r>
            <w:r w:rsidR="001A4280">
              <w:tab/>
            </w:r>
          </w:p>
        </w:tc>
        <w:tc>
          <w:tcPr>
            <w:tcW w:w="3287" w:type="dxa"/>
            <w:shd w:val="clear" w:color="auto" w:fill="BCBFA1" w:themeFill="accent4" w:themeFillTint="99"/>
          </w:tcPr>
          <w:p w14:paraId="1BC86FA1" w14:textId="77777777" w:rsidR="001A4280" w:rsidRDefault="001A4280" w:rsidP="006158EC">
            <w:pPr>
              <w:jc w:val="both"/>
            </w:pPr>
          </w:p>
          <w:p w14:paraId="736F2683" w14:textId="7F11AD50" w:rsidR="001A4280" w:rsidRDefault="00611FEC" w:rsidP="00611FEC">
            <w:pPr>
              <w:jc w:val="both"/>
            </w:pPr>
            <w:r>
              <w:t>Revenu de retraite</w:t>
            </w:r>
          </w:p>
        </w:tc>
        <w:tc>
          <w:tcPr>
            <w:tcW w:w="3287" w:type="dxa"/>
            <w:shd w:val="clear" w:color="auto" w:fill="BCBFA1" w:themeFill="accent4" w:themeFillTint="99"/>
          </w:tcPr>
          <w:p w14:paraId="0A25642F" w14:textId="77777777" w:rsidR="001A4280" w:rsidRDefault="001A4280" w:rsidP="006158EC">
            <w:pPr>
              <w:jc w:val="both"/>
            </w:pPr>
          </w:p>
          <w:p w14:paraId="57810476" w14:textId="75935FBA" w:rsidR="001A4280" w:rsidRDefault="00611FEC" w:rsidP="00611FEC">
            <w:pPr>
              <w:jc w:val="both"/>
            </w:pPr>
            <w:r>
              <w:t>30</w:t>
            </w:r>
            <w:r w:rsidR="001A4280">
              <w:t xml:space="preserve"> 000 $</w:t>
            </w:r>
          </w:p>
        </w:tc>
      </w:tr>
      <w:tr w:rsidR="001A4280" w14:paraId="32844B21" w14:textId="77777777" w:rsidTr="00C735B8">
        <w:tc>
          <w:tcPr>
            <w:tcW w:w="3286" w:type="dxa"/>
            <w:shd w:val="clear" w:color="auto" w:fill="909465" w:themeFill="accent4"/>
          </w:tcPr>
          <w:p w14:paraId="715B7322" w14:textId="77777777" w:rsidR="001A4280" w:rsidRDefault="001A4280" w:rsidP="006158EC">
            <w:pPr>
              <w:jc w:val="both"/>
            </w:pPr>
            <w:r>
              <w:t>Plafond inutilisé REÉR</w:t>
            </w:r>
          </w:p>
        </w:tc>
        <w:tc>
          <w:tcPr>
            <w:tcW w:w="3287" w:type="dxa"/>
            <w:shd w:val="clear" w:color="auto" w:fill="909465" w:themeFill="accent4"/>
          </w:tcPr>
          <w:p w14:paraId="5C5CDA3C" w14:textId="2ACF3C35" w:rsidR="001A4280" w:rsidRDefault="00611FEC" w:rsidP="00611FEC">
            <w:pPr>
              <w:jc w:val="both"/>
            </w:pPr>
            <w:r>
              <w:t xml:space="preserve">  30</w:t>
            </w:r>
            <w:r w:rsidR="001A4280">
              <w:t xml:space="preserve"> 000 $</w:t>
            </w:r>
          </w:p>
        </w:tc>
        <w:tc>
          <w:tcPr>
            <w:tcW w:w="3287" w:type="dxa"/>
            <w:shd w:val="clear" w:color="auto" w:fill="BCBFA1" w:themeFill="accent4" w:themeFillTint="99"/>
          </w:tcPr>
          <w:p w14:paraId="712D0570" w14:textId="77777777" w:rsidR="001A4280" w:rsidRDefault="001A4280" w:rsidP="006158EC">
            <w:pPr>
              <w:jc w:val="both"/>
            </w:pPr>
            <w:r>
              <w:t>Plafond inutilisé REÉR</w:t>
            </w:r>
          </w:p>
        </w:tc>
        <w:tc>
          <w:tcPr>
            <w:tcW w:w="3287" w:type="dxa"/>
            <w:shd w:val="clear" w:color="auto" w:fill="BCBFA1" w:themeFill="accent4" w:themeFillTint="99"/>
          </w:tcPr>
          <w:p w14:paraId="67368B20" w14:textId="6FB7F3A7" w:rsidR="001A4280" w:rsidRDefault="001A4280" w:rsidP="00611FEC">
            <w:pPr>
              <w:jc w:val="both"/>
            </w:pPr>
            <w:r>
              <w:t xml:space="preserve"> </w:t>
            </w:r>
            <w:r w:rsidR="00611FEC">
              <w:t>S/O</w:t>
            </w:r>
          </w:p>
        </w:tc>
      </w:tr>
      <w:tr w:rsidR="001A4280" w14:paraId="40C7A90D" w14:textId="77777777" w:rsidTr="00C735B8">
        <w:tc>
          <w:tcPr>
            <w:tcW w:w="3286" w:type="dxa"/>
            <w:shd w:val="clear" w:color="auto" w:fill="909465" w:themeFill="accent4"/>
          </w:tcPr>
          <w:p w14:paraId="4C586556" w14:textId="77777777" w:rsidR="001A4280" w:rsidRDefault="001A4280" w:rsidP="006158EC">
            <w:pPr>
              <w:jc w:val="both"/>
            </w:pPr>
            <w:r>
              <w:t xml:space="preserve">Âge </w:t>
            </w:r>
          </w:p>
        </w:tc>
        <w:tc>
          <w:tcPr>
            <w:tcW w:w="3287" w:type="dxa"/>
            <w:shd w:val="clear" w:color="auto" w:fill="909465" w:themeFill="accent4"/>
          </w:tcPr>
          <w:p w14:paraId="763467DC" w14:textId="34650FEE" w:rsidR="001A4280" w:rsidRDefault="00080608" w:rsidP="00A13DF9">
            <w:pPr>
              <w:jc w:val="both"/>
            </w:pPr>
            <w:r>
              <w:t>6</w:t>
            </w:r>
            <w:r w:rsidR="00A13DF9">
              <w:t>5</w:t>
            </w:r>
            <w:r w:rsidR="001A4280">
              <w:t xml:space="preserve"> ans</w:t>
            </w:r>
          </w:p>
        </w:tc>
        <w:tc>
          <w:tcPr>
            <w:tcW w:w="3287" w:type="dxa"/>
            <w:shd w:val="clear" w:color="auto" w:fill="BCBFA1" w:themeFill="accent4" w:themeFillTint="99"/>
          </w:tcPr>
          <w:p w14:paraId="53815809" w14:textId="77777777" w:rsidR="001A4280" w:rsidRDefault="001A4280" w:rsidP="006158EC">
            <w:pPr>
              <w:jc w:val="both"/>
            </w:pPr>
            <w:r>
              <w:t>Âge</w:t>
            </w:r>
          </w:p>
        </w:tc>
        <w:tc>
          <w:tcPr>
            <w:tcW w:w="3287" w:type="dxa"/>
            <w:shd w:val="clear" w:color="auto" w:fill="BCBFA1" w:themeFill="accent4" w:themeFillTint="99"/>
          </w:tcPr>
          <w:p w14:paraId="241B2784" w14:textId="479409CC" w:rsidR="001A4280" w:rsidRDefault="00080608" w:rsidP="00611FEC">
            <w:pPr>
              <w:jc w:val="both"/>
            </w:pPr>
            <w:r>
              <w:t>6</w:t>
            </w:r>
            <w:r w:rsidR="00611FEC">
              <w:t>5</w:t>
            </w:r>
            <w:r w:rsidR="001A4280">
              <w:t xml:space="preserve"> ans</w:t>
            </w:r>
          </w:p>
        </w:tc>
      </w:tr>
    </w:tbl>
    <w:p w14:paraId="7A6AFD90" w14:textId="77777777" w:rsidR="005B3105" w:rsidRDefault="005B3105" w:rsidP="004F5E2E">
      <w:pPr>
        <w:jc w:val="both"/>
      </w:pPr>
    </w:p>
    <w:p w14:paraId="61EE5271" w14:textId="47FB3BB0" w:rsidR="00DC57EA" w:rsidRDefault="00C2277B" w:rsidP="004F5E2E">
      <w:pPr>
        <w:jc w:val="both"/>
      </w:pPr>
      <w:r>
        <w:t xml:space="preserve">La stratégie consiste à bénéficier du fractionnement des revenus de </w:t>
      </w:r>
      <w:r w:rsidR="006C663D">
        <w:t>retraite,</w:t>
      </w:r>
      <w:r>
        <w:t xml:space="preserve"> et ce même si Marie est encore active. Il s'agit donc </w:t>
      </w:r>
      <w:r w:rsidR="009A5C68">
        <w:t xml:space="preserve">de </w:t>
      </w:r>
      <w:r>
        <w:t>recatégoriser une portion de son revenu qui n'est pas admissible au fractionnement de revenu en revenu admissible. Voici les étapes:</w:t>
      </w:r>
    </w:p>
    <w:p w14:paraId="6EDACD74" w14:textId="20B4478C" w:rsidR="00C2277B" w:rsidRDefault="00C2277B" w:rsidP="004F5E2E">
      <w:pPr>
        <w:jc w:val="both"/>
      </w:pPr>
      <w:r>
        <w:rPr>
          <w:noProof/>
          <w:lang w:eastAsia="fr-FR"/>
        </w:rPr>
        <mc:AlternateContent>
          <mc:Choice Requires="wps">
            <w:drawing>
              <wp:anchor distT="0" distB="0" distL="114300" distR="114300" simplePos="0" relativeHeight="252583936" behindDoc="0" locked="0" layoutInCell="1" allowOverlap="1" wp14:anchorId="7756AA2C" wp14:editId="3998B671">
                <wp:simplePos x="0" y="0"/>
                <wp:positionH relativeFrom="column">
                  <wp:posOffset>-685800</wp:posOffset>
                </wp:positionH>
                <wp:positionV relativeFrom="paragraph">
                  <wp:posOffset>107315</wp:posOffset>
                </wp:positionV>
                <wp:extent cx="457200" cy="457200"/>
                <wp:effectExtent l="25400" t="25400" r="25400" b="25400"/>
                <wp:wrapNone/>
                <wp:docPr id="480" name="Ellipse 48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6F010EAA" w14:textId="31D4B3FC" w:rsidR="00573C95" w:rsidRPr="004F4085" w:rsidRDefault="00573C95" w:rsidP="00C2277B">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80" o:spid="_x0000_s1312" style="position:absolute;left:0;text-align:left;margin-left:-53.95pt;margin-top:8.45pt;width:36pt;height:36pt;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" fillcolor="#70ffca" strokecolor="black [3213]" strokeweight="3pt">
                <v:textbox>
                  <w:txbxContent>
                    <w:p w14:paraId="6F010EAA" w14:textId="31D4B3FC" w:rsidR="001501D6" w:rsidRPr="004F4085" w:rsidRDefault="001501D6" w:rsidP="00C2277B">
                      <w:pPr>
                        <w:jc w:val="center"/>
                      </w:pPr>
                      <w:r>
                        <w:t>1</w:t>
                      </w:r>
                    </w:p>
                  </w:txbxContent>
                </v:textbox>
              </v:oval>
            </w:pict>
          </mc:Fallback>
        </mc:AlternateContent>
      </w:r>
    </w:p>
    <w:p w14:paraId="7C805FF9" w14:textId="55F5BF49" w:rsidR="00C2277B" w:rsidRDefault="00C2277B" w:rsidP="004F5E2E">
      <w:pPr>
        <w:jc w:val="both"/>
      </w:pPr>
      <w:r>
        <w:t>Marie cotise 30 000 $ à son REÉR</w:t>
      </w:r>
      <w:r w:rsidR="00F104EF">
        <w:t>.</w:t>
      </w:r>
    </w:p>
    <w:p w14:paraId="69BC7B70" w14:textId="77777777" w:rsidR="00F104EF" w:rsidRDefault="00F104EF" w:rsidP="004F5E2E">
      <w:pPr>
        <w:jc w:val="both"/>
      </w:pPr>
    </w:p>
    <w:p w14:paraId="7ED85E56" w14:textId="4EFEDBF9" w:rsidR="00F104EF" w:rsidRDefault="00F104EF" w:rsidP="004F5E2E">
      <w:pPr>
        <w:jc w:val="both"/>
      </w:pPr>
      <w:r>
        <w:rPr>
          <w:noProof/>
          <w:lang w:eastAsia="fr-FR"/>
        </w:rPr>
        <mc:AlternateContent>
          <mc:Choice Requires="wps">
            <w:drawing>
              <wp:anchor distT="0" distB="0" distL="114300" distR="114300" simplePos="0" relativeHeight="252585984" behindDoc="0" locked="0" layoutInCell="1" allowOverlap="1" wp14:anchorId="6765DF9E" wp14:editId="2249AC7C">
                <wp:simplePos x="0" y="0"/>
                <wp:positionH relativeFrom="column">
                  <wp:posOffset>-685800</wp:posOffset>
                </wp:positionH>
                <wp:positionV relativeFrom="paragraph">
                  <wp:posOffset>118110</wp:posOffset>
                </wp:positionV>
                <wp:extent cx="457200" cy="457200"/>
                <wp:effectExtent l="25400" t="25400" r="25400" b="25400"/>
                <wp:wrapNone/>
                <wp:docPr id="483" name="Ellipse 48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2DC14290" w14:textId="14D0CCC6" w:rsidR="00573C95" w:rsidRPr="004F4085" w:rsidRDefault="00573C95" w:rsidP="00F104EF">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83" o:spid="_x0000_s1313" style="position:absolute;left:0;text-align:left;margin-left:-53.95pt;margin-top:9.3pt;width:36pt;height:36pt;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" fillcolor="#70ffca" strokecolor="black [3213]" strokeweight="3pt">
                <v:textbox>
                  <w:txbxContent>
                    <w:p w14:paraId="2DC14290" w14:textId="14D0CCC6" w:rsidR="001501D6" w:rsidRPr="004F4085" w:rsidRDefault="001501D6" w:rsidP="00F104EF">
                      <w:pPr>
                        <w:jc w:val="center"/>
                      </w:pPr>
                      <w:r>
                        <w:t>2</w:t>
                      </w:r>
                    </w:p>
                  </w:txbxContent>
                </v:textbox>
              </v:oval>
            </w:pict>
          </mc:Fallback>
        </mc:AlternateContent>
      </w:r>
    </w:p>
    <w:p w14:paraId="4DA80399" w14:textId="4B8F154C" w:rsidR="00F104EF" w:rsidRDefault="00F104EF" w:rsidP="004F5E2E">
      <w:pPr>
        <w:jc w:val="both"/>
      </w:pPr>
      <w:r>
        <w:t xml:space="preserve">Marie </w:t>
      </w:r>
      <w:r w:rsidR="006C663D">
        <w:t>transfère</w:t>
      </w:r>
      <w:r>
        <w:t xml:space="preserve"> 30 000 $ du REÉR au FERR (pour permettre au retrait d'être considéré comme un revenu admissible au fractionnement).</w:t>
      </w:r>
      <w:r w:rsidRPr="00F104EF">
        <w:rPr>
          <w:noProof/>
          <w:lang w:eastAsia="fr-FR"/>
        </w:rPr>
        <w:t xml:space="preserve"> </w:t>
      </w:r>
    </w:p>
    <w:p w14:paraId="419EF640" w14:textId="77777777" w:rsidR="00F104EF" w:rsidRDefault="00F104EF" w:rsidP="004F5E2E">
      <w:pPr>
        <w:jc w:val="both"/>
      </w:pPr>
    </w:p>
    <w:p w14:paraId="2FD274E7" w14:textId="1CA00AF2" w:rsidR="00F104EF" w:rsidRDefault="00F104EF" w:rsidP="004F5E2E">
      <w:pPr>
        <w:jc w:val="both"/>
      </w:pPr>
      <w:r>
        <w:rPr>
          <w:noProof/>
          <w:lang w:eastAsia="fr-FR"/>
        </w:rPr>
        <mc:AlternateContent>
          <mc:Choice Requires="wps">
            <w:drawing>
              <wp:anchor distT="0" distB="0" distL="114300" distR="114300" simplePos="0" relativeHeight="252588032" behindDoc="0" locked="0" layoutInCell="1" allowOverlap="1" wp14:anchorId="4A280D63" wp14:editId="670A3B98">
                <wp:simplePos x="0" y="0"/>
                <wp:positionH relativeFrom="column">
                  <wp:posOffset>-685800</wp:posOffset>
                </wp:positionH>
                <wp:positionV relativeFrom="paragraph">
                  <wp:posOffset>56515</wp:posOffset>
                </wp:positionV>
                <wp:extent cx="457200" cy="457200"/>
                <wp:effectExtent l="25400" t="25400" r="25400" b="25400"/>
                <wp:wrapNone/>
                <wp:docPr id="484" name="Ellipse 48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F6AE064" w14:textId="425948B3" w:rsidR="00573C95" w:rsidRPr="004F4085" w:rsidRDefault="00573C95" w:rsidP="00F104EF">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84" o:spid="_x0000_s1314" style="position:absolute;left:0;text-align:left;margin-left:-53.95pt;margin-top:4.45pt;width:36pt;height:36pt;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" fillcolor="#70ffca" strokecolor="black [3213]" strokeweight="3pt">
                <v:textbox>
                  <w:txbxContent>
                    <w:p w14:paraId="7F6AE064" w14:textId="425948B3" w:rsidR="001501D6" w:rsidRPr="004F4085" w:rsidRDefault="001501D6" w:rsidP="00F104EF">
                      <w:pPr>
                        <w:jc w:val="center"/>
                      </w:pPr>
                      <w:r>
                        <w:t>3</w:t>
                      </w:r>
                    </w:p>
                  </w:txbxContent>
                </v:textbox>
              </v:oval>
            </w:pict>
          </mc:Fallback>
        </mc:AlternateContent>
      </w:r>
    </w:p>
    <w:p w14:paraId="37DB9431" w14:textId="55C25E14" w:rsidR="00F104EF" w:rsidRDefault="00F104EF" w:rsidP="004F5E2E">
      <w:pPr>
        <w:jc w:val="both"/>
      </w:pPr>
      <w:r>
        <w:t>Marie retire 30 000 $ de son FERR.</w:t>
      </w:r>
    </w:p>
    <w:p w14:paraId="7DD0E035" w14:textId="77777777" w:rsidR="00F104EF" w:rsidRDefault="00F104EF" w:rsidP="004F5E2E">
      <w:pPr>
        <w:jc w:val="both"/>
      </w:pPr>
    </w:p>
    <w:p w14:paraId="2AF131E9" w14:textId="77777777" w:rsidR="00F104EF" w:rsidRDefault="00F104EF" w:rsidP="004F5E2E">
      <w:pPr>
        <w:jc w:val="both"/>
      </w:pPr>
    </w:p>
    <w:p w14:paraId="02148DD1" w14:textId="3F299728" w:rsidR="00F104EF" w:rsidRDefault="00F104EF" w:rsidP="004F5E2E">
      <w:pPr>
        <w:jc w:val="both"/>
      </w:pPr>
      <w:r>
        <w:rPr>
          <w:noProof/>
          <w:lang w:eastAsia="fr-FR"/>
        </w:rPr>
        <mc:AlternateContent>
          <mc:Choice Requires="wps">
            <w:drawing>
              <wp:anchor distT="0" distB="0" distL="114300" distR="114300" simplePos="0" relativeHeight="252590080" behindDoc="0" locked="0" layoutInCell="1" allowOverlap="1" wp14:anchorId="4B4A404B" wp14:editId="3BBFD2A3">
                <wp:simplePos x="0" y="0"/>
                <wp:positionH relativeFrom="column">
                  <wp:posOffset>-685800</wp:posOffset>
                </wp:positionH>
                <wp:positionV relativeFrom="paragraph">
                  <wp:posOffset>-114300</wp:posOffset>
                </wp:positionV>
                <wp:extent cx="457200" cy="457200"/>
                <wp:effectExtent l="25400" t="25400" r="25400" b="25400"/>
                <wp:wrapNone/>
                <wp:docPr id="485" name="Ellipse 48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5A6522CC" w14:textId="1408555A" w:rsidR="00573C95" w:rsidRPr="004F4085" w:rsidRDefault="00573C95" w:rsidP="00F104EF">
                            <w:pPr>
                              <w:jc w:val="center"/>
                            </w:pPr>
                            <w: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85" o:spid="_x0000_s1315" style="position:absolute;left:0;text-align:left;margin-left:-53.95pt;margin-top:-8.95pt;width:36pt;height:36pt;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" fillcolor="#70ffca" strokecolor="black [3213]" strokeweight="3pt">
                <v:textbox>
                  <w:txbxContent>
                    <w:p w14:paraId="5A6522CC" w14:textId="1408555A" w:rsidR="001501D6" w:rsidRPr="004F4085" w:rsidRDefault="001501D6" w:rsidP="00F104EF">
                      <w:pPr>
                        <w:jc w:val="center"/>
                      </w:pPr>
                      <w:r>
                        <w:t>41</w:t>
                      </w:r>
                    </w:p>
                  </w:txbxContent>
                </v:textbox>
              </v:oval>
            </w:pict>
          </mc:Fallback>
        </mc:AlternateContent>
      </w:r>
      <w:r>
        <w:t>Au moment de produire sa déclaration fiscale, Marie fractionne au maximum son revenu de retraite (50 % du revenu admissible) avec Jean.</w:t>
      </w:r>
    </w:p>
    <w:p w14:paraId="332055B8" w14:textId="77777777" w:rsidR="00A74BA0" w:rsidRDefault="00A74BA0" w:rsidP="000E17F4">
      <w:pPr>
        <w:jc w:val="both"/>
      </w:pPr>
    </w:p>
    <w:p w14:paraId="7A8532EE" w14:textId="2D5CAD3E" w:rsidR="00A74BA0" w:rsidRDefault="00C2277B" w:rsidP="000E17F4">
      <w:pPr>
        <w:jc w:val="both"/>
      </w:pPr>
      <w:r>
        <w:t xml:space="preserve">Il est très important de saisir que cette stratégie s'applique seulement dans le cas où le couple aurait besoin de l'ensemble des revenus (200 000 $ </w:t>
      </w:r>
      <w:r w:rsidR="006C663D">
        <w:t>bruts</w:t>
      </w:r>
      <w:r>
        <w:t>) pour couvrir son train de vie. Si ce n'est pas le cas, une simple cotisation au REER par Marie serait de mise</w:t>
      </w:r>
      <w:r w:rsidR="00D76E9C">
        <w:t>.</w:t>
      </w:r>
    </w:p>
    <w:p w14:paraId="2137E7A7" w14:textId="77777777" w:rsidR="001A4280" w:rsidRDefault="001A4280" w:rsidP="000E17F4">
      <w:pPr>
        <w:jc w:val="both"/>
      </w:pPr>
    </w:p>
    <w:p w14:paraId="78BEAF7B" w14:textId="25956397" w:rsidR="001A4280" w:rsidRDefault="000C3A14" w:rsidP="000E17F4">
      <w:pPr>
        <w:jc w:val="both"/>
      </w:pPr>
      <w:r>
        <w:t>Résultats fiscaux</w:t>
      </w:r>
      <w:r w:rsidR="00510AC3">
        <w:rPr>
          <w:rStyle w:val="Marquenotebasdepage"/>
        </w:rPr>
        <w:footnoteReference w:customMarkFollows="1" w:id="61"/>
        <w:t>58</w:t>
      </w:r>
      <w:r>
        <w:t xml:space="preserve"> des différents scénarios</w:t>
      </w:r>
    </w:p>
    <w:p w14:paraId="0BFDF4D3" w14:textId="77777777" w:rsidR="00510AC3" w:rsidRDefault="00510AC3" w:rsidP="000E17F4">
      <w:pPr>
        <w:jc w:val="both"/>
      </w:pPr>
    </w:p>
    <w:tbl>
      <w:tblPr>
        <w:tblStyle w:val="Grillemoyenne3-Accent3"/>
        <w:tblW w:w="0" w:type="auto"/>
        <w:tblLook w:val="04A0" w:firstRow="1" w:lastRow="0" w:firstColumn="1" w:lastColumn="0" w:noHBand="0" w:noVBand="1"/>
      </w:tblPr>
      <w:tblGrid>
        <w:gridCol w:w="2802"/>
        <w:gridCol w:w="1842"/>
        <w:gridCol w:w="1974"/>
        <w:gridCol w:w="2062"/>
        <w:gridCol w:w="2300"/>
        <w:gridCol w:w="2242"/>
      </w:tblGrid>
      <w:tr w:rsidR="00510AC3" w14:paraId="38E7967D" w14:textId="77777777" w:rsidTr="00510A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0EBBEEBC" w14:textId="31634FD0" w:rsidR="00B97901" w:rsidRDefault="00B97901" w:rsidP="000E17F4">
            <w:pPr>
              <w:jc w:val="both"/>
            </w:pPr>
            <w:r>
              <w:t>Les scénarios</w:t>
            </w:r>
          </w:p>
        </w:tc>
        <w:tc>
          <w:tcPr>
            <w:tcW w:w="1842" w:type="dxa"/>
          </w:tcPr>
          <w:p w14:paraId="08107D06" w14:textId="746731BB" w:rsidR="00B97901" w:rsidRDefault="00B97901" w:rsidP="000E17F4">
            <w:pPr>
              <w:jc w:val="both"/>
              <w:cnfStyle w:val="100000000000" w:firstRow="1" w:lastRow="0" w:firstColumn="0" w:lastColumn="0" w:oddVBand="0" w:evenVBand="0" w:oddHBand="0" w:evenHBand="0" w:firstRowFirstColumn="0" w:firstRowLastColumn="0" w:lastRowFirstColumn="0" w:lastRowLastColumn="0"/>
            </w:pPr>
            <w:r>
              <w:t>Revenu imposable Marie</w:t>
            </w:r>
          </w:p>
        </w:tc>
        <w:tc>
          <w:tcPr>
            <w:tcW w:w="1974" w:type="dxa"/>
          </w:tcPr>
          <w:p w14:paraId="5AC24A89" w14:textId="4FA3E163" w:rsidR="00B97901" w:rsidRDefault="00B97901" w:rsidP="00B97901">
            <w:pPr>
              <w:jc w:val="both"/>
              <w:cnfStyle w:val="100000000000" w:firstRow="1" w:lastRow="0" w:firstColumn="0" w:lastColumn="0" w:oddVBand="0" w:evenVBand="0" w:oddHBand="0" w:evenHBand="0" w:firstRowFirstColumn="0" w:firstRowLastColumn="0" w:lastRowFirstColumn="0" w:lastRowLastColumn="0"/>
            </w:pPr>
            <w:r>
              <w:t xml:space="preserve">Impôts Marie </w:t>
            </w:r>
          </w:p>
        </w:tc>
        <w:tc>
          <w:tcPr>
            <w:tcW w:w="2062" w:type="dxa"/>
          </w:tcPr>
          <w:p w14:paraId="00AB0554" w14:textId="35EBCC3E" w:rsidR="00B97901" w:rsidRDefault="00B97901" w:rsidP="000E17F4">
            <w:pPr>
              <w:jc w:val="both"/>
              <w:cnfStyle w:val="100000000000" w:firstRow="1" w:lastRow="0" w:firstColumn="0" w:lastColumn="0" w:oddVBand="0" w:evenVBand="0" w:oddHBand="0" w:evenHBand="0" w:firstRowFirstColumn="0" w:firstRowLastColumn="0" w:lastRowFirstColumn="0" w:lastRowLastColumn="0"/>
            </w:pPr>
            <w:r>
              <w:t>Revenu imposable Jean</w:t>
            </w:r>
          </w:p>
        </w:tc>
        <w:tc>
          <w:tcPr>
            <w:tcW w:w="2300" w:type="dxa"/>
          </w:tcPr>
          <w:p w14:paraId="6AB24900" w14:textId="6B978104" w:rsidR="00B97901" w:rsidRDefault="00B97901" w:rsidP="00B97901">
            <w:pPr>
              <w:jc w:val="both"/>
              <w:cnfStyle w:val="100000000000" w:firstRow="1" w:lastRow="0" w:firstColumn="0" w:lastColumn="0" w:oddVBand="0" w:evenVBand="0" w:oddHBand="0" w:evenHBand="0" w:firstRowFirstColumn="0" w:firstRowLastColumn="0" w:lastRowFirstColumn="0" w:lastRowLastColumn="0"/>
            </w:pPr>
            <w:r>
              <w:t xml:space="preserve">Impôts Jean </w:t>
            </w:r>
          </w:p>
        </w:tc>
        <w:tc>
          <w:tcPr>
            <w:tcW w:w="2242" w:type="dxa"/>
          </w:tcPr>
          <w:p w14:paraId="54A78008" w14:textId="5664CF07" w:rsidR="00B97901" w:rsidRDefault="00B97901" w:rsidP="00B97901">
            <w:pPr>
              <w:jc w:val="both"/>
              <w:cnfStyle w:val="100000000000" w:firstRow="1" w:lastRow="0" w:firstColumn="0" w:lastColumn="0" w:oddVBand="0" w:evenVBand="0" w:oddHBand="0" w:evenHBand="0" w:firstRowFirstColumn="0" w:firstRowLastColumn="0" w:lastRowFirstColumn="0" w:lastRowLastColumn="0"/>
            </w:pPr>
            <w:r>
              <w:t>Impôts  couple</w:t>
            </w:r>
          </w:p>
        </w:tc>
      </w:tr>
      <w:tr w:rsidR="00510AC3" w14:paraId="03D57FBF" w14:textId="77777777" w:rsidTr="00510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2784FC3F" w14:textId="77777777" w:rsidR="00B97901" w:rsidRDefault="00B97901" w:rsidP="000E17F4">
            <w:pPr>
              <w:jc w:val="both"/>
            </w:pPr>
          </w:p>
        </w:tc>
        <w:tc>
          <w:tcPr>
            <w:tcW w:w="1842" w:type="dxa"/>
          </w:tcPr>
          <w:p w14:paraId="37ABBCD8" w14:textId="77777777" w:rsidR="00B97901" w:rsidRDefault="00B97901" w:rsidP="000E17F4">
            <w:pPr>
              <w:jc w:val="both"/>
              <w:cnfStyle w:val="000000100000" w:firstRow="0" w:lastRow="0" w:firstColumn="0" w:lastColumn="0" w:oddVBand="0" w:evenVBand="0" w:oddHBand="1" w:evenHBand="0" w:firstRowFirstColumn="0" w:firstRowLastColumn="0" w:lastRowFirstColumn="0" w:lastRowLastColumn="0"/>
            </w:pPr>
          </w:p>
        </w:tc>
        <w:tc>
          <w:tcPr>
            <w:tcW w:w="1974" w:type="dxa"/>
          </w:tcPr>
          <w:p w14:paraId="33CDD7A0" w14:textId="7B990041" w:rsidR="00B97901" w:rsidRDefault="00B97901" w:rsidP="000E17F4">
            <w:pPr>
              <w:jc w:val="both"/>
              <w:cnfStyle w:val="000000100000" w:firstRow="0" w:lastRow="0" w:firstColumn="0" w:lastColumn="0" w:oddVBand="0" w:evenVBand="0" w:oddHBand="1" w:evenHBand="0" w:firstRowFirstColumn="0" w:firstRowLastColumn="0" w:lastRowFirstColumn="0" w:lastRowLastColumn="0"/>
            </w:pPr>
          </w:p>
        </w:tc>
        <w:tc>
          <w:tcPr>
            <w:tcW w:w="2062" w:type="dxa"/>
          </w:tcPr>
          <w:p w14:paraId="36B4E505" w14:textId="77777777" w:rsidR="00B97901" w:rsidRDefault="00B97901" w:rsidP="000E17F4">
            <w:pPr>
              <w:jc w:val="both"/>
              <w:cnfStyle w:val="000000100000" w:firstRow="0" w:lastRow="0" w:firstColumn="0" w:lastColumn="0" w:oddVBand="0" w:evenVBand="0" w:oddHBand="1" w:evenHBand="0" w:firstRowFirstColumn="0" w:firstRowLastColumn="0" w:lastRowFirstColumn="0" w:lastRowLastColumn="0"/>
            </w:pPr>
          </w:p>
        </w:tc>
        <w:tc>
          <w:tcPr>
            <w:tcW w:w="2300" w:type="dxa"/>
          </w:tcPr>
          <w:p w14:paraId="7AD5EDB0" w14:textId="3BF8111A" w:rsidR="00B97901" w:rsidRDefault="00B97901" w:rsidP="000E17F4">
            <w:pPr>
              <w:jc w:val="both"/>
              <w:cnfStyle w:val="000000100000" w:firstRow="0" w:lastRow="0" w:firstColumn="0" w:lastColumn="0" w:oddVBand="0" w:evenVBand="0" w:oddHBand="1" w:evenHBand="0" w:firstRowFirstColumn="0" w:firstRowLastColumn="0" w:lastRowFirstColumn="0" w:lastRowLastColumn="0"/>
            </w:pPr>
          </w:p>
        </w:tc>
        <w:tc>
          <w:tcPr>
            <w:tcW w:w="2242" w:type="dxa"/>
          </w:tcPr>
          <w:p w14:paraId="7C0C6D99" w14:textId="77777777" w:rsidR="00B97901" w:rsidRDefault="00B97901" w:rsidP="000E17F4">
            <w:pPr>
              <w:jc w:val="both"/>
              <w:cnfStyle w:val="000000100000" w:firstRow="0" w:lastRow="0" w:firstColumn="0" w:lastColumn="0" w:oddVBand="0" w:evenVBand="0" w:oddHBand="1" w:evenHBand="0" w:firstRowFirstColumn="0" w:firstRowLastColumn="0" w:lastRowFirstColumn="0" w:lastRowLastColumn="0"/>
            </w:pPr>
          </w:p>
        </w:tc>
      </w:tr>
      <w:tr w:rsidR="00510AC3" w14:paraId="4FBA7F32" w14:textId="77777777" w:rsidTr="00510AC3">
        <w:tc>
          <w:tcPr>
            <w:cnfStyle w:val="001000000000" w:firstRow="0" w:lastRow="0" w:firstColumn="1" w:lastColumn="0" w:oddVBand="0" w:evenVBand="0" w:oddHBand="0" w:evenHBand="0" w:firstRowFirstColumn="0" w:firstRowLastColumn="0" w:lastRowFirstColumn="0" w:lastRowLastColumn="0"/>
            <w:tcW w:w="2802" w:type="dxa"/>
          </w:tcPr>
          <w:p w14:paraId="30926AED" w14:textId="3417EA66" w:rsidR="00B97901" w:rsidRDefault="00B97901" w:rsidP="000E17F4">
            <w:pPr>
              <w:jc w:val="both"/>
            </w:pPr>
            <w:r>
              <w:t>Aucune planification</w:t>
            </w:r>
          </w:p>
        </w:tc>
        <w:tc>
          <w:tcPr>
            <w:tcW w:w="1842" w:type="dxa"/>
          </w:tcPr>
          <w:p w14:paraId="71314222" w14:textId="31AA0F9D" w:rsidR="00B97901" w:rsidRDefault="00785554" w:rsidP="000E17F4">
            <w:pPr>
              <w:jc w:val="both"/>
              <w:cnfStyle w:val="000000000000" w:firstRow="0" w:lastRow="0" w:firstColumn="0" w:lastColumn="0" w:oddVBand="0" w:evenVBand="0" w:oddHBand="0" w:evenHBand="0" w:firstRowFirstColumn="0" w:firstRowLastColumn="0" w:lastRowFirstColumn="0" w:lastRowLastColumn="0"/>
            </w:pPr>
            <w:r>
              <w:t>170 000 $</w:t>
            </w:r>
          </w:p>
        </w:tc>
        <w:tc>
          <w:tcPr>
            <w:tcW w:w="1974" w:type="dxa"/>
          </w:tcPr>
          <w:p w14:paraId="7C1CC3D6" w14:textId="45B70853" w:rsidR="00B97901" w:rsidRDefault="002519E9" w:rsidP="002519E9">
            <w:pPr>
              <w:jc w:val="both"/>
              <w:cnfStyle w:val="000000000000" w:firstRow="0" w:lastRow="0" w:firstColumn="0" w:lastColumn="0" w:oddVBand="0" w:evenVBand="0" w:oddHBand="0" w:evenHBand="0" w:firstRowFirstColumn="0" w:firstRowLastColumn="0" w:lastRowFirstColumn="0" w:lastRowLastColumn="0"/>
            </w:pPr>
            <w:r>
              <w:t>65 600 $</w:t>
            </w:r>
          </w:p>
        </w:tc>
        <w:tc>
          <w:tcPr>
            <w:tcW w:w="2062" w:type="dxa"/>
          </w:tcPr>
          <w:p w14:paraId="4CD4A402" w14:textId="6425BBE5" w:rsidR="00B97901" w:rsidRDefault="00785554" w:rsidP="000E17F4">
            <w:pPr>
              <w:jc w:val="both"/>
              <w:cnfStyle w:val="000000000000" w:firstRow="0" w:lastRow="0" w:firstColumn="0" w:lastColumn="0" w:oddVBand="0" w:evenVBand="0" w:oddHBand="0" w:evenHBand="0" w:firstRowFirstColumn="0" w:firstRowLastColumn="0" w:lastRowFirstColumn="0" w:lastRowLastColumn="0"/>
            </w:pPr>
            <w:r>
              <w:t>30 000 $</w:t>
            </w:r>
          </w:p>
        </w:tc>
        <w:tc>
          <w:tcPr>
            <w:tcW w:w="2300" w:type="dxa"/>
          </w:tcPr>
          <w:p w14:paraId="7691DC5B" w14:textId="3698FCDA" w:rsidR="00B97901" w:rsidRDefault="00576AE5" w:rsidP="000E17F4">
            <w:pPr>
              <w:jc w:val="both"/>
              <w:cnfStyle w:val="000000000000" w:firstRow="0" w:lastRow="0" w:firstColumn="0" w:lastColumn="0" w:oddVBand="0" w:evenVBand="0" w:oddHBand="0" w:evenHBand="0" w:firstRowFirstColumn="0" w:firstRowLastColumn="0" w:lastRowFirstColumn="0" w:lastRowLastColumn="0"/>
            </w:pPr>
            <w:r>
              <w:t xml:space="preserve">  </w:t>
            </w:r>
            <w:r w:rsidR="002519E9">
              <w:t>4 900 $</w:t>
            </w:r>
          </w:p>
        </w:tc>
        <w:tc>
          <w:tcPr>
            <w:tcW w:w="2242" w:type="dxa"/>
          </w:tcPr>
          <w:p w14:paraId="54BF7363" w14:textId="7C147F6D" w:rsidR="00B97901" w:rsidRDefault="00402372" w:rsidP="000E17F4">
            <w:pPr>
              <w:jc w:val="both"/>
              <w:cnfStyle w:val="000000000000" w:firstRow="0" w:lastRow="0" w:firstColumn="0" w:lastColumn="0" w:oddVBand="0" w:evenVBand="0" w:oddHBand="0" w:evenHBand="0" w:firstRowFirstColumn="0" w:firstRowLastColumn="0" w:lastRowFirstColumn="0" w:lastRowLastColumn="0"/>
            </w:pPr>
            <w:r>
              <w:t>70 500 $</w:t>
            </w:r>
          </w:p>
        </w:tc>
      </w:tr>
      <w:tr w:rsidR="00510AC3" w14:paraId="56FC8ABD" w14:textId="77777777" w:rsidTr="00510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40AE8006" w14:textId="14881503" w:rsidR="00B97901" w:rsidRDefault="00B97901" w:rsidP="000E17F4">
            <w:pPr>
              <w:jc w:val="both"/>
            </w:pPr>
            <w:r>
              <w:t>REÉR Marie</w:t>
            </w:r>
          </w:p>
        </w:tc>
        <w:tc>
          <w:tcPr>
            <w:tcW w:w="1842" w:type="dxa"/>
          </w:tcPr>
          <w:p w14:paraId="17F70E03" w14:textId="16A6336F" w:rsidR="00B97901" w:rsidRDefault="00785554" w:rsidP="000E17F4">
            <w:pPr>
              <w:jc w:val="both"/>
              <w:cnfStyle w:val="000000100000" w:firstRow="0" w:lastRow="0" w:firstColumn="0" w:lastColumn="0" w:oddVBand="0" w:evenVBand="0" w:oddHBand="1" w:evenHBand="0" w:firstRowFirstColumn="0" w:firstRowLastColumn="0" w:lastRowFirstColumn="0" w:lastRowLastColumn="0"/>
            </w:pPr>
            <w:r>
              <w:t>140 000 $</w:t>
            </w:r>
          </w:p>
        </w:tc>
        <w:tc>
          <w:tcPr>
            <w:tcW w:w="1974" w:type="dxa"/>
          </w:tcPr>
          <w:p w14:paraId="01723E60" w14:textId="19C73118" w:rsidR="00B97901" w:rsidRDefault="002519E9" w:rsidP="000E17F4">
            <w:pPr>
              <w:jc w:val="both"/>
              <w:cnfStyle w:val="000000100000" w:firstRow="0" w:lastRow="0" w:firstColumn="0" w:lastColumn="0" w:oddVBand="0" w:evenVBand="0" w:oddHBand="1" w:evenHBand="0" w:firstRowFirstColumn="0" w:firstRowLastColumn="0" w:lastRowFirstColumn="0" w:lastRowLastColumn="0"/>
            </w:pPr>
            <w:r>
              <w:t>50 600 $</w:t>
            </w:r>
          </w:p>
        </w:tc>
        <w:tc>
          <w:tcPr>
            <w:tcW w:w="2062" w:type="dxa"/>
          </w:tcPr>
          <w:p w14:paraId="1064E988" w14:textId="010FEABE" w:rsidR="00B97901" w:rsidRDefault="00785554" w:rsidP="000E17F4">
            <w:pPr>
              <w:jc w:val="both"/>
              <w:cnfStyle w:val="000000100000" w:firstRow="0" w:lastRow="0" w:firstColumn="0" w:lastColumn="0" w:oddVBand="0" w:evenVBand="0" w:oddHBand="1" w:evenHBand="0" w:firstRowFirstColumn="0" w:firstRowLastColumn="0" w:lastRowFirstColumn="0" w:lastRowLastColumn="0"/>
            </w:pPr>
            <w:r>
              <w:t>30 000 $</w:t>
            </w:r>
          </w:p>
        </w:tc>
        <w:tc>
          <w:tcPr>
            <w:tcW w:w="2300" w:type="dxa"/>
          </w:tcPr>
          <w:p w14:paraId="16CF9456" w14:textId="14CDCF5E" w:rsidR="00B97901" w:rsidRDefault="00576AE5" w:rsidP="000E17F4">
            <w:pPr>
              <w:jc w:val="both"/>
              <w:cnfStyle w:val="000000100000" w:firstRow="0" w:lastRow="0" w:firstColumn="0" w:lastColumn="0" w:oddVBand="0" w:evenVBand="0" w:oddHBand="1" w:evenHBand="0" w:firstRowFirstColumn="0" w:firstRowLastColumn="0" w:lastRowFirstColumn="0" w:lastRowLastColumn="0"/>
            </w:pPr>
            <w:r>
              <w:t xml:space="preserve">  </w:t>
            </w:r>
            <w:r w:rsidR="002519E9">
              <w:t>4 900 $</w:t>
            </w:r>
          </w:p>
        </w:tc>
        <w:tc>
          <w:tcPr>
            <w:tcW w:w="2242" w:type="dxa"/>
          </w:tcPr>
          <w:p w14:paraId="347A6835" w14:textId="39696D30" w:rsidR="00B97901" w:rsidRDefault="00402372" w:rsidP="000E17F4">
            <w:pPr>
              <w:jc w:val="both"/>
              <w:cnfStyle w:val="000000100000" w:firstRow="0" w:lastRow="0" w:firstColumn="0" w:lastColumn="0" w:oddVBand="0" w:evenVBand="0" w:oddHBand="1" w:evenHBand="0" w:firstRowFirstColumn="0" w:firstRowLastColumn="0" w:lastRowFirstColumn="0" w:lastRowLastColumn="0"/>
            </w:pPr>
            <w:r>
              <w:t>55 500 $</w:t>
            </w:r>
          </w:p>
        </w:tc>
      </w:tr>
      <w:tr w:rsidR="00510AC3" w14:paraId="5D9A749C" w14:textId="77777777" w:rsidTr="00510AC3">
        <w:tc>
          <w:tcPr>
            <w:cnfStyle w:val="001000000000" w:firstRow="0" w:lastRow="0" w:firstColumn="1" w:lastColumn="0" w:oddVBand="0" w:evenVBand="0" w:oddHBand="0" w:evenHBand="0" w:firstRowFirstColumn="0" w:firstRowLastColumn="0" w:lastRowFirstColumn="0" w:lastRowLastColumn="0"/>
            <w:tcW w:w="2802" w:type="dxa"/>
          </w:tcPr>
          <w:p w14:paraId="4C4E0A05" w14:textId="3440366E" w:rsidR="00B97901" w:rsidRDefault="00B97901" w:rsidP="000E17F4">
            <w:pPr>
              <w:jc w:val="both"/>
            </w:pPr>
            <w:r>
              <w:t>REÉR Marie - Transfert FERR Marie</w:t>
            </w:r>
          </w:p>
        </w:tc>
        <w:tc>
          <w:tcPr>
            <w:tcW w:w="1842" w:type="dxa"/>
          </w:tcPr>
          <w:p w14:paraId="0E6C8F5B" w14:textId="5AAD1E17" w:rsidR="00B97901" w:rsidRDefault="00785554" w:rsidP="000E17F4">
            <w:pPr>
              <w:jc w:val="both"/>
              <w:cnfStyle w:val="000000000000" w:firstRow="0" w:lastRow="0" w:firstColumn="0" w:lastColumn="0" w:oddVBand="0" w:evenVBand="0" w:oddHBand="0" w:evenHBand="0" w:firstRowFirstColumn="0" w:firstRowLastColumn="0" w:lastRowFirstColumn="0" w:lastRowLastColumn="0"/>
            </w:pPr>
            <w:r>
              <w:t>155 000 $</w:t>
            </w:r>
          </w:p>
        </w:tc>
        <w:tc>
          <w:tcPr>
            <w:tcW w:w="1974" w:type="dxa"/>
          </w:tcPr>
          <w:p w14:paraId="68E33B21" w14:textId="104738A4" w:rsidR="00B97901" w:rsidRDefault="00576AE5" w:rsidP="000E17F4">
            <w:pPr>
              <w:jc w:val="both"/>
              <w:cnfStyle w:val="000000000000" w:firstRow="0" w:lastRow="0" w:firstColumn="0" w:lastColumn="0" w:oddVBand="0" w:evenVBand="0" w:oddHBand="0" w:evenHBand="0" w:firstRowFirstColumn="0" w:firstRowLastColumn="0" w:lastRowFirstColumn="0" w:lastRowLastColumn="0"/>
            </w:pPr>
            <w:r>
              <w:t>58 100 $</w:t>
            </w:r>
          </w:p>
        </w:tc>
        <w:tc>
          <w:tcPr>
            <w:tcW w:w="2062" w:type="dxa"/>
          </w:tcPr>
          <w:p w14:paraId="13A79915" w14:textId="3E68327F" w:rsidR="00B97901" w:rsidRDefault="00785554" w:rsidP="000E17F4">
            <w:pPr>
              <w:jc w:val="both"/>
              <w:cnfStyle w:val="000000000000" w:firstRow="0" w:lastRow="0" w:firstColumn="0" w:lastColumn="0" w:oddVBand="0" w:evenVBand="0" w:oddHBand="0" w:evenHBand="0" w:firstRowFirstColumn="0" w:firstRowLastColumn="0" w:lastRowFirstColumn="0" w:lastRowLastColumn="0"/>
            </w:pPr>
            <w:r>
              <w:t>45 000 $</w:t>
            </w:r>
          </w:p>
        </w:tc>
        <w:tc>
          <w:tcPr>
            <w:tcW w:w="2300" w:type="dxa"/>
          </w:tcPr>
          <w:p w14:paraId="70604E9B" w14:textId="38BF0FCC" w:rsidR="00B97901" w:rsidRDefault="00576AE5" w:rsidP="000E17F4">
            <w:pPr>
              <w:jc w:val="both"/>
              <w:cnfStyle w:val="000000000000" w:firstRow="0" w:lastRow="0" w:firstColumn="0" w:lastColumn="0" w:oddVBand="0" w:evenVBand="0" w:oddHBand="0" w:evenHBand="0" w:firstRowFirstColumn="0" w:firstRowLastColumn="0" w:lastRowFirstColumn="0" w:lastRowLastColumn="0"/>
            </w:pPr>
            <w:r>
              <w:t xml:space="preserve">  9 400 $</w:t>
            </w:r>
          </w:p>
        </w:tc>
        <w:tc>
          <w:tcPr>
            <w:tcW w:w="2242" w:type="dxa"/>
          </w:tcPr>
          <w:p w14:paraId="39B4868C" w14:textId="1C8E9631" w:rsidR="00B97901" w:rsidRDefault="00402372" w:rsidP="000E17F4">
            <w:pPr>
              <w:jc w:val="both"/>
              <w:cnfStyle w:val="000000000000" w:firstRow="0" w:lastRow="0" w:firstColumn="0" w:lastColumn="0" w:oddVBand="0" w:evenVBand="0" w:oddHBand="0" w:evenHBand="0" w:firstRowFirstColumn="0" w:firstRowLastColumn="0" w:lastRowFirstColumn="0" w:lastRowLastColumn="0"/>
            </w:pPr>
            <w:r>
              <w:t>67 500 $</w:t>
            </w:r>
          </w:p>
        </w:tc>
      </w:tr>
    </w:tbl>
    <w:p w14:paraId="54218EA5" w14:textId="77777777" w:rsidR="00A13DF9" w:rsidRDefault="00A13DF9" w:rsidP="000E17F4">
      <w:pPr>
        <w:jc w:val="both"/>
      </w:pPr>
    </w:p>
    <w:p w14:paraId="47741F60" w14:textId="554CE4FA" w:rsidR="000C3A14" w:rsidRDefault="004C5ED2" w:rsidP="000E17F4">
      <w:pPr>
        <w:jc w:val="both"/>
      </w:pPr>
      <w:r>
        <w:t xml:space="preserve">Nous devons </w:t>
      </w:r>
      <w:r w:rsidR="006C663D">
        <w:t>nous</w:t>
      </w:r>
      <w:r>
        <w:t xml:space="preserve"> rappeler que le scénario REÉR Marie comporte un report d'impôt sur un</w:t>
      </w:r>
      <w:r w:rsidR="00863CFF">
        <w:t xml:space="preserve"> montant</w:t>
      </w:r>
      <w:r>
        <w:t xml:space="preserve"> de 30 000 $</w:t>
      </w:r>
      <w:r w:rsidR="00863CFF">
        <w:t>. Cette dernière somme</w:t>
      </w:r>
      <w:r>
        <w:t xml:space="preserve"> est déjà pleinement imposé</w:t>
      </w:r>
      <w:r w:rsidR="00863CFF">
        <w:t>e</w:t>
      </w:r>
      <w:r>
        <w:t xml:space="preserve"> dans </w:t>
      </w:r>
      <w:r w:rsidR="006C663D">
        <w:t>le c</w:t>
      </w:r>
      <w:r>
        <w:t xml:space="preserve">as des autres scénarios. </w:t>
      </w:r>
      <w:r w:rsidR="00863CFF">
        <w:t>Si le couple n'a pas besoin immédiatement de ce 30 000 $, c'est le meilleur scénario.</w:t>
      </w:r>
    </w:p>
    <w:p w14:paraId="0B007493" w14:textId="77777777" w:rsidR="00863CFF" w:rsidRDefault="00863CFF" w:rsidP="000E17F4">
      <w:pPr>
        <w:jc w:val="both"/>
      </w:pPr>
    </w:p>
    <w:p w14:paraId="68973268" w14:textId="206D5B7C" w:rsidR="002F2DA9" w:rsidRDefault="001B1426" w:rsidP="00DA5B57">
      <w:pPr>
        <w:jc w:val="both"/>
      </w:pPr>
      <w:r>
        <w:t>De plus</w:t>
      </w:r>
      <w:r w:rsidR="00DA5B57">
        <w:t>,</w:t>
      </w:r>
      <w:r>
        <w:t xml:space="preserve"> </w:t>
      </w:r>
      <w:r w:rsidR="00DA5B57">
        <w:t xml:space="preserve">il serait possible pour Marie d'effectuer une cotisation au REÉR de Jean  pour un montant correspondant au retrait minimum du FERR de celui-ci (par exemple, à 65 ans, le retrait minimum est de 4 %, si le FERR de Jean est de 100 000 $, la cotisation en question devrait être de 4 000 $). Par la suite, Jean effectuerait le transfert </w:t>
      </w:r>
      <w:r w:rsidR="002F2DA9">
        <w:t xml:space="preserve">de la somme </w:t>
      </w:r>
      <w:r w:rsidR="00DA5B57">
        <w:t xml:space="preserve">à son FERR pour finalement en faire le retrait. Cette stratégie permet </w:t>
      </w:r>
      <w:r w:rsidR="002F2DA9">
        <w:t xml:space="preserve">le déplacement de </w:t>
      </w:r>
      <w:r w:rsidR="00DA5B57">
        <w:t xml:space="preserve"> 4 000 $  </w:t>
      </w:r>
      <w:r w:rsidR="002F2DA9">
        <w:t>du</w:t>
      </w:r>
      <w:r w:rsidR="00DA5B57">
        <w:t xml:space="preserve"> revenu imposable de Marie à </w:t>
      </w:r>
      <w:r w:rsidR="002F2DA9">
        <w:t xml:space="preserve">celui de </w:t>
      </w:r>
      <w:r w:rsidR="00DA5B57">
        <w:t xml:space="preserve">Jean. Cette opération tire profit d'une nuance méconnue des dispositions fiscales à savoir que la règle du délai de 3 années pour effectuer un retrait d'un REÉR qui a été établi au profit du conjoint est levée dans le cas du retrait minimum du FERR. </w:t>
      </w:r>
    </w:p>
    <w:p w14:paraId="73D5F44A" w14:textId="77777777" w:rsidR="00C10C74" w:rsidRDefault="00C10C74" w:rsidP="00DA5B57">
      <w:pPr>
        <w:jc w:val="both"/>
      </w:pPr>
    </w:p>
    <w:p w14:paraId="586E0CBE" w14:textId="68969115" w:rsidR="00DA5B57" w:rsidRDefault="00DA5B57" w:rsidP="00DA5B57">
      <w:pPr>
        <w:jc w:val="both"/>
      </w:pPr>
      <w:r>
        <w:lastRenderedPageBreak/>
        <w:t xml:space="preserve">Par ailleurs, il faut </w:t>
      </w:r>
      <w:r w:rsidR="00C10C74">
        <w:t>comprendre</w:t>
      </w:r>
      <w:r>
        <w:t xml:space="preserve"> que ce derni</w:t>
      </w:r>
      <w:r w:rsidR="000E4B9F">
        <w:t>er ajout à la</w:t>
      </w:r>
      <w:r>
        <w:t xml:space="preserve"> stratégie implique un réel déplacement des liquidités de </w:t>
      </w:r>
      <w:r w:rsidR="000E4B9F">
        <w:t>4</w:t>
      </w:r>
      <w:r>
        <w:t xml:space="preserve"> 000 $ de Marie en faveur de Jean. Dans le cas de la stratégie</w:t>
      </w:r>
      <w:r w:rsidR="000E4B9F">
        <w:t xml:space="preserve"> initiale</w:t>
      </w:r>
      <w:r>
        <w:t>, il ne s'agit que d'une mécanique fiscale qui n'</w:t>
      </w:r>
      <w:r w:rsidR="00C10C74">
        <w:t>engage</w:t>
      </w:r>
      <w:r>
        <w:t xml:space="preserve"> pas de déplacement d'argent; le 15 000 $ </w:t>
      </w:r>
      <w:r w:rsidR="000E4B9F">
        <w:t xml:space="preserve"> qui correspond au déplacement de revenu imposable </w:t>
      </w:r>
      <w:r>
        <w:t>n'est pas remis à Jean.</w:t>
      </w:r>
    </w:p>
    <w:p w14:paraId="70B29EB4" w14:textId="0A322206" w:rsidR="004F5E2E" w:rsidRDefault="004F5E2E" w:rsidP="000E17F4">
      <w:pPr>
        <w:jc w:val="both"/>
      </w:pPr>
    </w:p>
    <w:p w14:paraId="575FD08E" w14:textId="77777777" w:rsidR="00B720E3" w:rsidRDefault="00B720E3" w:rsidP="000E17F4">
      <w:pPr>
        <w:jc w:val="both"/>
      </w:pPr>
    </w:p>
    <w:p w14:paraId="59388778" w14:textId="5D21304C" w:rsidR="000E6134" w:rsidRDefault="00B575E2" w:rsidP="000E6134">
      <w:pPr>
        <w:rPr>
          <w:color w:val="000000" w:themeColor="text1"/>
          <w:u w:val="single"/>
        </w:rPr>
      </w:pPr>
      <w:r>
        <w:rPr>
          <w:noProof/>
          <w:lang w:eastAsia="fr-FR"/>
        </w:rPr>
        <mc:AlternateContent>
          <mc:Choice Requires="wps">
            <w:drawing>
              <wp:anchor distT="0" distB="0" distL="114300" distR="114300" simplePos="0" relativeHeight="252577792" behindDoc="0" locked="0" layoutInCell="1" allowOverlap="1" wp14:anchorId="601861B3" wp14:editId="5D46B47D">
                <wp:simplePos x="0" y="0"/>
                <wp:positionH relativeFrom="column">
                  <wp:posOffset>4572000</wp:posOffset>
                </wp:positionH>
                <wp:positionV relativeFrom="paragraph">
                  <wp:posOffset>-342900</wp:posOffset>
                </wp:positionV>
                <wp:extent cx="800100" cy="800100"/>
                <wp:effectExtent l="25400" t="25400" r="38100" b="38100"/>
                <wp:wrapNone/>
                <wp:docPr id="478" name="Ellipse 478"/>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052134AA" w14:textId="3262F004" w:rsidR="00573C95" w:rsidRDefault="00573C95" w:rsidP="008A460A">
                            <w:pPr>
                              <w:jc w:val="center"/>
                            </w:pPr>
                            <w:r w:rsidRPr="004F4085">
                              <w:t xml:space="preserve">&gt; </w:t>
                            </w:r>
                            <w:r>
                              <w:t xml:space="preserve">60 </w:t>
                            </w:r>
                          </w:p>
                          <w:p w14:paraId="65EE22EA" w14:textId="7153D86F" w:rsidR="00573C95" w:rsidRPr="004F4085" w:rsidRDefault="00573C95" w:rsidP="008A460A">
                            <w:pPr>
                              <w:jc w:val="center"/>
                            </w:pPr>
                            <w:r>
                              <w:t>&lt; 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78" o:spid="_x0000_s1316" style="position:absolute;margin-left:5in;margin-top:-26.95pt;width:63pt;height:63pt;z-index:2525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" fillcolor="#70ffca" strokecolor="black [3213]" strokeweight="3pt">
                <v:textbox>
                  <w:txbxContent>
                    <w:p w14:paraId="052134AA" w14:textId="3262F004" w:rsidR="001501D6" w:rsidRDefault="001501D6" w:rsidP="008A460A">
                      <w:pPr>
                        <w:jc w:val="center"/>
                      </w:pPr>
                      <w:r w:rsidRPr="004F4085">
                        <w:t xml:space="preserve">&gt; </w:t>
                      </w:r>
                      <w:r>
                        <w:t xml:space="preserve">60 </w:t>
                      </w:r>
                    </w:p>
                    <w:p w14:paraId="65EE22EA" w14:textId="7153D86F" w:rsidR="001501D6" w:rsidRPr="004F4085" w:rsidRDefault="001501D6" w:rsidP="008A460A">
                      <w:pPr>
                        <w:jc w:val="center"/>
                      </w:pPr>
                      <w:r>
                        <w:t>&lt; 65</w:t>
                      </w:r>
                    </w:p>
                  </w:txbxContent>
                </v:textbox>
              </v:oval>
            </w:pict>
          </mc:Fallback>
        </mc:AlternateContent>
      </w:r>
      <w:r w:rsidR="000E6134">
        <w:rPr>
          <w:color w:val="000000" w:themeColor="text1"/>
        </w:rPr>
        <w:t xml:space="preserve">Situation 4 - </w:t>
      </w:r>
      <w:r w:rsidR="000E6134">
        <w:rPr>
          <w:color w:val="000000" w:themeColor="text1"/>
          <w:u w:val="single"/>
        </w:rPr>
        <w:t>Le contribuable est âgé entre 60 ans et 65 ans</w:t>
      </w:r>
      <w:r w:rsidR="000E6134" w:rsidRPr="00F27B04">
        <w:rPr>
          <w:color w:val="000000" w:themeColor="text1"/>
          <w:u w:val="single"/>
        </w:rPr>
        <w:t xml:space="preserve"> </w:t>
      </w:r>
    </w:p>
    <w:p w14:paraId="26769B2D" w14:textId="77777777" w:rsidR="004F5E2E" w:rsidRDefault="004F5E2E" w:rsidP="000E6134">
      <w:pPr>
        <w:rPr>
          <w:color w:val="000000" w:themeColor="text1"/>
          <w:u w:val="single"/>
        </w:rPr>
      </w:pPr>
    </w:p>
    <w:p w14:paraId="6929BB05" w14:textId="77777777" w:rsidR="006F252D" w:rsidRDefault="006F252D" w:rsidP="004F5E2E">
      <w:pPr>
        <w:jc w:val="both"/>
      </w:pPr>
    </w:p>
    <w:p w14:paraId="4089F756" w14:textId="66F1A47E" w:rsidR="004F5E2E" w:rsidRDefault="006F252D" w:rsidP="006F252D">
      <w:pPr>
        <w:jc w:val="both"/>
      </w:pPr>
      <w:r>
        <w:t>Le contribuable qui arrive au seuil de sa prise de retraite aura intérêt à établir préalablement un plan de match pour optimiser la situation fiscale à venir ainsi que son accès aux revenus de retraite provenant du gouvernement fédéral. Pour les mieux nantis, l'optimisation visera à préserver la pleine PSV alors que pour ceux ayant des perspectives de revenus modestes le défi consistera à retenir le maximum du SRG.</w:t>
      </w:r>
    </w:p>
    <w:p w14:paraId="424EFF4B" w14:textId="77777777" w:rsidR="006F252D" w:rsidRDefault="006F252D" w:rsidP="006F252D">
      <w:pPr>
        <w:jc w:val="both"/>
      </w:pPr>
    </w:p>
    <w:p w14:paraId="6BA4ADA5" w14:textId="43D88657" w:rsidR="006F252D" w:rsidRDefault="006F252D" w:rsidP="006F252D">
      <w:pPr>
        <w:jc w:val="both"/>
      </w:pPr>
      <w:r>
        <w:t>Nous avons déjà beaucoup discuté</w:t>
      </w:r>
      <w:r w:rsidR="004D666B">
        <w:t xml:space="preserve"> de l'importance du fractionnement du revenu de retraite pour les couples. À ce sujet, nous aimerions porter un dernier commentaire. Nous savons que sans même aucune  planification ce fractionnement est possible par une mécanique fiscale déjà prévue à cet effet. Pourquoi alors  ajouter aux bonnes pratiques de pla</w:t>
      </w:r>
      <w:r w:rsidR="00CC2581">
        <w:t xml:space="preserve">nification fiscale de retraite </w:t>
      </w:r>
      <w:r w:rsidR="00CC2581" w:rsidRPr="00CC2581">
        <w:rPr>
          <w:color w:val="FF6700" w:themeColor="accent3"/>
        </w:rPr>
        <w:t>LA CONTRIBUTION AU</w:t>
      </w:r>
      <w:r w:rsidR="004D666B" w:rsidRPr="00CC2581">
        <w:rPr>
          <w:color w:val="FF6700" w:themeColor="accent3"/>
        </w:rPr>
        <w:t xml:space="preserve"> REER </w:t>
      </w:r>
      <w:r w:rsidR="00CC2581" w:rsidRPr="00CC2581">
        <w:rPr>
          <w:color w:val="FF6700" w:themeColor="accent3"/>
        </w:rPr>
        <w:t>DU CONJOINT</w:t>
      </w:r>
      <w:r w:rsidR="004D666B">
        <w:t xml:space="preserve"> (dans le cas de </w:t>
      </w:r>
      <w:r w:rsidR="004D666B" w:rsidRPr="004D666B">
        <w:rPr>
          <w:u w:val="single"/>
        </w:rPr>
        <w:t>personnes mariées seulement</w:t>
      </w:r>
      <w:r w:rsidR="004D666B">
        <w:rPr>
          <w:rStyle w:val="Marquenotebasdepage"/>
          <w:u w:val="single"/>
        </w:rPr>
        <w:footnoteReference w:customMarkFollows="1" w:id="62"/>
        <w:t>59</w:t>
      </w:r>
      <w:r w:rsidR="004D666B">
        <w:t>)</w:t>
      </w:r>
      <w:r w:rsidR="004D666B" w:rsidRPr="004D666B">
        <w:rPr>
          <w:rFonts w:ascii="Avenir Book" w:hAnsi="Avenir Book"/>
        </w:rPr>
        <w:t>?</w:t>
      </w:r>
      <w:r w:rsidR="004D666B">
        <w:rPr>
          <w:rFonts w:ascii="Avenir Book" w:hAnsi="Avenir Book"/>
        </w:rPr>
        <w:t xml:space="preserve"> </w:t>
      </w:r>
      <w:r w:rsidR="004D666B">
        <w:t xml:space="preserve">Essentiellement, pour les </w:t>
      </w:r>
      <w:r w:rsidR="00D44432">
        <w:t>deux</w:t>
      </w:r>
      <w:r w:rsidR="004D666B">
        <w:t xml:space="preserve"> raisons suivantes:</w:t>
      </w:r>
    </w:p>
    <w:p w14:paraId="16A41A78" w14:textId="77777777" w:rsidR="004D666B" w:rsidRDefault="004D666B" w:rsidP="006F252D">
      <w:pPr>
        <w:jc w:val="both"/>
      </w:pPr>
    </w:p>
    <w:p w14:paraId="30981A1A" w14:textId="3D30D999" w:rsidR="004D666B" w:rsidRDefault="002D4489" w:rsidP="006C34CF">
      <w:pPr>
        <w:pStyle w:val="Paragraphedeliste"/>
        <w:numPr>
          <w:ilvl w:val="0"/>
          <w:numId w:val="56"/>
        </w:numPr>
        <w:jc w:val="both"/>
      </w:pPr>
      <w:r>
        <w:t>La mesure du fractionnement des revenus de retraite a été instaurée en 2007 et elle</w:t>
      </w:r>
      <w:r w:rsidR="00F95107">
        <w:t xml:space="preserve"> se veut </w:t>
      </w:r>
      <w:r>
        <w:t>extrêmement coûteuse pour l'État</w:t>
      </w:r>
      <w:r w:rsidR="00D30DA8">
        <w:t xml:space="preserve"> (Près de 1,1 G</w:t>
      </w:r>
      <w:r w:rsidR="00D30DA8">
        <w:rPr>
          <w:rStyle w:val="Marquenotebasdepage"/>
        </w:rPr>
        <w:footnoteReference w:customMarkFollows="1" w:id="63"/>
        <w:t>60</w:t>
      </w:r>
      <w:r w:rsidR="00D30DA8">
        <w:t xml:space="preserve"> en 2014, en ne tenant compte que du fédéral)</w:t>
      </w:r>
      <w:r>
        <w:t xml:space="preserve">. Elle n'est donc pas immuable, et dans le contexte d'une période d'assainissement des finances publiques, cette règle pourrait être révoquée. </w:t>
      </w:r>
      <w:r w:rsidR="00BA5A1D">
        <w:t xml:space="preserve">Le dosage des revenus de retraite à la retraite par l'effet de la cotisation du REÉR du conjoint permet de s'assurer du fractionnement de revenus même s'il y avait suppression de la règle fiscale spécifique au fractionnement des revenus de retraite.  </w:t>
      </w:r>
    </w:p>
    <w:p w14:paraId="7B6BACE7" w14:textId="77777777" w:rsidR="009A5876" w:rsidRDefault="009A5876" w:rsidP="00D44432">
      <w:pPr>
        <w:jc w:val="both"/>
      </w:pPr>
    </w:p>
    <w:p w14:paraId="474FB32B" w14:textId="4724C4B4" w:rsidR="00D44432" w:rsidRDefault="00D44432" w:rsidP="006C34CF">
      <w:pPr>
        <w:pStyle w:val="Paragraphedeliste"/>
        <w:numPr>
          <w:ilvl w:val="0"/>
          <w:numId w:val="56"/>
        </w:numPr>
        <w:jc w:val="both"/>
      </w:pPr>
      <w:r>
        <w:lastRenderedPageBreak/>
        <w:t xml:space="preserve">Dans le cas où le conjoint récipiendaire du revenu imposable le plus élevé recevait un revenu qui n'est pas admissible au fractionnement de revenus de </w:t>
      </w:r>
      <w:r w:rsidR="00F95107">
        <w:t>retraite,</w:t>
      </w:r>
      <w:r>
        <w:t xml:space="preserve"> le REÉR de l'autre conjoint pourrait contribuer à niveler les revenus de retraite du couple et permettre ainsi un meilleur fractionnement des revenus.</w:t>
      </w:r>
    </w:p>
    <w:p w14:paraId="1A3FB628" w14:textId="77777777" w:rsidR="004D666B" w:rsidRPr="004D666B" w:rsidRDefault="004D666B" w:rsidP="006F252D">
      <w:pPr>
        <w:jc w:val="both"/>
      </w:pPr>
    </w:p>
    <w:p w14:paraId="5F4056CE" w14:textId="69253DA2" w:rsidR="006F252D" w:rsidRDefault="00CC2581" w:rsidP="006F252D">
      <w:pPr>
        <w:jc w:val="both"/>
      </w:pPr>
      <w:r>
        <w:t xml:space="preserve">L'autre concept qui vise à </w:t>
      </w:r>
      <w:r w:rsidR="004145B9">
        <w:t xml:space="preserve">bien </w:t>
      </w:r>
      <w:r>
        <w:t xml:space="preserve">préparer sa retraite </w:t>
      </w:r>
      <w:r w:rsidR="004145B9">
        <w:t>afin d'</w:t>
      </w:r>
      <w:r>
        <w:t xml:space="preserve">optimiser, dépendamment du profil du contribuable, soit  la PSV, soit le SRG, est connu sous le nom de la </w:t>
      </w:r>
      <w:r w:rsidRPr="00CC2581">
        <w:rPr>
          <w:color w:val="FF6700" w:themeColor="accent3"/>
        </w:rPr>
        <w:t>DÉFISCALISATION DU REÉR</w:t>
      </w:r>
      <w:r>
        <w:t>. Cette stratégie peut être envisag</w:t>
      </w:r>
      <w:r w:rsidR="00CE449A">
        <w:t>ée</w:t>
      </w:r>
      <w:r>
        <w:t xml:space="preserve"> autant pour les contribuables qui sont célibataires ou en couple. L'objectif est, pour les contribuables qui se retrouveraient dans des zones de revenus de retraite où il y a perdition de la PSV ou du SRG, de transformer </w:t>
      </w:r>
      <w:r w:rsidRPr="00CC2581">
        <w:rPr>
          <w:u w:val="single"/>
        </w:rPr>
        <w:t>préalablement</w:t>
      </w:r>
      <w:r>
        <w:t xml:space="preserve"> le capital retraite de source générant des revenus imposables en source de recettes non imposables.</w:t>
      </w:r>
      <w:r w:rsidR="00CE449A">
        <w:t xml:space="preserve"> Pour les contribuables dont le défi est de préserver le plus possible le SRG, la planification s'articulera autour du CÉLI. Dans le cas, du maintient de la PSV, il sera surtout question d'une stratégie</w:t>
      </w:r>
      <w:r w:rsidR="00093C00">
        <w:t xml:space="preserve"> à </w:t>
      </w:r>
      <w:r w:rsidR="00093C00" w:rsidRPr="00093C00">
        <w:rPr>
          <w:u w:val="single"/>
        </w:rPr>
        <w:t xml:space="preserve">risque </w:t>
      </w:r>
      <w:r w:rsidR="00F95107">
        <w:rPr>
          <w:u w:val="single"/>
        </w:rPr>
        <w:t>élevé</w:t>
      </w:r>
      <w:r w:rsidR="00CE449A">
        <w:t xml:space="preserve"> axée sur le financement à effet de levier.</w:t>
      </w:r>
      <w:r>
        <w:t xml:space="preserve">  </w:t>
      </w:r>
    </w:p>
    <w:p w14:paraId="2F2BC698" w14:textId="6DCD3097" w:rsidR="004F5E2E" w:rsidRDefault="004F5E2E" w:rsidP="000E6134">
      <w:pPr>
        <w:rPr>
          <w:color w:val="000000" w:themeColor="text1"/>
          <w:u w:val="single"/>
        </w:rPr>
      </w:pPr>
    </w:p>
    <w:p w14:paraId="11798873" w14:textId="77777777" w:rsidR="003354C3" w:rsidRPr="00197B12" w:rsidRDefault="003354C3" w:rsidP="00197B12">
      <w:pPr>
        <w:ind w:left="360"/>
        <w:rPr>
          <w:color w:val="FF6700" w:themeColor="accent3"/>
          <w:u w:val="single"/>
        </w:rPr>
      </w:pPr>
    </w:p>
    <w:p w14:paraId="4D94F479" w14:textId="486D2B4A" w:rsidR="00197B12" w:rsidRPr="00197B12" w:rsidRDefault="00197B12" w:rsidP="006C34CF">
      <w:pPr>
        <w:pStyle w:val="Paragraphedeliste"/>
        <w:numPr>
          <w:ilvl w:val="0"/>
          <w:numId w:val="91"/>
        </w:numPr>
        <w:rPr>
          <w:color w:val="FF6700" w:themeColor="accent3"/>
          <w:u w:val="single"/>
        </w:rPr>
      </w:pPr>
      <w:r>
        <w:rPr>
          <w:color w:val="FF6700" w:themeColor="accent3"/>
        </w:rPr>
        <w:t>Objectif de préserv</w:t>
      </w:r>
      <w:r w:rsidR="003B36B4">
        <w:rPr>
          <w:color w:val="FF6700" w:themeColor="accent3"/>
        </w:rPr>
        <w:t>er le</w:t>
      </w:r>
      <w:r>
        <w:rPr>
          <w:color w:val="FF6700" w:themeColor="accent3"/>
        </w:rPr>
        <w:t xml:space="preserve"> SRG</w:t>
      </w:r>
    </w:p>
    <w:p w14:paraId="63CBDF31" w14:textId="77777777" w:rsidR="00197B12" w:rsidRPr="00197B12" w:rsidRDefault="00197B12" w:rsidP="00197B12">
      <w:pPr>
        <w:ind w:left="360"/>
        <w:rPr>
          <w:color w:val="FF6700" w:themeColor="accent3"/>
          <w:u w:val="single"/>
        </w:rPr>
      </w:pPr>
    </w:p>
    <w:p w14:paraId="4F88ED72" w14:textId="64ABDDEF" w:rsidR="00C5225C" w:rsidRDefault="00D84DEF" w:rsidP="00DF20D5">
      <w:pPr>
        <w:jc w:val="both"/>
      </w:pPr>
      <w:r>
        <w:t>La première question, même si elle est futile à ce stade-ci, est de se demander pourquoi un contribuable qui aspire au SRG est détenteur d'un REÉR</w:t>
      </w:r>
      <w:r w:rsidR="00DF20D5" w:rsidRPr="00DF20D5">
        <w:rPr>
          <w:rFonts w:ascii="Avenir Book" w:hAnsi="Avenir Book"/>
        </w:rPr>
        <w:t>?</w:t>
      </w:r>
      <w:r w:rsidR="00DF20D5">
        <w:t xml:space="preserve"> Si l'on se rappelle bien, le facteur de priorisation dans le choix d'un placement dans un REÉR ou dans un CÉLI se situe dans les jeux comparatifs des taux d'imposition </w:t>
      </w:r>
      <w:r w:rsidR="00F95107">
        <w:t>marginaux</w:t>
      </w:r>
      <w:r w:rsidR="00DF20D5">
        <w:t xml:space="preserve"> qui s'</w:t>
      </w:r>
      <w:r w:rsidR="00F95107">
        <w:t>appliquent</w:t>
      </w:r>
      <w:r w:rsidR="00DF20D5">
        <w:t xml:space="preserve"> au moment de la cotisation et au moment du retrait dans le cas d'un REÉR. Or, pour les gens qui </w:t>
      </w:r>
      <w:r w:rsidR="00F95107">
        <w:t>anticipent</w:t>
      </w:r>
      <w:r w:rsidR="00DF20D5">
        <w:t xml:space="preserve"> de très faibles revenus de retraite</w:t>
      </w:r>
      <w:r w:rsidR="00C35327">
        <w:t xml:space="preserve"> (moins de 18 000 $ pour les contribuables célibataires)</w:t>
      </w:r>
      <w:r w:rsidR="00DF20D5">
        <w:t>, le taux effectif marginal d'impôt (TEMI) est démesurément élevé lorsque le temps est venu de retirer</w:t>
      </w:r>
      <w:r w:rsidR="00C35327">
        <w:t xml:space="preserve"> un montant du REÉR (taux de récupération du SRG de 50 %). Ce sont clairement des situations où le contribuable aurait dû privilégier les petites épargnes dans le CÉLI plutôt que dans le REÉR. Heureusement, celui-ci pourrait entreprendre de convertir son REÉR en CÉLI. Progressivement, sur plusieurs années,  les montants détenus dans le REÉR pourraient être retirés et transférer dans le CÉLI. De cette façon, au moment d'être admissible au SRG, le contribuable pourra compléter son faible revenu de retraite par des retraits CÉLI sans pour autant réduire sa prestation de SRG. Pour arriver à un tel exercice, il faut s'assurer que le contribuable correspond au profil adéquat (petit revenu actif, petit montant investi dans le REÉR &lt; 100 000 $, petit revenu à la retraite, petit TEMI au moment des retraits anticipés du REÉR)</w:t>
      </w:r>
      <w:r w:rsidR="00CB0EE9">
        <w:t xml:space="preserve">. </w:t>
      </w:r>
    </w:p>
    <w:p w14:paraId="45277D8D" w14:textId="77777777" w:rsidR="00C5225C" w:rsidRDefault="00C5225C" w:rsidP="00DF20D5">
      <w:pPr>
        <w:jc w:val="both"/>
      </w:pPr>
    </w:p>
    <w:p w14:paraId="1F3E5037" w14:textId="47CF7D4A" w:rsidR="00197B12" w:rsidRPr="00C5225C" w:rsidRDefault="00C5225C" w:rsidP="00DF20D5">
      <w:pPr>
        <w:jc w:val="both"/>
        <w:rPr>
          <w:u w:val="single"/>
        </w:rPr>
      </w:pPr>
      <w:r>
        <w:lastRenderedPageBreak/>
        <w:t xml:space="preserve">Dans le même ordre d'idée, le contribuable qui possèderait une humble habitation, dans l'objectif de la maximisation du SRG, devrait envisager de la préserver plutôt que de la disposer pour aménager dans un immeuble locatif. De cette façon, la disposition de la résidence ne génèrera pas un montant </w:t>
      </w:r>
      <w:r w:rsidR="004B58C2">
        <w:t xml:space="preserve">de </w:t>
      </w:r>
      <w:r>
        <w:t xml:space="preserve">capital qui lui-même produirait des revenus (pour la portion du capital qui excèderait l'espace CÉLI) qui </w:t>
      </w:r>
      <w:r w:rsidR="00A727DB">
        <w:t xml:space="preserve">réduiraient (50 %) </w:t>
      </w:r>
      <w:r>
        <w:t>le</w:t>
      </w:r>
      <w:r w:rsidR="00A727DB">
        <w:t xml:space="preserve"> montant du </w:t>
      </w:r>
      <w:r>
        <w:t xml:space="preserve">SRG. </w:t>
      </w:r>
      <w:r w:rsidRPr="00C5225C">
        <w:rPr>
          <w:u w:val="single"/>
        </w:rPr>
        <w:t xml:space="preserve">Ce type de stratégie se doit absolument d'être évaluée avec une vision globale et intégrée des faits s'appliquant au contribuable et </w:t>
      </w:r>
      <w:r w:rsidR="00B90F44">
        <w:rPr>
          <w:u w:val="single"/>
        </w:rPr>
        <w:t xml:space="preserve">ne </w:t>
      </w:r>
      <w:r w:rsidRPr="00C5225C">
        <w:rPr>
          <w:u w:val="single"/>
        </w:rPr>
        <w:t xml:space="preserve">constitue </w:t>
      </w:r>
      <w:r w:rsidR="00F95107">
        <w:rPr>
          <w:u w:val="single"/>
        </w:rPr>
        <w:t xml:space="preserve">en </w:t>
      </w:r>
      <w:r w:rsidRPr="00C5225C">
        <w:rPr>
          <w:u w:val="single"/>
        </w:rPr>
        <w:t>aucun</w:t>
      </w:r>
      <w:r w:rsidR="00A727DB">
        <w:rPr>
          <w:u w:val="single"/>
        </w:rPr>
        <w:t xml:space="preserve"> cas</w:t>
      </w:r>
      <w:r w:rsidRPr="00C5225C">
        <w:rPr>
          <w:u w:val="single"/>
        </w:rPr>
        <w:t xml:space="preserve"> une recommandation qui s'applique à tous.  </w:t>
      </w:r>
      <w:r w:rsidR="00C35327" w:rsidRPr="00C5225C">
        <w:rPr>
          <w:u w:val="single"/>
        </w:rPr>
        <w:t xml:space="preserve"> </w:t>
      </w:r>
      <w:r w:rsidR="00DF20D5" w:rsidRPr="00C5225C">
        <w:rPr>
          <w:u w:val="single"/>
        </w:rPr>
        <w:t xml:space="preserve"> </w:t>
      </w:r>
    </w:p>
    <w:p w14:paraId="75DBB037" w14:textId="77777777" w:rsidR="00197B12" w:rsidRDefault="00197B12" w:rsidP="00197B12">
      <w:pPr>
        <w:rPr>
          <w:color w:val="000000" w:themeColor="text1"/>
          <w:u w:val="single"/>
        </w:rPr>
      </w:pPr>
    </w:p>
    <w:p w14:paraId="067C28C2" w14:textId="77777777" w:rsidR="00A727DB" w:rsidRDefault="00A727DB" w:rsidP="00197B12">
      <w:pPr>
        <w:rPr>
          <w:color w:val="000000" w:themeColor="text1"/>
          <w:u w:val="single"/>
        </w:rPr>
      </w:pPr>
    </w:p>
    <w:p w14:paraId="271EF491" w14:textId="618BB4BB" w:rsidR="00197B12" w:rsidRPr="00197B12" w:rsidRDefault="00197B12" w:rsidP="006C34CF">
      <w:pPr>
        <w:pStyle w:val="Paragraphedeliste"/>
        <w:numPr>
          <w:ilvl w:val="0"/>
          <w:numId w:val="90"/>
        </w:numPr>
        <w:rPr>
          <w:color w:val="FF6700" w:themeColor="accent3"/>
          <w:u w:val="single"/>
        </w:rPr>
      </w:pPr>
      <w:r>
        <w:rPr>
          <w:color w:val="FF6700" w:themeColor="accent3"/>
        </w:rPr>
        <w:t>Objectif de préserv</w:t>
      </w:r>
      <w:r w:rsidR="003B36B4">
        <w:rPr>
          <w:color w:val="FF6700" w:themeColor="accent3"/>
        </w:rPr>
        <w:t>er</w:t>
      </w:r>
      <w:r>
        <w:rPr>
          <w:color w:val="FF6700" w:themeColor="accent3"/>
        </w:rPr>
        <w:t xml:space="preserve"> la PSV</w:t>
      </w:r>
    </w:p>
    <w:p w14:paraId="5488F4EB" w14:textId="77777777" w:rsidR="004B58C2" w:rsidRDefault="004B58C2">
      <w:pPr>
        <w:rPr>
          <w:color w:val="000000" w:themeColor="text1"/>
          <w:u w:val="single"/>
        </w:rPr>
      </w:pPr>
    </w:p>
    <w:p w14:paraId="0504C622" w14:textId="4699D7BD" w:rsidR="00CB4722" w:rsidRPr="00815FE0" w:rsidRDefault="00CB4722" w:rsidP="00815FE0">
      <w:pPr>
        <w:jc w:val="both"/>
        <w:rPr>
          <w:u w:val="single"/>
        </w:rPr>
      </w:pPr>
      <w:r>
        <w:rPr>
          <w:color w:val="000000" w:themeColor="text1"/>
        </w:rPr>
        <w:t xml:space="preserve">L'objectif de préserver la PSV et de se retirer de la zone de retranchement (en 2015, lorsque le revenu net se situe entre 71 592 $ et 116 692 $) de la PSV a déjà fait l'objet de quelques commentaires et de planification dans le présent ouvrage. Jusqu'à présent, ces stratégies comportaient peu de risque et </w:t>
      </w:r>
      <w:r w:rsidR="00F95107">
        <w:rPr>
          <w:color w:val="000000" w:themeColor="text1"/>
        </w:rPr>
        <w:t>visaient</w:t>
      </w:r>
      <w:r>
        <w:rPr>
          <w:color w:val="000000" w:themeColor="text1"/>
        </w:rPr>
        <w:t xml:space="preserve"> à maximiser la PSV sans pour autant </w:t>
      </w:r>
      <w:r w:rsidR="00815FE0">
        <w:rPr>
          <w:color w:val="000000" w:themeColor="text1"/>
        </w:rPr>
        <w:t>réussir à en assurer l'intégralité.  Le cas que nous vous présenterons vise à récupérer complètement la PSV par la mise en place de la défiscalisation du REÉR du contribuable. Cette stratégie s'</w:t>
      </w:r>
      <w:r w:rsidR="00F95107">
        <w:rPr>
          <w:color w:val="000000" w:themeColor="text1"/>
        </w:rPr>
        <w:t>appuie</w:t>
      </w:r>
      <w:r w:rsidR="00815FE0">
        <w:rPr>
          <w:color w:val="000000" w:themeColor="text1"/>
        </w:rPr>
        <w:t xml:space="preserve"> sur l'utilisation de l'effet de levier financier que procure un emprunt. </w:t>
      </w:r>
      <w:r w:rsidR="00815FE0" w:rsidRPr="00815FE0">
        <w:rPr>
          <w:color w:val="FF6700" w:themeColor="accent3"/>
        </w:rPr>
        <w:t>CETTE PLANIFICATION EST RISQUÉE ET NE DOIT PAS ÊTRE PROPOSÉE SANS QUE LE CONTRIBUABLE EN AIT SAISI PARFAITEMENT TOUTES LES SUBTILITÉS ET LES RISQUES QU'ILS ASSUMENT.</w:t>
      </w:r>
      <w:r w:rsidR="00815FE0">
        <w:rPr>
          <w:color w:val="FF6700" w:themeColor="accent3"/>
        </w:rPr>
        <w:t xml:space="preserve"> </w:t>
      </w:r>
      <w:r w:rsidR="00815FE0">
        <w:t xml:space="preserve">Par ailleurs, pour en réduire les effets (en aucun temps ceux-ci </w:t>
      </w:r>
      <w:r w:rsidR="00F95107">
        <w:t>ne sont</w:t>
      </w:r>
      <w:r w:rsidR="00815FE0">
        <w:t xml:space="preserve"> dissipés) sur la prise de risque, cette transaction doit être envisagée sur une période d'au moins 10 ans avant la prise de la retraite.</w:t>
      </w:r>
    </w:p>
    <w:p w14:paraId="71330C00" w14:textId="77777777" w:rsidR="009542C3" w:rsidRDefault="009542C3" w:rsidP="00815FE0">
      <w:pPr>
        <w:jc w:val="both"/>
        <w:rPr>
          <w:color w:val="000000" w:themeColor="text1"/>
          <w:u w:val="single"/>
        </w:rPr>
      </w:pPr>
    </w:p>
    <w:p w14:paraId="7D7DE90E" w14:textId="77777777" w:rsidR="009542C3" w:rsidRDefault="009542C3" w:rsidP="00815FE0">
      <w:pPr>
        <w:jc w:val="both"/>
        <w:rPr>
          <w:color w:val="000000" w:themeColor="text1"/>
        </w:rPr>
      </w:pPr>
      <w:r w:rsidRPr="00857D89">
        <w:rPr>
          <w:color w:val="000000" w:themeColor="text1"/>
          <w:u w:val="single"/>
        </w:rPr>
        <w:t>Voici les principales étapes de cette défiscalisation du REÉR</w:t>
      </w:r>
      <w:r>
        <w:rPr>
          <w:color w:val="000000" w:themeColor="text1"/>
        </w:rPr>
        <w:t>:</w:t>
      </w:r>
    </w:p>
    <w:p w14:paraId="02B79CC9" w14:textId="385A2547" w:rsidR="009542C3" w:rsidRDefault="007749CE" w:rsidP="00815FE0">
      <w:pPr>
        <w:jc w:val="both"/>
        <w:rPr>
          <w:color w:val="000000" w:themeColor="text1"/>
        </w:rPr>
      </w:pPr>
      <w:r>
        <w:rPr>
          <w:noProof/>
          <w:lang w:eastAsia="fr-FR"/>
        </w:rPr>
        <mc:AlternateContent>
          <mc:Choice Requires="wps">
            <w:drawing>
              <wp:anchor distT="0" distB="0" distL="114300" distR="114300" simplePos="0" relativeHeight="252596224" behindDoc="0" locked="0" layoutInCell="1" allowOverlap="1" wp14:anchorId="2CA3F114" wp14:editId="7554F9B8">
                <wp:simplePos x="0" y="0"/>
                <wp:positionH relativeFrom="column">
                  <wp:posOffset>-685800</wp:posOffset>
                </wp:positionH>
                <wp:positionV relativeFrom="paragraph">
                  <wp:posOffset>118110</wp:posOffset>
                </wp:positionV>
                <wp:extent cx="457200" cy="457200"/>
                <wp:effectExtent l="25400" t="25400" r="25400" b="25400"/>
                <wp:wrapNone/>
                <wp:docPr id="490" name="Ellipse 49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2D03AB09" w14:textId="72AFBB71" w:rsidR="00573C95" w:rsidRPr="004F4085" w:rsidRDefault="00573C95" w:rsidP="00E443E0">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90" o:spid="_x0000_s1317" style="position:absolute;left:0;text-align:left;margin-left:-53.95pt;margin-top:9.3pt;width:36pt;height:36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" fillcolor="#70ffca" strokecolor="black [3213]" strokeweight="3pt">
                <v:textbox>
                  <w:txbxContent>
                    <w:p w14:paraId="2D03AB09" w14:textId="72AFBB71" w:rsidR="001501D6" w:rsidRPr="004F4085" w:rsidRDefault="001501D6" w:rsidP="00E443E0">
                      <w:pPr>
                        <w:jc w:val="center"/>
                      </w:pPr>
                      <w:r>
                        <w:t>1</w:t>
                      </w:r>
                    </w:p>
                  </w:txbxContent>
                </v:textbox>
              </v:oval>
            </w:pict>
          </mc:Fallback>
        </mc:AlternateContent>
      </w:r>
    </w:p>
    <w:p w14:paraId="2745AB96" w14:textId="7E06493C" w:rsidR="00E443E0" w:rsidRDefault="009542C3" w:rsidP="00E443E0">
      <w:pPr>
        <w:jc w:val="both"/>
      </w:pPr>
      <w:r>
        <w:rPr>
          <w:color w:val="000000" w:themeColor="text1"/>
        </w:rPr>
        <w:t xml:space="preserve"> </w:t>
      </w:r>
      <w:r w:rsidR="00FF7065">
        <w:rPr>
          <w:color w:val="000000" w:themeColor="text1"/>
        </w:rPr>
        <w:t>Le contribuable emprunte un montant important pour une période de 10 années ou plus. Le</w:t>
      </w:r>
      <w:r w:rsidR="00EF42DD">
        <w:rPr>
          <w:color w:val="000000" w:themeColor="text1"/>
        </w:rPr>
        <w:t>s</w:t>
      </w:r>
      <w:r w:rsidR="00FF7065">
        <w:rPr>
          <w:color w:val="000000" w:themeColor="text1"/>
        </w:rPr>
        <w:t xml:space="preserve"> frais annuel</w:t>
      </w:r>
      <w:r w:rsidR="00EF42DD">
        <w:rPr>
          <w:color w:val="000000" w:themeColor="text1"/>
        </w:rPr>
        <w:t>s</w:t>
      </w:r>
      <w:r w:rsidR="00FF7065">
        <w:rPr>
          <w:color w:val="000000" w:themeColor="text1"/>
        </w:rPr>
        <w:t xml:space="preserve"> d</w:t>
      </w:r>
      <w:r w:rsidR="00EF42DD">
        <w:rPr>
          <w:color w:val="000000" w:themeColor="text1"/>
        </w:rPr>
        <w:t>'</w:t>
      </w:r>
      <w:r w:rsidR="00FF7065">
        <w:rPr>
          <w:color w:val="000000" w:themeColor="text1"/>
        </w:rPr>
        <w:t xml:space="preserve">intérêts sur cet emprunt </w:t>
      </w:r>
      <w:r w:rsidR="00F95107">
        <w:rPr>
          <w:color w:val="000000" w:themeColor="text1"/>
        </w:rPr>
        <w:t>doivent</w:t>
      </w:r>
      <w:r w:rsidR="00FF7065">
        <w:rPr>
          <w:color w:val="000000" w:themeColor="text1"/>
        </w:rPr>
        <w:t xml:space="preserve"> correspondre aux retraits annuels qui seront effectués à même le REÉR (les retraits </w:t>
      </w:r>
      <w:r w:rsidR="00EF42DD">
        <w:rPr>
          <w:color w:val="000000" w:themeColor="text1"/>
        </w:rPr>
        <w:t xml:space="preserve">annuels </w:t>
      </w:r>
      <w:r w:rsidR="00FF7065">
        <w:rPr>
          <w:color w:val="000000" w:themeColor="text1"/>
        </w:rPr>
        <w:t xml:space="preserve">correspondent à un amortissement linéaire du solde du REÉR sur une période de 10 années ou plus). </w:t>
      </w:r>
      <w:r w:rsidR="00F6702D">
        <w:rPr>
          <w:color w:val="000000" w:themeColor="text1"/>
        </w:rPr>
        <w:t xml:space="preserve"> C'est donc </w:t>
      </w:r>
      <w:r w:rsidR="00F95107">
        <w:rPr>
          <w:color w:val="000000" w:themeColor="text1"/>
        </w:rPr>
        <w:t>à rebours</w:t>
      </w:r>
      <w:r w:rsidR="00F6702D">
        <w:rPr>
          <w:color w:val="000000" w:themeColor="text1"/>
        </w:rPr>
        <w:t xml:space="preserve"> que nous fixerons le montant de l'emprunt en utilisant le retrait annuel du REÉR.</w:t>
      </w:r>
      <w:r w:rsidR="005F0A5C">
        <w:rPr>
          <w:color w:val="000000" w:themeColor="text1"/>
        </w:rPr>
        <w:t xml:space="preserve"> Les retraits du REÉR servent donc à payer les intérêts.</w:t>
      </w:r>
    </w:p>
    <w:p w14:paraId="36D45570" w14:textId="77777777" w:rsidR="00E443E0" w:rsidRDefault="00E443E0" w:rsidP="00E443E0">
      <w:pPr>
        <w:jc w:val="both"/>
      </w:pPr>
    </w:p>
    <w:p w14:paraId="1174D13E" w14:textId="42929455" w:rsidR="00E443E0" w:rsidRDefault="007749CE" w:rsidP="00E443E0">
      <w:pPr>
        <w:jc w:val="both"/>
      </w:pPr>
      <w:r>
        <w:rPr>
          <w:noProof/>
          <w:lang w:eastAsia="fr-FR"/>
        </w:rPr>
        <mc:AlternateContent>
          <mc:Choice Requires="wps">
            <w:drawing>
              <wp:anchor distT="0" distB="0" distL="114300" distR="114300" simplePos="0" relativeHeight="252592128" behindDoc="0" locked="0" layoutInCell="1" allowOverlap="1" wp14:anchorId="162B4B5D" wp14:editId="794F97E5">
                <wp:simplePos x="0" y="0"/>
                <wp:positionH relativeFrom="column">
                  <wp:posOffset>-685800</wp:posOffset>
                </wp:positionH>
                <wp:positionV relativeFrom="paragraph">
                  <wp:posOffset>0</wp:posOffset>
                </wp:positionV>
                <wp:extent cx="457200" cy="457200"/>
                <wp:effectExtent l="25400" t="25400" r="25400" b="25400"/>
                <wp:wrapNone/>
                <wp:docPr id="486" name="Ellipse 48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128F5325" w14:textId="77777777" w:rsidR="00573C95" w:rsidRPr="004F4085" w:rsidRDefault="00573C95" w:rsidP="00E443E0">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86" o:spid="_x0000_s1318" style="position:absolute;left:0;text-align:left;margin-left:-53.95pt;margin-top:0;width:36pt;height:36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" fillcolor="#70ffca" strokecolor="black [3213]" strokeweight="3pt">
                <v:textbox>
                  <w:txbxContent>
                    <w:p w14:paraId="128F5325" w14:textId="77777777" w:rsidR="001501D6" w:rsidRPr="004F4085" w:rsidRDefault="001501D6" w:rsidP="00E443E0">
                      <w:pPr>
                        <w:jc w:val="center"/>
                      </w:pPr>
                      <w:r>
                        <w:t>2</w:t>
                      </w:r>
                    </w:p>
                  </w:txbxContent>
                </v:textbox>
              </v:oval>
            </w:pict>
          </mc:Fallback>
        </mc:AlternateContent>
      </w:r>
      <w:r w:rsidR="00F6702D">
        <w:t xml:space="preserve">L'emprunt est ensuite utilisé pour effectuer des placements qui ne seront pas à l'abri de l'impôt (la stratégie peut être bonifiée en utilisant l'espace CÉLI qui est toujours disponible). Ces placements doivent être de type </w:t>
      </w:r>
      <w:r w:rsidR="00B90F44">
        <w:lastRenderedPageBreak/>
        <w:t>"</w:t>
      </w:r>
      <w:r w:rsidR="00F6702D">
        <w:t>croissance</w:t>
      </w:r>
      <w:r w:rsidR="00B90F44">
        <w:t>"</w:t>
      </w:r>
      <w:r w:rsidR="00F6702D">
        <w:t xml:space="preserve"> générant exclusivement du gain en capital (pour diversifier les placements et réduire les risques, l'espace CÉLI pourrait être utilisé pour générer des revenus fixes)</w:t>
      </w:r>
      <w:r w:rsidR="00E443E0">
        <w:t>.</w:t>
      </w:r>
      <w:r>
        <w:t xml:space="preserve"> Afin de réduire l'impact fiscal des gains en capital qui sont générés à l'extérieur des abris </w:t>
      </w:r>
      <w:r w:rsidR="00F95107">
        <w:t>fiscaux,</w:t>
      </w:r>
      <w:r>
        <w:t xml:space="preserve"> les placements doivent comporter une rotation presque nulle (garder le placement sans le revendre avant la fin de la planification). </w:t>
      </w:r>
    </w:p>
    <w:p w14:paraId="498BE35B" w14:textId="77777777" w:rsidR="00E443E0" w:rsidRDefault="00E443E0" w:rsidP="00E443E0">
      <w:pPr>
        <w:jc w:val="both"/>
      </w:pPr>
    </w:p>
    <w:p w14:paraId="169DFDDE" w14:textId="7A49C5B5" w:rsidR="00E443E0" w:rsidRDefault="00E443E0" w:rsidP="00E443E0">
      <w:pPr>
        <w:jc w:val="both"/>
      </w:pPr>
    </w:p>
    <w:p w14:paraId="4620DF07" w14:textId="44B05437" w:rsidR="00E443E0" w:rsidRDefault="006B7401" w:rsidP="00E443E0">
      <w:pPr>
        <w:jc w:val="both"/>
      </w:pPr>
      <w:r>
        <w:rPr>
          <w:noProof/>
          <w:lang w:eastAsia="fr-FR"/>
        </w:rPr>
        <mc:AlternateContent>
          <mc:Choice Requires="wps">
            <w:drawing>
              <wp:anchor distT="0" distB="0" distL="114300" distR="114300" simplePos="0" relativeHeight="252593152" behindDoc="0" locked="0" layoutInCell="1" allowOverlap="1" wp14:anchorId="3E9A5040" wp14:editId="5FAD9BED">
                <wp:simplePos x="0" y="0"/>
                <wp:positionH relativeFrom="column">
                  <wp:posOffset>-685800</wp:posOffset>
                </wp:positionH>
                <wp:positionV relativeFrom="paragraph">
                  <wp:posOffset>21590</wp:posOffset>
                </wp:positionV>
                <wp:extent cx="457200" cy="457200"/>
                <wp:effectExtent l="25400" t="25400" r="25400" b="25400"/>
                <wp:wrapNone/>
                <wp:docPr id="487" name="Ellipse 487"/>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8D33783" w14:textId="77777777" w:rsidR="00573C95" w:rsidRPr="004F4085" w:rsidRDefault="00573C95" w:rsidP="00E443E0">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87" o:spid="_x0000_s1319" style="position:absolute;left:0;text-align:left;margin-left:-53.95pt;margin-top:1.7pt;width:36pt;height:36pt;z-index:2525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" fillcolor="#70ffca" strokecolor="black [3213]" strokeweight="3pt">
                <v:textbox>
                  <w:txbxContent>
                    <w:p w14:paraId="78D33783" w14:textId="77777777" w:rsidR="001501D6" w:rsidRPr="004F4085" w:rsidRDefault="001501D6" w:rsidP="00E443E0">
                      <w:pPr>
                        <w:jc w:val="center"/>
                      </w:pPr>
                      <w:r>
                        <w:t>3</w:t>
                      </w:r>
                    </w:p>
                  </w:txbxContent>
                </v:textbox>
              </v:oval>
            </w:pict>
          </mc:Fallback>
        </mc:AlternateContent>
      </w:r>
      <w:r w:rsidR="00F95107">
        <w:t>Chaque</w:t>
      </w:r>
      <w:r w:rsidR="007749CE">
        <w:t xml:space="preserve"> année, le contribuable doit inclure dans sa déclaration fiscale</w:t>
      </w:r>
      <w:r>
        <w:t>, à titre de revenu, les retraits du REÉR et, à titre de déductions, les intérêts payés sur l'emprunt. Le montant net de l'opération se soldera à zéro. Il est fondamental à la stratégie que</w:t>
      </w:r>
      <w:r w:rsidR="007749CE">
        <w:t xml:space="preserve"> </w:t>
      </w:r>
      <w:r>
        <w:t>les intérêts soient déductibles. À ce titre, il faut suivre avec attention l'évolution des règles fiscales et des jurisprudences.</w:t>
      </w:r>
    </w:p>
    <w:p w14:paraId="7618DDEA" w14:textId="77777777" w:rsidR="00E443E0" w:rsidRDefault="00E443E0" w:rsidP="00E443E0">
      <w:pPr>
        <w:jc w:val="both"/>
      </w:pPr>
    </w:p>
    <w:p w14:paraId="33065A10" w14:textId="4C888EED" w:rsidR="00E443E0" w:rsidRDefault="006B7401" w:rsidP="00E443E0">
      <w:pPr>
        <w:jc w:val="both"/>
      </w:pPr>
      <w:r>
        <w:rPr>
          <w:noProof/>
          <w:lang w:eastAsia="fr-FR"/>
        </w:rPr>
        <mc:AlternateContent>
          <mc:Choice Requires="wps">
            <w:drawing>
              <wp:anchor distT="0" distB="0" distL="114300" distR="114300" simplePos="0" relativeHeight="252594176" behindDoc="0" locked="0" layoutInCell="1" allowOverlap="1" wp14:anchorId="09087A1F" wp14:editId="2DE004F2">
                <wp:simplePos x="0" y="0"/>
                <wp:positionH relativeFrom="column">
                  <wp:posOffset>-685800</wp:posOffset>
                </wp:positionH>
                <wp:positionV relativeFrom="paragraph">
                  <wp:posOffset>116205</wp:posOffset>
                </wp:positionV>
                <wp:extent cx="457200" cy="457200"/>
                <wp:effectExtent l="25400" t="25400" r="25400" b="25400"/>
                <wp:wrapNone/>
                <wp:docPr id="488" name="Ellipse 488"/>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20607755" w14:textId="77777777" w:rsidR="00573C95" w:rsidRPr="004F4085" w:rsidRDefault="00573C95" w:rsidP="00E443E0">
                            <w:pPr>
                              <w:jc w:val="center"/>
                            </w:pPr>
                            <w: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88" o:spid="_x0000_s1320" style="position:absolute;left:0;text-align:left;margin-left:-53.95pt;margin-top:9.15pt;width:36pt;height:36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" fillcolor="#70ffca" strokecolor="black [3213]" strokeweight="3pt">
                <v:textbox>
                  <w:txbxContent>
                    <w:p w14:paraId="20607755" w14:textId="77777777" w:rsidR="001501D6" w:rsidRPr="004F4085" w:rsidRDefault="001501D6" w:rsidP="00E443E0">
                      <w:pPr>
                        <w:jc w:val="center"/>
                      </w:pPr>
                      <w:r>
                        <w:t>41</w:t>
                      </w:r>
                    </w:p>
                  </w:txbxContent>
                </v:textbox>
              </v:oval>
            </w:pict>
          </mc:Fallback>
        </mc:AlternateContent>
      </w:r>
    </w:p>
    <w:p w14:paraId="2167C522" w14:textId="22DBB99B" w:rsidR="006B7401" w:rsidRDefault="006B7401" w:rsidP="00815FE0">
      <w:pPr>
        <w:jc w:val="both"/>
        <w:rPr>
          <w:color w:val="000000" w:themeColor="text1"/>
          <w:u w:val="single"/>
        </w:rPr>
      </w:pPr>
      <w:r>
        <w:t xml:space="preserve">Dans l'année de l'échéance du prêt, les placements sont progressivement liquidés afin de générer un montant, </w:t>
      </w:r>
      <w:r w:rsidR="00E65272">
        <w:t>n</w:t>
      </w:r>
      <w:r>
        <w:t>et d'impôts, qui permettra le plein remboursement de l'emprunt.</w:t>
      </w:r>
      <w:r w:rsidR="00E65272">
        <w:t xml:space="preserve"> Le solde des placements après le remboursement de la dette devrait aussi être disposé afin d'aboutir à un profil de placement plus  </w:t>
      </w:r>
      <w:r w:rsidR="00AA2D8A">
        <w:t>fidèle à l'âge du contribuable.</w:t>
      </w:r>
      <w:r w:rsidR="00AA2D8A">
        <w:rPr>
          <w:color w:val="000000" w:themeColor="text1"/>
          <w:u w:val="single"/>
        </w:rPr>
        <w:t xml:space="preserve"> </w:t>
      </w:r>
    </w:p>
    <w:p w14:paraId="4D18E712" w14:textId="66998DDC" w:rsidR="003A36FD" w:rsidRDefault="003A36FD" w:rsidP="00815FE0">
      <w:pPr>
        <w:jc w:val="both"/>
        <w:rPr>
          <w:color w:val="000000" w:themeColor="text1"/>
          <w:u w:val="single"/>
        </w:rPr>
      </w:pPr>
      <w:r>
        <w:rPr>
          <w:noProof/>
          <w:lang w:eastAsia="fr-FR"/>
        </w:rPr>
        <w:drawing>
          <wp:anchor distT="0" distB="0" distL="114300" distR="114300" simplePos="0" relativeHeight="252598272" behindDoc="0" locked="0" layoutInCell="1" allowOverlap="1" wp14:anchorId="7DDBEEA6" wp14:editId="5DB4CB20">
            <wp:simplePos x="0" y="0"/>
            <wp:positionH relativeFrom="column">
              <wp:posOffset>-643890</wp:posOffset>
            </wp:positionH>
            <wp:positionV relativeFrom="paragraph">
              <wp:posOffset>143510</wp:posOffset>
            </wp:positionV>
            <wp:extent cx="383540" cy="723265"/>
            <wp:effectExtent l="177800" t="50800" r="99060" b="64135"/>
            <wp:wrapNone/>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11">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7C1024B" w14:textId="6ABC47D8" w:rsidR="003A36FD" w:rsidRDefault="00AC6E14" w:rsidP="00815FE0">
      <w:pPr>
        <w:jc w:val="both"/>
        <w:rPr>
          <w:color w:val="000000" w:themeColor="text1"/>
        </w:rPr>
      </w:pPr>
      <w:r>
        <w:rPr>
          <w:color w:val="000000" w:themeColor="text1"/>
        </w:rPr>
        <w:t>Observons</w:t>
      </w:r>
      <w:r w:rsidR="003A36FD">
        <w:rPr>
          <w:color w:val="000000" w:themeColor="text1"/>
        </w:rPr>
        <w:t xml:space="preserve">, </w:t>
      </w:r>
      <w:r w:rsidR="003A36FD" w:rsidRPr="003A36FD">
        <w:rPr>
          <w:color w:val="008000"/>
        </w:rPr>
        <w:t>Marie Richer</w:t>
      </w:r>
      <w:r w:rsidR="003A36FD">
        <w:rPr>
          <w:color w:val="000000" w:themeColor="text1"/>
        </w:rPr>
        <w:t xml:space="preserve"> </w:t>
      </w:r>
      <w:r w:rsidR="00FB131E">
        <w:rPr>
          <w:color w:val="000000" w:themeColor="text1"/>
        </w:rPr>
        <w:t xml:space="preserve">(célibataire) </w:t>
      </w:r>
      <w:r w:rsidR="003A36FD">
        <w:rPr>
          <w:color w:val="000000" w:themeColor="text1"/>
        </w:rPr>
        <w:t>faire usage de la défiscalisation de son REÉR afin d'optimiser le rendement de ses actifs de placement et de préserver l'intégralité de sa PSV.</w:t>
      </w:r>
    </w:p>
    <w:p w14:paraId="6CD6E147" w14:textId="77777777" w:rsidR="003A36FD" w:rsidRDefault="003A36FD" w:rsidP="00815FE0">
      <w:pPr>
        <w:jc w:val="both"/>
        <w:rPr>
          <w:color w:val="000000" w:themeColor="text1"/>
        </w:rPr>
      </w:pPr>
    </w:p>
    <w:tbl>
      <w:tblPr>
        <w:tblStyle w:val="Listefonce-Accent1"/>
        <w:tblW w:w="0" w:type="auto"/>
        <w:tblLayout w:type="fixed"/>
        <w:tblLook w:val="04A0" w:firstRow="1" w:lastRow="0" w:firstColumn="1" w:lastColumn="0" w:noHBand="0" w:noVBand="1"/>
      </w:tblPr>
      <w:tblGrid>
        <w:gridCol w:w="6204"/>
        <w:gridCol w:w="2409"/>
      </w:tblGrid>
      <w:tr w:rsidR="003A36FD" w14:paraId="0E3FF19D" w14:textId="77777777" w:rsidTr="005061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gridSpan w:val="2"/>
          </w:tcPr>
          <w:p w14:paraId="0A8D522A" w14:textId="21C98F7B" w:rsidR="003A36FD" w:rsidRDefault="003A36FD" w:rsidP="003A36FD">
            <w:pPr>
              <w:jc w:val="center"/>
            </w:pPr>
            <w:r>
              <w:t xml:space="preserve">Informations </w:t>
            </w:r>
            <w:r w:rsidR="001B1477">
              <w:rPr>
                <w:rStyle w:val="Marquenotebasdepage"/>
              </w:rPr>
              <w:footnoteReference w:customMarkFollows="1" w:id="64"/>
              <w:t>61</w:t>
            </w:r>
            <w:r>
              <w:t>- Marie Richer</w:t>
            </w:r>
          </w:p>
        </w:tc>
      </w:tr>
      <w:tr w:rsidR="00FB131E" w14:paraId="0D2FC966" w14:textId="77777777" w:rsidTr="0050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0A0CD507" w14:textId="28B2C271" w:rsidR="003A36FD" w:rsidRDefault="00FB131E" w:rsidP="00FB131E">
            <w:pPr>
              <w:jc w:val="both"/>
            </w:pPr>
            <w:r>
              <w:t xml:space="preserve">RPA </w:t>
            </w:r>
            <w:r w:rsidR="00752EE0">
              <w:t xml:space="preserve">et RRQ </w:t>
            </w:r>
            <w:r>
              <w:t>- rente annuelle à la retraite</w:t>
            </w:r>
          </w:p>
        </w:tc>
        <w:tc>
          <w:tcPr>
            <w:tcW w:w="2409" w:type="dxa"/>
          </w:tcPr>
          <w:p w14:paraId="41455579" w14:textId="3ED68959" w:rsidR="003A36FD" w:rsidRDefault="00FB131E" w:rsidP="00694F47">
            <w:pPr>
              <w:tabs>
                <w:tab w:val="right" w:pos="3071"/>
              </w:tabs>
              <w:jc w:val="both"/>
              <w:cnfStyle w:val="000000100000" w:firstRow="0" w:lastRow="0" w:firstColumn="0" w:lastColumn="0" w:oddVBand="0" w:evenVBand="0" w:oddHBand="1" w:evenHBand="0" w:firstRowFirstColumn="0" w:firstRowLastColumn="0" w:lastRowFirstColumn="0" w:lastRowLastColumn="0"/>
            </w:pPr>
            <w:r>
              <w:t xml:space="preserve"> </w:t>
            </w:r>
            <w:r w:rsidR="00694F47">
              <w:t>55</w:t>
            </w:r>
            <w:r>
              <w:t xml:space="preserve"> </w:t>
            </w:r>
            <w:r w:rsidR="003A36FD">
              <w:t xml:space="preserve"> 000 $</w:t>
            </w:r>
            <w:r w:rsidR="003A36FD">
              <w:tab/>
            </w:r>
          </w:p>
        </w:tc>
      </w:tr>
      <w:tr w:rsidR="005061F6" w14:paraId="432F6AD5" w14:textId="77777777" w:rsidTr="005061F6">
        <w:tc>
          <w:tcPr>
            <w:cnfStyle w:val="001000000000" w:firstRow="0" w:lastRow="0" w:firstColumn="1" w:lastColumn="0" w:oddVBand="0" w:evenVBand="0" w:oddHBand="0" w:evenHBand="0" w:firstRowFirstColumn="0" w:firstRowLastColumn="0" w:lastRowFirstColumn="0" w:lastRowLastColumn="0"/>
            <w:tcW w:w="6204" w:type="dxa"/>
          </w:tcPr>
          <w:p w14:paraId="7D4DF3F7" w14:textId="4AB2C312" w:rsidR="003A36FD" w:rsidRDefault="003A36FD" w:rsidP="003A36FD">
            <w:pPr>
              <w:jc w:val="both"/>
            </w:pPr>
            <w:r>
              <w:t>REÉR</w:t>
            </w:r>
          </w:p>
        </w:tc>
        <w:tc>
          <w:tcPr>
            <w:tcW w:w="2409" w:type="dxa"/>
          </w:tcPr>
          <w:p w14:paraId="3295477D" w14:textId="098ADAE3" w:rsidR="003A36FD" w:rsidRDefault="003A36FD" w:rsidP="003A36FD">
            <w:pPr>
              <w:jc w:val="both"/>
              <w:cnfStyle w:val="000000000000" w:firstRow="0" w:lastRow="0" w:firstColumn="0" w:lastColumn="0" w:oddVBand="0" w:evenVBand="0" w:oddHBand="0" w:evenHBand="0" w:firstRowFirstColumn="0" w:firstRowLastColumn="0" w:lastRowFirstColumn="0" w:lastRowLastColumn="0"/>
            </w:pPr>
            <w:r>
              <w:t>200 000 $</w:t>
            </w:r>
          </w:p>
        </w:tc>
      </w:tr>
      <w:tr w:rsidR="00FB131E" w14:paraId="1D9DEF09" w14:textId="77777777" w:rsidTr="0050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0D22420D" w14:textId="5581C000" w:rsidR="003A36FD" w:rsidRDefault="003A36FD" w:rsidP="003A36FD">
            <w:pPr>
              <w:jc w:val="both"/>
            </w:pPr>
            <w:r>
              <w:t xml:space="preserve">Âge </w:t>
            </w:r>
            <w:r w:rsidR="004B6A46">
              <w:t>présentement</w:t>
            </w:r>
          </w:p>
        </w:tc>
        <w:tc>
          <w:tcPr>
            <w:tcW w:w="2409" w:type="dxa"/>
          </w:tcPr>
          <w:p w14:paraId="764CA9F0" w14:textId="590F4430" w:rsidR="003A36FD" w:rsidRDefault="003A36FD" w:rsidP="003A36FD">
            <w:pPr>
              <w:jc w:val="both"/>
              <w:cnfStyle w:val="000000100000" w:firstRow="0" w:lastRow="0" w:firstColumn="0" w:lastColumn="0" w:oddVBand="0" w:evenVBand="0" w:oddHBand="1" w:evenHBand="0" w:firstRowFirstColumn="0" w:firstRowLastColumn="0" w:lastRowFirstColumn="0" w:lastRowLastColumn="0"/>
            </w:pPr>
            <w:r>
              <w:t>60 ans</w:t>
            </w:r>
          </w:p>
        </w:tc>
      </w:tr>
      <w:tr w:rsidR="005061F6" w14:paraId="64EC09F5" w14:textId="77777777" w:rsidTr="005061F6">
        <w:tc>
          <w:tcPr>
            <w:cnfStyle w:val="001000000000" w:firstRow="0" w:lastRow="0" w:firstColumn="1" w:lastColumn="0" w:oddVBand="0" w:evenVBand="0" w:oddHBand="0" w:evenHBand="0" w:firstRowFirstColumn="0" w:firstRowLastColumn="0" w:lastRowFirstColumn="0" w:lastRowLastColumn="0"/>
            <w:tcW w:w="6204" w:type="dxa"/>
          </w:tcPr>
          <w:p w14:paraId="5E276499" w14:textId="49050306" w:rsidR="00FB131E" w:rsidRDefault="00FB131E" w:rsidP="003A36FD">
            <w:pPr>
              <w:jc w:val="both"/>
            </w:pPr>
            <w:r>
              <w:t>Âge à la retraite</w:t>
            </w:r>
          </w:p>
        </w:tc>
        <w:tc>
          <w:tcPr>
            <w:tcW w:w="2409" w:type="dxa"/>
          </w:tcPr>
          <w:p w14:paraId="284B1EDF" w14:textId="6DAFA779" w:rsidR="00FB131E" w:rsidRDefault="004B6A46" w:rsidP="003A36FD">
            <w:pPr>
              <w:jc w:val="both"/>
              <w:cnfStyle w:val="000000000000" w:firstRow="0" w:lastRow="0" w:firstColumn="0" w:lastColumn="0" w:oddVBand="0" w:evenVBand="0" w:oddHBand="0" w:evenHBand="0" w:firstRowFirstColumn="0" w:firstRowLastColumn="0" w:lastRowFirstColumn="0" w:lastRowLastColumn="0"/>
            </w:pPr>
            <w:r>
              <w:t>70 ans</w:t>
            </w:r>
          </w:p>
        </w:tc>
      </w:tr>
      <w:tr w:rsidR="00FB131E" w14:paraId="0E46FCE7" w14:textId="77777777" w:rsidTr="0050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3214D8D8" w14:textId="634139B3" w:rsidR="00FB131E" w:rsidRDefault="004B6A46" w:rsidP="003A36FD">
            <w:pPr>
              <w:jc w:val="both"/>
            </w:pPr>
            <w:r>
              <w:t>Demande de la PSV</w:t>
            </w:r>
          </w:p>
        </w:tc>
        <w:tc>
          <w:tcPr>
            <w:tcW w:w="2409" w:type="dxa"/>
          </w:tcPr>
          <w:p w14:paraId="64CFADAF" w14:textId="79C059C8" w:rsidR="00FB131E" w:rsidRDefault="004B6A46" w:rsidP="003A36FD">
            <w:pPr>
              <w:jc w:val="both"/>
              <w:cnfStyle w:val="000000100000" w:firstRow="0" w:lastRow="0" w:firstColumn="0" w:lastColumn="0" w:oddVBand="0" w:evenVBand="0" w:oddHBand="1" w:evenHBand="0" w:firstRowFirstColumn="0" w:firstRowLastColumn="0" w:lastRowFirstColumn="0" w:lastRowLastColumn="0"/>
            </w:pPr>
            <w:r>
              <w:t>70 ans</w:t>
            </w:r>
          </w:p>
        </w:tc>
      </w:tr>
      <w:tr w:rsidR="005061F6" w14:paraId="7C902A8D" w14:textId="77777777" w:rsidTr="005061F6">
        <w:tc>
          <w:tcPr>
            <w:cnfStyle w:val="001000000000" w:firstRow="0" w:lastRow="0" w:firstColumn="1" w:lastColumn="0" w:oddVBand="0" w:evenVBand="0" w:oddHBand="0" w:evenHBand="0" w:firstRowFirstColumn="0" w:firstRowLastColumn="0" w:lastRowFirstColumn="0" w:lastRowLastColumn="0"/>
            <w:tcW w:w="6204" w:type="dxa"/>
          </w:tcPr>
          <w:p w14:paraId="2F359648" w14:textId="1224CBFF" w:rsidR="00FB131E" w:rsidRDefault="00752EE0" w:rsidP="003A36FD">
            <w:pPr>
              <w:jc w:val="both"/>
            </w:pPr>
            <w:r>
              <w:t>Montant majoré de la PSV</w:t>
            </w:r>
          </w:p>
        </w:tc>
        <w:tc>
          <w:tcPr>
            <w:tcW w:w="2409" w:type="dxa"/>
          </w:tcPr>
          <w:p w14:paraId="35D30C6B" w14:textId="114BEBF9" w:rsidR="00FB131E" w:rsidRDefault="005061F6" w:rsidP="003A36FD">
            <w:pPr>
              <w:jc w:val="both"/>
              <w:cnfStyle w:val="000000000000" w:firstRow="0" w:lastRow="0" w:firstColumn="0" w:lastColumn="0" w:oddVBand="0" w:evenVBand="0" w:oddHBand="0" w:evenHBand="0" w:firstRowFirstColumn="0" w:firstRowLastColumn="0" w:lastRowFirstColumn="0" w:lastRowLastColumn="0"/>
            </w:pPr>
            <w:r>
              <w:t xml:space="preserve">   9 200 $</w:t>
            </w:r>
          </w:p>
        </w:tc>
      </w:tr>
      <w:tr w:rsidR="00FB131E" w14:paraId="627FADDE" w14:textId="77777777" w:rsidTr="0050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36D13E7B" w14:textId="5416E8A2" w:rsidR="00FB131E" w:rsidRDefault="005061F6" w:rsidP="003A36FD">
            <w:pPr>
              <w:jc w:val="both"/>
            </w:pPr>
            <w:r>
              <w:t>Revenu brut requis à la retraite (70 ans - 80 ans)</w:t>
            </w:r>
          </w:p>
        </w:tc>
        <w:tc>
          <w:tcPr>
            <w:tcW w:w="2409" w:type="dxa"/>
          </w:tcPr>
          <w:p w14:paraId="1456D6EB" w14:textId="034455FE" w:rsidR="00FB131E" w:rsidRDefault="005061F6" w:rsidP="003A36FD">
            <w:pPr>
              <w:jc w:val="both"/>
              <w:cnfStyle w:val="000000100000" w:firstRow="0" w:lastRow="0" w:firstColumn="0" w:lastColumn="0" w:oddVBand="0" w:evenVBand="0" w:oddHBand="1" w:evenHBand="0" w:firstRowFirstColumn="0" w:firstRowLastColumn="0" w:lastRowFirstColumn="0" w:lastRowLastColumn="0"/>
            </w:pPr>
            <w:r>
              <w:t xml:space="preserve"> 80 000 $</w:t>
            </w:r>
          </w:p>
        </w:tc>
      </w:tr>
      <w:tr w:rsidR="005061F6" w14:paraId="1CCF0481" w14:textId="77777777" w:rsidTr="005061F6">
        <w:tc>
          <w:tcPr>
            <w:cnfStyle w:val="001000000000" w:firstRow="0" w:lastRow="0" w:firstColumn="1" w:lastColumn="0" w:oddVBand="0" w:evenVBand="0" w:oddHBand="0" w:evenHBand="0" w:firstRowFirstColumn="0" w:firstRowLastColumn="0" w:lastRowFirstColumn="0" w:lastRowLastColumn="0"/>
            <w:tcW w:w="6204" w:type="dxa"/>
          </w:tcPr>
          <w:p w14:paraId="32690D6D" w14:textId="7E4BDEC4" w:rsidR="00FB131E" w:rsidRDefault="005061F6" w:rsidP="005061F6">
            <w:pPr>
              <w:jc w:val="both"/>
            </w:pPr>
            <w:r>
              <w:t>Revenu brut requis à la retraite (80 ans - décès)</w:t>
            </w:r>
          </w:p>
        </w:tc>
        <w:tc>
          <w:tcPr>
            <w:tcW w:w="2409" w:type="dxa"/>
          </w:tcPr>
          <w:p w14:paraId="0334D4A9" w14:textId="1C102550" w:rsidR="00FB131E" w:rsidRDefault="00BD1ED9" w:rsidP="003A36FD">
            <w:pPr>
              <w:jc w:val="both"/>
              <w:cnfStyle w:val="000000000000" w:firstRow="0" w:lastRow="0" w:firstColumn="0" w:lastColumn="0" w:oddVBand="0" w:evenVBand="0" w:oddHBand="0" w:evenHBand="0" w:firstRowFirstColumn="0" w:firstRowLastColumn="0" w:lastRowFirstColumn="0" w:lastRowLastColumn="0"/>
            </w:pPr>
            <w:r>
              <w:t xml:space="preserve"> 70 000 $</w:t>
            </w:r>
          </w:p>
        </w:tc>
      </w:tr>
    </w:tbl>
    <w:p w14:paraId="510B2401" w14:textId="0C51575A" w:rsidR="0003677A" w:rsidRDefault="0003677A" w:rsidP="0003677A">
      <w:pPr>
        <w:jc w:val="both"/>
      </w:pPr>
      <w:r>
        <w:rPr>
          <w:noProof/>
          <w:lang w:eastAsia="fr-FR"/>
        </w:rPr>
        <w:lastRenderedPageBreak/>
        <mc:AlternateContent>
          <mc:Choice Requires="wps">
            <w:drawing>
              <wp:anchor distT="0" distB="0" distL="114300" distR="114300" simplePos="0" relativeHeight="252604416" behindDoc="0" locked="0" layoutInCell="1" allowOverlap="1" wp14:anchorId="3CE29554" wp14:editId="22002931">
                <wp:simplePos x="0" y="0"/>
                <wp:positionH relativeFrom="column">
                  <wp:posOffset>-685800</wp:posOffset>
                </wp:positionH>
                <wp:positionV relativeFrom="paragraph">
                  <wp:posOffset>0</wp:posOffset>
                </wp:positionV>
                <wp:extent cx="457200" cy="457200"/>
                <wp:effectExtent l="25400" t="25400" r="25400" b="25400"/>
                <wp:wrapNone/>
                <wp:docPr id="495" name="Ellipse 49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42D2A6B1" w14:textId="5412F232" w:rsidR="00573C95" w:rsidRPr="004F4085" w:rsidRDefault="00573C95" w:rsidP="0003677A">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95" o:spid="_x0000_s1321" style="position:absolute;left:0;text-align:left;margin-left:-53.95pt;margin-top:0;width:36pt;height:36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" fillcolor="#70ffca" strokecolor="black [3213]" strokeweight="3pt">
                <v:textbox>
                  <w:txbxContent>
                    <w:p w14:paraId="42D2A6B1" w14:textId="5412F232" w:rsidR="001501D6" w:rsidRPr="004F4085" w:rsidRDefault="001501D6" w:rsidP="0003677A">
                      <w:pPr>
                        <w:jc w:val="center"/>
                      </w:pPr>
                      <w:r>
                        <w:t>1</w:t>
                      </w:r>
                    </w:p>
                  </w:txbxContent>
                </v:textbox>
              </v:oval>
            </w:pict>
          </mc:Fallback>
        </mc:AlternateContent>
      </w:r>
      <w:r>
        <w:rPr>
          <w:color w:val="000000" w:themeColor="text1"/>
        </w:rPr>
        <w:t xml:space="preserve">Marie emprunte, à un taux de </w:t>
      </w:r>
      <w:r w:rsidR="005F0A5C">
        <w:rPr>
          <w:color w:val="000000" w:themeColor="text1"/>
        </w:rPr>
        <w:t>4</w:t>
      </w:r>
      <w:r>
        <w:rPr>
          <w:color w:val="000000" w:themeColor="text1"/>
        </w:rPr>
        <w:t xml:space="preserve"> %, une somme de </w:t>
      </w:r>
      <w:r w:rsidR="005F0A5C">
        <w:rPr>
          <w:color w:val="000000" w:themeColor="text1"/>
        </w:rPr>
        <w:t>615</w:t>
      </w:r>
      <w:r>
        <w:rPr>
          <w:color w:val="000000" w:themeColor="text1"/>
        </w:rPr>
        <w:t xml:space="preserve"> 000 $. Pour déterminer le montant d'emprunt, nous amortissons le solde du REÉR sur une période de 10 ans en anticipant un rendement de 5 %. Le retrait annuel du REÉR sera donc de 2</w:t>
      </w:r>
      <w:r w:rsidR="005F0A5C">
        <w:rPr>
          <w:color w:val="000000" w:themeColor="text1"/>
        </w:rPr>
        <w:t>4 667</w:t>
      </w:r>
      <w:r>
        <w:rPr>
          <w:color w:val="000000" w:themeColor="text1"/>
        </w:rPr>
        <w:t xml:space="preserve"> $. Ce retrait devra correspondre à la dépense d'intérêt, ce qui nous mènera à un emprunt</w:t>
      </w:r>
      <w:r w:rsidR="005F0A5C">
        <w:rPr>
          <w:color w:val="000000" w:themeColor="text1"/>
        </w:rPr>
        <w:t xml:space="preserve"> d</w:t>
      </w:r>
      <w:r>
        <w:rPr>
          <w:color w:val="000000" w:themeColor="text1"/>
        </w:rPr>
        <w:t>ésiré</w:t>
      </w:r>
      <w:r w:rsidR="005F0A5C">
        <w:rPr>
          <w:color w:val="000000" w:themeColor="text1"/>
        </w:rPr>
        <w:t xml:space="preserve"> de 616 675 $ (24 667 $/,04), disons 615 000 $</w:t>
      </w:r>
      <w:r>
        <w:rPr>
          <w:color w:val="000000" w:themeColor="text1"/>
        </w:rPr>
        <w:t xml:space="preserve">. </w:t>
      </w:r>
      <w:r w:rsidR="00982DA5">
        <w:rPr>
          <w:color w:val="000000" w:themeColor="text1"/>
        </w:rPr>
        <w:t>Marie utilisera donc ses retraits annuels du REÉR pour p</w:t>
      </w:r>
      <w:r w:rsidR="00857D89">
        <w:rPr>
          <w:color w:val="000000" w:themeColor="text1"/>
        </w:rPr>
        <w:t xml:space="preserve">ayer les intérêts de l'emprunt. Pour des fins de simplification (en réalité cette </w:t>
      </w:r>
      <w:r w:rsidR="00B90F44" w:rsidRPr="00B90F44">
        <w:rPr>
          <w:color w:val="FF6700" w:themeColor="accent3"/>
        </w:rPr>
        <w:t>IMPORTANTE</w:t>
      </w:r>
      <w:r w:rsidR="00B90F44">
        <w:rPr>
          <w:color w:val="000000" w:themeColor="text1"/>
        </w:rPr>
        <w:t xml:space="preserve"> </w:t>
      </w:r>
      <w:r w:rsidR="00857D89">
        <w:rPr>
          <w:color w:val="000000" w:themeColor="text1"/>
        </w:rPr>
        <w:t>règle aura un effet négatif sur la transaction), nous n'avons pas tenu compte de la règle de limitation des intérêts au Québec (les intérêts ne sont déductibles qu'à l'encontre de revenus de biens).</w:t>
      </w:r>
      <w:r>
        <w:rPr>
          <w:color w:val="000000" w:themeColor="text1"/>
        </w:rPr>
        <w:t xml:space="preserve"> </w:t>
      </w:r>
    </w:p>
    <w:p w14:paraId="33711015" w14:textId="77777777" w:rsidR="0003677A" w:rsidRDefault="0003677A" w:rsidP="0003677A">
      <w:pPr>
        <w:jc w:val="both"/>
      </w:pPr>
    </w:p>
    <w:p w14:paraId="1382C7AE" w14:textId="77777777" w:rsidR="0003677A" w:rsidRDefault="0003677A" w:rsidP="0003677A">
      <w:pPr>
        <w:jc w:val="both"/>
      </w:pPr>
      <w:r>
        <w:rPr>
          <w:noProof/>
          <w:lang w:eastAsia="fr-FR"/>
        </w:rPr>
        <mc:AlternateContent>
          <mc:Choice Requires="wps">
            <w:drawing>
              <wp:anchor distT="0" distB="0" distL="114300" distR="114300" simplePos="0" relativeHeight="252600320" behindDoc="0" locked="0" layoutInCell="1" allowOverlap="1" wp14:anchorId="555723EB" wp14:editId="0B09D0D5">
                <wp:simplePos x="0" y="0"/>
                <wp:positionH relativeFrom="column">
                  <wp:posOffset>-685800</wp:posOffset>
                </wp:positionH>
                <wp:positionV relativeFrom="paragraph">
                  <wp:posOffset>140335</wp:posOffset>
                </wp:positionV>
                <wp:extent cx="457200" cy="457200"/>
                <wp:effectExtent l="25400" t="25400" r="25400" b="25400"/>
                <wp:wrapNone/>
                <wp:docPr id="492" name="Ellipse 49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59A37A2C" w14:textId="77777777" w:rsidR="00573C95" w:rsidRPr="004F4085" w:rsidRDefault="00573C95" w:rsidP="0003677A">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92" o:spid="_x0000_s1322" style="position:absolute;left:0;text-align:left;margin-left:-53.95pt;margin-top:11.05pt;width:36pt;height:36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" fillcolor="#70ffca" strokecolor="black [3213]" strokeweight="3pt">
                <v:textbox>
                  <w:txbxContent>
                    <w:p w14:paraId="59A37A2C" w14:textId="77777777" w:rsidR="001501D6" w:rsidRPr="004F4085" w:rsidRDefault="001501D6" w:rsidP="0003677A">
                      <w:pPr>
                        <w:jc w:val="center"/>
                      </w:pPr>
                      <w:r>
                        <w:t>2</w:t>
                      </w:r>
                    </w:p>
                  </w:txbxContent>
                </v:textbox>
              </v:oval>
            </w:pict>
          </mc:Fallback>
        </mc:AlternateContent>
      </w:r>
    </w:p>
    <w:p w14:paraId="451D7241" w14:textId="6E869FA1" w:rsidR="00982DA5" w:rsidRDefault="00982DA5" w:rsidP="0003677A">
      <w:pPr>
        <w:jc w:val="both"/>
      </w:pPr>
      <w:r>
        <w:t xml:space="preserve">Marie </w:t>
      </w:r>
      <w:r w:rsidR="00F95107">
        <w:t>investit</w:t>
      </w:r>
      <w:r>
        <w:t xml:space="preserve"> la somme de l</w:t>
      </w:r>
      <w:r w:rsidR="0003677A">
        <w:t>'emprunt</w:t>
      </w:r>
      <w:r>
        <w:t xml:space="preserve"> afin de générer des gains en capital qui ne nécessiteront pas ou très peu de transactions au cours des 10 prochaines années. En minimisant les impôts à zéro, avec un rendement de 5 %, les placements auront dans 10 années une valeur de 1 003 399 $. Marie liquidera alors ses placements afin de rembourser sa dette de 615 000 $. Après cette opération, Marie sera détentrice des biens suivants:</w:t>
      </w:r>
    </w:p>
    <w:p w14:paraId="5E6135A7" w14:textId="77777777" w:rsidR="00982DA5" w:rsidRDefault="00982DA5" w:rsidP="0003677A">
      <w:pPr>
        <w:jc w:val="both"/>
      </w:pPr>
    </w:p>
    <w:p w14:paraId="030EAD73" w14:textId="145E5814" w:rsidR="00982DA5" w:rsidRDefault="00982DA5" w:rsidP="0003677A">
      <w:pPr>
        <w:jc w:val="both"/>
      </w:pPr>
      <w:r>
        <w:tab/>
        <w:t xml:space="preserve">Placements </w:t>
      </w:r>
      <w:r w:rsidR="00B903F8">
        <w:t>défiscalisés</w:t>
      </w:r>
      <w:r w:rsidR="00B903F8">
        <w:tab/>
      </w:r>
      <w:r w:rsidR="00B903F8">
        <w:tab/>
        <w:t>291 299 $</w:t>
      </w:r>
      <w:r w:rsidR="00B903F8">
        <w:rPr>
          <w:rStyle w:val="Marquenotebasdepage"/>
        </w:rPr>
        <w:footnoteReference w:customMarkFollows="1" w:id="65"/>
        <w:t>62</w:t>
      </w:r>
      <w:r w:rsidR="00B903F8">
        <w:t xml:space="preserve"> </w:t>
      </w:r>
    </w:p>
    <w:p w14:paraId="73A39275" w14:textId="0AAFC2EF" w:rsidR="00B903F8" w:rsidRDefault="00B903F8" w:rsidP="0003677A">
      <w:pPr>
        <w:jc w:val="both"/>
      </w:pPr>
      <w:r>
        <w:tab/>
        <w:t>REÉR</w:t>
      </w:r>
      <w:r>
        <w:tab/>
      </w:r>
      <w:r>
        <w:tab/>
      </w:r>
      <w:r>
        <w:tab/>
      </w:r>
      <w:r>
        <w:tab/>
      </w:r>
      <w:r>
        <w:tab/>
        <w:t>Nil</w:t>
      </w:r>
    </w:p>
    <w:p w14:paraId="10A20578" w14:textId="13D603D9" w:rsidR="0003677A" w:rsidRDefault="00982DA5" w:rsidP="0003677A">
      <w:pPr>
        <w:jc w:val="both"/>
      </w:pPr>
      <w:r>
        <w:t xml:space="preserve"> </w:t>
      </w:r>
      <w:r w:rsidR="00B903F8">
        <w:tab/>
        <w:t>Emprunt</w:t>
      </w:r>
      <w:r w:rsidR="00B903F8">
        <w:tab/>
      </w:r>
      <w:r w:rsidR="00B903F8">
        <w:tab/>
      </w:r>
      <w:r w:rsidR="00B903F8">
        <w:tab/>
      </w:r>
      <w:r w:rsidR="00B903F8">
        <w:tab/>
        <w:t>Nil</w:t>
      </w:r>
    </w:p>
    <w:p w14:paraId="32B873DB" w14:textId="77777777" w:rsidR="0003677A" w:rsidRDefault="0003677A" w:rsidP="0003677A">
      <w:pPr>
        <w:jc w:val="both"/>
      </w:pPr>
    </w:p>
    <w:p w14:paraId="6941794A" w14:textId="61279FD6" w:rsidR="0003677A" w:rsidRDefault="0003677A" w:rsidP="0003677A">
      <w:pPr>
        <w:jc w:val="both"/>
      </w:pPr>
      <w:r>
        <w:rPr>
          <w:noProof/>
          <w:lang w:eastAsia="fr-FR"/>
        </w:rPr>
        <mc:AlternateContent>
          <mc:Choice Requires="wps">
            <w:drawing>
              <wp:anchor distT="0" distB="0" distL="114300" distR="114300" simplePos="0" relativeHeight="252601344" behindDoc="0" locked="0" layoutInCell="1" allowOverlap="1" wp14:anchorId="129D226B" wp14:editId="313E2EB3">
                <wp:simplePos x="0" y="0"/>
                <wp:positionH relativeFrom="column">
                  <wp:posOffset>-685800</wp:posOffset>
                </wp:positionH>
                <wp:positionV relativeFrom="paragraph">
                  <wp:posOffset>21590</wp:posOffset>
                </wp:positionV>
                <wp:extent cx="457200" cy="457200"/>
                <wp:effectExtent l="25400" t="25400" r="25400" b="25400"/>
                <wp:wrapNone/>
                <wp:docPr id="493" name="Ellipse 49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07E689C" w14:textId="77777777" w:rsidR="00573C95" w:rsidRPr="004F4085" w:rsidRDefault="00573C95" w:rsidP="0003677A">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93" o:spid="_x0000_s1323" style="position:absolute;left:0;text-align:left;margin-left:-53.95pt;margin-top:1.7pt;width:36pt;height:36pt;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" fillcolor="#70ffca" strokecolor="black [3213]" strokeweight="3pt">
                <v:textbox>
                  <w:txbxContent>
                    <w:p w14:paraId="707E689C" w14:textId="77777777" w:rsidR="001501D6" w:rsidRPr="004F4085" w:rsidRDefault="001501D6" w:rsidP="0003677A">
                      <w:pPr>
                        <w:jc w:val="center"/>
                      </w:pPr>
                      <w:r>
                        <w:t>3</w:t>
                      </w:r>
                    </w:p>
                  </w:txbxContent>
                </v:textbox>
              </v:oval>
            </w:pict>
          </mc:Fallback>
        </mc:AlternateContent>
      </w:r>
      <w:r w:rsidR="007E293B">
        <w:t>Marie modifiera le profil de ses placements en investissant dans des titres de placements à revenu fixe (intérêts) rapportant 2,5 %.</w:t>
      </w:r>
    </w:p>
    <w:p w14:paraId="482BC788" w14:textId="77777777" w:rsidR="007E293B" w:rsidRDefault="007E293B" w:rsidP="0003677A">
      <w:pPr>
        <w:jc w:val="both"/>
      </w:pPr>
    </w:p>
    <w:p w14:paraId="4514BAE7" w14:textId="77777777" w:rsidR="0003677A" w:rsidRDefault="0003677A" w:rsidP="0003677A">
      <w:pPr>
        <w:jc w:val="both"/>
      </w:pPr>
      <w:r>
        <w:rPr>
          <w:noProof/>
          <w:lang w:eastAsia="fr-FR"/>
        </w:rPr>
        <mc:AlternateContent>
          <mc:Choice Requires="wps">
            <w:drawing>
              <wp:anchor distT="0" distB="0" distL="114300" distR="114300" simplePos="0" relativeHeight="252602368" behindDoc="0" locked="0" layoutInCell="1" allowOverlap="1" wp14:anchorId="39925BF9" wp14:editId="3EDF3C38">
                <wp:simplePos x="0" y="0"/>
                <wp:positionH relativeFrom="column">
                  <wp:posOffset>-685800</wp:posOffset>
                </wp:positionH>
                <wp:positionV relativeFrom="paragraph">
                  <wp:posOffset>116205</wp:posOffset>
                </wp:positionV>
                <wp:extent cx="457200" cy="457200"/>
                <wp:effectExtent l="25400" t="25400" r="25400" b="25400"/>
                <wp:wrapNone/>
                <wp:docPr id="494" name="Ellipse 49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175D1CC9" w14:textId="77777777" w:rsidR="00573C95" w:rsidRPr="004F4085" w:rsidRDefault="00573C95" w:rsidP="0003677A">
                            <w:pPr>
                              <w:jc w:val="center"/>
                            </w:pPr>
                            <w: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94" o:spid="_x0000_s1324" style="position:absolute;left:0;text-align:left;margin-left:-53.95pt;margin-top:9.15pt;width:36pt;height:36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" fillcolor="#70ffca" strokecolor="black [3213]" strokeweight="3pt">
                <v:textbox>
                  <w:txbxContent>
                    <w:p w14:paraId="175D1CC9" w14:textId="77777777" w:rsidR="001501D6" w:rsidRPr="004F4085" w:rsidRDefault="001501D6" w:rsidP="0003677A">
                      <w:pPr>
                        <w:jc w:val="center"/>
                      </w:pPr>
                      <w:r>
                        <w:t>41</w:t>
                      </w:r>
                    </w:p>
                  </w:txbxContent>
                </v:textbox>
              </v:oval>
            </w:pict>
          </mc:Fallback>
        </mc:AlternateContent>
      </w:r>
    </w:p>
    <w:p w14:paraId="4752FA3F" w14:textId="6A18E3B8" w:rsidR="0003677A" w:rsidRDefault="007E293B" w:rsidP="0003677A">
      <w:pPr>
        <w:jc w:val="both"/>
        <w:rPr>
          <w:color w:val="000000" w:themeColor="text1"/>
          <w:u w:val="single"/>
        </w:rPr>
      </w:pPr>
      <w:r>
        <w:t>Marie comblera ses revenus de retraite nécessaire à son train de vie (équivalent à un revenu brut de 80 000 $) en utilisant les revenus annuels d'intérêts et en empiétant</w:t>
      </w:r>
      <w:r w:rsidR="003005AD">
        <w:t xml:space="preserve"> progressivement</w:t>
      </w:r>
      <w:r>
        <w:t xml:space="preserve"> sur son capital placement pour le reste</w:t>
      </w:r>
      <w:r w:rsidR="0003677A">
        <w:t>.</w:t>
      </w:r>
      <w:r w:rsidR="0003677A">
        <w:rPr>
          <w:color w:val="000000" w:themeColor="text1"/>
          <w:u w:val="single"/>
        </w:rPr>
        <w:t xml:space="preserve"> </w:t>
      </w:r>
    </w:p>
    <w:p w14:paraId="3D6E865E" w14:textId="2281E910" w:rsidR="00B720E3" w:rsidRDefault="00B720E3" w:rsidP="00815FE0">
      <w:pPr>
        <w:jc w:val="both"/>
        <w:rPr>
          <w:color w:val="000000" w:themeColor="text1"/>
          <w:u w:val="single"/>
        </w:rPr>
      </w:pPr>
      <w:r>
        <w:rPr>
          <w:color w:val="000000" w:themeColor="text1"/>
          <w:u w:val="single"/>
        </w:rPr>
        <w:br w:type="page"/>
      </w:r>
    </w:p>
    <w:p w14:paraId="1B2280D9" w14:textId="62646A2C" w:rsidR="007E293B" w:rsidRDefault="007E293B">
      <w:pPr>
        <w:rPr>
          <w:color w:val="000000" w:themeColor="text1"/>
        </w:rPr>
      </w:pPr>
      <w:r w:rsidRPr="007E293B">
        <w:rPr>
          <w:color w:val="000000" w:themeColor="text1"/>
        </w:rPr>
        <w:lastRenderedPageBreak/>
        <w:t xml:space="preserve">Examinons l'effet de la transaction sur la situation fiscale et financière de Marie. </w:t>
      </w:r>
    </w:p>
    <w:p w14:paraId="7B0CF698" w14:textId="77777777" w:rsidR="007E293B" w:rsidRDefault="007E293B">
      <w:pPr>
        <w:rPr>
          <w:color w:val="000000" w:themeColor="text1"/>
        </w:rPr>
      </w:pPr>
    </w:p>
    <w:p w14:paraId="13A78C0F" w14:textId="3FBD65E1" w:rsidR="00D95016" w:rsidRPr="00D95016" w:rsidRDefault="00D95016">
      <w:pPr>
        <w:rPr>
          <w:color w:val="000000" w:themeColor="text1"/>
          <w:u w:val="single"/>
        </w:rPr>
      </w:pPr>
      <w:r w:rsidRPr="00D95016">
        <w:rPr>
          <w:color w:val="000000" w:themeColor="text1"/>
          <w:u w:val="single"/>
        </w:rPr>
        <w:t>Accroissement des actifs</w:t>
      </w:r>
    </w:p>
    <w:p w14:paraId="1DB4E4E2" w14:textId="77777777" w:rsidR="00D95016" w:rsidRDefault="00D95016">
      <w:pPr>
        <w:rPr>
          <w:color w:val="000000" w:themeColor="text1"/>
        </w:rPr>
      </w:pPr>
    </w:p>
    <w:tbl>
      <w:tblPr>
        <w:tblStyle w:val="Listefonce-Accent4"/>
        <w:tblW w:w="0" w:type="auto"/>
        <w:tblLook w:val="04A0" w:firstRow="1" w:lastRow="0" w:firstColumn="1" w:lastColumn="0" w:noHBand="0" w:noVBand="1"/>
      </w:tblPr>
      <w:tblGrid>
        <w:gridCol w:w="5495"/>
        <w:gridCol w:w="3969"/>
        <w:gridCol w:w="3682"/>
      </w:tblGrid>
      <w:tr w:rsidR="00F35CDC" w14:paraId="2D3F3E2E" w14:textId="77777777" w:rsidTr="007636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47B07623" w14:textId="047FCF2C" w:rsidR="00F35CDC" w:rsidRPr="00F35CDC" w:rsidRDefault="00F35CDC" w:rsidP="00BA3F04">
            <w:pPr>
              <w:jc w:val="center"/>
            </w:pPr>
            <w:r w:rsidRPr="00F35CDC">
              <w:t>Attributs</w:t>
            </w:r>
          </w:p>
        </w:tc>
        <w:tc>
          <w:tcPr>
            <w:tcW w:w="3969" w:type="dxa"/>
          </w:tcPr>
          <w:p w14:paraId="57B0F80D" w14:textId="2A66C80B" w:rsidR="00F35CDC" w:rsidRPr="00F35CDC" w:rsidRDefault="00F35CDC" w:rsidP="00BA3F04">
            <w:pPr>
              <w:jc w:val="center"/>
              <w:cnfStyle w:val="100000000000" w:firstRow="1" w:lastRow="0" w:firstColumn="0" w:lastColumn="0" w:oddVBand="0" w:evenVBand="0" w:oddHBand="0" w:evenHBand="0" w:firstRowFirstColumn="0" w:firstRowLastColumn="0" w:lastRowFirstColumn="0" w:lastRowLastColumn="0"/>
            </w:pPr>
            <w:r w:rsidRPr="00F35CDC">
              <w:t>Sans défisca</w:t>
            </w:r>
            <w:r>
              <w:t>li</w:t>
            </w:r>
            <w:r w:rsidRPr="00F35CDC">
              <w:t>sation du REÉR</w:t>
            </w:r>
          </w:p>
        </w:tc>
        <w:tc>
          <w:tcPr>
            <w:tcW w:w="3682" w:type="dxa"/>
          </w:tcPr>
          <w:p w14:paraId="3B28F4AC" w14:textId="6AB275F9" w:rsidR="00F35CDC" w:rsidRDefault="00F35CDC" w:rsidP="00BA3F04">
            <w:pPr>
              <w:jc w:val="center"/>
              <w:cnfStyle w:val="100000000000" w:firstRow="1" w:lastRow="0" w:firstColumn="0" w:lastColumn="0" w:oddVBand="0" w:evenVBand="0" w:oddHBand="0" w:evenHBand="0" w:firstRowFirstColumn="0" w:firstRowLastColumn="0" w:lastRowFirstColumn="0" w:lastRowLastColumn="0"/>
              <w:rPr>
                <w:color w:val="008000"/>
              </w:rPr>
            </w:pPr>
            <w:r>
              <w:t>Avec</w:t>
            </w:r>
            <w:r w:rsidRPr="00F35CDC">
              <w:t xml:space="preserve"> défisca</w:t>
            </w:r>
            <w:r>
              <w:t>li</w:t>
            </w:r>
            <w:r w:rsidRPr="00F35CDC">
              <w:t>sation du REÉR</w:t>
            </w:r>
          </w:p>
        </w:tc>
      </w:tr>
      <w:tr w:rsidR="00F35CDC" w14:paraId="61D65F12"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6E41406D" w14:textId="2C96E87A" w:rsidR="00F35CDC" w:rsidRPr="00BA3F04" w:rsidRDefault="00BA3F04">
            <w:r w:rsidRPr="00BA3F04">
              <w:t>REÉR dans 10 années</w:t>
            </w:r>
          </w:p>
        </w:tc>
        <w:tc>
          <w:tcPr>
            <w:tcW w:w="3969" w:type="dxa"/>
          </w:tcPr>
          <w:p w14:paraId="58518E02" w14:textId="447F5486" w:rsidR="00F35CDC" w:rsidRPr="007636E3" w:rsidRDefault="003C22B5" w:rsidP="007636E3">
            <w:pPr>
              <w:jc w:val="center"/>
              <w:cnfStyle w:val="000000100000" w:firstRow="0" w:lastRow="0" w:firstColumn="0" w:lastColumn="0" w:oddVBand="0" w:evenVBand="0" w:oddHBand="1" w:evenHBand="0" w:firstRowFirstColumn="0" w:firstRowLastColumn="0" w:lastRowFirstColumn="0" w:lastRowLastColumn="0"/>
            </w:pPr>
            <w:r w:rsidRPr="007636E3">
              <w:t>325 779 $</w:t>
            </w:r>
          </w:p>
        </w:tc>
        <w:tc>
          <w:tcPr>
            <w:tcW w:w="3682" w:type="dxa"/>
          </w:tcPr>
          <w:p w14:paraId="4BC1B8AB" w14:textId="61A506FF" w:rsidR="00F35CDC" w:rsidRPr="007636E3" w:rsidRDefault="00BA3F04" w:rsidP="007636E3">
            <w:pPr>
              <w:jc w:val="center"/>
              <w:cnfStyle w:val="000000100000" w:firstRow="0" w:lastRow="0" w:firstColumn="0" w:lastColumn="0" w:oddVBand="0" w:evenVBand="0" w:oddHBand="1" w:evenHBand="0" w:firstRowFirstColumn="0" w:firstRowLastColumn="0" w:lastRowFirstColumn="0" w:lastRowLastColumn="0"/>
            </w:pPr>
            <w:r w:rsidRPr="007636E3">
              <w:t>Nil</w:t>
            </w:r>
          </w:p>
        </w:tc>
      </w:tr>
      <w:tr w:rsidR="00D95016" w14:paraId="2B57781C"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34448009" w14:textId="7926846D" w:rsidR="00D95016" w:rsidRPr="00BA3F04" w:rsidRDefault="00D95016" w:rsidP="00BA3F04">
            <w:r>
              <w:t>REÉR dans 10 années, après impôts (40 %)</w:t>
            </w:r>
          </w:p>
        </w:tc>
        <w:tc>
          <w:tcPr>
            <w:tcW w:w="3969" w:type="dxa"/>
          </w:tcPr>
          <w:p w14:paraId="42F0B44F" w14:textId="1A6B0647" w:rsidR="00D95016" w:rsidRPr="007636E3" w:rsidRDefault="00D95016" w:rsidP="007636E3">
            <w:pPr>
              <w:jc w:val="center"/>
              <w:cnfStyle w:val="000000000000" w:firstRow="0" w:lastRow="0" w:firstColumn="0" w:lastColumn="0" w:oddVBand="0" w:evenVBand="0" w:oddHBand="0" w:evenHBand="0" w:firstRowFirstColumn="0" w:firstRowLastColumn="0" w:lastRowFirstColumn="0" w:lastRowLastColumn="0"/>
            </w:pPr>
            <w:r w:rsidRPr="007636E3">
              <w:t>195 467 $ (1)</w:t>
            </w:r>
          </w:p>
        </w:tc>
        <w:tc>
          <w:tcPr>
            <w:tcW w:w="3682" w:type="dxa"/>
          </w:tcPr>
          <w:p w14:paraId="274208C7" w14:textId="6A5A2F9F" w:rsidR="00D95016" w:rsidRPr="007636E3" w:rsidRDefault="004362DD" w:rsidP="007636E3">
            <w:pPr>
              <w:jc w:val="cente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2612608" behindDoc="0" locked="0" layoutInCell="1" allowOverlap="1" wp14:anchorId="4224C46A" wp14:editId="06338EF0">
                      <wp:simplePos x="0" y="0"/>
                      <wp:positionH relativeFrom="column">
                        <wp:posOffset>1591286</wp:posOffset>
                      </wp:positionH>
                      <wp:positionV relativeFrom="paragraph">
                        <wp:posOffset>116272</wp:posOffset>
                      </wp:positionV>
                      <wp:extent cx="1371600" cy="571500"/>
                      <wp:effectExtent l="25400" t="177800" r="0" b="215900"/>
                      <wp:wrapNone/>
                      <wp:docPr id="497" name="Flèche vers la gauche 497"/>
                      <wp:cNvGraphicFramePr/>
                      <a:graphic xmlns:a="http://schemas.openxmlformats.org/drawingml/2006/main">
                        <a:graphicData uri="http://schemas.microsoft.com/office/word/2010/wordprocessingShape">
                          <wps:wsp>
                            <wps:cNvSpPr/>
                            <wps:spPr>
                              <a:xfrm rot="20270494">
                                <a:off x="0" y="0"/>
                                <a:ext cx="1371600" cy="571500"/>
                              </a:xfrm>
                              <a:prstGeom prst="leftArrow">
                                <a:avLst/>
                              </a:prstGeom>
                              <a:solidFill>
                                <a:srgbClr val="E5F6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FFBA448" w14:textId="77777777" w:rsidR="00573C95" w:rsidRPr="004362DD" w:rsidRDefault="00573C95" w:rsidP="004362DD">
                                  <w:pPr>
                                    <w:jc w:val="center"/>
                                    <w:rPr>
                                      <w:sz w:val="18"/>
                                      <w:szCs w:val="18"/>
                                    </w:rPr>
                                  </w:pPr>
                                  <w:r>
                                    <w:rPr>
                                      <w:color w:val="000000"/>
                                      <w:sz w:val="18"/>
                                      <w:szCs w:val="18"/>
                                    </w:rPr>
                                    <w:t>Optimal</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id="Flèche vers la gauche 497" o:spid="_x0000_s1325" type="#_x0000_t66" style="position:absolute;left:0;text-align:left;margin-left:125.3pt;margin-top:9.15pt;width:108pt;height:45pt;rotation:-1452175fd;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" adj="4500" fillcolor="#e5f600">
                      <v:textbox>
                        <w:txbxContent>
                          <w:p w14:paraId="7FFBA448" w14:textId="77777777" w:rsidR="001501D6" w:rsidRPr="004362DD" w:rsidRDefault="001501D6" w:rsidP="004362DD">
                            <w:pPr>
                              <w:jc w:val="center"/>
                              <w:rPr>
                                <w:sz w:val="18"/>
                                <w:szCs w:val="18"/>
                              </w:rPr>
                            </w:pPr>
                            <w:r>
                              <w:rPr>
                                <w:color w:val="000000"/>
                                <w:sz w:val="18"/>
                                <w:szCs w:val="18"/>
                              </w:rPr>
                              <w:t>Optimal</w:t>
                            </w:r>
                          </w:p>
                        </w:txbxContent>
                      </v:textbox>
                    </v:shape>
                  </w:pict>
                </mc:Fallback>
              </mc:AlternateContent>
            </w:r>
          </w:p>
        </w:tc>
      </w:tr>
      <w:tr w:rsidR="00F35CDC" w14:paraId="0CFA6C1D"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780A2567" w14:textId="15ABB5AB" w:rsidR="00F35CDC" w:rsidRPr="00BA3F04" w:rsidRDefault="00BA3F04" w:rsidP="00BA3F04">
            <w:r w:rsidRPr="00BA3F04">
              <w:t>Placements hors REÉR dans 10 années</w:t>
            </w:r>
          </w:p>
        </w:tc>
        <w:tc>
          <w:tcPr>
            <w:tcW w:w="3969" w:type="dxa"/>
          </w:tcPr>
          <w:p w14:paraId="3849E7E4" w14:textId="03F11D56" w:rsidR="00F35CDC" w:rsidRPr="007636E3" w:rsidRDefault="00BA3F04" w:rsidP="007636E3">
            <w:pPr>
              <w:jc w:val="center"/>
              <w:cnfStyle w:val="000000100000" w:firstRow="0" w:lastRow="0" w:firstColumn="0" w:lastColumn="0" w:oddVBand="0" w:evenVBand="0" w:oddHBand="1" w:evenHBand="0" w:firstRowFirstColumn="0" w:firstRowLastColumn="0" w:lastRowFirstColumn="0" w:lastRowLastColumn="0"/>
            </w:pPr>
            <w:r w:rsidRPr="007636E3">
              <w:t>Nil</w:t>
            </w:r>
          </w:p>
        </w:tc>
        <w:tc>
          <w:tcPr>
            <w:tcW w:w="3682" w:type="dxa"/>
          </w:tcPr>
          <w:p w14:paraId="0651D8E5" w14:textId="69ACD85B" w:rsidR="00F35CDC" w:rsidRPr="007636E3" w:rsidRDefault="002314B1" w:rsidP="002314B1">
            <w:pPr>
              <w:jc w:val="center"/>
              <w:cnfStyle w:val="000000100000" w:firstRow="0" w:lastRow="0" w:firstColumn="0" w:lastColumn="0" w:oddVBand="0" w:evenVBand="0" w:oddHBand="1" w:evenHBand="0" w:firstRowFirstColumn="0" w:firstRowLastColumn="0" w:lastRowFirstColumn="0" w:lastRowLastColumn="0"/>
            </w:pPr>
            <w:r w:rsidRPr="007636E3">
              <w:t>291 299 $ (2)</w:t>
            </w:r>
          </w:p>
        </w:tc>
      </w:tr>
      <w:tr w:rsidR="00F35CDC" w14:paraId="3B02F6C2"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7E123A5F" w14:textId="77651AAA" w:rsidR="00F35CDC" w:rsidRPr="00D95016" w:rsidRDefault="00BA3F04">
            <w:r w:rsidRPr="00D95016">
              <w:t>Dette dans 10 années</w:t>
            </w:r>
          </w:p>
        </w:tc>
        <w:tc>
          <w:tcPr>
            <w:tcW w:w="3969" w:type="dxa"/>
          </w:tcPr>
          <w:p w14:paraId="1C56444D" w14:textId="53FF2809" w:rsidR="00F35CDC" w:rsidRPr="007636E3" w:rsidRDefault="00BA3F04" w:rsidP="007636E3">
            <w:pPr>
              <w:jc w:val="center"/>
              <w:cnfStyle w:val="000000000000" w:firstRow="0" w:lastRow="0" w:firstColumn="0" w:lastColumn="0" w:oddVBand="0" w:evenVBand="0" w:oddHBand="0" w:evenHBand="0" w:firstRowFirstColumn="0" w:firstRowLastColumn="0" w:lastRowFirstColumn="0" w:lastRowLastColumn="0"/>
            </w:pPr>
            <w:r w:rsidRPr="007636E3">
              <w:t>Nil</w:t>
            </w:r>
          </w:p>
        </w:tc>
        <w:tc>
          <w:tcPr>
            <w:tcW w:w="3682" w:type="dxa"/>
          </w:tcPr>
          <w:p w14:paraId="34870621" w14:textId="26F5054F" w:rsidR="00F35CDC" w:rsidRPr="007636E3" w:rsidRDefault="002314B1" w:rsidP="007636E3">
            <w:pPr>
              <w:jc w:val="center"/>
              <w:cnfStyle w:val="000000000000" w:firstRow="0" w:lastRow="0" w:firstColumn="0" w:lastColumn="0" w:oddVBand="0" w:evenVBand="0" w:oddHBand="0" w:evenHBand="0" w:firstRowFirstColumn="0" w:firstRowLastColumn="0" w:lastRowFirstColumn="0" w:lastRowLastColumn="0"/>
            </w:pPr>
            <w:r>
              <w:t>Nil</w:t>
            </w:r>
          </w:p>
        </w:tc>
      </w:tr>
      <w:tr w:rsidR="00F35CDC" w14:paraId="750412A5"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7BC130FD" w14:textId="271960E9" w:rsidR="00F35CDC" w:rsidRPr="00D95016" w:rsidRDefault="00D95016">
            <w:r w:rsidRPr="00D95016">
              <w:t>Gain net de la stratégie sur les actifs</w:t>
            </w:r>
            <w:r>
              <w:t xml:space="preserve"> (2) - (1)</w:t>
            </w:r>
          </w:p>
        </w:tc>
        <w:tc>
          <w:tcPr>
            <w:tcW w:w="3969" w:type="dxa"/>
          </w:tcPr>
          <w:p w14:paraId="3D8142CF" w14:textId="29DDAAEA" w:rsidR="00F35CDC" w:rsidRPr="007636E3" w:rsidRDefault="00F35CDC">
            <w:pPr>
              <w:cnfStyle w:val="000000100000" w:firstRow="0" w:lastRow="0" w:firstColumn="0" w:lastColumn="0" w:oddVBand="0" w:evenVBand="0" w:oddHBand="1" w:evenHBand="0" w:firstRowFirstColumn="0" w:firstRowLastColumn="0" w:lastRowFirstColumn="0" w:lastRowLastColumn="0"/>
            </w:pPr>
          </w:p>
        </w:tc>
        <w:tc>
          <w:tcPr>
            <w:tcW w:w="3682" w:type="dxa"/>
          </w:tcPr>
          <w:p w14:paraId="22ECE46E" w14:textId="700BCC7E" w:rsidR="00F35CDC" w:rsidRPr="007636E3" w:rsidRDefault="00D95016" w:rsidP="007636E3">
            <w:pPr>
              <w:jc w:val="center"/>
              <w:cnfStyle w:val="000000100000" w:firstRow="0" w:lastRow="0" w:firstColumn="0" w:lastColumn="0" w:oddVBand="0" w:evenVBand="0" w:oddHBand="1" w:evenHBand="0" w:firstRowFirstColumn="0" w:firstRowLastColumn="0" w:lastRowFirstColumn="0" w:lastRowLastColumn="0"/>
            </w:pPr>
            <w:r w:rsidRPr="007636E3">
              <w:t>95 832 $</w:t>
            </w:r>
          </w:p>
        </w:tc>
      </w:tr>
    </w:tbl>
    <w:p w14:paraId="66466FCE" w14:textId="26141E15" w:rsidR="00D95016" w:rsidRDefault="00D95016">
      <w:pPr>
        <w:rPr>
          <w:color w:val="008000"/>
        </w:rPr>
      </w:pPr>
    </w:p>
    <w:p w14:paraId="373C1D22" w14:textId="6EE0A19A" w:rsidR="00D95016" w:rsidRPr="00D95016" w:rsidRDefault="00D95016" w:rsidP="00D95016">
      <w:pPr>
        <w:rPr>
          <w:color w:val="000000" w:themeColor="text1"/>
          <w:u w:val="single"/>
        </w:rPr>
      </w:pPr>
      <w:r>
        <w:rPr>
          <w:color w:val="000000" w:themeColor="text1"/>
          <w:u w:val="single"/>
        </w:rPr>
        <w:t>Gains sur la PSV</w:t>
      </w:r>
      <w:r w:rsidR="006D21DB">
        <w:rPr>
          <w:color w:val="000000" w:themeColor="text1"/>
          <w:u w:val="single"/>
        </w:rPr>
        <w:t xml:space="preserve"> 70 ans - 80 ans</w:t>
      </w:r>
    </w:p>
    <w:p w14:paraId="18367F64" w14:textId="77777777" w:rsidR="00D95016" w:rsidRDefault="00D95016" w:rsidP="00D95016">
      <w:pPr>
        <w:rPr>
          <w:color w:val="000000" w:themeColor="text1"/>
        </w:rPr>
      </w:pPr>
    </w:p>
    <w:tbl>
      <w:tblPr>
        <w:tblStyle w:val="Listefonce-Accent1"/>
        <w:tblW w:w="0" w:type="auto"/>
        <w:tblLook w:val="04A0" w:firstRow="1" w:lastRow="0" w:firstColumn="1" w:lastColumn="0" w:noHBand="0" w:noVBand="1"/>
      </w:tblPr>
      <w:tblGrid>
        <w:gridCol w:w="5495"/>
        <w:gridCol w:w="3969"/>
        <w:gridCol w:w="3682"/>
      </w:tblGrid>
      <w:tr w:rsidR="00D95016" w14:paraId="5A31953C" w14:textId="77777777" w:rsidTr="007636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7DC1D13A" w14:textId="77777777" w:rsidR="00D95016" w:rsidRPr="00F35CDC" w:rsidRDefault="00D95016" w:rsidP="00D95016">
            <w:pPr>
              <w:jc w:val="center"/>
            </w:pPr>
            <w:r w:rsidRPr="00F35CDC">
              <w:t>Attributs</w:t>
            </w:r>
          </w:p>
        </w:tc>
        <w:tc>
          <w:tcPr>
            <w:tcW w:w="3969" w:type="dxa"/>
          </w:tcPr>
          <w:p w14:paraId="0F849D3A" w14:textId="77777777" w:rsidR="00D95016" w:rsidRPr="00F35CDC" w:rsidRDefault="00D95016" w:rsidP="00D95016">
            <w:pPr>
              <w:jc w:val="center"/>
              <w:cnfStyle w:val="100000000000" w:firstRow="1" w:lastRow="0" w:firstColumn="0" w:lastColumn="0" w:oddVBand="0" w:evenVBand="0" w:oddHBand="0" w:evenHBand="0" w:firstRowFirstColumn="0" w:firstRowLastColumn="0" w:lastRowFirstColumn="0" w:lastRowLastColumn="0"/>
            </w:pPr>
            <w:r w:rsidRPr="00F35CDC">
              <w:t>Sans défisca</w:t>
            </w:r>
            <w:r>
              <w:t>li</w:t>
            </w:r>
            <w:r w:rsidRPr="00F35CDC">
              <w:t>sation du REÉR</w:t>
            </w:r>
          </w:p>
        </w:tc>
        <w:tc>
          <w:tcPr>
            <w:tcW w:w="3682" w:type="dxa"/>
          </w:tcPr>
          <w:p w14:paraId="6D9076FC" w14:textId="77777777" w:rsidR="00D95016" w:rsidRDefault="00D95016" w:rsidP="00D95016">
            <w:pPr>
              <w:jc w:val="center"/>
              <w:cnfStyle w:val="100000000000" w:firstRow="1" w:lastRow="0" w:firstColumn="0" w:lastColumn="0" w:oddVBand="0" w:evenVBand="0" w:oddHBand="0" w:evenHBand="0" w:firstRowFirstColumn="0" w:firstRowLastColumn="0" w:lastRowFirstColumn="0" w:lastRowLastColumn="0"/>
              <w:rPr>
                <w:color w:val="008000"/>
              </w:rPr>
            </w:pPr>
            <w:r>
              <w:t>Avec</w:t>
            </w:r>
            <w:r w:rsidRPr="00F35CDC">
              <w:t xml:space="preserve"> défisca</w:t>
            </w:r>
            <w:r>
              <w:t>li</w:t>
            </w:r>
            <w:r w:rsidRPr="00F35CDC">
              <w:t>sation du REÉR</w:t>
            </w:r>
          </w:p>
        </w:tc>
      </w:tr>
      <w:tr w:rsidR="00D95016" w14:paraId="00011DD4"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3B370A05" w14:textId="063D518F" w:rsidR="00D95016" w:rsidRPr="00BA3F04" w:rsidRDefault="00D95016" w:rsidP="00D95016">
            <w:r>
              <w:t>Train de vie à assumer (en revenu brut)</w:t>
            </w:r>
          </w:p>
        </w:tc>
        <w:tc>
          <w:tcPr>
            <w:tcW w:w="3969" w:type="dxa"/>
          </w:tcPr>
          <w:p w14:paraId="498838E2" w14:textId="6159524F" w:rsidR="00D95016" w:rsidRPr="007636E3" w:rsidRDefault="006D21DB" w:rsidP="007636E3">
            <w:pPr>
              <w:jc w:val="center"/>
              <w:cnfStyle w:val="000000100000" w:firstRow="0" w:lastRow="0" w:firstColumn="0" w:lastColumn="0" w:oddVBand="0" w:evenVBand="0" w:oddHBand="1" w:evenHBand="0" w:firstRowFirstColumn="0" w:firstRowLastColumn="0" w:lastRowFirstColumn="0" w:lastRowLastColumn="0"/>
            </w:pPr>
            <w:r w:rsidRPr="007636E3">
              <w:t>80 000 $</w:t>
            </w:r>
          </w:p>
        </w:tc>
        <w:tc>
          <w:tcPr>
            <w:tcW w:w="3682" w:type="dxa"/>
          </w:tcPr>
          <w:p w14:paraId="09FB127E" w14:textId="75B1C5B4" w:rsidR="00D95016" w:rsidRPr="007636E3" w:rsidRDefault="006D21DB" w:rsidP="007636E3">
            <w:pPr>
              <w:jc w:val="center"/>
              <w:cnfStyle w:val="000000100000" w:firstRow="0" w:lastRow="0" w:firstColumn="0" w:lastColumn="0" w:oddVBand="0" w:evenVBand="0" w:oddHBand="1" w:evenHBand="0" w:firstRowFirstColumn="0" w:firstRowLastColumn="0" w:lastRowFirstColumn="0" w:lastRowLastColumn="0"/>
            </w:pPr>
            <w:r w:rsidRPr="007636E3">
              <w:t>80 000 $</w:t>
            </w:r>
          </w:p>
        </w:tc>
      </w:tr>
      <w:tr w:rsidR="00D95016" w14:paraId="20F55E04"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45E20E61" w14:textId="2CDF64B8" w:rsidR="00D95016" w:rsidRPr="00BA3F04" w:rsidRDefault="006D21DB" w:rsidP="006D21DB">
            <w:r>
              <w:t>RPA et RRQ</w:t>
            </w:r>
          </w:p>
        </w:tc>
        <w:tc>
          <w:tcPr>
            <w:tcW w:w="3969" w:type="dxa"/>
          </w:tcPr>
          <w:p w14:paraId="0C4E7A35" w14:textId="78037078" w:rsidR="00D95016" w:rsidRPr="007636E3" w:rsidRDefault="006D21DB" w:rsidP="007636E3">
            <w:pPr>
              <w:jc w:val="center"/>
              <w:cnfStyle w:val="000000000000" w:firstRow="0" w:lastRow="0" w:firstColumn="0" w:lastColumn="0" w:oddVBand="0" w:evenVBand="0" w:oddHBand="0" w:evenHBand="0" w:firstRowFirstColumn="0" w:firstRowLastColumn="0" w:lastRowFirstColumn="0" w:lastRowLastColumn="0"/>
            </w:pPr>
            <w:r w:rsidRPr="007636E3">
              <w:t>55 000 $</w:t>
            </w:r>
          </w:p>
        </w:tc>
        <w:tc>
          <w:tcPr>
            <w:tcW w:w="3682" w:type="dxa"/>
          </w:tcPr>
          <w:p w14:paraId="39B2F1DC" w14:textId="36FEAAAC" w:rsidR="00D95016" w:rsidRPr="007636E3" w:rsidRDefault="006D21DB" w:rsidP="007636E3">
            <w:pPr>
              <w:jc w:val="center"/>
              <w:cnfStyle w:val="000000000000" w:firstRow="0" w:lastRow="0" w:firstColumn="0" w:lastColumn="0" w:oddVBand="0" w:evenVBand="0" w:oddHBand="0" w:evenHBand="0" w:firstRowFirstColumn="0" w:firstRowLastColumn="0" w:lastRowFirstColumn="0" w:lastRowLastColumn="0"/>
            </w:pPr>
            <w:r w:rsidRPr="007636E3">
              <w:t>55 000 $</w:t>
            </w:r>
          </w:p>
        </w:tc>
      </w:tr>
      <w:tr w:rsidR="00D95016" w14:paraId="015EC594"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002471CF" w14:textId="71FD8865" w:rsidR="00D95016" w:rsidRPr="00BA3F04" w:rsidRDefault="006D21DB" w:rsidP="006D21DB">
            <w:r>
              <w:t>PSV</w:t>
            </w:r>
          </w:p>
        </w:tc>
        <w:tc>
          <w:tcPr>
            <w:tcW w:w="3969" w:type="dxa"/>
          </w:tcPr>
          <w:p w14:paraId="112EC813" w14:textId="0FB0FC1B" w:rsidR="00D95016" w:rsidRPr="007636E3" w:rsidRDefault="00EF19C3" w:rsidP="007636E3">
            <w:pPr>
              <w:jc w:val="center"/>
              <w:cnfStyle w:val="000000100000" w:firstRow="0" w:lastRow="0" w:firstColumn="0" w:lastColumn="0" w:oddVBand="0" w:evenVBand="0" w:oddHBand="1" w:evenHBand="0" w:firstRowFirstColumn="0" w:firstRowLastColumn="0" w:lastRowFirstColumn="0" w:lastRowLastColumn="0"/>
            </w:pPr>
            <w:r w:rsidRPr="007636E3">
              <w:t>7 939 $</w:t>
            </w:r>
          </w:p>
        </w:tc>
        <w:tc>
          <w:tcPr>
            <w:tcW w:w="3682" w:type="dxa"/>
          </w:tcPr>
          <w:p w14:paraId="4ABE4B62" w14:textId="3326D60E" w:rsidR="00D95016" w:rsidRPr="007636E3" w:rsidRDefault="00EF19C3" w:rsidP="007636E3">
            <w:pPr>
              <w:jc w:val="center"/>
              <w:cnfStyle w:val="000000100000" w:firstRow="0" w:lastRow="0" w:firstColumn="0" w:lastColumn="0" w:oddVBand="0" w:evenVBand="0" w:oddHBand="1" w:evenHBand="0" w:firstRowFirstColumn="0" w:firstRowLastColumn="0" w:lastRowFirstColumn="0" w:lastRowLastColumn="0"/>
            </w:pPr>
            <w:r w:rsidRPr="007636E3">
              <w:t>9 200 $</w:t>
            </w:r>
          </w:p>
        </w:tc>
      </w:tr>
      <w:tr w:rsidR="00D95016" w14:paraId="24FF8C4A"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2BCE75B1" w14:textId="2D5F0455" w:rsidR="00D95016" w:rsidRPr="00D95016" w:rsidRDefault="006D21DB" w:rsidP="006D21DB">
            <w:r>
              <w:t>Retrait REÉR</w:t>
            </w:r>
          </w:p>
        </w:tc>
        <w:tc>
          <w:tcPr>
            <w:tcW w:w="3969" w:type="dxa"/>
          </w:tcPr>
          <w:p w14:paraId="2A85C040" w14:textId="35DDC811" w:rsidR="00D95016" w:rsidRPr="007636E3" w:rsidRDefault="00EF19C3" w:rsidP="007636E3">
            <w:pPr>
              <w:jc w:val="center"/>
              <w:cnfStyle w:val="000000000000" w:firstRow="0" w:lastRow="0" w:firstColumn="0" w:lastColumn="0" w:oddVBand="0" w:evenVBand="0" w:oddHBand="0" w:evenHBand="0" w:firstRowFirstColumn="0" w:firstRowLastColumn="0" w:lastRowFirstColumn="0" w:lastRowLastColumn="0"/>
            </w:pPr>
            <w:r w:rsidRPr="007636E3">
              <w:t>17 061 $</w:t>
            </w:r>
          </w:p>
        </w:tc>
        <w:tc>
          <w:tcPr>
            <w:tcW w:w="3682" w:type="dxa"/>
          </w:tcPr>
          <w:p w14:paraId="682D1806" w14:textId="377BF5F5" w:rsidR="00D95016" w:rsidRPr="007636E3" w:rsidRDefault="00EF19C3" w:rsidP="007636E3">
            <w:pPr>
              <w:jc w:val="center"/>
              <w:cnfStyle w:val="000000000000" w:firstRow="0" w:lastRow="0" w:firstColumn="0" w:lastColumn="0" w:oddVBand="0" w:evenVBand="0" w:oddHBand="0" w:evenHBand="0" w:firstRowFirstColumn="0" w:firstRowLastColumn="0" w:lastRowFirstColumn="0" w:lastRowLastColumn="0"/>
            </w:pPr>
            <w:r w:rsidRPr="007636E3">
              <w:t>Nil</w:t>
            </w:r>
          </w:p>
        </w:tc>
      </w:tr>
      <w:tr w:rsidR="00D95016" w14:paraId="589F96DC"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7AB5B677" w14:textId="44494831" w:rsidR="00D95016" w:rsidRPr="00D95016" w:rsidRDefault="006D21DB" w:rsidP="00EF19C3">
            <w:r>
              <w:t>Revenu intér</w:t>
            </w:r>
            <w:r w:rsidR="00EF19C3">
              <w:t>êts (2,5 %)</w:t>
            </w:r>
            <w:r w:rsidR="00CF112D">
              <w:t xml:space="preserve"> </w:t>
            </w:r>
            <w:r w:rsidR="00F95107">
              <w:t>encaissé</w:t>
            </w:r>
          </w:p>
        </w:tc>
        <w:tc>
          <w:tcPr>
            <w:tcW w:w="3969" w:type="dxa"/>
          </w:tcPr>
          <w:p w14:paraId="2825ED4A" w14:textId="0EA65689" w:rsidR="00D95016" w:rsidRPr="007636E3" w:rsidRDefault="00CF112D" w:rsidP="007636E3">
            <w:pPr>
              <w:jc w:val="center"/>
              <w:cnfStyle w:val="000000100000" w:firstRow="0" w:lastRow="0" w:firstColumn="0" w:lastColumn="0" w:oddVBand="0" w:evenVBand="0" w:oddHBand="1" w:evenHBand="0" w:firstRowFirstColumn="0" w:firstRowLastColumn="0" w:lastRowFirstColumn="0" w:lastRowLastColumn="0"/>
            </w:pPr>
            <w:r w:rsidRPr="007636E3">
              <w:t>Nil</w:t>
            </w:r>
          </w:p>
        </w:tc>
        <w:tc>
          <w:tcPr>
            <w:tcW w:w="3682" w:type="dxa"/>
          </w:tcPr>
          <w:p w14:paraId="520D05AD" w14:textId="73EEB366" w:rsidR="00D95016" w:rsidRPr="007636E3" w:rsidRDefault="00EF19C3" w:rsidP="007636E3">
            <w:pPr>
              <w:jc w:val="center"/>
              <w:cnfStyle w:val="000000100000" w:firstRow="0" w:lastRow="0" w:firstColumn="0" w:lastColumn="0" w:oddVBand="0" w:evenVBand="0" w:oddHBand="1" w:evenHBand="0" w:firstRowFirstColumn="0" w:firstRowLastColumn="0" w:lastRowFirstColumn="0" w:lastRowLastColumn="0"/>
            </w:pPr>
            <w:r w:rsidRPr="007636E3">
              <w:t>7 282 $</w:t>
            </w:r>
          </w:p>
        </w:tc>
      </w:tr>
      <w:tr w:rsidR="006D21DB" w14:paraId="31C4AFA7"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380326B5" w14:textId="0C5BC344" w:rsidR="006D21DB" w:rsidRPr="00D95016" w:rsidRDefault="00EF19C3" w:rsidP="00D95016">
            <w:r>
              <w:t>Encaissement du capital</w:t>
            </w:r>
            <w:r w:rsidR="00974567">
              <w:t xml:space="preserve"> </w:t>
            </w:r>
          </w:p>
        </w:tc>
        <w:tc>
          <w:tcPr>
            <w:tcW w:w="3969" w:type="dxa"/>
          </w:tcPr>
          <w:p w14:paraId="6BF0C8B7" w14:textId="1E526E9C" w:rsidR="006D21DB" w:rsidRPr="007636E3" w:rsidRDefault="00CF112D" w:rsidP="007636E3">
            <w:pPr>
              <w:jc w:val="center"/>
              <w:cnfStyle w:val="000000000000" w:firstRow="0" w:lastRow="0" w:firstColumn="0" w:lastColumn="0" w:oddVBand="0" w:evenVBand="0" w:oddHBand="0" w:evenHBand="0" w:firstRowFirstColumn="0" w:firstRowLastColumn="0" w:lastRowFirstColumn="0" w:lastRowLastColumn="0"/>
            </w:pPr>
            <w:r w:rsidRPr="007636E3">
              <w:t>Nil</w:t>
            </w:r>
          </w:p>
        </w:tc>
        <w:tc>
          <w:tcPr>
            <w:tcW w:w="3682" w:type="dxa"/>
          </w:tcPr>
          <w:p w14:paraId="0F5101F4" w14:textId="27653882" w:rsidR="006D21DB" w:rsidRPr="007636E3" w:rsidRDefault="00CF112D" w:rsidP="007636E3">
            <w:pPr>
              <w:jc w:val="center"/>
              <w:cnfStyle w:val="000000000000" w:firstRow="0" w:lastRow="0" w:firstColumn="0" w:lastColumn="0" w:oddVBand="0" w:evenVBand="0" w:oddHBand="0" w:evenHBand="0" w:firstRowFirstColumn="0" w:firstRowLastColumn="0" w:lastRowFirstColumn="0" w:lastRowLastColumn="0"/>
            </w:pPr>
            <w:r w:rsidRPr="007636E3">
              <w:t>5 962 $</w:t>
            </w:r>
            <w:r w:rsidR="00974567" w:rsidRPr="007636E3">
              <w:rPr>
                <w:rStyle w:val="Marquenotebasdepage"/>
              </w:rPr>
              <w:footnoteReference w:customMarkFollows="1" w:id="66"/>
              <w:t>63</w:t>
            </w:r>
          </w:p>
        </w:tc>
      </w:tr>
      <w:tr w:rsidR="006D21DB" w14:paraId="6243525A"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67521FEC" w14:textId="64776423" w:rsidR="006D21DB" w:rsidRPr="00D95016" w:rsidRDefault="00EF19C3" w:rsidP="00D95016">
            <w:r>
              <w:t>Revenu imposable</w:t>
            </w:r>
          </w:p>
        </w:tc>
        <w:tc>
          <w:tcPr>
            <w:tcW w:w="3969" w:type="dxa"/>
          </w:tcPr>
          <w:p w14:paraId="549F995E" w14:textId="3842AC17" w:rsidR="006D21DB" w:rsidRPr="007636E3" w:rsidRDefault="00EF19C3" w:rsidP="007636E3">
            <w:pPr>
              <w:jc w:val="center"/>
              <w:cnfStyle w:val="000000100000" w:firstRow="0" w:lastRow="0" w:firstColumn="0" w:lastColumn="0" w:oddVBand="0" w:evenVBand="0" w:oddHBand="1" w:evenHBand="0" w:firstRowFirstColumn="0" w:firstRowLastColumn="0" w:lastRowFirstColumn="0" w:lastRowLastColumn="0"/>
            </w:pPr>
            <w:r w:rsidRPr="007636E3">
              <w:t>80 000 $</w:t>
            </w:r>
          </w:p>
        </w:tc>
        <w:tc>
          <w:tcPr>
            <w:tcW w:w="3682" w:type="dxa"/>
          </w:tcPr>
          <w:p w14:paraId="09CB95ED" w14:textId="14B21397" w:rsidR="006D21DB" w:rsidRPr="007636E3" w:rsidRDefault="00CF112D" w:rsidP="007636E3">
            <w:pPr>
              <w:jc w:val="center"/>
              <w:cnfStyle w:val="000000100000" w:firstRow="0" w:lastRow="0" w:firstColumn="0" w:lastColumn="0" w:oddVBand="0" w:evenVBand="0" w:oddHBand="1" w:evenHBand="0" w:firstRowFirstColumn="0" w:firstRowLastColumn="0" w:lastRowFirstColumn="0" w:lastRowLastColumn="0"/>
            </w:pPr>
            <w:r w:rsidRPr="007636E3">
              <w:t>71 482 $</w:t>
            </w:r>
          </w:p>
        </w:tc>
      </w:tr>
      <w:tr w:rsidR="006D21DB" w14:paraId="30399DB8"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6FACF015" w14:textId="77777777" w:rsidR="006D21DB" w:rsidRPr="00D95016" w:rsidRDefault="006D21DB" w:rsidP="00D95016"/>
        </w:tc>
        <w:tc>
          <w:tcPr>
            <w:tcW w:w="3969" w:type="dxa"/>
          </w:tcPr>
          <w:p w14:paraId="588337DC" w14:textId="77777777" w:rsidR="006D21DB" w:rsidRPr="007636E3" w:rsidRDefault="006D21DB" w:rsidP="007636E3">
            <w:pPr>
              <w:jc w:val="center"/>
              <w:cnfStyle w:val="000000000000" w:firstRow="0" w:lastRow="0" w:firstColumn="0" w:lastColumn="0" w:oddVBand="0" w:evenVBand="0" w:oddHBand="0" w:evenHBand="0" w:firstRowFirstColumn="0" w:firstRowLastColumn="0" w:lastRowFirstColumn="0" w:lastRowLastColumn="0"/>
            </w:pPr>
          </w:p>
        </w:tc>
        <w:tc>
          <w:tcPr>
            <w:tcW w:w="3682" w:type="dxa"/>
          </w:tcPr>
          <w:p w14:paraId="3D02D1DB" w14:textId="77777777" w:rsidR="006D21DB" w:rsidRPr="007636E3" w:rsidRDefault="006D21DB" w:rsidP="007636E3">
            <w:pPr>
              <w:jc w:val="center"/>
              <w:cnfStyle w:val="000000000000" w:firstRow="0" w:lastRow="0" w:firstColumn="0" w:lastColumn="0" w:oddVBand="0" w:evenVBand="0" w:oddHBand="0" w:evenHBand="0" w:firstRowFirstColumn="0" w:firstRowLastColumn="0" w:lastRowFirstColumn="0" w:lastRowLastColumn="0"/>
            </w:pPr>
          </w:p>
        </w:tc>
      </w:tr>
      <w:tr w:rsidR="006D21DB" w14:paraId="0848A5D2"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52067F2C" w14:textId="53498D72" w:rsidR="006D21DB" w:rsidRPr="00D95016" w:rsidRDefault="00EF19C3" w:rsidP="00D95016">
            <w:r>
              <w:t>PSV, avant réduction</w:t>
            </w:r>
          </w:p>
        </w:tc>
        <w:tc>
          <w:tcPr>
            <w:tcW w:w="3969" w:type="dxa"/>
          </w:tcPr>
          <w:p w14:paraId="5E499028" w14:textId="13C454E1" w:rsidR="006D21DB" w:rsidRPr="007636E3" w:rsidRDefault="00EF19C3" w:rsidP="007636E3">
            <w:pPr>
              <w:jc w:val="center"/>
              <w:cnfStyle w:val="000000100000" w:firstRow="0" w:lastRow="0" w:firstColumn="0" w:lastColumn="0" w:oddVBand="0" w:evenVBand="0" w:oddHBand="1" w:evenHBand="0" w:firstRowFirstColumn="0" w:firstRowLastColumn="0" w:lastRowFirstColumn="0" w:lastRowLastColumn="0"/>
            </w:pPr>
            <w:r w:rsidRPr="007636E3">
              <w:t>9 200 $</w:t>
            </w:r>
          </w:p>
        </w:tc>
        <w:tc>
          <w:tcPr>
            <w:tcW w:w="3682" w:type="dxa"/>
          </w:tcPr>
          <w:p w14:paraId="472C4465" w14:textId="607D9A51" w:rsidR="006D21DB" w:rsidRPr="007636E3" w:rsidRDefault="00EF19C3" w:rsidP="007636E3">
            <w:pPr>
              <w:jc w:val="center"/>
              <w:cnfStyle w:val="000000100000" w:firstRow="0" w:lastRow="0" w:firstColumn="0" w:lastColumn="0" w:oddVBand="0" w:evenVBand="0" w:oddHBand="1" w:evenHBand="0" w:firstRowFirstColumn="0" w:firstRowLastColumn="0" w:lastRowFirstColumn="0" w:lastRowLastColumn="0"/>
            </w:pPr>
            <w:r w:rsidRPr="007636E3">
              <w:t>9 200 $</w:t>
            </w:r>
          </w:p>
        </w:tc>
      </w:tr>
      <w:tr w:rsidR="006D21DB" w14:paraId="149F08B6"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03DAD7F7" w14:textId="375EB0FD" w:rsidR="006D21DB" w:rsidRPr="00D95016" w:rsidRDefault="00EF19C3" w:rsidP="00974567">
            <w:r>
              <w:t>réduction de la PSV</w:t>
            </w:r>
            <w:r w:rsidR="00974567">
              <w:t xml:space="preserve"> (15 % &gt; 71 592 $)</w:t>
            </w:r>
          </w:p>
        </w:tc>
        <w:tc>
          <w:tcPr>
            <w:tcW w:w="3969" w:type="dxa"/>
          </w:tcPr>
          <w:p w14:paraId="7D9BE349" w14:textId="6DF8F0A3" w:rsidR="006D21DB" w:rsidRPr="007636E3" w:rsidRDefault="00EF19C3" w:rsidP="007636E3">
            <w:pPr>
              <w:jc w:val="center"/>
              <w:cnfStyle w:val="000000000000" w:firstRow="0" w:lastRow="0" w:firstColumn="0" w:lastColumn="0" w:oddVBand="0" w:evenVBand="0" w:oddHBand="0" w:evenHBand="0" w:firstRowFirstColumn="0" w:firstRowLastColumn="0" w:lastRowFirstColumn="0" w:lastRowLastColumn="0"/>
            </w:pPr>
            <w:r w:rsidRPr="007636E3">
              <w:t>1 261 $</w:t>
            </w:r>
          </w:p>
        </w:tc>
        <w:tc>
          <w:tcPr>
            <w:tcW w:w="3682" w:type="dxa"/>
          </w:tcPr>
          <w:p w14:paraId="606B6F70" w14:textId="6CD2DDF9" w:rsidR="006D21DB" w:rsidRPr="007636E3" w:rsidRDefault="004362DD" w:rsidP="007636E3">
            <w:pPr>
              <w:jc w:val="cente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2614656" behindDoc="0" locked="0" layoutInCell="1" allowOverlap="1" wp14:anchorId="2125C0BD" wp14:editId="4ACE305D">
                      <wp:simplePos x="0" y="0"/>
                      <wp:positionH relativeFrom="column">
                        <wp:posOffset>1590675</wp:posOffset>
                      </wp:positionH>
                      <wp:positionV relativeFrom="paragraph">
                        <wp:posOffset>111760</wp:posOffset>
                      </wp:positionV>
                      <wp:extent cx="1371600" cy="571500"/>
                      <wp:effectExtent l="25400" t="177800" r="0" b="215900"/>
                      <wp:wrapNone/>
                      <wp:docPr id="498" name="Flèche vers la gauche 498"/>
                      <wp:cNvGraphicFramePr/>
                      <a:graphic xmlns:a="http://schemas.openxmlformats.org/drawingml/2006/main">
                        <a:graphicData uri="http://schemas.microsoft.com/office/word/2010/wordprocessingShape">
                          <wps:wsp>
                            <wps:cNvSpPr/>
                            <wps:spPr>
                              <a:xfrm rot="20270494">
                                <a:off x="0" y="0"/>
                                <a:ext cx="1371600" cy="571500"/>
                              </a:xfrm>
                              <a:prstGeom prst="leftArrow">
                                <a:avLst/>
                              </a:prstGeom>
                              <a:solidFill>
                                <a:srgbClr val="E5F6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5CE5556" w14:textId="77777777" w:rsidR="00573C95" w:rsidRPr="004362DD" w:rsidRDefault="00573C95" w:rsidP="004362DD">
                                  <w:pPr>
                                    <w:jc w:val="center"/>
                                    <w:rPr>
                                      <w:sz w:val="18"/>
                                      <w:szCs w:val="18"/>
                                    </w:rPr>
                                  </w:pPr>
                                  <w:r>
                                    <w:rPr>
                                      <w:color w:val="000000"/>
                                      <w:sz w:val="18"/>
                                      <w:szCs w:val="18"/>
                                    </w:rPr>
                                    <w:t>Optimal</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id="Flèche vers la gauche 498" o:spid="_x0000_s1326" type="#_x0000_t66" style="position:absolute;left:0;text-align:left;margin-left:125.25pt;margin-top:8.8pt;width:108pt;height:45pt;rotation:-1452175fd;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" adj="4500" fillcolor="#e5f600">
                      <v:textbox>
                        <w:txbxContent>
                          <w:p w14:paraId="15CE5556" w14:textId="77777777" w:rsidR="001501D6" w:rsidRPr="004362DD" w:rsidRDefault="001501D6" w:rsidP="004362DD">
                            <w:pPr>
                              <w:jc w:val="center"/>
                              <w:rPr>
                                <w:sz w:val="18"/>
                                <w:szCs w:val="18"/>
                              </w:rPr>
                            </w:pPr>
                            <w:r>
                              <w:rPr>
                                <w:color w:val="000000"/>
                                <w:sz w:val="18"/>
                                <w:szCs w:val="18"/>
                              </w:rPr>
                              <w:t>Optimal</w:t>
                            </w:r>
                          </w:p>
                        </w:txbxContent>
                      </v:textbox>
                    </v:shape>
                  </w:pict>
                </mc:Fallback>
              </mc:AlternateContent>
            </w:r>
            <w:r w:rsidR="00EF19C3" w:rsidRPr="007636E3">
              <w:t>Nil</w:t>
            </w:r>
          </w:p>
        </w:tc>
      </w:tr>
      <w:tr w:rsidR="006D21DB" w14:paraId="793250AF"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281B7161" w14:textId="4E51345E" w:rsidR="006D21DB" w:rsidRPr="00D95016" w:rsidRDefault="00EF19C3" w:rsidP="00D95016">
            <w:r>
              <w:t>PSV, après réduction</w:t>
            </w:r>
          </w:p>
        </w:tc>
        <w:tc>
          <w:tcPr>
            <w:tcW w:w="3969" w:type="dxa"/>
          </w:tcPr>
          <w:p w14:paraId="3FD94F1C" w14:textId="02348033" w:rsidR="006D21DB" w:rsidRPr="007636E3" w:rsidRDefault="00EF19C3" w:rsidP="007636E3">
            <w:pPr>
              <w:jc w:val="center"/>
              <w:cnfStyle w:val="000000100000" w:firstRow="0" w:lastRow="0" w:firstColumn="0" w:lastColumn="0" w:oddVBand="0" w:evenVBand="0" w:oddHBand="1" w:evenHBand="0" w:firstRowFirstColumn="0" w:firstRowLastColumn="0" w:lastRowFirstColumn="0" w:lastRowLastColumn="0"/>
            </w:pPr>
            <w:r w:rsidRPr="007636E3">
              <w:t>7 939 $</w:t>
            </w:r>
          </w:p>
        </w:tc>
        <w:tc>
          <w:tcPr>
            <w:tcW w:w="3682" w:type="dxa"/>
          </w:tcPr>
          <w:p w14:paraId="0EBCB9D8" w14:textId="2EB3EB19" w:rsidR="006D21DB" w:rsidRPr="007636E3" w:rsidRDefault="00CF112D" w:rsidP="007636E3">
            <w:pPr>
              <w:jc w:val="center"/>
              <w:cnfStyle w:val="000000100000" w:firstRow="0" w:lastRow="0" w:firstColumn="0" w:lastColumn="0" w:oddVBand="0" w:evenVBand="0" w:oddHBand="1" w:evenHBand="0" w:firstRowFirstColumn="0" w:firstRowLastColumn="0" w:lastRowFirstColumn="0" w:lastRowLastColumn="0"/>
            </w:pPr>
            <w:r w:rsidRPr="007636E3">
              <w:t>9 200 $</w:t>
            </w:r>
          </w:p>
        </w:tc>
      </w:tr>
      <w:tr w:rsidR="00EF19C3" w14:paraId="12F7165C"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1CBEECC3" w14:textId="795870BB" w:rsidR="00EF19C3" w:rsidRPr="00D95016" w:rsidRDefault="00EF19C3" w:rsidP="00D95016">
            <w:r>
              <w:t>Gain annuel sur la PSV</w:t>
            </w:r>
          </w:p>
        </w:tc>
        <w:tc>
          <w:tcPr>
            <w:tcW w:w="3969" w:type="dxa"/>
          </w:tcPr>
          <w:p w14:paraId="638DBAE5" w14:textId="77777777" w:rsidR="00EF19C3" w:rsidRPr="007636E3" w:rsidRDefault="00EF19C3" w:rsidP="007636E3">
            <w:pPr>
              <w:jc w:val="center"/>
              <w:cnfStyle w:val="000000000000" w:firstRow="0" w:lastRow="0" w:firstColumn="0" w:lastColumn="0" w:oddVBand="0" w:evenVBand="0" w:oddHBand="0" w:evenHBand="0" w:firstRowFirstColumn="0" w:firstRowLastColumn="0" w:lastRowFirstColumn="0" w:lastRowLastColumn="0"/>
            </w:pPr>
          </w:p>
        </w:tc>
        <w:tc>
          <w:tcPr>
            <w:tcW w:w="3682" w:type="dxa"/>
          </w:tcPr>
          <w:p w14:paraId="4F47DD06" w14:textId="2CC7118F" w:rsidR="00EF19C3" w:rsidRPr="007636E3" w:rsidRDefault="00CF112D" w:rsidP="007636E3">
            <w:pPr>
              <w:jc w:val="center"/>
              <w:cnfStyle w:val="000000000000" w:firstRow="0" w:lastRow="0" w:firstColumn="0" w:lastColumn="0" w:oddVBand="0" w:evenVBand="0" w:oddHBand="0" w:evenHBand="0" w:firstRowFirstColumn="0" w:firstRowLastColumn="0" w:lastRowFirstColumn="0" w:lastRowLastColumn="0"/>
            </w:pPr>
            <w:r w:rsidRPr="007636E3">
              <w:t>1 261 $</w:t>
            </w:r>
          </w:p>
        </w:tc>
      </w:tr>
      <w:tr w:rsidR="00EF19C3" w14:paraId="21F24AB8"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148D85EC" w14:textId="7E719AB1" w:rsidR="00EF19C3" w:rsidRPr="00D95016" w:rsidRDefault="00EF19C3" w:rsidP="00D95016">
            <w:r>
              <w:t>Gain sur la PSV 70 ans - 80 ans (2,5 %)</w:t>
            </w:r>
          </w:p>
        </w:tc>
        <w:tc>
          <w:tcPr>
            <w:tcW w:w="3969" w:type="dxa"/>
          </w:tcPr>
          <w:p w14:paraId="1457704D" w14:textId="77777777" w:rsidR="00EF19C3" w:rsidRPr="007636E3" w:rsidRDefault="00EF19C3" w:rsidP="00D95016">
            <w:pPr>
              <w:cnfStyle w:val="000000100000" w:firstRow="0" w:lastRow="0" w:firstColumn="0" w:lastColumn="0" w:oddVBand="0" w:evenVBand="0" w:oddHBand="1" w:evenHBand="0" w:firstRowFirstColumn="0" w:firstRowLastColumn="0" w:lastRowFirstColumn="0" w:lastRowLastColumn="0"/>
              <w:rPr>
                <w:color w:val="auto"/>
              </w:rPr>
            </w:pPr>
          </w:p>
        </w:tc>
        <w:tc>
          <w:tcPr>
            <w:tcW w:w="3682" w:type="dxa"/>
          </w:tcPr>
          <w:p w14:paraId="797BEAF9" w14:textId="4F50252D" w:rsidR="00EF19C3" w:rsidRPr="007636E3" w:rsidRDefault="00CF112D" w:rsidP="007636E3">
            <w:pPr>
              <w:jc w:val="center"/>
              <w:cnfStyle w:val="000000100000" w:firstRow="0" w:lastRow="0" w:firstColumn="0" w:lastColumn="0" w:oddVBand="0" w:evenVBand="0" w:oddHBand="1" w:evenHBand="0" w:firstRowFirstColumn="0" w:firstRowLastColumn="0" w:lastRowFirstColumn="0" w:lastRowLastColumn="0"/>
            </w:pPr>
            <w:r w:rsidRPr="007636E3">
              <w:t>14 481 $</w:t>
            </w:r>
          </w:p>
        </w:tc>
      </w:tr>
    </w:tbl>
    <w:p w14:paraId="626C46E6" w14:textId="2154CD21" w:rsidR="007E293B" w:rsidRPr="00C05C9D" w:rsidRDefault="007E293B">
      <w:pPr>
        <w:rPr>
          <w:color w:val="008000"/>
        </w:rPr>
      </w:pPr>
      <w:r w:rsidRPr="00C05C9D">
        <w:rPr>
          <w:color w:val="008000"/>
        </w:rPr>
        <w:br w:type="page"/>
      </w:r>
    </w:p>
    <w:p w14:paraId="113E6220" w14:textId="70578B34" w:rsidR="00BA33C4" w:rsidRDefault="005B3FB5">
      <w:pPr>
        <w:rPr>
          <w:color w:val="000000" w:themeColor="text1"/>
          <w:u w:val="single"/>
        </w:rPr>
      </w:pPr>
      <w:r>
        <w:rPr>
          <w:noProof/>
          <w:lang w:eastAsia="fr-FR"/>
        </w:rPr>
        <w:lastRenderedPageBreak/>
        <mc:AlternateContent>
          <mc:Choice Requires="wps">
            <w:drawing>
              <wp:anchor distT="0" distB="0" distL="114300" distR="114300" simplePos="0" relativeHeight="252622848" behindDoc="0" locked="0" layoutInCell="1" allowOverlap="1" wp14:anchorId="6446E8A3" wp14:editId="591E4627">
                <wp:simplePos x="0" y="0"/>
                <wp:positionH relativeFrom="column">
                  <wp:posOffset>8572500</wp:posOffset>
                </wp:positionH>
                <wp:positionV relativeFrom="paragraph">
                  <wp:posOffset>1943100</wp:posOffset>
                </wp:positionV>
                <wp:extent cx="457200" cy="457200"/>
                <wp:effectExtent l="76200" t="76200" r="50800" b="76200"/>
                <wp:wrapNone/>
                <wp:docPr id="502" name="Ellipse 50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5D196AF" w14:textId="3C7224E4" w:rsidR="00573C95" w:rsidRPr="000F6C8D" w:rsidRDefault="00573C95" w:rsidP="000F6C8D">
                            <w:pPr>
                              <w:jc w:val="center"/>
                              <w:rPr>
                                <w:sz w:val="18"/>
                                <w:szCs w:val="18"/>
                              </w:rPr>
                            </w:pPr>
                            <w:r>
                              <w:rPr>
                                <w:sz w:val="18"/>
                                <w:szCs w:val="18"/>
                              </w:rPr>
                              <w:t>7</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502" o:spid="_x0000_s1327" style="position:absolute;margin-left:675pt;margin-top:153pt;width:36pt;height:36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" fillcolor="maroon">
                <v:textbox>
                  <w:txbxContent>
                    <w:p w14:paraId="15D196AF" w14:textId="3C7224E4" w:rsidR="001501D6" w:rsidRPr="000F6C8D" w:rsidRDefault="001501D6" w:rsidP="000F6C8D">
                      <w:pPr>
                        <w:jc w:val="center"/>
                        <w:rPr>
                          <w:sz w:val="18"/>
                          <w:szCs w:val="18"/>
                        </w:rPr>
                      </w:pPr>
                      <w:r>
                        <w:rPr>
                          <w:sz w:val="18"/>
                          <w:szCs w:val="18"/>
                        </w:rPr>
                        <w:t>7</w:t>
                      </w:r>
                    </w:p>
                  </w:txbxContent>
                </v:textbox>
              </v:oval>
            </w:pict>
          </mc:Fallback>
        </mc:AlternateContent>
      </w:r>
      <w:r w:rsidR="00C90464">
        <w:rPr>
          <w:noProof/>
          <w:lang w:eastAsia="fr-FR"/>
        </w:rPr>
        <mc:AlternateContent>
          <mc:Choice Requires="wps">
            <w:drawing>
              <wp:anchor distT="0" distB="0" distL="114300" distR="114300" simplePos="0" relativeHeight="252626944" behindDoc="0" locked="0" layoutInCell="1" allowOverlap="1" wp14:anchorId="125953E1" wp14:editId="1BF5A88F">
                <wp:simplePos x="0" y="0"/>
                <wp:positionH relativeFrom="column">
                  <wp:posOffset>4343400</wp:posOffset>
                </wp:positionH>
                <wp:positionV relativeFrom="paragraph">
                  <wp:posOffset>2971800</wp:posOffset>
                </wp:positionV>
                <wp:extent cx="457200" cy="457200"/>
                <wp:effectExtent l="76200" t="76200" r="50800" b="76200"/>
                <wp:wrapNone/>
                <wp:docPr id="504" name="Ellipse 50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8AC67E6" w14:textId="3209D87C" w:rsidR="00573C95" w:rsidRPr="000F6C8D" w:rsidRDefault="00573C95" w:rsidP="00C90464">
                            <w:pPr>
                              <w:jc w:val="center"/>
                              <w:rPr>
                                <w:sz w:val="18"/>
                                <w:szCs w:val="18"/>
                              </w:rPr>
                            </w:pPr>
                            <w:r>
                              <w:rPr>
                                <w:sz w:val="18"/>
                                <w:szCs w:val="18"/>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504" o:spid="_x0000_s1328" style="position:absolute;margin-left:342pt;margin-top:234pt;width:36pt;height:36pt;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" fillcolor="maroon">
                <v:textbox>
                  <w:txbxContent>
                    <w:p w14:paraId="28AC67E6" w14:textId="3209D87C" w:rsidR="001501D6" w:rsidRPr="000F6C8D" w:rsidRDefault="001501D6" w:rsidP="00C90464">
                      <w:pPr>
                        <w:jc w:val="center"/>
                        <w:rPr>
                          <w:sz w:val="18"/>
                          <w:szCs w:val="18"/>
                        </w:rPr>
                      </w:pPr>
                      <w:r>
                        <w:rPr>
                          <w:sz w:val="18"/>
                          <w:szCs w:val="18"/>
                        </w:rPr>
                        <w:t>5</w:t>
                      </w:r>
                    </w:p>
                  </w:txbxContent>
                </v:textbox>
              </v:oval>
            </w:pict>
          </mc:Fallback>
        </mc:AlternateContent>
      </w:r>
      <w:r w:rsidR="00C90464">
        <w:rPr>
          <w:noProof/>
          <w:lang w:eastAsia="fr-FR"/>
        </w:rPr>
        <mc:AlternateContent>
          <mc:Choice Requires="wps">
            <w:drawing>
              <wp:anchor distT="0" distB="0" distL="114300" distR="114300" simplePos="0" relativeHeight="252624896" behindDoc="0" locked="0" layoutInCell="1" allowOverlap="1" wp14:anchorId="4968E4F9" wp14:editId="6BBE595E">
                <wp:simplePos x="0" y="0"/>
                <wp:positionH relativeFrom="column">
                  <wp:posOffset>5829300</wp:posOffset>
                </wp:positionH>
                <wp:positionV relativeFrom="paragraph">
                  <wp:posOffset>2514600</wp:posOffset>
                </wp:positionV>
                <wp:extent cx="457200" cy="457200"/>
                <wp:effectExtent l="76200" t="76200" r="50800" b="76200"/>
                <wp:wrapNone/>
                <wp:docPr id="503" name="Ellipse 50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CD4CD5" w14:textId="55F465E3" w:rsidR="00573C95" w:rsidRPr="000F6C8D" w:rsidRDefault="00573C95" w:rsidP="00C90464">
                            <w:pPr>
                              <w:jc w:val="center"/>
                              <w:rPr>
                                <w:sz w:val="18"/>
                                <w:szCs w:val="18"/>
                              </w:rPr>
                            </w:pPr>
                            <w:r>
                              <w:rPr>
                                <w:sz w:val="18"/>
                                <w:szCs w:val="18"/>
                              </w:rPr>
                              <w:t>6</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503" o:spid="_x0000_s1329" style="position:absolute;margin-left:459pt;margin-top:198pt;width:36pt;height:36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" fillcolor="maroon">
                <v:textbox>
                  <w:txbxContent>
                    <w:p w14:paraId="29CD4CD5" w14:textId="55F465E3" w:rsidR="001501D6" w:rsidRPr="000F6C8D" w:rsidRDefault="001501D6" w:rsidP="00C90464">
                      <w:pPr>
                        <w:jc w:val="center"/>
                        <w:rPr>
                          <w:sz w:val="18"/>
                          <w:szCs w:val="18"/>
                        </w:rPr>
                      </w:pPr>
                      <w:r>
                        <w:rPr>
                          <w:sz w:val="18"/>
                          <w:szCs w:val="18"/>
                        </w:rPr>
                        <w:t>6</w:t>
                      </w:r>
                    </w:p>
                  </w:txbxContent>
                </v:textbox>
              </v:oval>
            </w:pict>
          </mc:Fallback>
        </mc:AlternateContent>
      </w:r>
      <w:r w:rsidR="00C90464">
        <w:rPr>
          <w:noProof/>
          <w:lang w:eastAsia="fr-FR"/>
        </w:rPr>
        <mc:AlternateContent>
          <mc:Choice Requires="wps">
            <w:drawing>
              <wp:anchor distT="0" distB="0" distL="114300" distR="114300" simplePos="0" relativeHeight="252620800" behindDoc="0" locked="0" layoutInCell="1" allowOverlap="1" wp14:anchorId="459A5157" wp14:editId="4B003617">
                <wp:simplePos x="0" y="0"/>
                <wp:positionH relativeFrom="column">
                  <wp:posOffset>1714500</wp:posOffset>
                </wp:positionH>
                <wp:positionV relativeFrom="paragraph">
                  <wp:posOffset>1485900</wp:posOffset>
                </wp:positionV>
                <wp:extent cx="457200" cy="457200"/>
                <wp:effectExtent l="76200" t="76200" r="50800" b="76200"/>
                <wp:wrapNone/>
                <wp:docPr id="501" name="Ellipse 501"/>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45ACA56" w14:textId="23EC3992" w:rsidR="00573C95" w:rsidRPr="000F6C8D" w:rsidRDefault="00573C95" w:rsidP="000F6C8D">
                            <w:pPr>
                              <w:jc w:val="center"/>
                              <w:rPr>
                                <w:sz w:val="18"/>
                                <w:szCs w:val="18"/>
                              </w:rPr>
                            </w:pPr>
                            <w:r>
                              <w:rPr>
                                <w:sz w:val="18"/>
                                <w:szCs w:val="18"/>
                              </w:rPr>
                              <w:t>8</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501" o:spid="_x0000_s1330" style="position:absolute;margin-left:135pt;margin-top:117pt;width:36pt;height:36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" fillcolor="maroon">
                <v:textbox>
                  <w:txbxContent>
                    <w:p w14:paraId="445ACA56" w14:textId="23EC3992" w:rsidR="001501D6" w:rsidRPr="000F6C8D" w:rsidRDefault="001501D6" w:rsidP="000F6C8D">
                      <w:pPr>
                        <w:jc w:val="center"/>
                        <w:rPr>
                          <w:sz w:val="18"/>
                          <w:szCs w:val="18"/>
                        </w:rPr>
                      </w:pPr>
                      <w:r>
                        <w:rPr>
                          <w:sz w:val="18"/>
                          <w:szCs w:val="18"/>
                        </w:rPr>
                        <w:t>8</w:t>
                      </w:r>
                    </w:p>
                  </w:txbxContent>
                </v:textbox>
              </v:oval>
            </w:pict>
          </mc:Fallback>
        </mc:AlternateContent>
      </w:r>
      <w:r w:rsidR="00C90464">
        <w:rPr>
          <w:noProof/>
          <w:lang w:eastAsia="fr-FR"/>
        </w:rPr>
        <mc:AlternateContent>
          <mc:Choice Requires="wps">
            <w:drawing>
              <wp:anchor distT="0" distB="0" distL="114300" distR="114300" simplePos="0" relativeHeight="252618752" behindDoc="0" locked="0" layoutInCell="1" allowOverlap="1" wp14:anchorId="1A8837CA" wp14:editId="6320ED6F">
                <wp:simplePos x="0" y="0"/>
                <wp:positionH relativeFrom="column">
                  <wp:posOffset>6057900</wp:posOffset>
                </wp:positionH>
                <wp:positionV relativeFrom="paragraph">
                  <wp:posOffset>1028700</wp:posOffset>
                </wp:positionV>
                <wp:extent cx="457200" cy="457200"/>
                <wp:effectExtent l="76200" t="76200" r="50800" b="76200"/>
                <wp:wrapNone/>
                <wp:docPr id="500" name="Ellipse 50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86E597E" w14:textId="1B15310C" w:rsidR="00573C95" w:rsidRPr="000F6C8D" w:rsidRDefault="00573C95" w:rsidP="000F6C8D">
                            <w:pPr>
                              <w:jc w:val="center"/>
                              <w:rPr>
                                <w:sz w:val="18"/>
                                <w:szCs w:val="18"/>
                              </w:rPr>
                            </w:pPr>
                            <w:r>
                              <w:rPr>
                                <w:sz w:val="18"/>
                                <w:szCs w:val="18"/>
                              </w:rPr>
                              <w:t>9</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500" o:spid="_x0000_s1331" style="position:absolute;margin-left:477pt;margin-top:81pt;width:36pt;height:36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" fillcolor="maroon">
                <v:textbox>
                  <w:txbxContent>
                    <w:p w14:paraId="686E597E" w14:textId="1B15310C" w:rsidR="001501D6" w:rsidRPr="000F6C8D" w:rsidRDefault="001501D6" w:rsidP="000F6C8D">
                      <w:pPr>
                        <w:jc w:val="center"/>
                        <w:rPr>
                          <w:sz w:val="18"/>
                          <w:szCs w:val="18"/>
                        </w:rPr>
                      </w:pPr>
                      <w:r>
                        <w:rPr>
                          <w:sz w:val="18"/>
                          <w:szCs w:val="18"/>
                        </w:rPr>
                        <w:t>9</w:t>
                      </w:r>
                    </w:p>
                  </w:txbxContent>
                </v:textbox>
              </v:oval>
            </w:pict>
          </mc:Fallback>
        </mc:AlternateContent>
      </w:r>
      <w:r w:rsidR="00C90464">
        <w:rPr>
          <w:noProof/>
          <w:lang w:eastAsia="fr-FR"/>
        </w:rPr>
        <mc:AlternateContent>
          <mc:Choice Requires="wps">
            <w:drawing>
              <wp:anchor distT="0" distB="0" distL="114300" distR="114300" simplePos="0" relativeHeight="252616704" behindDoc="0" locked="0" layoutInCell="1" allowOverlap="1" wp14:anchorId="566D05AF" wp14:editId="7F744F90">
                <wp:simplePos x="0" y="0"/>
                <wp:positionH relativeFrom="column">
                  <wp:posOffset>5257800</wp:posOffset>
                </wp:positionH>
                <wp:positionV relativeFrom="paragraph">
                  <wp:posOffset>457200</wp:posOffset>
                </wp:positionV>
                <wp:extent cx="457200" cy="457200"/>
                <wp:effectExtent l="76200" t="76200" r="50800" b="76200"/>
                <wp:wrapNone/>
                <wp:docPr id="499" name="Ellipse 499"/>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D43E8DD" w14:textId="33D46A49" w:rsidR="00573C95" w:rsidRPr="000F6C8D" w:rsidRDefault="00573C95" w:rsidP="000F6C8D">
                            <w:pPr>
                              <w:jc w:val="center"/>
                              <w:rPr>
                                <w:sz w:val="18"/>
                                <w:szCs w:val="18"/>
                              </w:rPr>
                            </w:pPr>
                            <w:r w:rsidRPr="000F6C8D">
                              <w:rPr>
                                <w:sz w:val="18"/>
                                <w:szCs w:val="18"/>
                              </w:rPr>
                              <w:t>10</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499" o:spid="_x0000_s1332" style="position:absolute;margin-left:414pt;margin-top:36pt;width:36pt;height:36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" fillcolor="maroon">
                <v:textbox>
                  <w:txbxContent>
                    <w:p w14:paraId="4D43E8DD" w14:textId="33D46A49" w:rsidR="001501D6" w:rsidRPr="000F6C8D" w:rsidRDefault="001501D6" w:rsidP="000F6C8D">
                      <w:pPr>
                        <w:jc w:val="center"/>
                        <w:rPr>
                          <w:sz w:val="18"/>
                          <w:szCs w:val="18"/>
                        </w:rPr>
                      </w:pPr>
                      <w:r w:rsidRPr="000F6C8D">
                        <w:rPr>
                          <w:sz w:val="18"/>
                          <w:szCs w:val="18"/>
                        </w:rPr>
                        <w:t>10</w:t>
                      </w:r>
                    </w:p>
                  </w:txbxContent>
                </v:textbox>
              </v:oval>
            </w:pict>
          </mc:Fallback>
        </mc:AlternateContent>
      </w:r>
      <w:r w:rsidR="00BA33C4">
        <w:rPr>
          <w:color w:val="000000" w:themeColor="text1"/>
          <w:u w:val="single"/>
        </w:rPr>
        <w:t xml:space="preserve">MISE EN GARDE - </w:t>
      </w:r>
      <w:r w:rsidR="00507CFF">
        <w:rPr>
          <w:color w:val="000000" w:themeColor="text1"/>
          <w:u w:val="single"/>
        </w:rPr>
        <w:t>LISTE DES 10 CHOSES</w:t>
      </w:r>
      <w:r w:rsidR="00BA33C4">
        <w:rPr>
          <w:color w:val="000000" w:themeColor="text1"/>
          <w:u w:val="single"/>
        </w:rPr>
        <w:t xml:space="preserve"> QUI POURRAIENT MAL TOURN</w:t>
      </w:r>
      <w:r w:rsidR="009A5C68">
        <w:rPr>
          <w:color w:val="000000" w:themeColor="text1"/>
          <w:u w:val="single"/>
        </w:rPr>
        <w:t>ER</w:t>
      </w:r>
      <w:r w:rsidR="00BA33C4">
        <w:rPr>
          <w:color w:val="000000" w:themeColor="text1"/>
          <w:u w:val="single"/>
        </w:rPr>
        <w:t xml:space="preserve"> ET RENDRE CETTE STRATÉGIE CAUCHERMARDESQUE</w:t>
      </w:r>
    </w:p>
    <w:tbl>
      <w:tblPr>
        <w:tblStyle w:val="Grille"/>
        <w:tblpPr w:leftFromText="141" w:rightFromText="141" w:vertAnchor="text" w:horzAnchor="page" w:tblpX="432" w:tblpY="133"/>
        <w:tblW w:w="154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12"/>
      </w:tblGrid>
      <w:tr w:rsidR="000F6C8D" w14:paraId="6CAA42FA" w14:textId="77777777" w:rsidTr="00C90464">
        <w:tc>
          <w:tcPr>
            <w:tcW w:w="15412" w:type="dxa"/>
          </w:tcPr>
          <w:p w14:paraId="4C4776ED" w14:textId="77777777" w:rsidR="000F6C8D" w:rsidRDefault="000F6C8D" w:rsidP="00C90464">
            <w:pPr>
              <w:rPr>
                <w:color w:val="000000" w:themeColor="text1"/>
                <w:u w:val="single"/>
              </w:rPr>
            </w:pPr>
          </w:p>
        </w:tc>
      </w:tr>
      <w:tr w:rsidR="000F6C8D" w14:paraId="3A7BE252" w14:textId="77777777" w:rsidTr="00C90464">
        <w:tc>
          <w:tcPr>
            <w:tcW w:w="15412" w:type="dxa"/>
            <w:shd w:val="clear" w:color="auto" w:fill="E5F600"/>
          </w:tcPr>
          <w:p w14:paraId="5AD86BB4" w14:textId="77777777" w:rsidR="000F6C8D" w:rsidRDefault="000F6C8D" w:rsidP="00C90464">
            <w:pPr>
              <w:rPr>
                <w:color w:val="000000" w:themeColor="text1"/>
                <w:sz w:val="22"/>
                <w:szCs w:val="22"/>
              </w:rPr>
            </w:pPr>
            <w:r w:rsidRPr="000F6C8D">
              <w:rPr>
                <w:color w:val="000000" w:themeColor="text1"/>
                <w:sz w:val="22"/>
                <w:szCs w:val="22"/>
              </w:rPr>
              <w:t>Vous n'avez pas tenu compte des différents frais financiers relatifs à cette transaction</w:t>
            </w:r>
          </w:p>
          <w:p w14:paraId="3BA8AE09" w14:textId="77777777" w:rsidR="000F6C8D" w:rsidRDefault="000F6C8D" w:rsidP="00C90464">
            <w:pPr>
              <w:rPr>
                <w:color w:val="000000" w:themeColor="text1"/>
                <w:sz w:val="22"/>
                <w:szCs w:val="22"/>
              </w:rPr>
            </w:pPr>
          </w:p>
          <w:p w14:paraId="51295A59" w14:textId="77777777" w:rsidR="000F6C8D" w:rsidRPr="000F6C8D" w:rsidRDefault="000F6C8D" w:rsidP="00C90464">
            <w:pPr>
              <w:rPr>
                <w:color w:val="000000" w:themeColor="text1"/>
                <w:sz w:val="22"/>
                <w:szCs w:val="22"/>
              </w:rPr>
            </w:pPr>
          </w:p>
        </w:tc>
      </w:tr>
      <w:tr w:rsidR="000F6C8D" w14:paraId="4039575C" w14:textId="77777777" w:rsidTr="00C90464">
        <w:tc>
          <w:tcPr>
            <w:tcW w:w="15412" w:type="dxa"/>
            <w:shd w:val="clear" w:color="auto" w:fill="E5F600"/>
          </w:tcPr>
          <w:p w14:paraId="3DA64366" w14:textId="77777777" w:rsidR="000F6C8D" w:rsidRDefault="000F6C8D" w:rsidP="00C90464">
            <w:pPr>
              <w:rPr>
                <w:color w:val="000000" w:themeColor="text1"/>
                <w:sz w:val="22"/>
                <w:szCs w:val="22"/>
              </w:rPr>
            </w:pPr>
            <w:r w:rsidRPr="000F6C8D">
              <w:rPr>
                <w:color w:val="000000" w:themeColor="text1"/>
                <w:sz w:val="22"/>
                <w:szCs w:val="22"/>
              </w:rPr>
              <w:t>Vous devez équilibrer votre portefeuille et déclenchez l'imposition précipitée de gains en capital</w:t>
            </w:r>
          </w:p>
          <w:p w14:paraId="2E747134" w14:textId="77777777" w:rsidR="000F6C8D" w:rsidRDefault="000F6C8D" w:rsidP="00C90464">
            <w:pPr>
              <w:rPr>
                <w:color w:val="000000" w:themeColor="text1"/>
                <w:sz w:val="22"/>
                <w:szCs w:val="22"/>
              </w:rPr>
            </w:pPr>
          </w:p>
          <w:p w14:paraId="4427A6DD" w14:textId="77777777" w:rsidR="000F6C8D" w:rsidRPr="000F6C8D" w:rsidRDefault="000F6C8D" w:rsidP="00C90464">
            <w:pPr>
              <w:rPr>
                <w:color w:val="000000" w:themeColor="text1"/>
                <w:sz w:val="22"/>
                <w:szCs w:val="22"/>
              </w:rPr>
            </w:pPr>
          </w:p>
        </w:tc>
      </w:tr>
      <w:tr w:rsidR="000F6C8D" w14:paraId="62D1CD90" w14:textId="77777777" w:rsidTr="00C90464">
        <w:tc>
          <w:tcPr>
            <w:tcW w:w="15412" w:type="dxa"/>
            <w:shd w:val="clear" w:color="auto" w:fill="E5F600"/>
          </w:tcPr>
          <w:p w14:paraId="72D92D8D" w14:textId="77777777" w:rsidR="000F6C8D" w:rsidRDefault="000F6C8D" w:rsidP="00C90464">
            <w:pPr>
              <w:rPr>
                <w:color w:val="000000" w:themeColor="text1"/>
                <w:sz w:val="22"/>
                <w:szCs w:val="22"/>
              </w:rPr>
            </w:pPr>
            <w:r w:rsidRPr="000F6C8D">
              <w:rPr>
                <w:color w:val="000000" w:themeColor="text1"/>
                <w:sz w:val="22"/>
                <w:szCs w:val="22"/>
              </w:rPr>
              <w:t>Les taux d'emprunt augmentent</w:t>
            </w:r>
          </w:p>
          <w:p w14:paraId="10B55EDB" w14:textId="77777777" w:rsidR="000F6C8D" w:rsidRDefault="000F6C8D" w:rsidP="00C90464">
            <w:pPr>
              <w:rPr>
                <w:color w:val="000000" w:themeColor="text1"/>
                <w:sz w:val="22"/>
                <w:szCs w:val="22"/>
              </w:rPr>
            </w:pPr>
          </w:p>
          <w:p w14:paraId="1904A8F0" w14:textId="77777777" w:rsidR="000F6C8D" w:rsidRPr="000F6C8D" w:rsidRDefault="000F6C8D" w:rsidP="00C90464">
            <w:pPr>
              <w:rPr>
                <w:color w:val="000000" w:themeColor="text1"/>
                <w:sz w:val="22"/>
                <w:szCs w:val="22"/>
              </w:rPr>
            </w:pPr>
          </w:p>
        </w:tc>
      </w:tr>
      <w:tr w:rsidR="000F6C8D" w14:paraId="123796F6" w14:textId="77777777" w:rsidTr="00C90464">
        <w:tc>
          <w:tcPr>
            <w:tcW w:w="15412" w:type="dxa"/>
            <w:shd w:val="clear" w:color="auto" w:fill="E5F600"/>
          </w:tcPr>
          <w:p w14:paraId="25C7E701" w14:textId="4A63572B" w:rsidR="000F6C8D" w:rsidRDefault="000F6C8D" w:rsidP="00C90464">
            <w:pPr>
              <w:rPr>
                <w:color w:val="000000" w:themeColor="text1"/>
                <w:sz w:val="22"/>
                <w:szCs w:val="22"/>
              </w:rPr>
            </w:pPr>
            <w:r w:rsidRPr="000F6C8D">
              <w:rPr>
                <w:color w:val="000000" w:themeColor="text1"/>
                <w:sz w:val="22"/>
                <w:szCs w:val="22"/>
              </w:rPr>
              <w:t>Le fisc refuse votre déduction des dépenses d'intérêts</w:t>
            </w:r>
            <w:r w:rsidR="005B3FB5">
              <w:rPr>
                <w:color w:val="000000" w:themeColor="text1"/>
                <w:sz w:val="22"/>
                <w:szCs w:val="22"/>
              </w:rPr>
              <w:t xml:space="preserve"> (au Québec</w:t>
            </w:r>
            <w:r w:rsidR="00F95107">
              <w:rPr>
                <w:color w:val="000000" w:themeColor="text1"/>
                <w:sz w:val="22"/>
                <w:szCs w:val="22"/>
              </w:rPr>
              <w:t xml:space="preserve">, </w:t>
            </w:r>
            <w:r w:rsidR="005B3FB5">
              <w:rPr>
                <w:color w:val="000000" w:themeColor="text1"/>
                <w:sz w:val="22"/>
                <w:szCs w:val="22"/>
              </w:rPr>
              <w:t xml:space="preserve"> la déductibilité des intérêts est limitée aux revenus de </w:t>
            </w:r>
            <w:r w:rsidR="00053E3D">
              <w:rPr>
                <w:color w:val="000000" w:themeColor="text1"/>
                <w:sz w:val="22"/>
                <w:szCs w:val="22"/>
              </w:rPr>
              <w:t>placements</w:t>
            </w:r>
            <w:r w:rsidR="005B3FB5">
              <w:rPr>
                <w:color w:val="000000" w:themeColor="text1"/>
                <w:sz w:val="22"/>
                <w:szCs w:val="22"/>
              </w:rPr>
              <w:t>)</w:t>
            </w:r>
          </w:p>
          <w:p w14:paraId="00F5D51A" w14:textId="77777777" w:rsidR="000F6C8D" w:rsidRDefault="000F6C8D" w:rsidP="00C90464">
            <w:pPr>
              <w:rPr>
                <w:color w:val="000000" w:themeColor="text1"/>
                <w:sz w:val="22"/>
                <w:szCs w:val="22"/>
              </w:rPr>
            </w:pPr>
          </w:p>
          <w:p w14:paraId="71FD01B6" w14:textId="77777777" w:rsidR="000F6C8D" w:rsidRPr="000F6C8D" w:rsidRDefault="000F6C8D" w:rsidP="00C90464">
            <w:pPr>
              <w:rPr>
                <w:color w:val="000000" w:themeColor="text1"/>
                <w:sz w:val="22"/>
                <w:szCs w:val="22"/>
              </w:rPr>
            </w:pPr>
          </w:p>
        </w:tc>
      </w:tr>
      <w:tr w:rsidR="000F6C8D" w14:paraId="5BF9D1BA" w14:textId="77777777" w:rsidTr="00C90464">
        <w:tc>
          <w:tcPr>
            <w:tcW w:w="15412" w:type="dxa"/>
            <w:shd w:val="clear" w:color="auto" w:fill="E5F600"/>
          </w:tcPr>
          <w:p w14:paraId="79A71356" w14:textId="6FAA894F" w:rsidR="000F6C8D" w:rsidRDefault="000F6C8D" w:rsidP="00C90464">
            <w:pPr>
              <w:rPr>
                <w:color w:val="000000" w:themeColor="text1"/>
                <w:sz w:val="22"/>
                <w:szCs w:val="22"/>
              </w:rPr>
            </w:pPr>
            <w:r w:rsidRPr="000F6C8D">
              <w:rPr>
                <w:color w:val="000000" w:themeColor="text1"/>
                <w:sz w:val="22"/>
                <w:szCs w:val="22"/>
              </w:rPr>
              <w:t>Les marchés croulent et vous prenez panique et vendez vos titres pour des titres à revenu fixe</w:t>
            </w:r>
          </w:p>
          <w:p w14:paraId="199DBE62" w14:textId="77777777" w:rsidR="000F6C8D" w:rsidRDefault="000F6C8D" w:rsidP="00C90464">
            <w:pPr>
              <w:rPr>
                <w:color w:val="000000" w:themeColor="text1"/>
                <w:sz w:val="22"/>
                <w:szCs w:val="22"/>
              </w:rPr>
            </w:pPr>
          </w:p>
          <w:p w14:paraId="539D7E0E" w14:textId="77777777" w:rsidR="000F6C8D" w:rsidRPr="000F6C8D" w:rsidRDefault="000F6C8D" w:rsidP="00C90464">
            <w:pPr>
              <w:rPr>
                <w:color w:val="000000" w:themeColor="text1"/>
                <w:sz w:val="22"/>
                <w:szCs w:val="22"/>
              </w:rPr>
            </w:pPr>
          </w:p>
        </w:tc>
      </w:tr>
      <w:tr w:rsidR="000F6C8D" w14:paraId="0EB21A54" w14:textId="77777777" w:rsidTr="00C90464">
        <w:tc>
          <w:tcPr>
            <w:tcW w:w="15412" w:type="dxa"/>
            <w:shd w:val="clear" w:color="auto" w:fill="E5F600"/>
          </w:tcPr>
          <w:p w14:paraId="19EFA2F7" w14:textId="77777777" w:rsidR="000F6C8D" w:rsidRDefault="000F6C8D" w:rsidP="00C90464">
            <w:pPr>
              <w:rPr>
                <w:color w:val="000000" w:themeColor="text1"/>
                <w:sz w:val="22"/>
                <w:szCs w:val="22"/>
              </w:rPr>
            </w:pPr>
            <w:r w:rsidRPr="000F6C8D">
              <w:rPr>
                <w:color w:val="000000" w:themeColor="text1"/>
                <w:sz w:val="22"/>
                <w:szCs w:val="22"/>
              </w:rPr>
              <w:t>Vos rendements ne sont pas à la hauteur de vos hypothèses de départ</w:t>
            </w:r>
          </w:p>
          <w:p w14:paraId="194BA1C5" w14:textId="77777777" w:rsidR="000F6C8D" w:rsidRDefault="000F6C8D" w:rsidP="00C90464">
            <w:pPr>
              <w:rPr>
                <w:color w:val="000000" w:themeColor="text1"/>
                <w:sz w:val="22"/>
                <w:szCs w:val="22"/>
              </w:rPr>
            </w:pPr>
          </w:p>
          <w:p w14:paraId="0589B359" w14:textId="77777777" w:rsidR="000F6C8D" w:rsidRPr="000F6C8D" w:rsidRDefault="000F6C8D" w:rsidP="00C90464">
            <w:pPr>
              <w:rPr>
                <w:color w:val="000000" w:themeColor="text1"/>
                <w:sz w:val="22"/>
                <w:szCs w:val="22"/>
              </w:rPr>
            </w:pPr>
          </w:p>
        </w:tc>
      </w:tr>
      <w:tr w:rsidR="000F6C8D" w14:paraId="77A2288E" w14:textId="77777777" w:rsidTr="00C90464">
        <w:tc>
          <w:tcPr>
            <w:tcW w:w="15412" w:type="dxa"/>
            <w:shd w:val="clear" w:color="auto" w:fill="E5F600"/>
          </w:tcPr>
          <w:p w14:paraId="61A8B672" w14:textId="0F94B514" w:rsidR="000F6C8D" w:rsidRDefault="000F6C8D" w:rsidP="00C90464">
            <w:pPr>
              <w:rPr>
                <w:color w:val="000000" w:themeColor="text1"/>
                <w:sz w:val="22"/>
                <w:szCs w:val="22"/>
              </w:rPr>
            </w:pPr>
            <w:r w:rsidRPr="000F6C8D">
              <w:rPr>
                <w:color w:val="000000" w:themeColor="text1"/>
                <w:sz w:val="22"/>
                <w:szCs w:val="22"/>
              </w:rPr>
              <w:t>Vous avez des obligations financières imprévues et vous devez mettre un terme à cette stratégie</w:t>
            </w:r>
            <w:r w:rsidR="009A5C68">
              <w:rPr>
                <w:color w:val="000000" w:themeColor="text1"/>
                <w:sz w:val="22"/>
                <w:szCs w:val="22"/>
              </w:rPr>
              <w:t xml:space="preserve"> </w:t>
            </w:r>
            <w:r w:rsidRPr="000F6C8D">
              <w:rPr>
                <w:color w:val="000000" w:themeColor="text1"/>
                <w:sz w:val="22"/>
                <w:szCs w:val="22"/>
              </w:rPr>
              <w:t>prématurément</w:t>
            </w:r>
          </w:p>
          <w:p w14:paraId="206C1A85" w14:textId="77777777" w:rsidR="000F6C8D" w:rsidRDefault="000F6C8D" w:rsidP="00C90464">
            <w:pPr>
              <w:rPr>
                <w:color w:val="000000" w:themeColor="text1"/>
                <w:sz w:val="22"/>
                <w:szCs w:val="22"/>
              </w:rPr>
            </w:pPr>
          </w:p>
          <w:p w14:paraId="6E421164" w14:textId="77777777" w:rsidR="000F6C8D" w:rsidRPr="000F6C8D" w:rsidRDefault="000F6C8D" w:rsidP="00C90464">
            <w:pPr>
              <w:rPr>
                <w:color w:val="000000" w:themeColor="text1"/>
                <w:sz w:val="22"/>
                <w:szCs w:val="22"/>
                <w:u w:val="single"/>
              </w:rPr>
            </w:pPr>
          </w:p>
        </w:tc>
      </w:tr>
      <w:tr w:rsidR="000F6C8D" w14:paraId="5E22093A" w14:textId="77777777" w:rsidTr="00C90464">
        <w:tc>
          <w:tcPr>
            <w:tcW w:w="15412" w:type="dxa"/>
            <w:shd w:val="clear" w:color="auto" w:fill="E5F600"/>
          </w:tcPr>
          <w:p w14:paraId="22FAB9E9" w14:textId="77777777" w:rsidR="000F6C8D" w:rsidRDefault="000F6C8D" w:rsidP="00C90464">
            <w:pPr>
              <w:rPr>
                <w:color w:val="000000" w:themeColor="text1"/>
                <w:sz w:val="22"/>
                <w:szCs w:val="22"/>
              </w:rPr>
            </w:pPr>
            <w:r w:rsidRPr="000F6C8D">
              <w:rPr>
                <w:color w:val="000000" w:themeColor="text1"/>
                <w:sz w:val="22"/>
                <w:szCs w:val="22"/>
              </w:rPr>
              <w:t>Le fisc ajoute une nouvelle règle anti-évitement interdisant ce type de transactions avec effet rétroactif</w:t>
            </w:r>
          </w:p>
          <w:p w14:paraId="07BAEFE6" w14:textId="77777777" w:rsidR="000F6C8D" w:rsidRDefault="000F6C8D" w:rsidP="00C90464">
            <w:pPr>
              <w:rPr>
                <w:color w:val="000000" w:themeColor="text1"/>
                <w:sz w:val="22"/>
                <w:szCs w:val="22"/>
              </w:rPr>
            </w:pPr>
          </w:p>
          <w:p w14:paraId="2991EC46" w14:textId="77777777" w:rsidR="000F6C8D" w:rsidRPr="000F6C8D" w:rsidRDefault="000F6C8D" w:rsidP="00C90464">
            <w:pPr>
              <w:rPr>
                <w:color w:val="000000" w:themeColor="text1"/>
                <w:sz w:val="22"/>
                <w:szCs w:val="22"/>
              </w:rPr>
            </w:pPr>
          </w:p>
        </w:tc>
      </w:tr>
      <w:tr w:rsidR="000F6C8D" w14:paraId="3AD61196" w14:textId="77777777" w:rsidTr="00C90464">
        <w:tc>
          <w:tcPr>
            <w:tcW w:w="15412" w:type="dxa"/>
            <w:shd w:val="clear" w:color="auto" w:fill="E5F600"/>
          </w:tcPr>
          <w:p w14:paraId="5AC8E111" w14:textId="77777777" w:rsidR="000F6C8D" w:rsidRDefault="000F6C8D" w:rsidP="00C90464">
            <w:pPr>
              <w:rPr>
                <w:color w:val="000000" w:themeColor="text1"/>
                <w:sz w:val="22"/>
                <w:szCs w:val="22"/>
              </w:rPr>
            </w:pPr>
            <w:r w:rsidRPr="000F6C8D">
              <w:rPr>
                <w:color w:val="000000" w:themeColor="text1"/>
                <w:sz w:val="22"/>
                <w:szCs w:val="22"/>
              </w:rPr>
              <w:t>Une nouvelle jurisprudence invalide ce type de transaction et le fisc émet de nouvelles cotisations à tous ceux qui en ont fait usage</w:t>
            </w:r>
          </w:p>
          <w:p w14:paraId="676F31B3" w14:textId="77777777" w:rsidR="000F6C8D" w:rsidRDefault="000F6C8D" w:rsidP="00C90464">
            <w:pPr>
              <w:rPr>
                <w:color w:val="000000" w:themeColor="text1"/>
                <w:sz w:val="22"/>
                <w:szCs w:val="22"/>
              </w:rPr>
            </w:pPr>
          </w:p>
          <w:p w14:paraId="2FD288C7" w14:textId="77777777" w:rsidR="000F6C8D" w:rsidRPr="000F6C8D" w:rsidRDefault="000F6C8D" w:rsidP="00C90464">
            <w:pPr>
              <w:rPr>
                <w:color w:val="000000" w:themeColor="text1"/>
                <w:sz w:val="22"/>
                <w:szCs w:val="22"/>
              </w:rPr>
            </w:pPr>
          </w:p>
        </w:tc>
      </w:tr>
      <w:tr w:rsidR="000F6C8D" w14:paraId="2F17D1E9" w14:textId="77777777" w:rsidTr="00C90464">
        <w:tc>
          <w:tcPr>
            <w:tcW w:w="15412" w:type="dxa"/>
            <w:shd w:val="clear" w:color="auto" w:fill="E5F600"/>
          </w:tcPr>
          <w:p w14:paraId="416D726C" w14:textId="77777777" w:rsidR="000F6C8D" w:rsidRDefault="000F6C8D" w:rsidP="00C90464">
            <w:pPr>
              <w:rPr>
                <w:color w:val="000000" w:themeColor="text1"/>
                <w:sz w:val="22"/>
                <w:szCs w:val="22"/>
              </w:rPr>
            </w:pPr>
            <w:r w:rsidRPr="000F6C8D">
              <w:rPr>
                <w:color w:val="000000" w:themeColor="text1"/>
                <w:sz w:val="22"/>
                <w:szCs w:val="22"/>
              </w:rPr>
              <w:t>Le gouvernement pourrait modifier la règle d'inclusion du gain en capital de 50 % à 100 %</w:t>
            </w:r>
          </w:p>
          <w:p w14:paraId="1ECB654A" w14:textId="77777777" w:rsidR="000F6C8D" w:rsidRDefault="000F6C8D" w:rsidP="00C90464">
            <w:pPr>
              <w:rPr>
                <w:color w:val="000000" w:themeColor="text1"/>
                <w:sz w:val="22"/>
                <w:szCs w:val="22"/>
              </w:rPr>
            </w:pPr>
          </w:p>
          <w:p w14:paraId="7BF9895E" w14:textId="77777777" w:rsidR="000F6C8D" w:rsidRPr="000F6C8D" w:rsidRDefault="000F6C8D" w:rsidP="00C90464">
            <w:pPr>
              <w:rPr>
                <w:color w:val="000000" w:themeColor="text1"/>
                <w:sz w:val="22"/>
                <w:szCs w:val="22"/>
              </w:rPr>
            </w:pPr>
          </w:p>
        </w:tc>
      </w:tr>
    </w:tbl>
    <w:p w14:paraId="7C65AEE9" w14:textId="5E342B96" w:rsidR="004A55E4" w:rsidRDefault="00C90464">
      <w:pPr>
        <w:rPr>
          <w:color w:val="000000" w:themeColor="text1"/>
          <w:u w:val="single"/>
        </w:rPr>
      </w:pPr>
      <w:r>
        <w:rPr>
          <w:noProof/>
          <w:lang w:eastAsia="fr-FR"/>
        </w:rPr>
        <mc:AlternateContent>
          <mc:Choice Requires="wps">
            <w:drawing>
              <wp:anchor distT="0" distB="0" distL="114300" distR="114300" simplePos="0" relativeHeight="252635136" behindDoc="0" locked="0" layoutInCell="1" allowOverlap="1" wp14:anchorId="53450363" wp14:editId="1D0F40DA">
                <wp:simplePos x="0" y="0"/>
                <wp:positionH relativeFrom="column">
                  <wp:posOffset>5486400</wp:posOffset>
                </wp:positionH>
                <wp:positionV relativeFrom="paragraph">
                  <wp:posOffset>4769485</wp:posOffset>
                </wp:positionV>
                <wp:extent cx="457200" cy="457200"/>
                <wp:effectExtent l="76200" t="76200" r="50800" b="76200"/>
                <wp:wrapNone/>
                <wp:docPr id="508" name="Ellipse 508"/>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A295471" w14:textId="0C64206A" w:rsidR="00573C95" w:rsidRPr="000F6C8D" w:rsidRDefault="00573C95" w:rsidP="00C90464">
                            <w:pPr>
                              <w:jc w:val="center"/>
                              <w:rPr>
                                <w:sz w:val="18"/>
                                <w:szCs w:val="18"/>
                              </w:rPr>
                            </w:pPr>
                            <w:r>
                              <w:rPr>
                                <w:sz w:val="18"/>
                                <w:szCs w:val="18"/>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508" o:spid="_x0000_s1333" style="position:absolute;margin-left:6in;margin-top:375.55pt;width:36pt;height:36pt;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" fillcolor="maroon">
                <v:textbox>
                  <w:txbxContent>
                    <w:p w14:paraId="3A295471" w14:textId="0C64206A" w:rsidR="001501D6" w:rsidRPr="000F6C8D" w:rsidRDefault="001501D6" w:rsidP="00C90464">
                      <w:pPr>
                        <w:jc w:val="center"/>
                        <w:rPr>
                          <w:sz w:val="18"/>
                          <w:szCs w:val="18"/>
                        </w:rPr>
                      </w:pPr>
                      <w:r>
                        <w:rPr>
                          <w:sz w:val="18"/>
                          <w:szCs w:val="18"/>
                        </w:rPr>
                        <w:t>1</w:t>
                      </w:r>
                    </w:p>
                  </w:txbxContent>
                </v:textbox>
              </v:oval>
            </w:pict>
          </mc:Fallback>
        </mc:AlternateContent>
      </w:r>
      <w:r>
        <w:rPr>
          <w:noProof/>
          <w:lang w:eastAsia="fr-FR"/>
        </w:rPr>
        <mc:AlternateContent>
          <mc:Choice Requires="wps">
            <w:drawing>
              <wp:anchor distT="0" distB="0" distL="114300" distR="114300" simplePos="0" relativeHeight="252633088" behindDoc="0" locked="0" layoutInCell="1" allowOverlap="1" wp14:anchorId="28C8E147" wp14:editId="66D3211E">
                <wp:simplePos x="0" y="0"/>
                <wp:positionH relativeFrom="column">
                  <wp:posOffset>8343900</wp:posOffset>
                </wp:positionH>
                <wp:positionV relativeFrom="paragraph">
                  <wp:posOffset>4197985</wp:posOffset>
                </wp:positionV>
                <wp:extent cx="457200" cy="457200"/>
                <wp:effectExtent l="76200" t="76200" r="50800" b="76200"/>
                <wp:wrapNone/>
                <wp:docPr id="507" name="Ellipse 507"/>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B635328" w14:textId="3E855B60" w:rsidR="00573C95" w:rsidRPr="000F6C8D" w:rsidRDefault="00573C95" w:rsidP="00C90464">
                            <w:pPr>
                              <w:jc w:val="center"/>
                              <w:rPr>
                                <w:sz w:val="18"/>
                                <w:szCs w:val="18"/>
                              </w:rPr>
                            </w:pPr>
                            <w:r>
                              <w:rPr>
                                <w:sz w:val="18"/>
                                <w:szCs w:val="18"/>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507" o:spid="_x0000_s1334" style="position:absolute;margin-left:657pt;margin-top:330.55pt;width:36pt;height:36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" fillcolor="maroon">
                <v:textbox>
                  <w:txbxContent>
                    <w:p w14:paraId="2B635328" w14:textId="3E855B60" w:rsidR="001501D6" w:rsidRPr="000F6C8D" w:rsidRDefault="001501D6" w:rsidP="00C90464">
                      <w:pPr>
                        <w:jc w:val="center"/>
                        <w:rPr>
                          <w:sz w:val="18"/>
                          <w:szCs w:val="18"/>
                        </w:rPr>
                      </w:pPr>
                      <w:r>
                        <w:rPr>
                          <w:sz w:val="18"/>
                          <w:szCs w:val="18"/>
                        </w:rPr>
                        <w:t>2</w:t>
                      </w:r>
                    </w:p>
                  </w:txbxContent>
                </v:textbox>
              </v:oval>
            </w:pict>
          </mc:Fallback>
        </mc:AlternateContent>
      </w:r>
      <w:r>
        <w:rPr>
          <w:noProof/>
          <w:lang w:eastAsia="fr-FR"/>
        </w:rPr>
        <mc:AlternateContent>
          <mc:Choice Requires="wps">
            <w:drawing>
              <wp:anchor distT="0" distB="0" distL="114300" distR="114300" simplePos="0" relativeHeight="252631040" behindDoc="0" locked="0" layoutInCell="1" allowOverlap="1" wp14:anchorId="35DFC826" wp14:editId="52325799">
                <wp:simplePos x="0" y="0"/>
                <wp:positionH relativeFrom="column">
                  <wp:posOffset>6515100</wp:posOffset>
                </wp:positionH>
                <wp:positionV relativeFrom="paragraph">
                  <wp:posOffset>3740785</wp:posOffset>
                </wp:positionV>
                <wp:extent cx="457200" cy="457200"/>
                <wp:effectExtent l="76200" t="76200" r="50800" b="76200"/>
                <wp:wrapNone/>
                <wp:docPr id="506" name="Ellipse 50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1449302" w14:textId="672A8F94" w:rsidR="00573C95" w:rsidRPr="000F6C8D" w:rsidRDefault="00573C95" w:rsidP="00C90464">
                            <w:pPr>
                              <w:jc w:val="center"/>
                              <w:rPr>
                                <w:sz w:val="18"/>
                                <w:szCs w:val="18"/>
                              </w:rPr>
                            </w:pPr>
                            <w:r>
                              <w:rPr>
                                <w:sz w:val="18"/>
                                <w:szCs w:val="18"/>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506" o:spid="_x0000_s1335" style="position:absolute;margin-left:513pt;margin-top:294.55pt;width:36pt;height:36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" fillcolor="maroon">
                <v:textbox>
                  <w:txbxContent>
                    <w:p w14:paraId="71449302" w14:textId="672A8F94" w:rsidR="001501D6" w:rsidRPr="000F6C8D" w:rsidRDefault="001501D6" w:rsidP="00C90464">
                      <w:pPr>
                        <w:jc w:val="center"/>
                        <w:rPr>
                          <w:sz w:val="18"/>
                          <w:szCs w:val="18"/>
                        </w:rPr>
                      </w:pPr>
                      <w:r>
                        <w:rPr>
                          <w:sz w:val="18"/>
                          <w:szCs w:val="18"/>
                        </w:rPr>
                        <w:t>3</w:t>
                      </w:r>
                    </w:p>
                  </w:txbxContent>
                </v:textbox>
              </v:oval>
            </w:pict>
          </mc:Fallback>
        </mc:AlternateContent>
      </w:r>
      <w:r>
        <w:rPr>
          <w:noProof/>
          <w:lang w:eastAsia="fr-FR"/>
        </w:rPr>
        <mc:AlternateContent>
          <mc:Choice Requires="wps">
            <w:drawing>
              <wp:anchor distT="0" distB="0" distL="114300" distR="114300" simplePos="0" relativeHeight="252628992" behindDoc="0" locked="0" layoutInCell="1" allowOverlap="1" wp14:anchorId="7275B378" wp14:editId="3EC2D5BA">
                <wp:simplePos x="0" y="0"/>
                <wp:positionH relativeFrom="column">
                  <wp:posOffset>7086600</wp:posOffset>
                </wp:positionH>
                <wp:positionV relativeFrom="paragraph">
                  <wp:posOffset>3169285</wp:posOffset>
                </wp:positionV>
                <wp:extent cx="457200" cy="457200"/>
                <wp:effectExtent l="76200" t="76200" r="50800" b="76200"/>
                <wp:wrapNone/>
                <wp:docPr id="505" name="Ellipse 50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90AAD1F" w14:textId="0EB1B325" w:rsidR="00573C95" w:rsidRPr="000F6C8D" w:rsidRDefault="00573C95" w:rsidP="00C90464">
                            <w:pPr>
                              <w:jc w:val="center"/>
                              <w:rPr>
                                <w:sz w:val="18"/>
                                <w:szCs w:val="18"/>
                              </w:rPr>
                            </w:pPr>
                            <w:r>
                              <w:rPr>
                                <w:sz w:val="18"/>
                                <w:szCs w:val="18"/>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505" o:spid="_x0000_s1336" style="position:absolute;margin-left:558pt;margin-top:249.55pt;width:36pt;height:36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" fillcolor="maroon">
                <v:textbox>
                  <w:txbxContent>
                    <w:p w14:paraId="490AAD1F" w14:textId="0EB1B325" w:rsidR="001501D6" w:rsidRPr="000F6C8D" w:rsidRDefault="001501D6" w:rsidP="00C90464">
                      <w:pPr>
                        <w:jc w:val="center"/>
                        <w:rPr>
                          <w:sz w:val="18"/>
                          <w:szCs w:val="18"/>
                        </w:rPr>
                      </w:pPr>
                      <w:r>
                        <w:rPr>
                          <w:sz w:val="18"/>
                          <w:szCs w:val="18"/>
                        </w:rPr>
                        <w:t>4</w:t>
                      </w:r>
                    </w:p>
                  </w:txbxContent>
                </v:textbox>
              </v:oval>
            </w:pict>
          </mc:Fallback>
        </mc:AlternateContent>
      </w:r>
    </w:p>
    <w:p w14:paraId="4DA02C8F" w14:textId="75EFED07" w:rsidR="000E6134" w:rsidRDefault="00B720E3" w:rsidP="000E6134">
      <w:pPr>
        <w:rPr>
          <w:color w:val="000000" w:themeColor="text1"/>
          <w:u w:val="single"/>
        </w:rPr>
      </w:pPr>
      <w:r>
        <w:rPr>
          <w:noProof/>
          <w:lang w:eastAsia="fr-FR"/>
        </w:rPr>
        <w:lastRenderedPageBreak/>
        <mc:AlternateContent>
          <mc:Choice Requires="wps">
            <w:drawing>
              <wp:anchor distT="0" distB="0" distL="114300" distR="114300" simplePos="0" relativeHeight="252579840" behindDoc="0" locked="0" layoutInCell="1" allowOverlap="1" wp14:anchorId="6F85035E" wp14:editId="0BA9BA5E">
                <wp:simplePos x="0" y="0"/>
                <wp:positionH relativeFrom="column">
                  <wp:posOffset>4343400</wp:posOffset>
                </wp:positionH>
                <wp:positionV relativeFrom="paragraph">
                  <wp:posOffset>-571500</wp:posOffset>
                </wp:positionV>
                <wp:extent cx="800100" cy="800100"/>
                <wp:effectExtent l="25400" t="25400" r="38100" b="38100"/>
                <wp:wrapNone/>
                <wp:docPr id="479" name="Ellipse 479"/>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049ABA6B" w14:textId="06B5A6F3" w:rsidR="00573C95" w:rsidRPr="004F4085" w:rsidRDefault="00573C95" w:rsidP="008A460A">
                            <w:pPr>
                              <w:jc w:val="center"/>
                            </w:pPr>
                            <w:r>
                              <w:t>&lt; 60</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79" o:spid="_x0000_s1337" style="position:absolute;margin-left:342pt;margin-top:-44.95pt;width:63pt;height:63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" fillcolor="#70ffca" strokecolor="black [3213]" strokeweight="3pt">
                <v:textbox>
                  <w:txbxContent>
                    <w:p w14:paraId="049ABA6B" w14:textId="06B5A6F3" w:rsidR="001501D6" w:rsidRPr="004F4085" w:rsidRDefault="001501D6" w:rsidP="008A460A">
                      <w:pPr>
                        <w:jc w:val="center"/>
                      </w:pPr>
                      <w:r>
                        <w:t>&lt; 60</w:t>
                      </w:r>
                      <w:r w:rsidRPr="004F4085">
                        <w:t xml:space="preserve"> </w:t>
                      </w:r>
                    </w:p>
                  </w:txbxContent>
                </v:textbox>
              </v:oval>
            </w:pict>
          </mc:Fallback>
        </mc:AlternateContent>
      </w:r>
      <w:r w:rsidR="000E6134">
        <w:rPr>
          <w:color w:val="000000" w:themeColor="text1"/>
        </w:rPr>
        <w:t xml:space="preserve">Situation 5 - </w:t>
      </w:r>
      <w:r w:rsidR="000E6134">
        <w:rPr>
          <w:color w:val="000000" w:themeColor="text1"/>
          <w:u w:val="single"/>
        </w:rPr>
        <w:t>Le contribuable est âgé de moins de 60 ans</w:t>
      </w:r>
      <w:r w:rsidR="000E6134" w:rsidRPr="00F27B04">
        <w:rPr>
          <w:color w:val="000000" w:themeColor="text1"/>
          <w:u w:val="single"/>
        </w:rPr>
        <w:t xml:space="preserve"> </w:t>
      </w:r>
    </w:p>
    <w:p w14:paraId="714D8B1F" w14:textId="77777777" w:rsidR="000E6134" w:rsidRDefault="000E6134" w:rsidP="000E17F4">
      <w:pPr>
        <w:jc w:val="both"/>
      </w:pPr>
    </w:p>
    <w:p w14:paraId="48E860A1" w14:textId="33CF0D93" w:rsidR="00DA5B57" w:rsidRDefault="00A353C2" w:rsidP="00DA5B57">
      <w:pPr>
        <w:jc w:val="both"/>
      </w:pPr>
      <w:r>
        <w:t xml:space="preserve">Tout au long de notre vie active, nous sommes soumis au combat qu'exigent les gestes d'épargne et le contrôle de nos dépenses personnelles au quotidien. Pour certains, cette dualité entre l'accumulation de capital pour la retraite et les voluptés de la gratification immédiate par la consommation s'exprime sainement et aisément. Pour d'autres, cette tentation est de tous les instants et se légitime par les mantras de notre société de consommation; le </w:t>
      </w:r>
      <w:r w:rsidR="0013754B">
        <w:t>"</w:t>
      </w:r>
      <w:r>
        <w:t>vivre le moment présent</w:t>
      </w:r>
      <w:r w:rsidR="0013754B">
        <w:t>"</w:t>
      </w:r>
      <w:r>
        <w:t xml:space="preserve">, </w:t>
      </w:r>
      <w:r w:rsidR="00451135">
        <w:t>"</w:t>
      </w:r>
      <w:r w:rsidR="0013754B">
        <w:t>c</w:t>
      </w:r>
      <w:r>
        <w:t>arpe diem</w:t>
      </w:r>
      <w:r w:rsidR="00451135">
        <w:t>"</w:t>
      </w:r>
      <w:r>
        <w:t xml:space="preserve"> et autres déguisements de circonstances ont la cote. </w:t>
      </w:r>
    </w:p>
    <w:p w14:paraId="0F843D60" w14:textId="77777777" w:rsidR="00FA3591" w:rsidRDefault="00FA3591" w:rsidP="00DA5B57">
      <w:pPr>
        <w:jc w:val="both"/>
      </w:pPr>
    </w:p>
    <w:p w14:paraId="5F335228" w14:textId="1C8CEF46" w:rsidR="00FA3591" w:rsidRDefault="00FA3591" w:rsidP="00DA5B57">
      <w:pPr>
        <w:jc w:val="both"/>
      </w:pPr>
      <w:r>
        <w:t>Rien n'expose mieux cette problématique que la tentation (</w:t>
      </w:r>
      <w:r w:rsidR="00D247B0">
        <w:t>à laquelle</w:t>
      </w:r>
      <w:r>
        <w:t xml:space="preserve"> Oscar Wilde</w:t>
      </w:r>
      <w:r>
        <w:rPr>
          <w:rStyle w:val="Marquenotebasdepage"/>
        </w:rPr>
        <w:footnoteReference w:customMarkFollows="1" w:id="67"/>
        <w:t>64</w:t>
      </w:r>
      <w:r>
        <w:t xml:space="preserve"> aurait </w:t>
      </w:r>
      <w:r w:rsidR="00D247B0">
        <w:t>surement</w:t>
      </w:r>
      <w:r>
        <w:t xml:space="preserve"> succomb</w:t>
      </w:r>
      <w:r w:rsidR="00D247B0">
        <w:t>é</w:t>
      </w:r>
      <w:r>
        <w:t xml:space="preserve"> si REÉR avait existé</w:t>
      </w:r>
      <w:r w:rsidR="00D247B0">
        <w:t xml:space="preserve"> à son époque</w:t>
      </w:r>
      <w:r>
        <w:t>) de retirer prématurément des sommes d'argent épargné</w:t>
      </w:r>
      <w:r w:rsidR="0013754B">
        <w:t>e</w:t>
      </w:r>
      <w:r>
        <w:t xml:space="preserve">s dans son REÉR. </w:t>
      </w:r>
      <w:r w:rsidRPr="00A620EE">
        <w:rPr>
          <w:color w:val="FF6700" w:themeColor="accent3"/>
        </w:rPr>
        <w:t>CHAQUE RETRAIT DU REÉR EST IMPOSABLE</w:t>
      </w:r>
      <w:r>
        <w:t xml:space="preserve">, sauf </w:t>
      </w:r>
      <w:r w:rsidR="00A620EE">
        <w:t>dans le cas de</w:t>
      </w:r>
      <w:r>
        <w:t xml:space="preserve"> très rares exceptions</w:t>
      </w:r>
      <w:r w:rsidR="00A620EE">
        <w:t xml:space="preserve"> que nous étudierons. Il faut alors éviter à tout prix de retirer des sommes déjà investies au REÉR avant le moment de la retraite, sauf dans les situations suivantes:</w:t>
      </w:r>
    </w:p>
    <w:p w14:paraId="79100109" w14:textId="0983406B" w:rsidR="00A620EE" w:rsidRDefault="00CB0084" w:rsidP="00DA5B57">
      <w:pPr>
        <w:jc w:val="both"/>
      </w:pPr>
      <w:r>
        <w:rPr>
          <w:noProof/>
          <w:lang w:eastAsia="fr-FR"/>
        </w:rPr>
        <mc:AlternateContent>
          <mc:Choice Requires="wps">
            <w:drawing>
              <wp:anchor distT="0" distB="0" distL="114300" distR="114300" simplePos="0" relativeHeight="252637184" behindDoc="0" locked="0" layoutInCell="1" allowOverlap="1" wp14:anchorId="7DB4BF8F" wp14:editId="144622C8">
                <wp:simplePos x="0" y="0"/>
                <wp:positionH relativeFrom="column">
                  <wp:posOffset>3657600</wp:posOffset>
                </wp:positionH>
                <wp:positionV relativeFrom="paragraph">
                  <wp:posOffset>85725</wp:posOffset>
                </wp:positionV>
                <wp:extent cx="1371600" cy="342900"/>
                <wp:effectExtent l="76200" t="76200" r="76200" b="63500"/>
                <wp:wrapNone/>
                <wp:docPr id="509" name="Rectangle à coins arrondis 509"/>
                <wp:cNvGraphicFramePr/>
                <a:graphic xmlns:a="http://schemas.openxmlformats.org/drawingml/2006/main">
                  <a:graphicData uri="http://schemas.microsoft.com/office/word/2010/wordprocessingShape">
                    <wps:wsp>
                      <wps:cNvSpPr/>
                      <wps:spPr>
                        <a:xfrm>
                          <a:off x="0" y="0"/>
                          <a:ext cx="1371600" cy="342900"/>
                        </a:xfrm>
                        <a:prstGeom prst="roundRect">
                          <a:avLst/>
                        </a:prstGeom>
                        <a:solidFill>
                          <a:srgbClr val="16803D"/>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E55CAC3" w14:textId="7D1092E1" w:rsidR="00573C95" w:rsidRPr="00CB0084" w:rsidRDefault="00573C95" w:rsidP="00CB0084">
                            <w:pPr>
                              <w:jc w:val="center"/>
                              <w:rPr>
                                <w:sz w:val="22"/>
                                <w:szCs w:val="22"/>
                              </w:rPr>
                            </w:pPr>
                            <w:proofErr w:type="gramStart"/>
                            <w:r w:rsidRPr="00CB0084">
                              <w:rPr>
                                <w:sz w:val="22"/>
                                <w:szCs w:val="22"/>
                              </w:rPr>
                              <w:t>non</w:t>
                            </w:r>
                            <w:proofErr w:type="gramEnd"/>
                            <w:r w:rsidRPr="00CB0084">
                              <w:rPr>
                                <w:sz w:val="22"/>
                                <w:szCs w:val="22"/>
                              </w:rPr>
                              <w:t xml:space="preserve"> imposable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509" o:spid="_x0000_s1338" style="position:absolute;left:0;text-align:left;margin-left:4in;margin-top:6.75pt;width:108pt;height:27pt;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" fillcolor="#16803d">
                <v:textbox>
                  <w:txbxContent>
                    <w:p w14:paraId="7E55CAC3" w14:textId="7D1092E1" w:rsidR="001501D6" w:rsidRPr="00CB0084" w:rsidRDefault="001501D6" w:rsidP="00CB0084">
                      <w:pPr>
                        <w:jc w:val="center"/>
                        <w:rPr>
                          <w:sz w:val="22"/>
                          <w:szCs w:val="22"/>
                        </w:rPr>
                      </w:pPr>
                      <w:proofErr w:type="gramStart"/>
                      <w:r w:rsidRPr="00CB0084">
                        <w:rPr>
                          <w:sz w:val="22"/>
                          <w:szCs w:val="22"/>
                        </w:rPr>
                        <w:t>non</w:t>
                      </w:r>
                      <w:proofErr w:type="gramEnd"/>
                      <w:r w:rsidRPr="00CB0084">
                        <w:rPr>
                          <w:sz w:val="22"/>
                          <w:szCs w:val="22"/>
                        </w:rPr>
                        <w:t xml:space="preserve"> imposable</w:t>
                      </w:r>
                    </w:p>
                  </w:txbxContent>
                </v:textbox>
              </v:roundrect>
            </w:pict>
          </mc:Fallback>
        </mc:AlternateContent>
      </w:r>
    </w:p>
    <w:p w14:paraId="7604BD36" w14:textId="4FB1D957" w:rsidR="00A620EE" w:rsidRDefault="00A620EE" w:rsidP="006C34CF">
      <w:pPr>
        <w:pStyle w:val="Paragraphedeliste"/>
        <w:numPr>
          <w:ilvl w:val="0"/>
          <w:numId w:val="110"/>
        </w:numPr>
        <w:jc w:val="both"/>
      </w:pPr>
      <w:r>
        <w:rPr>
          <w:rFonts w:asciiTheme="majorHAnsi" w:hAnsiTheme="majorHAnsi"/>
        </w:rPr>
        <w:t>Régime d'accession à la propriété</w:t>
      </w:r>
      <w:r>
        <w:t xml:space="preserve"> (RAP)  </w:t>
      </w:r>
    </w:p>
    <w:p w14:paraId="79A87C34" w14:textId="459C9F18" w:rsidR="00A620EE" w:rsidRDefault="00CB0084" w:rsidP="00A620EE">
      <w:pPr>
        <w:ind w:left="360"/>
        <w:jc w:val="both"/>
      </w:pPr>
      <w:r>
        <w:rPr>
          <w:noProof/>
          <w:lang w:eastAsia="fr-FR"/>
        </w:rPr>
        <mc:AlternateContent>
          <mc:Choice Requires="wps">
            <w:drawing>
              <wp:anchor distT="0" distB="0" distL="114300" distR="114300" simplePos="0" relativeHeight="252639232" behindDoc="0" locked="0" layoutInCell="1" allowOverlap="1" wp14:anchorId="3E380A4F" wp14:editId="61B10981">
                <wp:simplePos x="0" y="0"/>
                <wp:positionH relativeFrom="column">
                  <wp:posOffset>5029200</wp:posOffset>
                </wp:positionH>
                <wp:positionV relativeFrom="paragraph">
                  <wp:posOffset>54610</wp:posOffset>
                </wp:positionV>
                <wp:extent cx="1371600" cy="342900"/>
                <wp:effectExtent l="76200" t="76200" r="76200" b="63500"/>
                <wp:wrapNone/>
                <wp:docPr id="510" name="Rectangle à coins arrondis 510"/>
                <wp:cNvGraphicFramePr/>
                <a:graphic xmlns:a="http://schemas.openxmlformats.org/drawingml/2006/main">
                  <a:graphicData uri="http://schemas.microsoft.com/office/word/2010/wordprocessingShape">
                    <wps:wsp>
                      <wps:cNvSpPr/>
                      <wps:spPr>
                        <a:xfrm>
                          <a:off x="0" y="0"/>
                          <a:ext cx="1371600" cy="342900"/>
                        </a:xfrm>
                        <a:prstGeom prst="roundRect">
                          <a:avLst/>
                        </a:prstGeom>
                        <a:solidFill>
                          <a:srgbClr val="16803D"/>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B7D1727" w14:textId="77777777" w:rsidR="00573C95" w:rsidRPr="00CB0084" w:rsidRDefault="00573C95" w:rsidP="00CB0084">
                            <w:pPr>
                              <w:jc w:val="center"/>
                              <w:rPr>
                                <w:sz w:val="22"/>
                                <w:szCs w:val="22"/>
                              </w:rPr>
                            </w:pPr>
                            <w:proofErr w:type="gramStart"/>
                            <w:r w:rsidRPr="00CB0084">
                              <w:rPr>
                                <w:sz w:val="22"/>
                                <w:szCs w:val="22"/>
                              </w:rPr>
                              <w:t>non</w:t>
                            </w:r>
                            <w:proofErr w:type="gramEnd"/>
                            <w:r w:rsidRPr="00CB0084">
                              <w:rPr>
                                <w:sz w:val="22"/>
                                <w:szCs w:val="22"/>
                              </w:rPr>
                              <w:t xml:space="preserve"> imposable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510" o:spid="_x0000_s1339" style="position:absolute;left:0;text-align:left;margin-left:396pt;margin-top:4.3pt;width:108pt;height:27pt;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" fillcolor="#16803d">
                <v:textbox>
                  <w:txbxContent>
                    <w:p w14:paraId="1B7D1727" w14:textId="77777777" w:rsidR="001501D6" w:rsidRPr="00CB0084" w:rsidRDefault="001501D6" w:rsidP="00CB0084">
                      <w:pPr>
                        <w:jc w:val="center"/>
                        <w:rPr>
                          <w:sz w:val="22"/>
                          <w:szCs w:val="22"/>
                        </w:rPr>
                      </w:pPr>
                      <w:proofErr w:type="gramStart"/>
                      <w:r w:rsidRPr="00CB0084">
                        <w:rPr>
                          <w:sz w:val="22"/>
                          <w:szCs w:val="22"/>
                        </w:rPr>
                        <w:t>non</w:t>
                      </w:r>
                      <w:proofErr w:type="gramEnd"/>
                      <w:r w:rsidRPr="00CB0084">
                        <w:rPr>
                          <w:sz w:val="22"/>
                          <w:szCs w:val="22"/>
                        </w:rPr>
                        <w:t xml:space="preserve"> imposable</w:t>
                      </w:r>
                    </w:p>
                  </w:txbxContent>
                </v:textbox>
              </v:roundrect>
            </w:pict>
          </mc:Fallback>
        </mc:AlternateContent>
      </w:r>
    </w:p>
    <w:p w14:paraId="74EBC195" w14:textId="6FCA794E" w:rsidR="00A620EE" w:rsidRPr="00A620EE" w:rsidRDefault="00A620EE" w:rsidP="006C34CF">
      <w:pPr>
        <w:pStyle w:val="Paragraphedeliste"/>
        <w:numPr>
          <w:ilvl w:val="0"/>
          <w:numId w:val="109"/>
        </w:numPr>
        <w:jc w:val="both"/>
      </w:pPr>
      <w:r>
        <w:rPr>
          <w:rFonts w:asciiTheme="majorHAnsi" w:hAnsiTheme="majorHAnsi"/>
        </w:rPr>
        <w:t>Régime d'encouragement à l'éducation permanente (REEP)</w:t>
      </w:r>
      <w:r w:rsidR="00CB0084" w:rsidRPr="00CB0084">
        <w:rPr>
          <w:noProof/>
          <w:lang w:eastAsia="fr-FR"/>
        </w:rPr>
        <w:t xml:space="preserve"> </w:t>
      </w:r>
    </w:p>
    <w:p w14:paraId="75E64627" w14:textId="77777777" w:rsidR="00A620EE" w:rsidRPr="00A620EE" w:rsidRDefault="00A620EE" w:rsidP="00A620EE">
      <w:pPr>
        <w:ind w:left="360"/>
        <w:jc w:val="both"/>
      </w:pPr>
    </w:p>
    <w:p w14:paraId="0A701CFC" w14:textId="30492568" w:rsidR="00A620EE" w:rsidRDefault="00CB0084" w:rsidP="006C34CF">
      <w:pPr>
        <w:pStyle w:val="Paragraphedeliste"/>
        <w:numPr>
          <w:ilvl w:val="0"/>
          <w:numId w:val="53"/>
        </w:numPr>
        <w:jc w:val="both"/>
      </w:pPr>
      <w:r>
        <w:rPr>
          <w:noProof/>
          <w:lang w:eastAsia="fr-FR"/>
        </w:rPr>
        <mc:AlternateContent>
          <mc:Choice Requires="wps">
            <w:drawing>
              <wp:anchor distT="0" distB="0" distL="114300" distR="114300" simplePos="0" relativeHeight="252641280" behindDoc="0" locked="0" layoutInCell="1" allowOverlap="1" wp14:anchorId="31A07C6A" wp14:editId="5FC67234">
                <wp:simplePos x="0" y="0"/>
                <wp:positionH relativeFrom="column">
                  <wp:posOffset>2971800</wp:posOffset>
                </wp:positionH>
                <wp:positionV relativeFrom="paragraph">
                  <wp:posOffset>179705</wp:posOffset>
                </wp:positionV>
                <wp:extent cx="1371600" cy="342900"/>
                <wp:effectExtent l="76200" t="76200" r="76200" b="63500"/>
                <wp:wrapNone/>
                <wp:docPr id="511" name="Rectangle à coins arrondis 511"/>
                <wp:cNvGraphicFramePr/>
                <a:graphic xmlns:a="http://schemas.openxmlformats.org/drawingml/2006/main">
                  <a:graphicData uri="http://schemas.microsoft.com/office/word/2010/wordprocessingShape">
                    <wps:wsp>
                      <wps:cNvSpPr/>
                      <wps:spPr>
                        <a:xfrm>
                          <a:off x="0" y="0"/>
                          <a:ext cx="1371600" cy="342900"/>
                        </a:xfrm>
                        <a:prstGeom prst="roundRect">
                          <a:avLst/>
                        </a:prstGeom>
                        <a:solidFill>
                          <a:srgbClr val="16803D"/>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E7F3E2" w14:textId="77777777" w:rsidR="00573C95" w:rsidRPr="00CB0084" w:rsidRDefault="00573C95" w:rsidP="00CB0084">
                            <w:pPr>
                              <w:jc w:val="center"/>
                              <w:rPr>
                                <w:sz w:val="22"/>
                                <w:szCs w:val="22"/>
                              </w:rPr>
                            </w:pPr>
                            <w:proofErr w:type="gramStart"/>
                            <w:r w:rsidRPr="00CB0084">
                              <w:rPr>
                                <w:sz w:val="22"/>
                                <w:szCs w:val="22"/>
                              </w:rPr>
                              <w:t>non</w:t>
                            </w:r>
                            <w:proofErr w:type="gramEnd"/>
                            <w:r w:rsidRPr="00CB0084">
                              <w:rPr>
                                <w:sz w:val="22"/>
                                <w:szCs w:val="22"/>
                              </w:rPr>
                              <w:t xml:space="preserve"> imposable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511" o:spid="_x0000_s1340" style="position:absolute;left:0;text-align:left;margin-left:234pt;margin-top:14.15pt;width:108pt;height:27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" fillcolor="#16803d">
                <v:textbox>
                  <w:txbxContent>
                    <w:p w14:paraId="62E7F3E2" w14:textId="77777777" w:rsidR="001501D6" w:rsidRPr="00CB0084" w:rsidRDefault="001501D6" w:rsidP="00CB0084">
                      <w:pPr>
                        <w:jc w:val="center"/>
                        <w:rPr>
                          <w:sz w:val="22"/>
                          <w:szCs w:val="22"/>
                        </w:rPr>
                      </w:pPr>
                      <w:proofErr w:type="gramStart"/>
                      <w:r w:rsidRPr="00CB0084">
                        <w:rPr>
                          <w:sz w:val="22"/>
                          <w:szCs w:val="22"/>
                        </w:rPr>
                        <w:t>non</w:t>
                      </w:r>
                      <w:proofErr w:type="gramEnd"/>
                      <w:r w:rsidRPr="00CB0084">
                        <w:rPr>
                          <w:sz w:val="22"/>
                          <w:szCs w:val="22"/>
                        </w:rPr>
                        <w:t xml:space="preserve"> imposable</w:t>
                      </w:r>
                    </w:p>
                  </w:txbxContent>
                </v:textbox>
              </v:roundrect>
            </w:pict>
          </mc:Fallback>
        </mc:AlternateContent>
      </w:r>
      <w:r w:rsidR="00A620EE">
        <w:t>Lorsque le revenu imposable est inférieur au crédit personnel de base et autres crédits personnels non remboursables et non reportables</w:t>
      </w:r>
    </w:p>
    <w:p w14:paraId="7ECB0B06" w14:textId="47D9989F" w:rsidR="00A620EE" w:rsidRDefault="00CB0084" w:rsidP="00A620EE">
      <w:pPr>
        <w:ind w:left="360"/>
        <w:jc w:val="both"/>
      </w:pPr>
      <w:r>
        <w:rPr>
          <w:noProof/>
          <w:lang w:eastAsia="fr-FR"/>
        </w:rPr>
        <mc:AlternateContent>
          <mc:Choice Requires="wps">
            <w:drawing>
              <wp:anchor distT="0" distB="0" distL="114300" distR="114300" simplePos="0" relativeHeight="252643328" behindDoc="0" locked="0" layoutInCell="1" allowOverlap="1" wp14:anchorId="06F4191C" wp14:editId="5B1814A6">
                <wp:simplePos x="0" y="0"/>
                <wp:positionH relativeFrom="column">
                  <wp:posOffset>6515100</wp:posOffset>
                </wp:positionH>
                <wp:positionV relativeFrom="paragraph">
                  <wp:posOffset>34925</wp:posOffset>
                </wp:positionV>
                <wp:extent cx="2514600" cy="342900"/>
                <wp:effectExtent l="76200" t="76200" r="76200" b="63500"/>
                <wp:wrapNone/>
                <wp:docPr id="512" name="Rectangle à coins arrondis 512"/>
                <wp:cNvGraphicFramePr/>
                <a:graphic xmlns:a="http://schemas.openxmlformats.org/drawingml/2006/main">
                  <a:graphicData uri="http://schemas.microsoft.com/office/word/2010/wordprocessingShape">
                    <wps:wsp>
                      <wps:cNvSpPr/>
                      <wps:spPr>
                        <a:xfrm>
                          <a:off x="0" y="0"/>
                          <a:ext cx="2514600" cy="342900"/>
                        </a:xfrm>
                        <a:prstGeom prst="roundRect">
                          <a:avLst/>
                        </a:prstGeom>
                        <a:solidFill>
                          <a:srgbClr val="16803D"/>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3116247" w14:textId="03EA7420" w:rsidR="00573C95" w:rsidRDefault="00573C95" w:rsidP="00CB0084">
                            <w:pPr>
                              <w:jc w:val="center"/>
                            </w:pPr>
                            <w:proofErr w:type="gramStart"/>
                            <w:r w:rsidRPr="00CB0084">
                              <w:rPr>
                                <w:sz w:val="22"/>
                                <w:szCs w:val="22"/>
                              </w:rPr>
                              <w:t>imposable</w:t>
                            </w:r>
                            <w:proofErr w:type="gramEnd"/>
                            <w:r w:rsidRPr="00CB0084">
                              <w:rPr>
                                <w:sz w:val="22"/>
                                <w:szCs w:val="22"/>
                              </w:rPr>
                              <w:t xml:space="preserve"> </w:t>
                            </w:r>
                            <w:r>
                              <w:rPr>
                                <w:sz w:val="22"/>
                                <w:szCs w:val="22"/>
                              </w:rPr>
                              <w:t>- avantage fiscal</w:t>
                            </w:r>
                            <w:r>
                              <w:t xml:space="preserve"> futur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512" o:spid="_x0000_s1341" style="position:absolute;left:0;text-align:left;margin-left:513pt;margin-top:2.75pt;width:198pt;height:27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" fillcolor="#16803d">
                <v:textbox>
                  <w:txbxContent>
                    <w:p w14:paraId="63116247" w14:textId="03EA7420" w:rsidR="001501D6" w:rsidRDefault="001501D6" w:rsidP="00CB0084">
                      <w:pPr>
                        <w:jc w:val="center"/>
                      </w:pPr>
                      <w:proofErr w:type="gramStart"/>
                      <w:r w:rsidRPr="00CB0084">
                        <w:rPr>
                          <w:sz w:val="22"/>
                          <w:szCs w:val="22"/>
                        </w:rPr>
                        <w:t>imposable</w:t>
                      </w:r>
                      <w:proofErr w:type="gramEnd"/>
                      <w:r w:rsidRPr="00CB0084">
                        <w:rPr>
                          <w:sz w:val="22"/>
                          <w:szCs w:val="22"/>
                        </w:rPr>
                        <w:t xml:space="preserve"> </w:t>
                      </w:r>
                      <w:r>
                        <w:rPr>
                          <w:sz w:val="22"/>
                          <w:szCs w:val="22"/>
                        </w:rPr>
                        <w:t>- avantage fiscal</w:t>
                      </w:r>
                      <w:r>
                        <w:t xml:space="preserve"> futur</w:t>
                      </w:r>
                    </w:p>
                  </w:txbxContent>
                </v:textbox>
              </v:roundrect>
            </w:pict>
          </mc:Fallback>
        </mc:AlternateContent>
      </w:r>
    </w:p>
    <w:p w14:paraId="28F930CC" w14:textId="40E90E62" w:rsidR="00A620EE" w:rsidRDefault="00A620EE" w:rsidP="006C34CF">
      <w:pPr>
        <w:pStyle w:val="Paragraphedeliste"/>
        <w:numPr>
          <w:ilvl w:val="0"/>
          <w:numId w:val="108"/>
        </w:numPr>
        <w:jc w:val="both"/>
      </w:pPr>
      <w:r>
        <w:t>Lorsque le retrait peut se réaliser à un taux d'imposition exceptionnellement faible</w:t>
      </w:r>
    </w:p>
    <w:p w14:paraId="5E054C2B" w14:textId="77777777" w:rsidR="00A620EE" w:rsidRDefault="00A620EE" w:rsidP="00A620EE">
      <w:pPr>
        <w:ind w:left="360"/>
        <w:jc w:val="both"/>
      </w:pPr>
    </w:p>
    <w:p w14:paraId="0C47F074" w14:textId="067054BB" w:rsidR="00A620EE" w:rsidRDefault="00324451" w:rsidP="006C34CF">
      <w:pPr>
        <w:pStyle w:val="Paragraphedeliste"/>
        <w:numPr>
          <w:ilvl w:val="0"/>
          <w:numId w:val="107"/>
        </w:numPr>
        <w:jc w:val="both"/>
      </w:pPr>
      <w:r>
        <w:rPr>
          <w:noProof/>
          <w:lang w:eastAsia="fr-FR"/>
        </w:rPr>
        <mc:AlternateContent>
          <mc:Choice Requires="wps">
            <w:drawing>
              <wp:anchor distT="0" distB="0" distL="114300" distR="114300" simplePos="0" relativeHeight="252645376" behindDoc="0" locked="0" layoutInCell="1" allowOverlap="1" wp14:anchorId="348715AE" wp14:editId="550E4E0F">
                <wp:simplePos x="0" y="0"/>
                <wp:positionH relativeFrom="column">
                  <wp:posOffset>3086100</wp:posOffset>
                </wp:positionH>
                <wp:positionV relativeFrom="paragraph">
                  <wp:posOffset>274320</wp:posOffset>
                </wp:positionV>
                <wp:extent cx="5372100" cy="342900"/>
                <wp:effectExtent l="76200" t="76200" r="63500" b="63500"/>
                <wp:wrapNone/>
                <wp:docPr id="513" name="Rectangle à coins arrondis 513"/>
                <wp:cNvGraphicFramePr/>
                <a:graphic xmlns:a="http://schemas.openxmlformats.org/drawingml/2006/main">
                  <a:graphicData uri="http://schemas.microsoft.com/office/word/2010/wordprocessingShape">
                    <wps:wsp>
                      <wps:cNvSpPr/>
                      <wps:spPr>
                        <a:xfrm>
                          <a:off x="0" y="0"/>
                          <a:ext cx="5372100" cy="342900"/>
                        </a:xfrm>
                        <a:prstGeom prst="roundRect">
                          <a:avLst/>
                        </a:prstGeom>
                        <a:solidFill>
                          <a:srgbClr val="E5F6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A51A0EA" w14:textId="301167BC" w:rsidR="00573C95" w:rsidRPr="00324451" w:rsidRDefault="00573C95" w:rsidP="00324451">
                            <w:pPr>
                              <w:jc w:val="center"/>
                              <w:rPr>
                                <w:color w:val="000000"/>
                              </w:rPr>
                            </w:pPr>
                            <w:proofErr w:type="gramStart"/>
                            <w:r>
                              <w:rPr>
                                <w:color w:val="000000"/>
                                <w:sz w:val="22"/>
                                <w:szCs w:val="22"/>
                              </w:rPr>
                              <w:t>imposable</w:t>
                            </w:r>
                            <w:proofErr w:type="gramEnd"/>
                            <w:r>
                              <w:rPr>
                                <w:color w:val="000000"/>
                                <w:sz w:val="22"/>
                                <w:szCs w:val="22"/>
                              </w:rPr>
                              <w:t xml:space="preserve"> - a</w:t>
                            </w:r>
                            <w:r w:rsidRPr="00324451">
                              <w:rPr>
                                <w:color w:val="000000"/>
                                <w:sz w:val="22"/>
                                <w:szCs w:val="22"/>
                              </w:rPr>
                              <w:t>vantage fiscal futur pouvant comporter des risques importants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513" o:spid="_x0000_s1342" style="position:absolute;left:0;text-align:left;margin-left:243pt;margin-top:21.6pt;width:423pt;height:27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" fillcolor="#e5f600">
                <v:textbox>
                  <w:txbxContent>
                    <w:p w14:paraId="7A51A0EA" w14:textId="301167BC" w:rsidR="001501D6" w:rsidRPr="00324451" w:rsidRDefault="001501D6" w:rsidP="00324451">
                      <w:pPr>
                        <w:jc w:val="center"/>
                        <w:rPr>
                          <w:color w:val="000000"/>
                        </w:rPr>
                      </w:pPr>
                      <w:proofErr w:type="gramStart"/>
                      <w:r>
                        <w:rPr>
                          <w:color w:val="000000"/>
                          <w:sz w:val="22"/>
                          <w:szCs w:val="22"/>
                        </w:rPr>
                        <w:t>imposable</w:t>
                      </w:r>
                      <w:proofErr w:type="gramEnd"/>
                      <w:r>
                        <w:rPr>
                          <w:color w:val="000000"/>
                          <w:sz w:val="22"/>
                          <w:szCs w:val="22"/>
                        </w:rPr>
                        <w:t xml:space="preserve"> - a</w:t>
                      </w:r>
                      <w:r w:rsidRPr="00324451">
                        <w:rPr>
                          <w:color w:val="000000"/>
                          <w:sz w:val="22"/>
                          <w:szCs w:val="22"/>
                        </w:rPr>
                        <w:t>vantage fiscal futur pouvant comporter des risques importants</w:t>
                      </w:r>
                    </w:p>
                  </w:txbxContent>
                </v:textbox>
              </v:roundrect>
            </w:pict>
          </mc:Fallback>
        </mc:AlternateContent>
      </w:r>
      <w:r w:rsidR="00A620EE">
        <w:t>Pour mettre en place des stratégie</w:t>
      </w:r>
      <w:r w:rsidR="00130B80">
        <w:t>s</w:t>
      </w:r>
      <w:r w:rsidR="00A620EE">
        <w:t xml:space="preserve"> de défiscalisation du REÉR</w:t>
      </w:r>
      <w:r w:rsidR="009B0020">
        <w:t xml:space="preserve"> (APRÈS AVOIR ANALYSÉ TOUS LES FACTEURS ET ÉVALUÉ LES RI</w:t>
      </w:r>
      <w:r w:rsidR="004057D7">
        <w:t>S</w:t>
      </w:r>
      <w:r w:rsidR="009B0020">
        <w:t>QUES)</w:t>
      </w:r>
      <w:r>
        <w:t xml:space="preserve"> </w:t>
      </w:r>
    </w:p>
    <w:p w14:paraId="7E424257" w14:textId="0AD20C36" w:rsidR="009B0020" w:rsidRDefault="009B0020" w:rsidP="009B0020">
      <w:pPr>
        <w:ind w:left="360"/>
        <w:jc w:val="both"/>
      </w:pPr>
    </w:p>
    <w:p w14:paraId="0CBDF13B" w14:textId="77777777" w:rsidR="00324451" w:rsidRDefault="00324451" w:rsidP="009B0020">
      <w:pPr>
        <w:ind w:left="360"/>
        <w:jc w:val="both"/>
      </w:pPr>
    </w:p>
    <w:p w14:paraId="3F5D03B9" w14:textId="77777777" w:rsidR="00C32B9C" w:rsidRDefault="00324451" w:rsidP="008727EB">
      <w:pPr>
        <w:jc w:val="both"/>
      </w:pPr>
      <w:r>
        <w:rPr>
          <w:noProof/>
          <w:lang w:eastAsia="fr-FR"/>
        </w:rPr>
        <mc:AlternateContent>
          <mc:Choice Requires="wps">
            <w:drawing>
              <wp:anchor distT="0" distB="0" distL="114300" distR="114300" simplePos="0" relativeHeight="252647424" behindDoc="0" locked="0" layoutInCell="1" allowOverlap="1" wp14:anchorId="3DF9AFE0" wp14:editId="04BCD730">
                <wp:simplePos x="0" y="0"/>
                <wp:positionH relativeFrom="column">
                  <wp:posOffset>4114800</wp:posOffset>
                </wp:positionH>
                <wp:positionV relativeFrom="paragraph">
                  <wp:posOffset>212725</wp:posOffset>
                </wp:positionV>
                <wp:extent cx="5029200" cy="342900"/>
                <wp:effectExtent l="76200" t="76200" r="76200" b="63500"/>
                <wp:wrapNone/>
                <wp:docPr id="514" name="Rectangle à coins arrondis 514"/>
                <wp:cNvGraphicFramePr/>
                <a:graphic xmlns:a="http://schemas.openxmlformats.org/drawingml/2006/main">
                  <a:graphicData uri="http://schemas.microsoft.com/office/word/2010/wordprocessingShape">
                    <wps:wsp>
                      <wps:cNvSpPr/>
                      <wps:spPr>
                        <a:xfrm>
                          <a:off x="0" y="0"/>
                          <a:ext cx="5029200" cy="342900"/>
                        </a:xfrm>
                        <a:prstGeom prst="roundRect">
                          <a:avLst/>
                        </a:prstGeom>
                        <a:solidFill>
                          <a:srgbClr val="FF003E"/>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6815E40" w14:textId="55A3E248" w:rsidR="00573C95" w:rsidRPr="00324451" w:rsidRDefault="00573C95" w:rsidP="00324451">
                            <w:pPr>
                              <w:jc w:val="center"/>
                              <w:rPr>
                                <w:color w:val="FFFFFF" w:themeColor="background1"/>
                              </w:rPr>
                            </w:pPr>
                            <w:proofErr w:type="gramStart"/>
                            <w:r w:rsidRPr="00324451">
                              <w:rPr>
                                <w:color w:val="FFFFFF" w:themeColor="background1"/>
                                <w:sz w:val="22"/>
                                <w:szCs w:val="22"/>
                              </w:rPr>
                              <w:t>imposable</w:t>
                            </w:r>
                            <w:proofErr w:type="gramEnd"/>
                            <w:r w:rsidRPr="00324451">
                              <w:rPr>
                                <w:color w:val="FFFFFF" w:themeColor="background1"/>
                                <w:sz w:val="22"/>
                                <w:szCs w:val="22"/>
                              </w:rPr>
                              <w:t xml:space="preserve"> - moindre mal résultant d'une consommation trop grande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514" o:spid="_x0000_s1343" style="position:absolute;left:0;text-align:left;margin-left:324pt;margin-top:16.75pt;width:396pt;height:27pt;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" fillcolor="#ff003e">
                <v:textbox>
                  <w:txbxContent>
                    <w:p w14:paraId="66815E40" w14:textId="55A3E248" w:rsidR="001501D6" w:rsidRPr="00324451" w:rsidRDefault="001501D6" w:rsidP="00324451">
                      <w:pPr>
                        <w:jc w:val="center"/>
                        <w:rPr>
                          <w:color w:val="FFFFFF" w:themeColor="background1"/>
                        </w:rPr>
                      </w:pPr>
                      <w:proofErr w:type="gramStart"/>
                      <w:r w:rsidRPr="00324451">
                        <w:rPr>
                          <w:color w:val="FFFFFF" w:themeColor="background1"/>
                          <w:sz w:val="22"/>
                          <w:szCs w:val="22"/>
                        </w:rPr>
                        <w:t>imposable</w:t>
                      </w:r>
                      <w:proofErr w:type="gramEnd"/>
                      <w:r w:rsidRPr="00324451">
                        <w:rPr>
                          <w:color w:val="FFFFFF" w:themeColor="background1"/>
                          <w:sz w:val="22"/>
                          <w:szCs w:val="22"/>
                        </w:rPr>
                        <w:t xml:space="preserve"> - moindre mal résultant d'une consommation trop grande</w:t>
                      </w:r>
                    </w:p>
                  </w:txbxContent>
                </v:textbox>
              </v:roundrect>
            </w:pict>
          </mc:Fallback>
        </mc:AlternateContent>
      </w:r>
      <w:r w:rsidR="009B0020">
        <w:t>Lorsque le coût de la dette du contribuable est tellement élevé que le meilleur rendement correspond à la rembourser, même au prix du retrait d'un REÉR</w:t>
      </w:r>
      <w:r w:rsidR="00C32B9C">
        <w:t>.</w:t>
      </w:r>
    </w:p>
    <w:p w14:paraId="2E56AC33" w14:textId="00F60B18" w:rsidR="008727EB" w:rsidRPr="008727EB" w:rsidRDefault="008727EB" w:rsidP="008727EB">
      <w:pPr>
        <w:jc w:val="both"/>
      </w:pPr>
      <w:r>
        <w:lastRenderedPageBreak/>
        <w:t xml:space="preserve">Voici l'analyse des différents scénarios où il peut être exceptionnellement convenable d'effectuer des retraits d'un REÉR avant d'avoir </w:t>
      </w:r>
      <w:r w:rsidR="00C32B9C">
        <w:t xml:space="preserve">amorcé </w:t>
      </w:r>
      <w:r>
        <w:t xml:space="preserve">la retraite. Nous remarquons que toutes ces stratégies correspondent à des retraits pour effectuer, au sens large, des repositionnements de l'épargne. </w:t>
      </w:r>
      <w:r w:rsidR="00C32B9C">
        <w:t>Pourvu</w:t>
      </w:r>
      <w:r>
        <w:t xml:space="preserve"> que </w:t>
      </w:r>
      <w:r w:rsidR="00553D9D">
        <w:t>l'on considère l'achat d'une maison qui correspond à nos besoins, l'éducation permanente et le remboursement de dette</w:t>
      </w:r>
      <w:r w:rsidR="00C32B9C">
        <w:t xml:space="preserve">s </w:t>
      </w:r>
      <w:r w:rsidR="00553D9D">
        <w:t xml:space="preserve">élevées issues </w:t>
      </w:r>
      <w:proofErr w:type="gramStart"/>
      <w:r w:rsidR="00553D9D">
        <w:t>d'une</w:t>
      </w:r>
      <w:proofErr w:type="gramEnd"/>
      <w:r w:rsidR="00553D9D">
        <w:t xml:space="preserve"> trop grande consommation antérieure comme étant des investissements.</w:t>
      </w:r>
    </w:p>
    <w:p w14:paraId="75E786BB" w14:textId="77777777" w:rsidR="008727EB" w:rsidRPr="008727EB" w:rsidRDefault="008727EB" w:rsidP="008727EB">
      <w:pPr>
        <w:ind w:left="360"/>
        <w:jc w:val="both"/>
        <w:rPr>
          <w:color w:val="FF6700" w:themeColor="accent3"/>
        </w:rPr>
      </w:pPr>
    </w:p>
    <w:p w14:paraId="0E87D98C" w14:textId="2C773FDD" w:rsidR="00FA3591" w:rsidRPr="00A157D5" w:rsidRDefault="00A157D5" w:rsidP="006C34CF">
      <w:pPr>
        <w:pStyle w:val="Paragraphedeliste"/>
        <w:numPr>
          <w:ilvl w:val="0"/>
          <w:numId w:val="89"/>
        </w:numPr>
        <w:jc w:val="both"/>
        <w:rPr>
          <w:color w:val="FF6700" w:themeColor="accent3"/>
        </w:rPr>
      </w:pPr>
      <w:r w:rsidRPr="00A157D5">
        <w:rPr>
          <w:rFonts w:asciiTheme="majorHAnsi" w:hAnsiTheme="majorHAnsi"/>
          <w:color w:val="FF6700" w:themeColor="accent3"/>
        </w:rPr>
        <w:t>Régime d'accession à la propriété</w:t>
      </w:r>
      <w:r w:rsidRPr="00A157D5">
        <w:rPr>
          <w:color w:val="FF6700" w:themeColor="accent3"/>
        </w:rPr>
        <w:t xml:space="preserve"> (RAP)</w:t>
      </w:r>
    </w:p>
    <w:p w14:paraId="0CB17939" w14:textId="77777777" w:rsidR="00FA3591" w:rsidRDefault="00FA3591" w:rsidP="00DA5B57">
      <w:pPr>
        <w:jc w:val="both"/>
      </w:pPr>
    </w:p>
    <w:p w14:paraId="17605B8D" w14:textId="74B3D6DA" w:rsidR="001F1764" w:rsidRDefault="001F1764" w:rsidP="00DA5B57">
      <w:pPr>
        <w:jc w:val="both"/>
      </w:pPr>
      <w:r>
        <w:t>Le régime d'accession à la propriété constitue la plus importante mesure fiscale facilit</w:t>
      </w:r>
      <w:r w:rsidR="00277F50">
        <w:t>ant</w:t>
      </w:r>
      <w:r>
        <w:t xml:space="preserve"> l'achat d'une première maison. Lorsque la mesure est bien utilisée, à l'intérieur d'une limite qui ne dénature pas les besoins et les capacités du futur acheteur, celle-ci devient un atout intéressant qui permet</w:t>
      </w:r>
      <w:r w:rsidR="00277F50">
        <w:t>, notamment,</w:t>
      </w:r>
      <w:r>
        <w:t xml:space="preserve"> de réduire certains coûts. Pous</w:t>
      </w:r>
      <w:r w:rsidR="00277F50">
        <w:t>ser à la limite, jusque dans ses derniers retranchements, la mesure devient rapidement un dangereux levier pouvant confiner l'acheteur dans un étau où il n'a plus aucune marge de manoeuvre financière.</w:t>
      </w:r>
      <w:r>
        <w:t xml:space="preserve"> </w:t>
      </w:r>
    </w:p>
    <w:p w14:paraId="2A1137FF" w14:textId="77777777" w:rsidR="00595268" w:rsidRDefault="00595268" w:rsidP="00DA5B57">
      <w:pPr>
        <w:jc w:val="both"/>
      </w:pPr>
    </w:p>
    <w:p w14:paraId="5AD38314" w14:textId="12D87397" w:rsidR="006C1B20" w:rsidRDefault="005701BA" w:rsidP="00DA5B57">
      <w:pPr>
        <w:jc w:val="both"/>
      </w:pPr>
      <w:r>
        <w:t xml:space="preserve">Nous étudierons plus à fond le </w:t>
      </w:r>
      <w:r w:rsidR="00E52C1D">
        <w:t xml:space="preserve">côté, parfois, sombre du </w:t>
      </w:r>
      <w:r>
        <w:t xml:space="preserve">RAP dans le cadre </w:t>
      </w:r>
      <w:r w:rsidRPr="005701BA">
        <w:rPr>
          <w:color w:val="008000"/>
        </w:rPr>
        <w:t>SUJET 8</w:t>
      </w:r>
      <w:r>
        <w:t xml:space="preserve"> qui portera sur l'habitation. Pour l'instant, je vous invite à visionner une capsule vidéo qui introdui</w:t>
      </w:r>
      <w:r w:rsidR="00452A46">
        <w:t>t</w:t>
      </w:r>
      <w:r>
        <w:t xml:space="preserve"> le concept.</w:t>
      </w:r>
    </w:p>
    <w:p w14:paraId="67EC6EFD" w14:textId="148D9EAE" w:rsidR="005701BA" w:rsidRDefault="005701BA" w:rsidP="00DA5B57">
      <w:pPr>
        <w:jc w:val="both"/>
      </w:pPr>
      <w:r w:rsidRPr="000D12A4">
        <w:rPr>
          <w:noProof/>
          <w:color w:val="AF0013"/>
          <w:lang w:eastAsia="fr-FR"/>
        </w:rPr>
        <w:drawing>
          <wp:anchor distT="0" distB="0" distL="114300" distR="114300" simplePos="0" relativeHeight="252651520" behindDoc="0" locked="0" layoutInCell="1" allowOverlap="1" wp14:anchorId="35E35EF3" wp14:editId="45D1D952">
            <wp:simplePos x="0" y="0"/>
            <wp:positionH relativeFrom="column">
              <wp:posOffset>2857500</wp:posOffset>
            </wp:positionH>
            <wp:positionV relativeFrom="paragraph">
              <wp:posOffset>138430</wp:posOffset>
            </wp:positionV>
            <wp:extent cx="579120" cy="571500"/>
            <wp:effectExtent l="0" t="0" r="5080" b="12700"/>
            <wp:wrapNone/>
            <wp:docPr id="489" name="Image 489">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E0E22DB" w14:textId="77777777" w:rsidR="005701BA" w:rsidRDefault="005701BA" w:rsidP="00DA5B57">
      <w:pPr>
        <w:jc w:val="both"/>
      </w:pPr>
    </w:p>
    <w:p w14:paraId="0C5A2934" w14:textId="580A0C7B" w:rsidR="005701BA" w:rsidRPr="005701BA" w:rsidRDefault="00573C95" w:rsidP="00DA5B57">
      <w:pPr>
        <w:jc w:val="both"/>
        <w:rPr>
          <w:color w:val="AF0013"/>
        </w:rPr>
      </w:pPr>
      <w:hyperlink r:id="rId119" w:history="1">
        <w:r w:rsidR="005701BA" w:rsidRPr="005701BA">
          <w:rPr>
            <w:rStyle w:val="Lienhypertexte"/>
            <w:color w:val="AF0013"/>
          </w:rPr>
          <w:t>Capsule 7-8 Introduction au RAP</w:t>
        </w:r>
      </w:hyperlink>
      <w:r w:rsidR="005701BA" w:rsidRPr="005701BA">
        <w:rPr>
          <w:color w:val="AF0013"/>
        </w:rPr>
        <w:t xml:space="preserve"> </w:t>
      </w:r>
    </w:p>
    <w:p w14:paraId="79EB54E7" w14:textId="77777777" w:rsidR="005701BA" w:rsidRDefault="005701BA" w:rsidP="00DA5B57">
      <w:pPr>
        <w:jc w:val="both"/>
      </w:pPr>
    </w:p>
    <w:p w14:paraId="43190AB9" w14:textId="77777777" w:rsidR="005701BA" w:rsidRDefault="005701BA" w:rsidP="00DA5B57">
      <w:pPr>
        <w:jc w:val="both"/>
      </w:pPr>
    </w:p>
    <w:p w14:paraId="55734CC7" w14:textId="55CF91C7" w:rsidR="00595268" w:rsidRDefault="003719EA" w:rsidP="00DA5B57">
      <w:pPr>
        <w:jc w:val="both"/>
      </w:pPr>
      <w:r>
        <w:t xml:space="preserve">À ce stade-ci, </w:t>
      </w:r>
      <w:r w:rsidR="00E52C1D">
        <w:t>nous vous présentons</w:t>
      </w:r>
      <w:r>
        <w:t xml:space="preserve"> quelques constats généraux, à savoir:</w:t>
      </w:r>
    </w:p>
    <w:p w14:paraId="49D0EA53" w14:textId="77777777" w:rsidR="003719EA" w:rsidRDefault="003719EA" w:rsidP="00DA5B57">
      <w:pPr>
        <w:jc w:val="both"/>
      </w:pPr>
    </w:p>
    <w:p w14:paraId="7D2FF35D" w14:textId="13140EDA" w:rsidR="003719EA" w:rsidRDefault="003719EA" w:rsidP="006C34CF">
      <w:pPr>
        <w:pStyle w:val="Paragraphedeliste"/>
        <w:numPr>
          <w:ilvl w:val="0"/>
          <w:numId w:val="106"/>
        </w:numPr>
        <w:jc w:val="both"/>
      </w:pPr>
      <w:r>
        <w:t xml:space="preserve"> Que l'emprunt à même le REÉR d'un contribuable, dans le cadre du RAP, peut être intéressant, si:</w:t>
      </w:r>
    </w:p>
    <w:p w14:paraId="74524453" w14:textId="77777777" w:rsidR="003719EA" w:rsidRDefault="003719EA" w:rsidP="003719EA">
      <w:pPr>
        <w:ind w:left="360"/>
        <w:jc w:val="both"/>
      </w:pPr>
    </w:p>
    <w:p w14:paraId="038A8DDA" w14:textId="75792726" w:rsidR="003719EA" w:rsidRDefault="003719EA" w:rsidP="006C34CF">
      <w:pPr>
        <w:pStyle w:val="Paragraphedeliste"/>
        <w:numPr>
          <w:ilvl w:val="1"/>
          <w:numId w:val="52"/>
        </w:numPr>
        <w:jc w:val="both"/>
      </w:pPr>
      <w:r>
        <w:t xml:space="preserve">Il permet de cumuler une mise de </w:t>
      </w:r>
      <w:r w:rsidR="00C32B9C">
        <w:t>fonds</w:t>
      </w:r>
      <w:r>
        <w:t xml:space="preserve"> de 20 % du coût de la maison, évitant ainsi les frais d'assurance prêt hypothécaire de la SCHL</w:t>
      </w:r>
      <w:r w:rsidR="00735258">
        <w:t>.</w:t>
      </w:r>
    </w:p>
    <w:p w14:paraId="6DF5352C" w14:textId="77777777" w:rsidR="003719EA" w:rsidRDefault="003719EA" w:rsidP="003719EA">
      <w:pPr>
        <w:ind w:left="1080"/>
        <w:jc w:val="both"/>
      </w:pPr>
    </w:p>
    <w:p w14:paraId="7305DA15" w14:textId="51CB0B8C" w:rsidR="003719EA" w:rsidRPr="00735258" w:rsidRDefault="003719EA" w:rsidP="006C34CF">
      <w:pPr>
        <w:pStyle w:val="Paragraphedeliste"/>
        <w:numPr>
          <w:ilvl w:val="1"/>
          <w:numId w:val="52"/>
        </w:numPr>
        <w:jc w:val="both"/>
      </w:pPr>
      <w:r>
        <w:t>Il permet au contribuable ou au couple de faire l'acquisition d'une résidence</w:t>
      </w:r>
      <w:r w:rsidR="00735258">
        <w:t xml:space="preserve"> qui correspond à </w:t>
      </w:r>
      <w:r w:rsidR="00735258" w:rsidRPr="00735258">
        <w:rPr>
          <w:u w:val="single"/>
        </w:rPr>
        <w:t>leur besoin</w:t>
      </w:r>
      <w:r w:rsidR="00735258">
        <w:t xml:space="preserve"> et leur </w:t>
      </w:r>
      <w:r w:rsidR="00735258" w:rsidRPr="00735258">
        <w:rPr>
          <w:u w:val="single"/>
        </w:rPr>
        <w:t>capacité financière</w:t>
      </w:r>
      <w:r w:rsidR="00307AB2">
        <w:rPr>
          <w:u w:val="single"/>
        </w:rPr>
        <w:t xml:space="preserve">, </w:t>
      </w:r>
      <w:r w:rsidR="00307AB2" w:rsidRPr="00307AB2">
        <w:t>sans aucune enflure</w:t>
      </w:r>
      <w:r w:rsidR="00735258" w:rsidRPr="00307AB2">
        <w:t>.</w:t>
      </w:r>
    </w:p>
    <w:p w14:paraId="45955EE1" w14:textId="566FD126" w:rsidR="00735258" w:rsidRDefault="00735258" w:rsidP="006C34CF">
      <w:pPr>
        <w:pStyle w:val="Paragraphedeliste"/>
        <w:numPr>
          <w:ilvl w:val="1"/>
          <w:numId w:val="52"/>
        </w:numPr>
        <w:jc w:val="both"/>
      </w:pPr>
      <w:r>
        <w:lastRenderedPageBreak/>
        <w:t xml:space="preserve">Le rendement généré au REÉR n'est pas démesurément élevé par rapport au coût des intérêts hypothécaires. Il ne faut pas oublier que le RAP dans son essence </w:t>
      </w:r>
      <w:r w:rsidR="00C32B9C">
        <w:t>financière</w:t>
      </w:r>
      <w:r>
        <w:t xml:space="preserve"> vise à déplacer le rendement du REÉR vers une réduction des intérêts hypothécaires. Lorsque le contribuable </w:t>
      </w:r>
      <w:r w:rsidR="0011638B">
        <w:t xml:space="preserve">entreprend de </w:t>
      </w:r>
      <w:r>
        <w:t>retire</w:t>
      </w:r>
      <w:r w:rsidR="0011638B">
        <w:t>r</w:t>
      </w:r>
      <w:r>
        <w:t xml:space="preserve"> 25 000 $ de son REÉR dans le cadre du RAP, il renonce à un rendement REÉR sur ce 25 000 $ en échange d'une réduction d'intérêt hypothécaire sur ce même montant.</w:t>
      </w:r>
    </w:p>
    <w:p w14:paraId="4EBA9842" w14:textId="77777777" w:rsidR="00575832" w:rsidRDefault="00575832" w:rsidP="00575832">
      <w:pPr>
        <w:ind w:left="1080"/>
        <w:jc w:val="both"/>
      </w:pPr>
    </w:p>
    <w:p w14:paraId="0D984765" w14:textId="54619974" w:rsidR="00575832" w:rsidRDefault="00307AB2" w:rsidP="006C34CF">
      <w:pPr>
        <w:pStyle w:val="Paragraphedeliste"/>
        <w:numPr>
          <w:ilvl w:val="1"/>
          <w:numId w:val="52"/>
        </w:numPr>
        <w:jc w:val="both"/>
      </w:pPr>
      <w:r>
        <w:t>Que le contribuable arrive à effectuer les remboursements annuels minimums de 1/15 du montant retiré (remboursement linéaire sur 15 années).</w:t>
      </w:r>
    </w:p>
    <w:p w14:paraId="13FC62A9" w14:textId="77777777" w:rsidR="00307AB2" w:rsidRDefault="00307AB2" w:rsidP="00307AB2">
      <w:pPr>
        <w:ind w:left="1080"/>
        <w:jc w:val="both"/>
      </w:pPr>
    </w:p>
    <w:p w14:paraId="3F48C97D" w14:textId="142D3002" w:rsidR="00307AB2" w:rsidRDefault="00307AB2" w:rsidP="006C34CF">
      <w:pPr>
        <w:pStyle w:val="Paragraphedeliste"/>
        <w:numPr>
          <w:ilvl w:val="0"/>
          <w:numId w:val="105"/>
        </w:numPr>
        <w:jc w:val="both"/>
      </w:pPr>
      <w:r>
        <w:t>Le contribuable devrait se contenter d'effectuer le remboursement minimum requis par le RAP puisque celui-ci ne confère aucun avantage fiscal supplémentaire (ce montant ne sera pas considéré comme une déduction fiscale). Ceci ne veut pas pour autant dire que le contribuable doit freiner son élan d'épargnant puisque les montants supplémentaires d'épargne devraient faire l'objet du choix d'optimisation habituel en matière de placement. C'est-à-dire, prioriser une nouvelle cotisation REÉR ou CÉLI ou REÉÉ ou le remboursement d'une dette coûteuse.</w:t>
      </w:r>
    </w:p>
    <w:p w14:paraId="7F8913C8" w14:textId="77777777" w:rsidR="0078768B" w:rsidRDefault="0078768B" w:rsidP="0078768B">
      <w:pPr>
        <w:ind w:left="360"/>
        <w:jc w:val="both"/>
      </w:pPr>
    </w:p>
    <w:p w14:paraId="48C8EAF3" w14:textId="041AD733" w:rsidR="0078768B" w:rsidRDefault="0078768B" w:rsidP="006C34CF">
      <w:pPr>
        <w:pStyle w:val="Paragraphedeliste"/>
        <w:numPr>
          <w:ilvl w:val="0"/>
          <w:numId w:val="104"/>
        </w:numPr>
        <w:jc w:val="both"/>
      </w:pPr>
      <w:r>
        <w:t xml:space="preserve">Par ailleurs, il est particulier, voire énigmatique, de constater que la somme qui a fait l'objet d'un retrait du REÉR, dans le cadre d'un RAP, n'a pas à être </w:t>
      </w:r>
      <w:r w:rsidR="00C32B9C">
        <w:t>utilisée</w:t>
      </w:r>
      <w:r>
        <w:t xml:space="preserve"> dans le montage financier de l'acquisition de la maison </w:t>
      </w:r>
      <w:r w:rsidR="00C32B9C">
        <w:t>en tant que telle</w:t>
      </w:r>
      <w:r>
        <w:t>. Dans des cas fort</w:t>
      </w:r>
      <w:r w:rsidR="009516EF">
        <w:t>s</w:t>
      </w:r>
      <w:r>
        <w:t xml:space="preserve"> pointu</w:t>
      </w:r>
      <w:r w:rsidR="009516EF">
        <w:t>s</w:t>
      </w:r>
      <w:r>
        <w:t xml:space="preserve">, cette particularité pourrait donner lieu à des </w:t>
      </w:r>
      <w:r w:rsidR="00C32B9C">
        <w:t>planifications</w:t>
      </w:r>
      <w:r>
        <w:t xml:space="preserve"> intéressantes dans le cas de contribuables qui ont déjà les montants requis pour effectuer une mise de </w:t>
      </w:r>
      <w:r w:rsidR="00C32B9C">
        <w:t>fonds</w:t>
      </w:r>
      <w:r>
        <w:t xml:space="preserve"> de 20 % pour faire l'acquisition d'une première maison.</w:t>
      </w:r>
      <w:r w:rsidR="00B755EF">
        <w:t xml:space="preserve"> Pensons à un RAP, qui servirait à investir </w:t>
      </w:r>
      <w:r w:rsidR="009516EF">
        <w:t xml:space="preserve">dans </w:t>
      </w:r>
      <w:r w:rsidR="00B755EF">
        <w:t>un CÉLI, tout en effectuant bien sagement les remboursement</w:t>
      </w:r>
      <w:r w:rsidR="00C1468D">
        <w:t>s</w:t>
      </w:r>
      <w:r w:rsidR="00B755EF">
        <w:t xml:space="preserve"> </w:t>
      </w:r>
      <w:r w:rsidR="009516EF">
        <w:t xml:space="preserve">annuels </w:t>
      </w:r>
      <w:r w:rsidR="00B755EF">
        <w:t>minimums requis.</w:t>
      </w:r>
      <w:r w:rsidR="00E52C1D">
        <w:t xml:space="preserve">  </w:t>
      </w:r>
    </w:p>
    <w:p w14:paraId="32C4AEE0" w14:textId="77777777" w:rsidR="008C38AB" w:rsidRDefault="008C38AB" w:rsidP="008C38AB">
      <w:pPr>
        <w:ind w:left="360"/>
        <w:jc w:val="both"/>
      </w:pPr>
    </w:p>
    <w:p w14:paraId="3E759BE5" w14:textId="77777777" w:rsidR="008C38AB" w:rsidRDefault="008C38AB" w:rsidP="008C38AB">
      <w:pPr>
        <w:ind w:left="360"/>
        <w:jc w:val="both"/>
      </w:pPr>
    </w:p>
    <w:p w14:paraId="40EA75D6" w14:textId="77777777" w:rsidR="008C38AB" w:rsidRDefault="008C38AB" w:rsidP="008C38AB">
      <w:pPr>
        <w:ind w:left="360"/>
        <w:jc w:val="both"/>
      </w:pPr>
    </w:p>
    <w:p w14:paraId="7DB75DD1" w14:textId="77777777" w:rsidR="008C38AB" w:rsidRDefault="008C38AB" w:rsidP="008C38AB">
      <w:pPr>
        <w:ind w:left="360"/>
        <w:jc w:val="both"/>
      </w:pPr>
    </w:p>
    <w:p w14:paraId="7E971B46" w14:textId="77777777" w:rsidR="008C38AB" w:rsidRDefault="008C38AB" w:rsidP="008C38AB">
      <w:pPr>
        <w:ind w:left="360"/>
        <w:jc w:val="both"/>
      </w:pPr>
    </w:p>
    <w:p w14:paraId="05FE527B" w14:textId="77777777" w:rsidR="008C38AB" w:rsidRDefault="008C38AB" w:rsidP="008C38AB">
      <w:pPr>
        <w:ind w:left="360"/>
        <w:jc w:val="both"/>
      </w:pPr>
    </w:p>
    <w:p w14:paraId="08AEEA84" w14:textId="77777777" w:rsidR="008C38AB" w:rsidRDefault="008C38AB" w:rsidP="008C38AB">
      <w:pPr>
        <w:ind w:left="360"/>
        <w:jc w:val="both"/>
      </w:pPr>
    </w:p>
    <w:p w14:paraId="3967756A" w14:textId="77777777" w:rsidR="008C38AB" w:rsidRDefault="008C38AB" w:rsidP="008C38AB">
      <w:pPr>
        <w:ind w:left="360"/>
        <w:jc w:val="both"/>
      </w:pPr>
    </w:p>
    <w:p w14:paraId="51102478" w14:textId="77777777" w:rsidR="008C38AB" w:rsidRDefault="008C38AB" w:rsidP="008C38AB">
      <w:pPr>
        <w:ind w:left="360"/>
        <w:jc w:val="both"/>
      </w:pPr>
    </w:p>
    <w:p w14:paraId="13C2155B" w14:textId="2240FD5F" w:rsidR="007464B5" w:rsidRDefault="007464B5" w:rsidP="007464B5">
      <w:pPr>
        <w:jc w:val="both"/>
      </w:pPr>
      <w:r>
        <w:lastRenderedPageBreak/>
        <w:t>Résumé des règles applicables au RAP</w:t>
      </w:r>
    </w:p>
    <w:p w14:paraId="6321CB17" w14:textId="77777777" w:rsidR="008C38AB" w:rsidRDefault="008C38AB" w:rsidP="007464B5">
      <w:pPr>
        <w:jc w:val="both"/>
      </w:pPr>
    </w:p>
    <w:p w14:paraId="22791E61" w14:textId="77777777" w:rsidR="008C38AB" w:rsidRDefault="008C38AB" w:rsidP="007464B5">
      <w:pPr>
        <w:jc w:val="both"/>
      </w:pPr>
    </w:p>
    <w:tbl>
      <w:tblPr>
        <w:tblStyle w:val="Grille"/>
        <w:tblW w:w="0" w:type="auto"/>
        <w:tblLook w:val="04A0" w:firstRow="1" w:lastRow="0" w:firstColumn="1" w:lastColumn="0" w:noHBand="0" w:noVBand="1"/>
      </w:tblPr>
      <w:tblGrid>
        <w:gridCol w:w="4382"/>
        <w:gridCol w:w="8767"/>
      </w:tblGrid>
      <w:tr w:rsidR="007464B5" w14:paraId="3B15E44D" w14:textId="77777777" w:rsidTr="007464B5">
        <w:tc>
          <w:tcPr>
            <w:tcW w:w="4382" w:type="dxa"/>
            <w:tcBorders>
              <w:top w:val="nil"/>
              <w:left w:val="nil"/>
              <w:bottom w:val="nil"/>
              <w:right w:val="nil"/>
            </w:tcBorders>
            <w:shd w:val="clear" w:color="auto" w:fill="7F7F7F" w:themeFill="text1" w:themeFillTint="80"/>
          </w:tcPr>
          <w:p w14:paraId="2B8B83B4" w14:textId="7CF5C4C2" w:rsidR="007464B5" w:rsidRPr="00D462DC" w:rsidRDefault="007464B5" w:rsidP="007464B5">
            <w:pPr>
              <w:rPr>
                <w:color w:val="FFFFFF" w:themeColor="background1"/>
              </w:rPr>
            </w:pPr>
            <w:r w:rsidRPr="00D462DC">
              <w:rPr>
                <w:color w:val="FFFFFF" w:themeColor="background1"/>
              </w:rPr>
              <w:t>Habitation admissible</w:t>
            </w:r>
          </w:p>
          <w:p w14:paraId="2248636A" w14:textId="77777777" w:rsidR="007464B5" w:rsidRPr="00D462DC" w:rsidRDefault="007464B5" w:rsidP="007464B5">
            <w:pPr>
              <w:rPr>
                <w:color w:val="FFFFFF" w:themeColor="background1"/>
              </w:rPr>
            </w:pPr>
          </w:p>
        </w:tc>
        <w:tc>
          <w:tcPr>
            <w:tcW w:w="8767" w:type="dxa"/>
            <w:tcBorders>
              <w:top w:val="nil"/>
              <w:left w:val="nil"/>
              <w:bottom w:val="nil"/>
              <w:right w:val="nil"/>
            </w:tcBorders>
            <w:shd w:val="clear" w:color="auto" w:fill="5DDEDB"/>
          </w:tcPr>
          <w:p w14:paraId="5094FEAD" w14:textId="223ED1AC" w:rsidR="007464B5" w:rsidRDefault="007464B5" w:rsidP="007464B5">
            <w:pPr>
              <w:jc w:val="both"/>
            </w:pPr>
            <w:r>
              <w:t>1</w:t>
            </w:r>
            <w:r w:rsidRPr="007464B5">
              <w:rPr>
                <w:vertAlign w:val="superscript"/>
              </w:rPr>
              <w:t>re</w:t>
            </w:r>
            <w:r>
              <w:t xml:space="preserve"> maison</w:t>
            </w:r>
            <w:r w:rsidR="00157F7C">
              <w:rPr>
                <w:rStyle w:val="Marquenotebasdepage"/>
              </w:rPr>
              <w:footnoteReference w:customMarkFollows="1" w:id="68"/>
              <w:t>65</w:t>
            </w:r>
            <w:r>
              <w:t xml:space="preserve"> (Pour un couple, il doit s'agir d'une 1</w:t>
            </w:r>
            <w:r w:rsidRPr="007464B5">
              <w:rPr>
                <w:vertAlign w:val="superscript"/>
              </w:rPr>
              <w:t>re</w:t>
            </w:r>
            <w:r>
              <w:t xml:space="preserve"> maison pour les deux conjoints)</w:t>
            </w:r>
          </w:p>
          <w:p w14:paraId="6D1AE025" w14:textId="03A44919" w:rsidR="007464B5" w:rsidRDefault="007464B5" w:rsidP="007464B5">
            <w:pPr>
              <w:jc w:val="both"/>
            </w:pPr>
          </w:p>
        </w:tc>
      </w:tr>
      <w:tr w:rsidR="00AF647C" w14:paraId="102B4F7B" w14:textId="77777777" w:rsidTr="007464B5">
        <w:tc>
          <w:tcPr>
            <w:tcW w:w="4382" w:type="dxa"/>
            <w:tcBorders>
              <w:top w:val="nil"/>
              <w:left w:val="nil"/>
              <w:bottom w:val="nil"/>
              <w:right w:val="nil"/>
            </w:tcBorders>
            <w:shd w:val="clear" w:color="auto" w:fill="7F7F7F" w:themeFill="text1" w:themeFillTint="80"/>
          </w:tcPr>
          <w:p w14:paraId="2343C623" w14:textId="6894E471" w:rsidR="00AF647C" w:rsidRPr="00D462DC" w:rsidRDefault="00AF647C" w:rsidP="007464B5">
            <w:pPr>
              <w:rPr>
                <w:color w:val="FFFFFF" w:themeColor="background1"/>
              </w:rPr>
            </w:pPr>
            <w:r w:rsidRPr="00D462DC">
              <w:rPr>
                <w:color w:val="FFFFFF" w:themeColor="background1"/>
              </w:rPr>
              <w:t>Délai pour l'achat de la maison</w:t>
            </w:r>
          </w:p>
        </w:tc>
        <w:tc>
          <w:tcPr>
            <w:tcW w:w="8767" w:type="dxa"/>
            <w:tcBorders>
              <w:top w:val="nil"/>
              <w:left w:val="nil"/>
              <w:bottom w:val="nil"/>
              <w:right w:val="nil"/>
            </w:tcBorders>
            <w:shd w:val="clear" w:color="auto" w:fill="5DDEDB"/>
          </w:tcPr>
          <w:p w14:paraId="7A14EF3F" w14:textId="330CBD2F" w:rsidR="00AF647C" w:rsidRDefault="00AF647C" w:rsidP="007464B5">
            <w:pPr>
              <w:jc w:val="both"/>
            </w:pPr>
            <w:r>
              <w:t xml:space="preserve">Au plus tard, le 31 octobre de </w:t>
            </w:r>
            <w:r w:rsidRPr="00AF647C">
              <w:rPr>
                <w:u w:val="single"/>
              </w:rPr>
              <w:t>l'année suivant</w:t>
            </w:r>
            <w:r>
              <w:t xml:space="preserve"> le retrait du RPA</w:t>
            </w:r>
          </w:p>
        </w:tc>
      </w:tr>
      <w:tr w:rsidR="007464B5" w14:paraId="0855834D" w14:textId="77777777" w:rsidTr="007464B5">
        <w:tc>
          <w:tcPr>
            <w:tcW w:w="4382" w:type="dxa"/>
            <w:tcBorders>
              <w:top w:val="nil"/>
              <w:left w:val="nil"/>
              <w:bottom w:val="nil"/>
              <w:right w:val="nil"/>
            </w:tcBorders>
            <w:shd w:val="clear" w:color="auto" w:fill="7F7F7F" w:themeFill="text1" w:themeFillTint="80"/>
          </w:tcPr>
          <w:p w14:paraId="51E4375D" w14:textId="7EFB0E55" w:rsidR="007464B5" w:rsidRPr="00D462DC" w:rsidRDefault="007464B5" w:rsidP="007464B5">
            <w:pPr>
              <w:rPr>
                <w:color w:val="FFFFFF" w:themeColor="background1"/>
              </w:rPr>
            </w:pPr>
            <w:r w:rsidRPr="00D462DC">
              <w:rPr>
                <w:color w:val="FFFFFF" w:themeColor="background1"/>
              </w:rPr>
              <w:t>Montant maximum</w:t>
            </w:r>
          </w:p>
          <w:p w14:paraId="3B2CB903" w14:textId="77777777" w:rsidR="007464B5" w:rsidRPr="00D462DC" w:rsidRDefault="007464B5" w:rsidP="007464B5">
            <w:pPr>
              <w:rPr>
                <w:color w:val="FFFFFF" w:themeColor="background1"/>
              </w:rPr>
            </w:pPr>
          </w:p>
        </w:tc>
        <w:tc>
          <w:tcPr>
            <w:tcW w:w="8767" w:type="dxa"/>
            <w:tcBorders>
              <w:top w:val="nil"/>
              <w:left w:val="nil"/>
              <w:bottom w:val="nil"/>
              <w:right w:val="nil"/>
            </w:tcBorders>
            <w:shd w:val="clear" w:color="auto" w:fill="5DDEDB"/>
          </w:tcPr>
          <w:p w14:paraId="67E2F172" w14:textId="6F861654" w:rsidR="007464B5" w:rsidRDefault="007464B5" w:rsidP="007464B5">
            <w:pPr>
              <w:jc w:val="both"/>
            </w:pPr>
            <w:r>
              <w:t>25 000 $  par contribuable (50 000 $ pour un couple)</w:t>
            </w:r>
          </w:p>
        </w:tc>
      </w:tr>
      <w:tr w:rsidR="007464B5" w14:paraId="66800A33" w14:textId="77777777" w:rsidTr="007464B5">
        <w:tc>
          <w:tcPr>
            <w:tcW w:w="4382" w:type="dxa"/>
            <w:tcBorders>
              <w:top w:val="nil"/>
              <w:left w:val="nil"/>
              <w:bottom w:val="nil"/>
              <w:right w:val="nil"/>
            </w:tcBorders>
            <w:shd w:val="clear" w:color="auto" w:fill="7F7F7F" w:themeFill="text1" w:themeFillTint="80"/>
          </w:tcPr>
          <w:p w14:paraId="539ACF21" w14:textId="707AAA61" w:rsidR="007464B5" w:rsidRPr="00D462DC" w:rsidRDefault="003653A8" w:rsidP="007464B5">
            <w:pPr>
              <w:rPr>
                <w:color w:val="FFFFFF" w:themeColor="background1"/>
              </w:rPr>
            </w:pPr>
            <w:r w:rsidRPr="00D462DC">
              <w:rPr>
                <w:color w:val="FFFFFF" w:themeColor="background1"/>
              </w:rPr>
              <w:t>Détention dans le REÉR</w:t>
            </w:r>
          </w:p>
          <w:p w14:paraId="7508FAA1" w14:textId="77777777" w:rsidR="007464B5" w:rsidRPr="00D462DC" w:rsidRDefault="007464B5" w:rsidP="007464B5">
            <w:pPr>
              <w:rPr>
                <w:color w:val="FFFFFF" w:themeColor="background1"/>
              </w:rPr>
            </w:pPr>
          </w:p>
        </w:tc>
        <w:tc>
          <w:tcPr>
            <w:tcW w:w="8767" w:type="dxa"/>
            <w:tcBorders>
              <w:top w:val="nil"/>
              <w:left w:val="nil"/>
              <w:bottom w:val="nil"/>
              <w:right w:val="nil"/>
            </w:tcBorders>
            <w:shd w:val="clear" w:color="auto" w:fill="5DDEDB"/>
          </w:tcPr>
          <w:p w14:paraId="02CBFB9B" w14:textId="6A2A0175" w:rsidR="007464B5" w:rsidRDefault="003653A8" w:rsidP="003653A8">
            <w:pPr>
              <w:jc w:val="both"/>
            </w:pPr>
            <w:r>
              <w:t xml:space="preserve">Délai de 90 jours avant d'effectuer les retraits du REÉR </w:t>
            </w:r>
          </w:p>
        </w:tc>
      </w:tr>
      <w:tr w:rsidR="007464B5" w14:paraId="422E7469" w14:textId="77777777" w:rsidTr="007464B5">
        <w:tc>
          <w:tcPr>
            <w:tcW w:w="4382" w:type="dxa"/>
            <w:tcBorders>
              <w:top w:val="nil"/>
              <w:left w:val="nil"/>
              <w:bottom w:val="nil"/>
              <w:right w:val="nil"/>
            </w:tcBorders>
            <w:shd w:val="clear" w:color="auto" w:fill="7F7F7F" w:themeFill="text1" w:themeFillTint="80"/>
          </w:tcPr>
          <w:p w14:paraId="59143CC4" w14:textId="184CD7C4" w:rsidR="007464B5" w:rsidRPr="00D462DC" w:rsidRDefault="003653A8" w:rsidP="007464B5">
            <w:pPr>
              <w:rPr>
                <w:color w:val="FFFFFF" w:themeColor="background1"/>
              </w:rPr>
            </w:pPr>
            <w:r w:rsidRPr="00D462DC">
              <w:rPr>
                <w:color w:val="FFFFFF" w:themeColor="background1"/>
              </w:rPr>
              <w:t>Remboursement du RAP</w:t>
            </w:r>
          </w:p>
          <w:p w14:paraId="786C0DCE" w14:textId="77777777" w:rsidR="007464B5" w:rsidRPr="00D462DC" w:rsidRDefault="007464B5" w:rsidP="007464B5">
            <w:pPr>
              <w:rPr>
                <w:color w:val="FFFFFF" w:themeColor="background1"/>
              </w:rPr>
            </w:pPr>
          </w:p>
        </w:tc>
        <w:tc>
          <w:tcPr>
            <w:tcW w:w="8767" w:type="dxa"/>
            <w:tcBorders>
              <w:top w:val="nil"/>
              <w:left w:val="nil"/>
              <w:bottom w:val="nil"/>
              <w:right w:val="nil"/>
            </w:tcBorders>
            <w:shd w:val="clear" w:color="auto" w:fill="5DDEDB"/>
          </w:tcPr>
          <w:p w14:paraId="0056DA96" w14:textId="285307BD" w:rsidR="007464B5" w:rsidRPr="003653A8" w:rsidRDefault="003653A8" w:rsidP="003653A8">
            <w:r>
              <w:t xml:space="preserve">Linéaire sur une période de 15 ans, à compter de la </w:t>
            </w:r>
            <w:r w:rsidRPr="00AF647C">
              <w:rPr>
                <w:u w:val="single"/>
              </w:rPr>
              <w:t>2</w:t>
            </w:r>
            <w:r w:rsidRPr="00AF647C">
              <w:rPr>
                <w:u w:val="single"/>
                <w:vertAlign w:val="superscript"/>
              </w:rPr>
              <w:t xml:space="preserve">e </w:t>
            </w:r>
            <w:r w:rsidRPr="00AF647C">
              <w:rPr>
                <w:u w:val="single"/>
              </w:rPr>
              <w:t>année</w:t>
            </w:r>
            <w:r w:rsidR="007D4531" w:rsidRPr="00AF647C">
              <w:rPr>
                <w:u w:val="single"/>
              </w:rPr>
              <w:t xml:space="preserve"> suivant</w:t>
            </w:r>
            <w:r w:rsidR="007D4531">
              <w:t xml:space="preserve"> le retrait</w:t>
            </w:r>
          </w:p>
          <w:p w14:paraId="02C106CC" w14:textId="74446EAD" w:rsidR="003653A8" w:rsidRDefault="003653A8" w:rsidP="003653A8"/>
        </w:tc>
      </w:tr>
      <w:tr w:rsidR="007464B5" w14:paraId="7621ECD5" w14:textId="77777777" w:rsidTr="007464B5">
        <w:tc>
          <w:tcPr>
            <w:tcW w:w="4382" w:type="dxa"/>
            <w:tcBorders>
              <w:top w:val="nil"/>
              <w:left w:val="nil"/>
              <w:bottom w:val="nil"/>
              <w:right w:val="nil"/>
            </w:tcBorders>
            <w:shd w:val="clear" w:color="auto" w:fill="7F7F7F" w:themeFill="text1" w:themeFillTint="80"/>
          </w:tcPr>
          <w:p w14:paraId="7F93AF72" w14:textId="3A516D2E" w:rsidR="007464B5" w:rsidRPr="00D462DC" w:rsidRDefault="003653A8" w:rsidP="003653A8">
            <w:pPr>
              <w:rPr>
                <w:color w:val="FFFFFF" w:themeColor="background1"/>
              </w:rPr>
            </w:pPr>
            <w:r w:rsidRPr="00D462DC">
              <w:rPr>
                <w:color w:val="FFFFFF" w:themeColor="background1"/>
              </w:rPr>
              <w:t>Si non remboursement</w:t>
            </w:r>
          </w:p>
        </w:tc>
        <w:tc>
          <w:tcPr>
            <w:tcW w:w="8767" w:type="dxa"/>
            <w:tcBorders>
              <w:top w:val="nil"/>
              <w:left w:val="nil"/>
              <w:bottom w:val="nil"/>
              <w:right w:val="nil"/>
            </w:tcBorders>
            <w:shd w:val="clear" w:color="auto" w:fill="5DDEDB"/>
          </w:tcPr>
          <w:p w14:paraId="2DDC43CD" w14:textId="60D64E1B" w:rsidR="007464B5" w:rsidRDefault="003653A8" w:rsidP="007464B5">
            <w:r>
              <w:t>Le retrait minimum devient une inclusion au revenu imposable</w:t>
            </w:r>
          </w:p>
        </w:tc>
      </w:tr>
    </w:tbl>
    <w:p w14:paraId="33643105" w14:textId="77777777" w:rsidR="006676B1" w:rsidRDefault="006676B1" w:rsidP="006676B1">
      <w:pPr>
        <w:ind w:left="360"/>
        <w:jc w:val="both"/>
      </w:pPr>
    </w:p>
    <w:p w14:paraId="3A83CABD" w14:textId="77777777" w:rsidR="00486E77" w:rsidRDefault="00486E77"/>
    <w:p w14:paraId="6D058BF3" w14:textId="77777777" w:rsidR="00486E77" w:rsidRDefault="00486E77"/>
    <w:p w14:paraId="60746BD7" w14:textId="242A101F" w:rsidR="00A16047" w:rsidRDefault="00811C13">
      <w:r>
        <w:rPr>
          <w:noProof/>
          <w:lang w:eastAsia="fr-FR"/>
        </w:rPr>
        <w:drawing>
          <wp:anchor distT="0" distB="0" distL="114300" distR="114300" simplePos="0" relativeHeight="252653568" behindDoc="0" locked="0" layoutInCell="1" allowOverlap="1" wp14:anchorId="58E69EFA" wp14:editId="643AB021">
            <wp:simplePos x="0" y="0"/>
            <wp:positionH relativeFrom="column">
              <wp:posOffset>5829300</wp:posOffset>
            </wp:positionH>
            <wp:positionV relativeFrom="paragraph">
              <wp:posOffset>96520</wp:posOffset>
            </wp:positionV>
            <wp:extent cx="685800" cy="681990"/>
            <wp:effectExtent l="0" t="0" r="0" b="3810"/>
            <wp:wrapNone/>
            <wp:docPr id="519" name="Image 519" descr="Macintosh HD:Users:marcbachand:Desktop:Capture d’écran 2015-06-08 à 17.04.54.pn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A8C685C" w14:textId="77777777" w:rsidR="00811C13" w:rsidRDefault="00811C13"/>
    <w:p w14:paraId="25B96289" w14:textId="6AD2CD93" w:rsidR="007464B5" w:rsidRDefault="00811C13">
      <w:pPr>
        <w:rPr>
          <w:rStyle w:val="Lienhypertexte"/>
          <w:color w:val="FF6700" w:themeColor="accent3"/>
        </w:rPr>
      </w:pPr>
      <w:r>
        <w:t xml:space="preserve">Pour en connaître </w:t>
      </w:r>
      <w:r w:rsidR="00C32B9C">
        <w:t>davantage</w:t>
      </w:r>
      <w:r>
        <w:t xml:space="preserve"> sur les </w:t>
      </w:r>
      <w:hyperlink r:id="rId121" w:history="1">
        <w:r w:rsidRPr="00486E77">
          <w:rPr>
            <w:rStyle w:val="Lienhypertexte"/>
            <w:color w:val="FF6700" w:themeColor="accent3"/>
          </w:rPr>
          <w:t>règles techniques s'appliquant au RAP</w:t>
        </w:r>
      </w:hyperlink>
    </w:p>
    <w:p w14:paraId="40C7CA20" w14:textId="77777777" w:rsidR="00982E02" w:rsidRDefault="00982E02">
      <w:pPr>
        <w:rPr>
          <w:rStyle w:val="Lienhypertexte"/>
          <w:color w:val="FF6700" w:themeColor="accent3"/>
        </w:rPr>
      </w:pPr>
    </w:p>
    <w:p w14:paraId="4BA21507" w14:textId="77777777" w:rsidR="00982E02" w:rsidRDefault="00982E02">
      <w:pPr>
        <w:rPr>
          <w:rStyle w:val="Lienhypertexte"/>
          <w:color w:val="FF6700" w:themeColor="accent3"/>
        </w:rPr>
      </w:pPr>
    </w:p>
    <w:p w14:paraId="34212285" w14:textId="77777777" w:rsidR="00982E02" w:rsidRDefault="00982E02"/>
    <w:p w14:paraId="102AD72D" w14:textId="5E28743D" w:rsidR="00130B80" w:rsidRPr="00ED224C" w:rsidRDefault="00130B80" w:rsidP="006C34CF">
      <w:pPr>
        <w:pStyle w:val="Paragraphedeliste"/>
        <w:numPr>
          <w:ilvl w:val="0"/>
          <w:numId w:val="88"/>
        </w:numPr>
        <w:jc w:val="both"/>
        <w:rPr>
          <w:color w:val="FF6700" w:themeColor="accent3"/>
        </w:rPr>
      </w:pPr>
      <w:r w:rsidRPr="00130B80">
        <w:rPr>
          <w:rFonts w:asciiTheme="majorHAnsi" w:hAnsiTheme="majorHAnsi"/>
          <w:color w:val="FF6700" w:themeColor="accent3"/>
        </w:rPr>
        <w:t>Régime d'encouragement à l'éducation permanente (REEP)</w:t>
      </w:r>
    </w:p>
    <w:p w14:paraId="7FF3962F" w14:textId="77777777" w:rsidR="00ED224C" w:rsidRPr="00ED224C" w:rsidRDefault="00ED224C" w:rsidP="00ED224C">
      <w:pPr>
        <w:ind w:left="360"/>
        <w:jc w:val="both"/>
        <w:rPr>
          <w:color w:val="FF6700" w:themeColor="accent3"/>
        </w:rPr>
      </w:pPr>
    </w:p>
    <w:p w14:paraId="578096AB" w14:textId="07BC714E" w:rsidR="00033649" w:rsidRDefault="00ED224C" w:rsidP="00ED224C">
      <w:pPr>
        <w:jc w:val="both"/>
      </w:pPr>
      <w:r>
        <w:t xml:space="preserve">Le régime d'encouragement à l'éducation permanente se veut une mécanique fiscale qui s'apparente à celle du RAP. Leurs fonctionnements sont essentiellement les mêmes avec cependant des paramètres différents. Les deux régimes permettent de retirer immédiatement des fonds du REÉR (sans imposition) qui devront être </w:t>
      </w:r>
      <w:r w:rsidR="00C32B9C">
        <w:lastRenderedPageBreak/>
        <w:t>remboursés</w:t>
      </w:r>
      <w:r>
        <w:t xml:space="preserve"> dans le futur.  Cette forme d'emprunt sert à financer l'achat d'une première maison dans le cadre du RAP et un retour aux études dans le cas du REEP.</w:t>
      </w:r>
    </w:p>
    <w:p w14:paraId="3ADB29C8" w14:textId="77777777" w:rsidR="00033649" w:rsidRDefault="00033649" w:rsidP="00ED224C">
      <w:pPr>
        <w:jc w:val="both"/>
      </w:pPr>
    </w:p>
    <w:p w14:paraId="12B58DA4" w14:textId="77777777" w:rsidR="00982E02" w:rsidRDefault="00982E02" w:rsidP="00ED224C">
      <w:pPr>
        <w:jc w:val="both"/>
      </w:pPr>
    </w:p>
    <w:p w14:paraId="4CBA5C65" w14:textId="6B1DC63F" w:rsidR="008C62A4" w:rsidRDefault="008C62A4" w:rsidP="008C62A4">
      <w:pPr>
        <w:jc w:val="both"/>
      </w:pPr>
      <w:r>
        <w:t>Résumé des règles applicables au REEP</w:t>
      </w:r>
    </w:p>
    <w:p w14:paraId="16843D77" w14:textId="77777777" w:rsidR="008C62A4" w:rsidRDefault="008C62A4" w:rsidP="008C62A4">
      <w:pPr>
        <w:jc w:val="both"/>
      </w:pPr>
    </w:p>
    <w:p w14:paraId="76360D9F" w14:textId="77777777" w:rsidR="00982E02" w:rsidRDefault="00982E02" w:rsidP="008C62A4">
      <w:pPr>
        <w:jc w:val="both"/>
      </w:pPr>
    </w:p>
    <w:tbl>
      <w:tblPr>
        <w:tblStyle w:val="Grille"/>
        <w:tblW w:w="0" w:type="auto"/>
        <w:tblLook w:val="04A0" w:firstRow="1" w:lastRow="0" w:firstColumn="1" w:lastColumn="0" w:noHBand="0" w:noVBand="1"/>
      </w:tblPr>
      <w:tblGrid>
        <w:gridCol w:w="4382"/>
        <w:gridCol w:w="8767"/>
      </w:tblGrid>
      <w:tr w:rsidR="008C62A4" w14:paraId="08A2A0FA" w14:textId="77777777" w:rsidTr="00D462DC">
        <w:tc>
          <w:tcPr>
            <w:tcW w:w="4382" w:type="dxa"/>
            <w:tcBorders>
              <w:top w:val="nil"/>
              <w:left w:val="nil"/>
              <w:bottom w:val="nil"/>
              <w:right w:val="nil"/>
            </w:tcBorders>
            <w:shd w:val="clear" w:color="auto" w:fill="7F7F7F" w:themeFill="text1" w:themeFillTint="80"/>
          </w:tcPr>
          <w:p w14:paraId="6A36C09D" w14:textId="36456401" w:rsidR="008C62A4" w:rsidRPr="00D462DC" w:rsidRDefault="00E52657" w:rsidP="0089377C">
            <w:pPr>
              <w:rPr>
                <w:color w:val="FFFFFF" w:themeColor="background1"/>
              </w:rPr>
            </w:pPr>
            <w:r>
              <w:rPr>
                <w:color w:val="FFFFFF" w:themeColor="background1"/>
              </w:rPr>
              <w:t xml:space="preserve">Études </w:t>
            </w:r>
            <w:r w:rsidR="008C62A4" w:rsidRPr="00D462DC">
              <w:rPr>
                <w:color w:val="FFFFFF" w:themeColor="background1"/>
              </w:rPr>
              <w:t>admissible</w:t>
            </w:r>
            <w:r>
              <w:rPr>
                <w:color w:val="FFFFFF" w:themeColor="background1"/>
              </w:rPr>
              <w:t>s</w:t>
            </w:r>
          </w:p>
          <w:p w14:paraId="518844B0" w14:textId="77777777" w:rsidR="008C62A4" w:rsidRPr="00D462DC" w:rsidRDefault="008C62A4" w:rsidP="0089377C">
            <w:pPr>
              <w:rPr>
                <w:color w:val="FFFFFF" w:themeColor="background1"/>
              </w:rPr>
            </w:pPr>
          </w:p>
        </w:tc>
        <w:tc>
          <w:tcPr>
            <w:tcW w:w="8767" w:type="dxa"/>
            <w:tcBorders>
              <w:top w:val="nil"/>
              <w:left w:val="nil"/>
              <w:bottom w:val="nil"/>
              <w:right w:val="nil"/>
            </w:tcBorders>
            <w:shd w:val="clear" w:color="auto" w:fill="DFFF82"/>
          </w:tcPr>
          <w:p w14:paraId="73C0053A" w14:textId="11D11C1C" w:rsidR="008C62A4" w:rsidRDefault="00E52657" w:rsidP="0089377C">
            <w:pPr>
              <w:jc w:val="both"/>
            </w:pPr>
            <w:r>
              <w:t>Études à temps plein dans un programme de formation admissible dans un établissement d'enseignement agréé (études post-secondaire</w:t>
            </w:r>
            <w:r w:rsidR="00C32B9C">
              <w:t>s)</w:t>
            </w:r>
          </w:p>
          <w:p w14:paraId="2895747D" w14:textId="77777777" w:rsidR="008C62A4" w:rsidRDefault="008C62A4" w:rsidP="0089377C">
            <w:pPr>
              <w:jc w:val="both"/>
            </w:pPr>
          </w:p>
        </w:tc>
      </w:tr>
      <w:tr w:rsidR="008C62A4" w14:paraId="253F5828" w14:textId="77777777" w:rsidTr="00D462DC">
        <w:tc>
          <w:tcPr>
            <w:tcW w:w="4382" w:type="dxa"/>
            <w:tcBorders>
              <w:top w:val="nil"/>
              <w:left w:val="nil"/>
              <w:bottom w:val="nil"/>
              <w:right w:val="nil"/>
            </w:tcBorders>
            <w:shd w:val="clear" w:color="auto" w:fill="7F7F7F" w:themeFill="text1" w:themeFillTint="80"/>
          </w:tcPr>
          <w:p w14:paraId="620647D2" w14:textId="321EF343" w:rsidR="008C62A4" w:rsidRPr="00D462DC" w:rsidRDefault="008C62A4" w:rsidP="00653E57">
            <w:pPr>
              <w:rPr>
                <w:color w:val="FFFFFF" w:themeColor="background1"/>
              </w:rPr>
            </w:pPr>
            <w:r w:rsidRPr="00D462DC">
              <w:rPr>
                <w:color w:val="FFFFFF" w:themeColor="background1"/>
              </w:rPr>
              <w:t>Délai pour l'</w:t>
            </w:r>
            <w:r w:rsidR="00653E57">
              <w:rPr>
                <w:color w:val="FFFFFF" w:themeColor="background1"/>
              </w:rPr>
              <w:t>inscription</w:t>
            </w:r>
          </w:p>
        </w:tc>
        <w:tc>
          <w:tcPr>
            <w:tcW w:w="8767" w:type="dxa"/>
            <w:tcBorders>
              <w:top w:val="nil"/>
              <w:left w:val="nil"/>
              <w:bottom w:val="nil"/>
              <w:right w:val="nil"/>
            </w:tcBorders>
            <w:shd w:val="clear" w:color="auto" w:fill="DFFF82"/>
          </w:tcPr>
          <w:p w14:paraId="285DE68F" w14:textId="5ED340B6" w:rsidR="008C62A4" w:rsidRDefault="008C62A4" w:rsidP="00653E57">
            <w:pPr>
              <w:jc w:val="both"/>
            </w:pPr>
            <w:r>
              <w:t xml:space="preserve">Au plus tard, le </w:t>
            </w:r>
            <w:r w:rsidR="00653E57">
              <w:t>28 février</w:t>
            </w:r>
            <w:r>
              <w:t xml:space="preserve"> de </w:t>
            </w:r>
            <w:r w:rsidRPr="00AF647C">
              <w:rPr>
                <w:u w:val="single"/>
              </w:rPr>
              <w:t>l'année suivant</w:t>
            </w:r>
            <w:r>
              <w:t xml:space="preserve"> le retrait du R</w:t>
            </w:r>
            <w:r w:rsidR="00653E57">
              <w:t>EEP</w:t>
            </w:r>
          </w:p>
          <w:p w14:paraId="25FE3B8D" w14:textId="0DE514DC" w:rsidR="00653E57" w:rsidRDefault="00653E57" w:rsidP="00653E57">
            <w:pPr>
              <w:jc w:val="both"/>
            </w:pPr>
          </w:p>
        </w:tc>
      </w:tr>
      <w:tr w:rsidR="008C62A4" w14:paraId="269D4492" w14:textId="77777777" w:rsidTr="00D462DC">
        <w:tc>
          <w:tcPr>
            <w:tcW w:w="4382" w:type="dxa"/>
            <w:tcBorders>
              <w:top w:val="nil"/>
              <w:left w:val="nil"/>
              <w:bottom w:val="nil"/>
              <w:right w:val="nil"/>
            </w:tcBorders>
            <w:shd w:val="clear" w:color="auto" w:fill="7F7F7F" w:themeFill="text1" w:themeFillTint="80"/>
          </w:tcPr>
          <w:p w14:paraId="0A25B866" w14:textId="77777777" w:rsidR="008C62A4" w:rsidRPr="00D462DC" w:rsidRDefault="008C62A4" w:rsidP="0089377C">
            <w:pPr>
              <w:rPr>
                <w:color w:val="FFFFFF" w:themeColor="background1"/>
              </w:rPr>
            </w:pPr>
            <w:r w:rsidRPr="00D462DC">
              <w:rPr>
                <w:color w:val="FFFFFF" w:themeColor="background1"/>
              </w:rPr>
              <w:t>Montant maximum</w:t>
            </w:r>
          </w:p>
          <w:p w14:paraId="641FC791" w14:textId="77777777" w:rsidR="008C62A4" w:rsidRPr="00D462DC" w:rsidRDefault="008C62A4" w:rsidP="0089377C">
            <w:pPr>
              <w:rPr>
                <w:color w:val="FFFFFF" w:themeColor="background1"/>
              </w:rPr>
            </w:pPr>
          </w:p>
        </w:tc>
        <w:tc>
          <w:tcPr>
            <w:tcW w:w="8767" w:type="dxa"/>
            <w:tcBorders>
              <w:top w:val="nil"/>
              <w:left w:val="nil"/>
              <w:bottom w:val="nil"/>
              <w:right w:val="nil"/>
            </w:tcBorders>
            <w:shd w:val="clear" w:color="auto" w:fill="DFFF82"/>
          </w:tcPr>
          <w:p w14:paraId="4D103AFA" w14:textId="77777777" w:rsidR="008C62A4" w:rsidRDefault="00653E57" w:rsidP="00653E57">
            <w:pPr>
              <w:jc w:val="both"/>
            </w:pPr>
            <w:r>
              <w:t>10</w:t>
            </w:r>
            <w:r w:rsidR="008C62A4">
              <w:t xml:space="preserve"> 000 $  par </w:t>
            </w:r>
            <w:r>
              <w:t>année civile</w:t>
            </w:r>
            <w:r w:rsidR="008C62A4">
              <w:t xml:space="preserve"> (</w:t>
            </w:r>
            <w:r>
              <w:t>maximum de 2</w:t>
            </w:r>
            <w:r w:rsidR="008C62A4">
              <w:t xml:space="preserve">0 000 $ </w:t>
            </w:r>
            <w:r>
              <w:t>en tout</w:t>
            </w:r>
            <w:r w:rsidR="008C62A4">
              <w:t>)</w:t>
            </w:r>
            <w:r w:rsidR="00520133">
              <w:t>. Possibilité de doubler la mise avec la contribution du conjoint.</w:t>
            </w:r>
          </w:p>
          <w:p w14:paraId="3237ED74" w14:textId="6B6CEEC0" w:rsidR="00520133" w:rsidRDefault="00520133" w:rsidP="00653E57">
            <w:pPr>
              <w:jc w:val="both"/>
            </w:pPr>
          </w:p>
        </w:tc>
      </w:tr>
      <w:tr w:rsidR="008C62A4" w14:paraId="6D452E8B" w14:textId="77777777" w:rsidTr="00D462DC">
        <w:tc>
          <w:tcPr>
            <w:tcW w:w="4382" w:type="dxa"/>
            <w:tcBorders>
              <w:top w:val="nil"/>
              <w:left w:val="nil"/>
              <w:bottom w:val="nil"/>
              <w:right w:val="nil"/>
            </w:tcBorders>
            <w:shd w:val="clear" w:color="auto" w:fill="7F7F7F" w:themeFill="text1" w:themeFillTint="80"/>
          </w:tcPr>
          <w:p w14:paraId="7A5C6F2D" w14:textId="02B37326" w:rsidR="008C62A4" w:rsidRPr="00D462DC" w:rsidRDefault="008C62A4" w:rsidP="0089377C">
            <w:pPr>
              <w:rPr>
                <w:color w:val="FFFFFF" w:themeColor="background1"/>
              </w:rPr>
            </w:pPr>
            <w:r w:rsidRPr="00D462DC">
              <w:rPr>
                <w:color w:val="FFFFFF" w:themeColor="background1"/>
              </w:rPr>
              <w:t>Détention dans le REÉR</w:t>
            </w:r>
          </w:p>
          <w:p w14:paraId="4721FEE5" w14:textId="77777777" w:rsidR="008C62A4" w:rsidRPr="00D462DC" w:rsidRDefault="008C62A4" w:rsidP="0089377C">
            <w:pPr>
              <w:rPr>
                <w:color w:val="FFFFFF" w:themeColor="background1"/>
              </w:rPr>
            </w:pPr>
          </w:p>
        </w:tc>
        <w:tc>
          <w:tcPr>
            <w:tcW w:w="8767" w:type="dxa"/>
            <w:tcBorders>
              <w:top w:val="nil"/>
              <w:left w:val="nil"/>
              <w:bottom w:val="nil"/>
              <w:right w:val="nil"/>
            </w:tcBorders>
            <w:shd w:val="clear" w:color="auto" w:fill="DFFF82"/>
          </w:tcPr>
          <w:p w14:paraId="7E3C603E" w14:textId="2DF2C328" w:rsidR="008C62A4" w:rsidRDefault="008C62A4" w:rsidP="00653E57">
            <w:pPr>
              <w:jc w:val="both"/>
            </w:pPr>
            <w:r>
              <w:t>Délai de 90 jours avant d'effectuer les retraits du R</w:t>
            </w:r>
            <w:r w:rsidR="00653E57">
              <w:t>EEP</w:t>
            </w:r>
            <w:r>
              <w:t xml:space="preserve"> </w:t>
            </w:r>
          </w:p>
        </w:tc>
      </w:tr>
      <w:tr w:rsidR="008C62A4" w14:paraId="131E6E72" w14:textId="77777777" w:rsidTr="00D462DC">
        <w:tc>
          <w:tcPr>
            <w:tcW w:w="4382" w:type="dxa"/>
            <w:tcBorders>
              <w:top w:val="nil"/>
              <w:left w:val="nil"/>
              <w:bottom w:val="nil"/>
              <w:right w:val="nil"/>
            </w:tcBorders>
            <w:shd w:val="clear" w:color="auto" w:fill="7F7F7F" w:themeFill="text1" w:themeFillTint="80"/>
          </w:tcPr>
          <w:p w14:paraId="12178CCD" w14:textId="4BEB7D74" w:rsidR="008C62A4" w:rsidRPr="00D462DC" w:rsidRDefault="008C62A4" w:rsidP="0089377C">
            <w:pPr>
              <w:rPr>
                <w:color w:val="FFFFFF" w:themeColor="background1"/>
              </w:rPr>
            </w:pPr>
            <w:r w:rsidRPr="00D462DC">
              <w:rPr>
                <w:color w:val="FFFFFF" w:themeColor="background1"/>
              </w:rPr>
              <w:t>Remboursement du R</w:t>
            </w:r>
            <w:r w:rsidR="00653E57">
              <w:rPr>
                <w:color w:val="FFFFFF" w:themeColor="background1"/>
              </w:rPr>
              <w:t>EEP</w:t>
            </w:r>
          </w:p>
          <w:p w14:paraId="2C814328" w14:textId="77777777" w:rsidR="008C62A4" w:rsidRPr="00D462DC" w:rsidRDefault="008C62A4" w:rsidP="0089377C">
            <w:pPr>
              <w:rPr>
                <w:color w:val="FFFFFF" w:themeColor="background1"/>
              </w:rPr>
            </w:pPr>
          </w:p>
        </w:tc>
        <w:tc>
          <w:tcPr>
            <w:tcW w:w="8767" w:type="dxa"/>
            <w:tcBorders>
              <w:top w:val="nil"/>
              <w:left w:val="nil"/>
              <w:bottom w:val="nil"/>
              <w:right w:val="nil"/>
            </w:tcBorders>
            <w:shd w:val="clear" w:color="auto" w:fill="DFFF82"/>
          </w:tcPr>
          <w:p w14:paraId="75FA0F39" w14:textId="42C75C7D" w:rsidR="008C62A4" w:rsidRPr="003653A8" w:rsidRDefault="008C62A4" w:rsidP="0089377C">
            <w:r>
              <w:t>Linéaire sur une période de 1</w:t>
            </w:r>
            <w:r w:rsidR="00653E57">
              <w:t>0</w:t>
            </w:r>
            <w:r>
              <w:t xml:space="preserve"> ans</w:t>
            </w:r>
            <w:r w:rsidR="00623983">
              <w:t>, début des remboursements entre la 2</w:t>
            </w:r>
            <w:r w:rsidR="00623983" w:rsidRPr="00623983">
              <w:rPr>
                <w:vertAlign w:val="superscript"/>
              </w:rPr>
              <w:t>e</w:t>
            </w:r>
            <w:r w:rsidR="00623983">
              <w:t xml:space="preserve"> et 5</w:t>
            </w:r>
            <w:r w:rsidR="00623983" w:rsidRPr="00623983">
              <w:rPr>
                <w:vertAlign w:val="superscript"/>
              </w:rPr>
              <w:t>e</w:t>
            </w:r>
            <w:r w:rsidR="00623983">
              <w:t xml:space="preserve"> année</w:t>
            </w:r>
          </w:p>
          <w:p w14:paraId="1526F8AB" w14:textId="77777777" w:rsidR="008C62A4" w:rsidRDefault="008C62A4" w:rsidP="0089377C"/>
        </w:tc>
      </w:tr>
      <w:tr w:rsidR="008C62A4" w14:paraId="5243C54B" w14:textId="77777777" w:rsidTr="00D462DC">
        <w:tc>
          <w:tcPr>
            <w:tcW w:w="4382" w:type="dxa"/>
            <w:tcBorders>
              <w:top w:val="nil"/>
              <w:left w:val="nil"/>
              <w:bottom w:val="nil"/>
              <w:right w:val="nil"/>
            </w:tcBorders>
            <w:shd w:val="clear" w:color="auto" w:fill="7F7F7F" w:themeFill="text1" w:themeFillTint="80"/>
          </w:tcPr>
          <w:p w14:paraId="117FD958" w14:textId="77777777" w:rsidR="008C62A4" w:rsidRPr="00D462DC" w:rsidRDefault="008C62A4" w:rsidP="0089377C">
            <w:pPr>
              <w:rPr>
                <w:color w:val="FFFFFF" w:themeColor="background1"/>
              </w:rPr>
            </w:pPr>
            <w:r w:rsidRPr="00D462DC">
              <w:rPr>
                <w:color w:val="FFFFFF" w:themeColor="background1"/>
              </w:rPr>
              <w:t>Si non remboursement</w:t>
            </w:r>
          </w:p>
        </w:tc>
        <w:tc>
          <w:tcPr>
            <w:tcW w:w="8767" w:type="dxa"/>
            <w:tcBorders>
              <w:top w:val="nil"/>
              <w:left w:val="nil"/>
              <w:bottom w:val="nil"/>
              <w:right w:val="nil"/>
            </w:tcBorders>
            <w:shd w:val="clear" w:color="auto" w:fill="DFFF82"/>
          </w:tcPr>
          <w:p w14:paraId="70C1B4D8" w14:textId="77777777" w:rsidR="008C62A4" w:rsidRDefault="008C62A4" w:rsidP="0089377C">
            <w:r>
              <w:t>Le retrait minimum devient une inclusion au revenu imposable</w:t>
            </w:r>
          </w:p>
        </w:tc>
      </w:tr>
      <w:tr w:rsidR="00CA2E5D" w14:paraId="55AF9E6B" w14:textId="77777777" w:rsidTr="00D462DC">
        <w:tc>
          <w:tcPr>
            <w:tcW w:w="4382" w:type="dxa"/>
            <w:tcBorders>
              <w:top w:val="nil"/>
              <w:left w:val="nil"/>
              <w:bottom w:val="nil"/>
              <w:right w:val="nil"/>
            </w:tcBorders>
            <w:shd w:val="clear" w:color="auto" w:fill="7F7F7F" w:themeFill="text1" w:themeFillTint="80"/>
          </w:tcPr>
          <w:p w14:paraId="70D4A166" w14:textId="77777777" w:rsidR="00CA2E5D" w:rsidRPr="00D462DC" w:rsidRDefault="00CA2E5D" w:rsidP="0089377C">
            <w:pPr>
              <w:rPr>
                <w:color w:val="FFFFFF" w:themeColor="background1"/>
              </w:rPr>
            </w:pPr>
          </w:p>
        </w:tc>
        <w:tc>
          <w:tcPr>
            <w:tcW w:w="8767" w:type="dxa"/>
            <w:tcBorders>
              <w:top w:val="nil"/>
              <w:left w:val="nil"/>
              <w:bottom w:val="nil"/>
              <w:right w:val="nil"/>
            </w:tcBorders>
            <w:shd w:val="clear" w:color="auto" w:fill="DFFF82"/>
          </w:tcPr>
          <w:p w14:paraId="2840B6C0" w14:textId="77777777" w:rsidR="00CA2E5D" w:rsidRDefault="00CA2E5D" w:rsidP="0089377C"/>
        </w:tc>
      </w:tr>
      <w:tr w:rsidR="00CA2E5D" w14:paraId="4DBEA4B8" w14:textId="77777777" w:rsidTr="00D462DC">
        <w:tc>
          <w:tcPr>
            <w:tcW w:w="4382" w:type="dxa"/>
            <w:tcBorders>
              <w:top w:val="nil"/>
              <w:left w:val="nil"/>
              <w:bottom w:val="nil"/>
              <w:right w:val="nil"/>
            </w:tcBorders>
            <w:shd w:val="clear" w:color="auto" w:fill="7F7F7F" w:themeFill="text1" w:themeFillTint="80"/>
          </w:tcPr>
          <w:p w14:paraId="4A2C9333" w14:textId="25C1FBBD" w:rsidR="00CA2E5D" w:rsidRPr="00D462DC" w:rsidRDefault="00CA2E5D" w:rsidP="0089377C">
            <w:pPr>
              <w:rPr>
                <w:color w:val="FFFFFF" w:themeColor="background1"/>
              </w:rPr>
            </w:pPr>
            <w:r>
              <w:rPr>
                <w:color w:val="FFFFFF" w:themeColor="background1"/>
              </w:rPr>
              <w:t>Récurrence du régime</w:t>
            </w:r>
          </w:p>
        </w:tc>
        <w:tc>
          <w:tcPr>
            <w:tcW w:w="8767" w:type="dxa"/>
            <w:tcBorders>
              <w:top w:val="nil"/>
              <w:left w:val="nil"/>
              <w:bottom w:val="nil"/>
              <w:right w:val="nil"/>
            </w:tcBorders>
            <w:shd w:val="clear" w:color="auto" w:fill="DFFF82"/>
          </w:tcPr>
          <w:p w14:paraId="2B17DE79" w14:textId="30F01FC1" w:rsidR="00CA2E5D" w:rsidRDefault="00CA2E5D" w:rsidP="00CA2E5D">
            <w:r>
              <w:t xml:space="preserve">Le contribuable peut adhérer autant de fois qu'il le désire au REEP,  </w:t>
            </w:r>
            <w:r w:rsidR="00C32B9C">
              <w:t>pourvu</w:t>
            </w:r>
            <w:r>
              <w:t xml:space="preserve"> que le solde antérieur à rembourser soit égal à zéro</w:t>
            </w:r>
          </w:p>
        </w:tc>
      </w:tr>
      <w:tr w:rsidR="000718A5" w14:paraId="5B960BC2" w14:textId="77777777" w:rsidTr="00D462DC">
        <w:tc>
          <w:tcPr>
            <w:tcW w:w="4382" w:type="dxa"/>
            <w:tcBorders>
              <w:top w:val="nil"/>
              <w:left w:val="nil"/>
              <w:bottom w:val="nil"/>
              <w:right w:val="nil"/>
            </w:tcBorders>
            <w:shd w:val="clear" w:color="auto" w:fill="7F7F7F" w:themeFill="text1" w:themeFillTint="80"/>
          </w:tcPr>
          <w:p w14:paraId="09355FF6" w14:textId="77777777" w:rsidR="000718A5" w:rsidRDefault="000718A5" w:rsidP="0089377C">
            <w:pPr>
              <w:rPr>
                <w:color w:val="FFFFFF" w:themeColor="background1"/>
              </w:rPr>
            </w:pPr>
          </w:p>
        </w:tc>
        <w:tc>
          <w:tcPr>
            <w:tcW w:w="8767" w:type="dxa"/>
            <w:tcBorders>
              <w:top w:val="nil"/>
              <w:left w:val="nil"/>
              <w:bottom w:val="nil"/>
              <w:right w:val="nil"/>
            </w:tcBorders>
            <w:shd w:val="clear" w:color="auto" w:fill="DFFF82"/>
          </w:tcPr>
          <w:p w14:paraId="5FAF1A6F" w14:textId="77777777" w:rsidR="000718A5" w:rsidRDefault="000718A5" w:rsidP="00CA2E5D"/>
        </w:tc>
      </w:tr>
      <w:tr w:rsidR="000718A5" w14:paraId="026585F0" w14:textId="77777777" w:rsidTr="00D462DC">
        <w:tc>
          <w:tcPr>
            <w:tcW w:w="4382" w:type="dxa"/>
            <w:tcBorders>
              <w:top w:val="nil"/>
              <w:left w:val="nil"/>
              <w:bottom w:val="nil"/>
              <w:right w:val="nil"/>
            </w:tcBorders>
            <w:shd w:val="clear" w:color="auto" w:fill="7F7F7F" w:themeFill="text1" w:themeFillTint="80"/>
          </w:tcPr>
          <w:p w14:paraId="1D897284" w14:textId="0BCFE75C" w:rsidR="000718A5" w:rsidRDefault="000718A5" w:rsidP="0089377C">
            <w:pPr>
              <w:rPr>
                <w:color w:val="FFFFFF" w:themeColor="background1"/>
              </w:rPr>
            </w:pPr>
            <w:r>
              <w:rPr>
                <w:color w:val="FFFFFF" w:themeColor="background1"/>
              </w:rPr>
              <w:t>Utilisation de fonds</w:t>
            </w:r>
          </w:p>
        </w:tc>
        <w:tc>
          <w:tcPr>
            <w:tcW w:w="8767" w:type="dxa"/>
            <w:tcBorders>
              <w:top w:val="nil"/>
              <w:left w:val="nil"/>
              <w:bottom w:val="nil"/>
              <w:right w:val="nil"/>
            </w:tcBorders>
            <w:shd w:val="clear" w:color="auto" w:fill="DFFF82"/>
          </w:tcPr>
          <w:p w14:paraId="3CFAF3BE" w14:textId="6777A53C" w:rsidR="000718A5" w:rsidRDefault="000718A5" w:rsidP="000718A5">
            <w:r>
              <w:t>Les montants retirés du REÉR dans le cadre du REEP n'ont pas être utilisé directement pour les études en question</w:t>
            </w:r>
          </w:p>
        </w:tc>
      </w:tr>
    </w:tbl>
    <w:p w14:paraId="07D9F2C5" w14:textId="2A3075AC" w:rsidR="000718A5" w:rsidRDefault="000718A5" w:rsidP="008C62A4">
      <w:pPr>
        <w:ind w:left="360"/>
        <w:jc w:val="both"/>
      </w:pPr>
    </w:p>
    <w:p w14:paraId="5C954B80" w14:textId="201F1171" w:rsidR="000718A5" w:rsidRDefault="00982E02" w:rsidP="000718A5">
      <w:pPr>
        <w:ind w:left="360"/>
        <w:jc w:val="both"/>
      </w:pPr>
      <w:r>
        <w:rPr>
          <w:noProof/>
          <w:lang w:eastAsia="fr-FR"/>
        </w:rPr>
        <w:drawing>
          <wp:anchor distT="0" distB="0" distL="114300" distR="114300" simplePos="0" relativeHeight="252655616" behindDoc="0" locked="0" layoutInCell="1" allowOverlap="1" wp14:anchorId="1DE05E23" wp14:editId="337D4D39">
            <wp:simplePos x="0" y="0"/>
            <wp:positionH relativeFrom="column">
              <wp:posOffset>6286500</wp:posOffset>
            </wp:positionH>
            <wp:positionV relativeFrom="paragraph">
              <wp:posOffset>98425</wp:posOffset>
            </wp:positionV>
            <wp:extent cx="685800" cy="681990"/>
            <wp:effectExtent l="0" t="0" r="0" b="3810"/>
            <wp:wrapNone/>
            <wp:docPr id="520" name="Image 520" descr="Macintosh HD:Users:marcbachand:Desktop:Capture d’écran 2015-06-08 à 17.04.54.png">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04B57BE" w14:textId="77777777" w:rsidR="00982E02" w:rsidRDefault="00982E02" w:rsidP="000718A5">
      <w:pPr>
        <w:ind w:left="360"/>
        <w:jc w:val="both"/>
      </w:pPr>
    </w:p>
    <w:p w14:paraId="3ED58A1A" w14:textId="1ACF8DFF" w:rsidR="00ED224C" w:rsidRPr="00ED224C" w:rsidRDefault="008C62A4" w:rsidP="000718A5">
      <w:pPr>
        <w:ind w:left="360"/>
        <w:jc w:val="both"/>
      </w:pPr>
      <w:r>
        <w:t xml:space="preserve">Pour en connaître </w:t>
      </w:r>
      <w:r w:rsidR="00C32B9C">
        <w:t>davantage</w:t>
      </w:r>
      <w:r>
        <w:t xml:space="preserve"> sur les </w:t>
      </w:r>
      <w:hyperlink r:id="rId123" w:history="1">
        <w:r>
          <w:rPr>
            <w:rStyle w:val="Lienhypertexte"/>
            <w:color w:val="FF6700" w:themeColor="accent3"/>
          </w:rPr>
          <w:t>règles techniques s'appliquant au REEP</w:t>
        </w:r>
      </w:hyperlink>
    </w:p>
    <w:p w14:paraId="5AA3E501" w14:textId="77777777" w:rsidR="000718A5" w:rsidRDefault="000718A5" w:rsidP="00ED224C">
      <w:pPr>
        <w:jc w:val="both"/>
      </w:pPr>
    </w:p>
    <w:p w14:paraId="63E603F1" w14:textId="3718E858" w:rsidR="00DA5B57" w:rsidRDefault="00982E02" w:rsidP="00ED224C">
      <w:pPr>
        <w:jc w:val="both"/>
      </w:pPr>
      <w:r>
        <w:t xml:space="preserve">Dans un monde où </w:t>
      </w:r>
      <w:r w:rsidR="00635545">
        <w:t>les gens doivent</w:t>
      </w:r>
      <w:r>
        <w:t xml:space="preserve"> faire preuve de souplesse et démontrer </w:t>
      </w:r>
      <w:r w:rsidR="00635545">
        <w:t>leur</w:t>
      </w:r>
      <w:r>
        <w:t xml:space="preserve"> capacité à s'adapter </w:t>
      </w:r>
      <w:r w:rsidR="001D479A">
        <w:t>à de nombreux</w:t>
      </w:r>
      <w:r>
        <w:t xml:space="preserve"> changements, il n'est pas rare </w:t>
      </w:r>
      <w:r w:rsidR="00635545">
        <w:t xml:space="preserve">de </w:t>
      </w:r>
      <w:r>
        <w:t xml:space="preserve">les </w:t>
      </w:r>
      <w:r w:rsidR="00635545">
        <w:t>voir</w:t>
      </w:r>
      <w:r>
        <w:t xml:space="preserve"> poursuivre leurs études à diverses étapes de leur vie. Il résulte de ces périodes des changements financiers importants en terme de nouveaux déboursés et surtout</w:t>
      </w:r>
      <w:r w:rsidR="001D479A">
        <w:t xml:space="preserve"> par </w:t>
      </w:r>
      <w:r>
        <w:t xml:space="preserve"> une réduction importante de </w:t>
      </w:r>
      <w:r w:rsidR="00635545">
        <w:t xml:space="preserve">la </w:t>
      </w:r>
      <w:r>
        <w:t xml:space="preserve">capacité à générer des revenus. </w:t>
      </w:r>
      <w:r w:rsidR="001D479A">
        <w:t xml:space="preserve">Nul doute que cette nouvelle réalité financière constitue une forme d'investissement qui saura donner des élans </w:t>
      </w:r>
      <w:r w:rsidR="00635545">
        <w:t>aux</w:t>
      </w:r>
      <w:r w:rsidR="001D479A">
        <w:t xml:space="preserve"> aspirations professionnelles. Néanmoins, </w:t>
      </w:r>
      <w:r w:rsidR="00635545">
        <w:t>cette</w:t>
      </w:r>
      <w:r w:rsidR="001D479A">
        <w:t xml:space="preserve"> capacité à vivre le dépouillement d'une vie d'étudiant n'est probablement pas la même à 20 ans qu'à 45 ans. Il faut donc bien planifier et préparer financièrement ce retour aux études.</w:t>
      </w:r>
    </w:p>
    <w:p w14:paraId="4FD8C7B4" w14:textId="77777777" w:rsidR="0089377C" w:rsidRDefault="0089377C" w:rsidP="00ED224C">
      <w:pPr>
        <w:jc w:val="both"/>
      </w:pPr>
    </w:p>
    <w:p w14:paraId="7E36A48E" w14:textId="77777777" w:rsidR="008C75FC" w:rsidRDefault="00635545" w:rsidP="00ED224C">
      <w:pPr>
        <w:jc w:val="both"/>
      </w:pPr>
      <w:r>
        <w:t xml:space="preserve">Heureusement, le REEP se veut un excellent régime fiscal afin de faciliter un retour aux études. C'est l'occasion parfaite pour combiner à la fois un train de vie </w:t>
      </w:r>
      <w:r w:rsidR="008C75FC">
        <w:t>le plus près possible de celui d'un étudiant, tout en utilisant le REEP et en défiscalisant une portion du REÉR.</w:t>
      </w:r>
    </w:p>
    <w:p w14:paraId="578E5870" w14:textId="54AAE37E" w:rsidR="008C75FC" w:rsidRDefault="00A23250" w:rsidP="00ED224C">
      <w:pPr>
        <w:jc w:val="both"/>
      </w:pPr>
      <w:r>
        <w:rPr>
          <w:noProof/>
          <w:lang w:eastAsia="fr-FR"/>
        </w:rPr>
        <w:drawing>
          <wp:anchor distT="0" distB="0" distL="114300" distR="114300" simplePos="0" relativeHeight="252657664" behindDoc="0" locked="0" layoutInCell="1" allowOverlap="1" wp14:anchorId="59D7520A" wp14:editId="3AE628A6">
            <wp:simplePos x="0" y="0"/>
            <wp:positionH relativeFrom="column">
              <wp:posOffset>-643890</wp:posOffset>
            </wp:positionH>
            <wp:positionV relativeFrom="paragraph">
              <wp:posOffset>48895</wp:posOffset>
            </wp:positionV>
            <wp:extent cx="383540" cy="723265"/>
            <wp:effectExtent l="177800" t="50800" r="99060" b="64135"/>
            <wp:wrapNone/>
            <wp:docPr id="515" name="Imag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11">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3ED0738" w14:textId="002655FF" w:rsidR="008C75FC" w:rsidRDefault="00A23250" w:rsidP="00ED224C">
      <w:pPr>
        <w:jc w:val="both"/>
      </w:pPr>
      <w:r>
        <w:t>En v</w:t>
      </w:r>
      <w:r w:rsidR="008C75FC">
        <w:t>oici une utilisation optimale</w:t>
      </w:r>
      <w:r>
        <w:t xml:space="preserve"> de la part de</w:t>
      </w:r>
      <w:r w:rsidR="008C75FC">
        <w:t xml:space="preserve"> </w:t>
      </w:r>
      <w:r w:rsidR="008C75FC" w:rsidRPr="00A23250">
        <w:rPr>
          <w:color w:val="008000"/>
        </w:rPr>
        <w:t>M</w:t>
      </w:r>
      <w:r w:rsidR="00EB43F6">
        <w:rPr>
          <w:color w:val="008000"/>
        </w:rPr>
        <w:t xml:space="preserve">arie </w:t>
      </w:r>
      <w:r w:rsidR="008C75FC" w:rsidRPr="00A23250">
        <w:rPr>
          <w:color w:val="008000"/>
        </w:rPr>
        <w:t>R</w:t>
      </w:r>
      <w:r w:rsidR="00EB43F6">
        <w:rPr>
          <w:color w:val="008000"/>
        </w:rPr>
        <w:t>icher</w:t>
      </w:r>
      <w:r w:rsidR="008C75FC">
        <w:t xml:space="preserve">, âgée de 38 ans, qui effectue un retour aux études </w:t>
      </w:r>
      <w:r>
        <w:t xml:space="preserve">en </w:t>
      </w:r>
      <w:r w:rsidR="008C75FC">
        <w:t>s'inscri</w:t>
      </w:r>
      <w:r>
        <w:t>vant</w:t>
      </w:r>
      <w:r w:rsidR="008C75FC">
        <w:t xml:space="preserve"> à un programme de 2e cycle en gestion d'établissements de santé. Le programme est offert à temps plein sur une période de 12 mois (</w:t>
      </w:r>
      <w:r>
        <w:t>de j</w:t>
      </w:r>
      <w:r w:rsidR="008C75FC">
        <w:t>anvier à décembre).</w:t>
      </w:r>
    </w:p>
    <w:p w14:paraId="11C9C9D7" w14:textId="77777777" w:rsidR="008C75FC" w:rsidRDefault="008C75FC" w:rsidP="00ED224C">
      <w:pPr>
        <w:jc w:val="both"/>
      </w:pPr>
    </w:p>
    <w:p w14:paraId="0550FBAD" w14:textId="77777777" w:rsidR="008C75FC" w:rsidRDefault="008C75FC" w:rsidP="00ED224C">
      <w:pPr>
        <w:jc w:val="both"/>
      </w:pPr>
    </w:p>
    <w:tbl>
      <w:tblPr>
        <w:tblStyle w:val="Listefonce-Accent3"/>
        <w:tblW w:w="0" w:type="auto"/>
        <w:tblLayout w:type="fixed"/>
        <w:tblLook w:val="04A0" w:firstRow="1" w:lastRow="0" w:firstColumn="1" w:lastColumn="0" w:noHBand="0" w:noVBand="1"/>
      </w:tblPr>
      <w:tblGrid>
        <w:gridCol w:w="6204"/>
        <w:gridCol w:w="2409"/>
      </w:tblGrid>
      <w:tr w:rsidR="00A23250" w14:paraId="30431A8F" w14:textId="77777777" w:rsidTr="00A232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gridSpan w:val="2"/>
          </w:tcPr>
          <w:p w14:paraId="214D5F06" w14:textId="0F86C50C" w:rsidR="00A23250" w:rsidRDefault="00A23250" w:rsidP="00A23250">
            <w:pPr>
              <w:jc w:val="center"/>
            </w:pPr>
            <w:r>
              <w:t>Informations- Marie Richer</w:t>
            </w:r>
          </w:p>
        </w:tc>
      </w:tr>
      <w:tr w:rsidR="00A23250" w14:paraId="57FF4534" w14:textId="77777777" w:rsidTr="00A232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195EAE54" w14:textId="19478492" w:rsidR="00A23250" w:rsidRDefault="00A23250" w:rsidP="00A23250">
            <w:pPr>
              <w:jc w:val="both"/>
            </w:pPr>
            <w:r>
              <w:t>Salaire avant retour aux études</w:t>
            </w:r>
          </w:p>
        </w:tc>
        <w:tc>
          <w:tcPr>
            <w:tcW w:w="2409" w:type="dxa"/>
          </w:tcPr>
          <w:p w14:paraId="60527FD7" w14:textId="2B9AE2B3" w:rsidR="00A23250" w:rsidRDefault="00A23250" w:rsidP="00A23250">
            <w:pPr>
              <w:tabs>
                <w:tab w:val="right" w:pos="3071"/>
              </w:tabs>
              <w:jc w:val="both"/>
              <w:cnfStyle w:val="000000100000" w:firstRow="0" w:lastRow="0" w:firstColumn="0" w:lastColumn="0" w:oddVBand="0" w:evenVBand="0" w:oddHBand="1" w:evenHBand="0" w:firstRowFirstColumn="0" w:firstRowLastColumn="0" w:lastRowFirstColumn="0" w:lastRowLastColumn="0"/>
            </w:pPr>
            <w:r>
              <w:t>58 000 $</w:t>
            </w:r>
            <w:r>
              <w:tab/>
            </w:r>
          </w:p>
        </w:tc>
      </w:tr>
      <w:tr w:rsidR="00A23250" w14:paraId="36AC507A" w14:textId="77777777" w:rsidTr="00A23250">
        <w:tc>
          <w:tcPr>
            <w:cnfStyle w:val="001000000000" w:firstRow="0" w:lastRow="0" w:firstColumn="1" w:lastColumn="0" w:oddVBand="0" w:evenVBand="0" w:oddHBand="0" w:evenHBand="0" w:firstRowFirstColumn="0" w:firstRowLastColumn="0" w:lastRowFirstColumn="0" w:lastRowLastColumn="0"/>
            <w:tcW w:w="6204" w:type="dxa"/>
          </w:tcPr>
          <w:p w14:paraId="770EBD85" w14:textId="77777777" w:rsidR="00A23250" w:rsidRDefault="00A23250" w:rsidP="00A23250">
            <w:pPr>
              <w:jc w:val="both"/>
            </w:pPr>
            <w:r>
              <w:t>REÉR</w:t>
            </w:r>
          </w:p>
        </w:tc>
        <w:tc>
          <w:tcPr>
            <w:tcW w:w="2409" w:type="dxa"/>
          </w:tcPr>
          <w:p w14:paraId="0B898B29" w14:textId="21624723" w:rsidR="00A23250" w:rsidRDefault="00A23250" w:rsidP="00A23250">
            <w:pPr>
              <w:jc w:val="both"/>
              <w:cnfStyle w:val="000000000000" w:firstRow="0" w:lastRow="0" w:firstColumn="0" w:lastColumn="0" w:oddVBand="0" w:evenVBand="0" w:oddHBand="0" w:evenHBand="0" w:firstRowFirstColumn="0" w:firstRowLastColumn="0" w:lastRowFirstColumn="0" w:lastRowLastColumn="0"/>
            </w:pPr>
            <w:r>
              <w:t>70 000 $</w:t>
            </w:r>
          </w:p>
        </w:tc>
      </w:tr>
      <w:tr w:rsidR="00A23250" w14:paraId="53AD55CD" w14:textId="77777777" w:rsidTr="00A232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0B983516" w14:textId="1E57249F" w:rsidR="00A23250" w:rsidRDefault="00A23250" w:rsidP="00A23250">
            <w:pPr>
              <w:jc w:val="both"/>
            </w:pPr>
            <w:r>
              <w:t>Frais de scolarité - 12 mois temps plein</w:t>
            </w:r>
          </w:p>
        </w:tc>
        <w:tc>
          <w:tcPr>
            <w:tcW w:w="2409" w:type="dxa"/>
          </w:tcPr>
          <w:p w14:paraId="69393B85" w14:textId="65189EE8" w:rsidR="00A23250" w:rsidRDefault="00A23250" w:rsidP="004652C6">
            <w:pPr>
              <w:jc w:val="both"/>
              <w:cnfStyle w:val="000000100000" w:firstRow="0" w:lastRow="0" w:firstColumn="0" w:lastColumn="0" w:oddVBand="0" w:evenVBand="0" w:oddHBand="1" w:evenHBand="0" w:firstRowFirstColumn="0" w:firstRowLastColumn="0" w:lastRowFirstColumn="0" w:lastRowLastColumn="0"/>
            </w:pPr>
            <w:r>
              <w:t xml:space="preserve">  </w:t>
            </w:r>
            <w:r w:rsidR="004652C6">
              <w:t>5</w:t>
            </w:r>
            <w:r>
              <w:t xml:space="preserve"> 000 $</w:t>
            </w:r>
          </w:p>
        </w:tc>
      </w:tr>
      <w:tr w:rsidR="00A23250" w14:paraId="668AB250" w14:textId="77777777" w:rsidTr="00A23250">
        <w:tc>
          <w:tcPr>
            <w:cnfStyle w:val="001000000000" w:firstRow="0" w:lastRow="0" w:firstColumn="1" w:lastColumn="0" w:oddVBand="0" w:evenVBand="0" w:oddHBand="0" w:evenHBand="0" w:firstRowFirstColumn="0" w:firstRowLastColumn="0" w:lastRowFirstColumn="0" w:lastRowLastColumn="0"/>
            <w:tcW w:w="6204" w:type="dxa"/>
          </w:tcPr>
          <w:p w14:paraId="3BC1764F" w14:textId="3BDBA2BE" w:rsidR="00A23250" w:rsidRDefault="00A23250" w:rsidP="004652C6">
            <w:pPr>
              <w:jc w:val="both"/>
            </w:pPr>
            <w:r>
              <w:t>Train de vie</w:t>
            </w:r>
            <w:r w:rsidR="004652C6">
              <w:t xml:space="preserve"> (sauf frais de scolarité) </w:t>
            </w:r>
            <w:r>
              <w:t>-</w:t>
            </w:r>
            <w:r w:rsidR="004652C6">
              <w:t xml:space="preserve"> </w:t>
            </w:r>
            <w:r>
              <w:t>année de retour aux études</w:t>
            </w:r>
          </w:p>
        </w:tc>
        <w:tc>
          <w:tcPr>
            <w:tcW w:w="2409" w:type="dxa"/>
          </w:tcPr>
          <w:p w14:paraId="07E49091" w14:textId="5EE12885" w:rsidR="00A23250" w:rsidRDefault="004652C6" w:rsidP="004652C6">
            <w:pPr>
              <w:jc w:val="both"/>
              <w:cnfStyle w:val="000000000000" w:firstRow="0" w:lastRow="0" w:firstColumn="0" w:lastColumn="0" w:oddVBand="0" w:evenVBand="0" w:oddHBand="0" w:evenHBand="0" w:firstRowFirstColumn="0" w:firstRowLastColumn="0" w:lastRowFirstColumn="0" w:lastRowLastColumn="0"/>
            </w:pPr>
            <w:r>
              <w:t>25 000 $</w:t>
            </w:r>
          </w:p>
        </w:tc>
      </w:tr>
    </w:tbl>
    <w:p w14:paraId="0ED3C2AA" w14:textId="77777777" w:rsidR="008C75FC" w:rsidRDefault="008C75FC" w:rsidP="00ED224C">
      <w:pPr>
        <w:jc w:val="both"/>
      </w:pPr>
    </w:p>
    <w:p w14:paraId="6CDFAAAE" w14:textId="51A8921B" w:rsidR="008C75FC" w:rsidRDefault="00C20D3F" w:rsidP="00ED224C">
      <w:pPr>
        <w:jc w:val="both"/>
      </w:pPr>
      <w:r>
        <w:t>Marie n'a pas de conjoint et d'enfants. Elle a obtenu un congé sans solde de son employeur et ne prévoit pas recevoir aucun montant d'argent autre que ceux que nous lui attribuerons par nos judicieux conseils.</w:t>
      </w:r>
    </w:p>
    <w:p w14:paraId="4B71391B" w14:textId="77777777" w:rsidR="00C20D3F" w:rsidRDefault="00C20D3F" w:rsidP="00ED224C">
      <w:pPr>
        <w:jc w:val="both"/>
      </w:pPr>
    </w:p>
    <w:p w14:paraId="4AF9F2B8" w14:textId="77777777" w:rsidR="00C20D3F" w:rsidRDefault="00C20D3F" w:rsidP="00ED224C">
      <w:pPr>
        <w:jc w:val="both"/>
      </w:pPr>
    </w:p>
    <w:p w14:paraId="71E15FAC" w14:textId="77777777" w:rsidR="00C20D3F" w:rsidRDefault="00C20D3F" w:rsidP="00ED224C">
      <w:pPr>
        <w:jc w:val="both"/>
      </w:pPr>
    </w:p>
    <w:p w14:paraId="6E2039B9" w14:textId="77777777" w:rsidR="00C20D3F" w:rsidRDefault="00C20D3F" w:rsidP="00ED224C">
      <w:pPr>
        <w:jc w:val="both"/>
      </w:pPr>
    </w:p>
    <w:p w14:paraId="6553724E" w14:textId="77777777" w:rsidR="00C20D3F" w:rsidRDefault="00C20D3F" w:rsidP="00ED224C">
      <w:pPr>
        <w:jc w:val="both"/>
      </w:pPr>
    </w:p>
    <w:p w14:paraId="4D54FD2A" w14:textId="2563FE82" w:rsidR="00C20D3F" w:rsidRPr="00C20D3F" w:rsidRDefault="00C20D3F" w:rsidP="00ED224C">
      <w:pPr>
        <w:jc w:val="both"/>
        <w:rPr>
          <w:u w:val="single"/>
        </w:rPr>
      </w:pPr>
      <w:r w:rsidRPr="00C20D3F">
        <w:rPr>
          <w:u w:val="single"/>
        </w:rPr>
        <w:t>Voici la solution proposée à Marie</w:t>
      </w:r>
    </w:p>
    <w:p w14:paraId="05622017" w14:textId="2B6EFF71" w:rsidR="00C20D3F" w:rsidRDefault="00C20D3F">
      <w:r>
        <w:rPr>
          <w:noProof/>
          <w:lang w:eastAsia="fr-FR"/>
        </w:rPr>
        <mc:AlternateContent>
          <mc:Choice Requires="wps">
            <w:drawing>
              <wp:anchor distT="0" distB="0" distL="114300" distR="114300" simplePos="0" relativeHeight="252659712" behindDoc="0" locked="0" layoutInCell="1" allowOverlap="1" wp14:anchorId="288AD0E7" wp14:editId="5C4A5051">
                <wp:simplePos x="0" y="0"/>
                <wp:positionH relativeFrom="column">
                  <wp:posOffset>-800100</wp:posOffset>
                </wp:positionH>
                <wp:positionV relativeFrom="paragraph">
                  <wp:posOffset>156210</wp:posOffset>
                </wp:positionV>
                <wp:extent cx="571500" cy="571500"/>
                <wp:effectExtent l="25400" t="25400" r="38100" b="38100"/>
                <wp:wrapNone/>
                <wp:docPr id="516" name="Ellipse 516"/>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68C4CE63" w14:textId="0E29DCE5" w:rsidR="00573C95" w:rsidRPr="004F4085" w:rsidRDefault="00573C95" w:rsidP="00C20D3F">
                            <w:pPr>
                              <w:jc w:val="center"/>
                            </w:pPr>
                            <w:r>
                              <w:t>1</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16" o:spid="_x0000_s1344" style="position:absolute;margin-left:-62.95pt;margin-top:12.3pt;width:45pt;height:4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" fillcolor="#70ffca" strokecolor="black [3213]" strokeweight="3pt">
                <v:textbox>
                  <w:txbxContent>
                    <w:p w14:paraId="68C4CE63" w14:textId="0E29DCE5" w:rsidR="001501D6" w:rsidRPr="004F4085" w:rsidRDefault="001501D6" w:rsidP="00C20D3F">
                      <w:pPr>
                        <w:jc w:val="center"/>
                      </w:pPr>
                      <w:r>
                        <w:t>1</w:t>
                      </w:r>
                      <w:r w:rsidRPr="004F4085">
                        <w:t xml:space="preserve"> </w:t>
                      </w:r>
                    </w:p>
                  </w:txbxContent>
                </v:textbox>
              </v:oval>
            </w:pict>
          </mc:Fallback>
        </mc:AlternateContent>
      </w:r>
    </w:p>
    <w:p w14:paraId="2075C0D0" w14:textId="4F4F2C9A" w:rsidR="00C20D3F" w:rsidRDefault="00C20D3F"/>
    <w:p w14:paraId="6072B6B7" w14:textId="2BCE5F21" w:rsidR="00C20D3F" w:rsidRDefault="00C20D3F">
      <w:r>
        <w:t>Optimisation du REEP</w:t>
      </w:r>
    </w:p>
    <w:p w14:paraId="29F80B18" w14:textId="77777777" w:rsidR="00C20D3F" w:rsidRDefault="00C20D3F"/>
    <w:p w14:paraId="27242C70" w14:textId="1E77D9E8" w:rsidR="00C20D3F" w:rsidRDefault="00C20D3F" w:rsidP="00295977">
      <w:pPr>
        <w:pStyle w:val="Paragraphedeliste"/>
        <w:numPr>
          <w:ilvl w:val="0"/>
          <w:numId w:val="132"/>
        </w:numPr>
        <w:jc w:val="both"/>
      </w:pPr>
      <w:r>
        <w:t>Effectue</w:t>
      </w:r>
      <w:r w:rsidR="00750BAA">
        <w:t>z</w:t>
      </w:r>
      <w:r>
        <w:t xml:space="preserve"> un retrait de 10 000 $ dès l'inscription au programme (l'année avant le début des études)</w:t>
      </w:r>
      <w:r w:rsidR="00750BAA">
        <w:t>.</w:t>
      </w:r>
    </w:p>
    <w:p w14:paraId="23318147" w14:textId="77777777" w:rsidR="00C20D3F" w:rsidRDefault="00C20D3F" w:rsidP="007A710F">
      <w:pPr>
        <w:ind w:left="360"/>
        <w:jc w:val="both"/>
      </w:pPr>
    </w:p>
    <w:p w14:paraId="583AB9DB" w14:textId="584EBE65" w:rsidR="00C20D3F" w:rsidRDefault="00C20D3F" w:rsidP="00295977">
      <w:pPr>
        <w:pStyle w:val="Paragraphedeliste"/>
        <w:numPr>
          <w:ilvl w:val="0"/>
          <w:numId w:val="132"/>
        </w:numPr>
        <w:jc w:val="both"/>
      </w:pPr>
      <w:r>
        <w:t>Effectue</w:t>
      </w:r>
      <w:r w:rsidR="00750BAA">
        <w:t>z</w:t>
      </w:r>
      <w:r>
        <w:t xml:space="preserve"> un deuxième retrait de 10 000 $ dès le 3 janvier de l'année du retour aux études</w:t>
      </w:r>
      <w:r w:rsidR="00750BAA">
        <w:t>.</w:t>
      </w:r>
    </w:p>
    <w:p w14:paraId="53CB2717" w14:textId="77777777" w:rsidR="00C20D3F" w:rsidRDefault="00C20D3F" w:rsidP="007A710F">
      <w:pPr>
        <w:ind w:left="360"/>
        <w:jc w:val="both"/>
      </w:pPr>
    </w:p>
    <w:p w14:paraId="33A789B4" w14:textId="60221986" w:rsidR="00C20D3F" w:rsidRDefault="00C20D3F" w:rsidP="00295977">
      <w:pPr>
        <w:pStyle w:val="Paragraphedeliste"/>
        <w:numPr>
          <w:ilvl w:val="0"/>
          <w:numId w:val="132"/>
        </w:numPr>
        <w:jc w:val="both"/>
      </w:pPr>
      <w:r>
        <w:t>À ce stade-ci, nous avons déjà utilisé le maximum permis par le REEP (total = 20 000 $, sans &gt; 10 000 $ par année civile)</w:t>
      </w:r>
      <w:r w:rsidR="00750BAA">
        <w:t>.</w:t>
      </w:r>
    </w:p>
    <w:p w14:paraId="4D692920" w14:textId="77777777" w:rsidR="00C20D3F" w:rsidRDefault="00C20D3F" w:rsidP="007A710F">
      <w:pPr>
        <w:ind w:left="360"/>
        <w:jc w:val="both"/>
      </w:pPr>
    </w:p>
    <w:p w14:paraId="565B87C4" w14:textId="670447A8" w:rsidR="00C20D3F" w:rsidRDefault="00C20D3F" w:rsidP="00295977">
      <w:pPr>
        <w:pStyle w:val="Paragraphedeliste"/>
        <w:numPr>
          <w:ilvl w:val="0"/>
          <w:numId w:val="132"/>
        </w:numPr>
        <w:jc w:val="both"/>
      </w:pPr>
      <w:r>
        <w:t>Place</w:t>
      </w:r>
      <w:r w:rsidR="00750BAA">
        <w:t>z</w:t>
      </w:r>
      <w:r>
        <w:t xml:space="preserve"> temporairement le 20 000 $ dans un CÉLI</w:t>
      </w:r>
      <w:r w:rsidR="007A710F">
        <w:t xml:space="preserve"> avec le maintient d'un solde minimum dans le compte bancaire pour éviter </w:t>
      </w:r>
      <w:r w:rsidR="00C32B9C">
        <w:t>tous</w:t>
      </w:r>
      <w:r w:rsidR="007A710F">
        <w:t xml:space="preserve"> frais financier</w:t>
      </w:r>
      <w:r w:rsidR="00C65137">
        <w:t>s</w:t>
      </w:r>
      <w:r w:rsidR="00750BAA">
        <w:t>.</w:t>
      </w:r>
    </w:p>
    <w:p w14:paraId="74C617E3" w14:textId="77777777" w:rsidR="007A710F" w:rsidRDefault="007A710F" w:rsidP="007A710F">
      <w:pPr>
        <w:ind w:left="360"/>
        <w:jc w:val="both"/>
      </w:pPr>
    </w:p>
    <w:p w14:paraId="6E8F4849" w14:textId="2A3DF34A" w:rsidR="007A710F" w:rsidRDefault="007A710F" w:rsidP="00295977">
      <w:pPr>
        <w:pStyle w:val="Paragraphedeliste"/>
        <w:numPr>
          <w:ilvl w:val="0"/>
          <w:numId w:val="132"/>
        </w:numPr>
        <w:jc w:val="both"/>
      </w:pPr>
      <w:r>
        <w:t>Les remboursements minimums de 2 000 $ s'effectueront à compter de la 2</w:t>
      </w:r>
      <w:r w:rsidRPr="007A710F">
        <w:rPr>
          <w:vertAlign w:val="superscript"/>
        </w:rPr>
        <w:t>e</w:t>
      </w:r>
      <w:r>
        <w:t xml:space="preserve"> année </w:t>
      </w:r>
      <w:r w:rsidR="00C32B9C">
        <w:t>suivant</w:t>
      </w:r>
      <w:r>
        <w:t xml:space="preserve"> la fin du programme d'étude. Marie ne doit pas effectuer ces remboursements plus rapidement. Si elle en a les moyens, tout excédent d'épargne devra être utilisé pour effectuer des </w:t>
      </w:r>
      <w:r w:rsidRPr="007A710F">
        <w:rPr>
          <w:u w:val="single"/>
        </w:rPr>
        <w:t>cotisations</w:t>
      </w:r>
      <w:r>
        <w:t xml:space="preserve"> au REÉR ou au CÉLI. </w:t>
      </w:r>
    </w:p>
    <w:p w14:paraId="4F74C4D5" w14:textId="082793BA" w:rsidR="007A710F" w:rsidRDefault="00346485" w:rsidP="007A710F">
      <w:pPr>
        <w:jc w:val="both"/>
      </w:pPr>
      <w:r>
        <w:rPr>
          <w:noProof/>
          <w:lang w:eastAsia="fr-FR"/>
        </w:rPr>
        <mc:AlternateContent>
          <mc:Choice Requires="wps">
            <w:drawing>
              <wp:anchor distT="0" distB="0" distL="114300" distR="114300" simplePos="0" relativeHeight="252661760" behindDoc="0" locked="0" layoutInCell="1" allowOverlap="1" wp14:anchorId="7EB3435F" wp14:editId="32DF28B0">
                <wp:simplePos x="0" y="0"/>
                <wp:positionH relativeFrom="column">
                  <wp:posOffset>-800100</wp:posOffset>
                </wp:positionH>
                <wp:positionV relativeFrom="paragraph">
                  <wp:posOffset>179705</wp:posOffset>
                </wp:positionV>
                <wp:extent cx="571500" cy="571500"/>
                <wp:effectExtent l="25400" t="25400" r="38100" b="38100"/>
                <wp:wrapNone/>
                <wp:docPr id="518" name="Ellipse 518"/>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4365A00F" w14:textId="55007C91" w:rsidR="00573C95" w:rsidRPr="004F4085" w:rsidRDefault="00573C95" w:rsidP="00346485">
                            <w:pPr>
                              <w:jc w:val="center"/>
                            </w:pPr>
                            <w:r>
                              <w:t>2</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18" o:spid="_x0000_s1345" style="position:absolute;left:0;text-align:left;margin-left:-62.95pt;margin-top:14.15pt;width:45pt;height:45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" fillcolor="#70ffca" strokecolor="black [3213]" strokeweight="3pt">
                <v:textbox>
                  <w:txbxContent>
                    <w:p w14:paraId="4365A00F" w14:textId="55007C91" w:rsidR="001501D6" w:rsidRPr="004F4085" w:rsidRDefault="001501D6" w:rsidP="00346485">
                      <w:pPr>
                        <w:jc w:val="center"/>
                      </w:pPr>
                      <w:r>
                        <w:t>2</w:t>
                      </w:r>
                      <w:r w:rsidRPr="004F4085">
                        <w:t xml:space="preserve"> </w:t>
                      </w:r>
                    </w:p>
                  </w:txbxContent>
                </v:textbox>
              </v:oval>
            </w:pict>
          </mc:Fallback>
        </mc:AlternateContent>
      </w:r>
    </w:p>
    <w:p w14:paraId="4A2350F0" w14:textId="77777777" w:rsidR="00346485" w:rsidRDefault="00346485" w:rsidP="00346485">
      <w:pPr>
        <w:ind w:left="360"/>
        <w:jc w:val="both"/>
      </w:pPr>
    </w:p>
    <w:p w14:paraId="47E4D723" w14:textId="360600A8" w:rsidR="00346485" w:rsidRDefault="00346485" w:rsidP="00346485">
      <w:pPr>
        <w:jc w:val="both"/>
      </w:pPr>
      <w:r>
        <w:t>Défiscalisation du REÉR</w:t>
      </w:r>
    </w:p>
    <w:p w14:paraId="7D580D5F" w14:textId="77777777" w:rsidR="00346485" w:rsidRDefault="00346485" w:rsidP="00346485">
      <w:pPr>
        <w:jc w:val="both"/>
      </w:pPr>
    </w:p>
    <w:p w14:paraId="719ED876" w14:textId="694F0F55" w:rsidR="00346485" w:rsidRDefault="00C32B9C" w:rsidP="00346485">
      <w:pPr>
        <w:jc w:val="both"/>
      </w:pPr>
      <w:r>
        <w:t>Lorsqu’un</w:t>
      </w:r>
      <w:r w:rsidR="00346485">
        <w:t xml:space="preserve"> contribuable se retrouve d</w:t>
      </w:r>
      <w:r w:rsidR="00750BAA">
        <w:t>evant</w:t>
      </w:r>
      <w:r w:rsidR="00346485">
        <w:t xml:space="preserve"> la situation très particulière de ne pas avoir de revenu imposable au cours d'une année fiscale, celui-ci doit obligatoirement </w:t>
      </w:r>
      <w:r w:rsidR="00750BAA">
        <w:t>envisager la défiscalisation d'une partie de son REÉR (effectuer un retrait à imposition nulle ou très faible).</w:t>
      </w:r>
    </w:p>
    <w:p w14:paraId="1F53EC59" w14:textId="77777777" w:rsidR="00346485" w:rsidRDefault="00346485" w:rsidP="00346485">
      <w:pPr>
        <w:jc w:val="both"/>
      </w:pPr>
    </w:p>
    <w:p w14:paraId="68E54A33" w14:textId="01A93DCF" w:rsidR="00750BAA" w:rsidRDefault="00750BAA" w:rsidP="006C34CF">
      <w:pPr>
        <w:pStyle w:val="Paragraphedeliste"/>
        <w:numPr>
          <w:ilvl w:val="0"/>
          <w:numId w:val="58"/>
        </w:numPr>
        <w:jc w:val="both"/>
      </w:pPr>
      <w:r>
        <w:t>Calculez l'ensemble de vos crédits d'</w:t>
      </w:r>
      <w:r w:rsidR="00C32B9C">
        <w:t>impôt</w:t>
      </w:r>
      <w:r>
        <w:t xml:space="preserve"> personnels non remboursables pour l'année de votre retour aux études.</w:t>
      </w:r>
    </w:p>
    <w:p w14:paraId="568D9C08" w14:textId="3D144038" w:rsidR="00A23250" w:rsidRDefault="00A23250" w:rsidP="006C34CF">
      <w:pPr>
        <w:pStyle w:val="Paragraphedeliste"/>
        <w:numPr>
          <w:ilvl w:val="0"/>
          <w:numId w:val="57"/>
        </w:numPr>
        <w:jc w:val="both"/>
      </w:pPr>
      <w:r>
        <w:br w:type="page"/>
      </w:r>
    </w:p>
    <w:tbl>
      <w:tblPr>
        <w:tblStyle w:val="Listefonce-Accent4"/>
        <w:tblW w:w="0" w:type="auto"/>
        <w:tblLook w:val="04A0" w:firstRow="1" w:lastRow="0" w:firstColumn="1" w:lastColumn="0" w:noHBand="0" w:noVBand="1"/>
      </w:tblPr>
      <w:tblGrid>
        <w:gridCol w:w="5495"/>
        <w:gridCol w:w="3969"/>
        <w:gridCol w:w="3682"/>
      </w:tblGrid>
      <w:tr w:rsidR="00101284" w14:paraId="63A52CDE" w14:textId="77777777" w:rsidTr="00C02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3F09BF0D" w14:textId="171867C1" w:rsidR="00101284" w:rsidRPr="00F35CDC" w:rsidRDefault="00101284" w:rsidP="00C02107">
            <w:pPr>
              <w:jc w:val="center"/>
            </w:pPr>
            <w:r>
              <w:lastRenderedPageBreak/>
              <w:t>Crédits</w:t>
            </w:r>
            <w:r w:rsidR="00C02107">
              <w:rPr>
                <w:rStyle w:val="Marquenotebasdepage"/>
              </w:rPr>
              <w:footnoteReference w:customMarkFollows="1" w:id="69"/>
              <w:t>66</w:t>
            </w:r>
          </w:p>
        </w:tc>
        <w:tc>
          <w:tcPr>
            <w:tcW w:w="3969" w:type="dxa"/>
          </w:tcPr>
          <w:p w14:paraId="73F32E49" w14:textId="4871D395" w:rsidR="00101284" w:rsidRPr="00F35CDC" w:rsidRDefault="00101284" w:rsidP="00101284">
            <w:pPr>
              <w:jc w:val="center"/>
              <w:cnfStyle w:val="100000000000" w:firstRow="1" w:lastRow="0" w:firstColumn="0" w:lastColumn="0" w:oddVBand="0" w:evenVBand="0" w:oddHBand="0" w:evenHBand="0" w:firstRowFirstColumn="0" w:firstRowLastColumn="0" w:lastRowFirstColumn="0" w:lastRowLastColumn="0"/>
            </w:pPr>
            <w:r>
              <w:t>Fédéral</w:t>
            </w:r>
          </w:p>
        </w:tc>
        <w:tc>
          <w:tcPr>
            <w:tcW w:w="3682" w:type="dxa"/>
          </w:tcPr>
          <w:p w14:paraId="53439B2F" w14:textId="3507F814" w:rsidR="00101284" w:rsidRDefault="00101284" w:rsidP="00101284">
            <w:pPr>
              <w:jc w:val="center"/>
              <w:cnfStyle w:val="100000000000" w:firstRow="1" w:lastRow="0" w:firstColumn="0" w:lastColumn="0" w:oddVBand="0" w:evenVBand="0" w:oddHBand="0" w:evenHBand="0" w:firstRowFirstColumn="0" w:firstRowLastColumn="0" w:lastRowFirstColumn="0" w:lastRowLastColumn="0"/>
              <w:rPr>
                <w:color w:val="008000"/>
              </w:rPr>
            </w:pPr>
            <w:r>
              <w:t>Provincial</w:t>
            </w:r>
          </w:p>
        </w:tc>
      </w:tr>
      <w:tr w:rsidR="00101284" w14:paraId="6547C20D" w14:textId="77777777" w:rsidTr="00C02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52B735D6" w14:textId="567994F4" w:rsidR="00101284" w:rsidRPr="00BA3F04" w:rsidRDefault="00101284" w:rsidP="00C02107">
            <w:r>
              <w:t>Personnel de base</w:t>
            </w:r>
          </w:p>
        </w:tc>
        <w:tc>
          <w:tcPr>
            <w:tcW w:w="3969" w:type="dxa"/>
          </w:tcPr>
          <w:p w14:paraId="59992FE0" w14:textId="7C264868" w:rsidR="00101284" w:rsidRPr="007636E3" w:rsidRDefault="000456B7" w:rsidP="000456B7">
            <w:pPr>
              <w:jc w:val="center"/>
              <w:cnfStyle w:val="000000100000" w:firstRow="0" w:lastRow="0" w:firstColumn="0" w:lastColumn="0" w:oddVBand="0" w:evenVBand="0" w:oddHBand="1" w:evenHBand="0" w:firstRowFirstColumn="0" w:firstRowLastColumn="0" w:lastRowFirstColumn="0" w:lastRowLastColumn="0"/>
            </w:pPr>
            <w:r>
              <w:t>11 138</w:t>
            </w:r>
            <w:r w:rsidR="00101284" w:rsidRPr="007636E3">
              <w:t xml:space="preserve"> $</w:t>
            </w:r>
          </w:p>
        </w:tc>
        <w:tc>
          <w:tcPr>
            <w:tcW w:w="3682" w:type="dxa"/>
          </w:tcPr>
          <w:p w14:paraId="64CE9C1C" w14:textId="7C7B1965" w:rsidR="00101284" w:rsidRPr="007636E3" w:rsidRDefault="000456B7" w:rsidP="000456B7">
            <w:pPr>
              <w:jc w:val="center"/>
              <w:cnfStyle w:val="000000100000" w:firstRow="0" w:lastRow="0" w:firstColumn="0" w:lastColumn="0" w:oddVBand="0" w:evenVBand="0" w:oddHBand="1" w:evenHBand="0" w:firstRowFirstColumn="0" w:firstRowLastColumn="0" w:lastRowFirstColumn="0" w:lastRowLastColumn="0"/>
            </w:pPr>
            <w:r>
              <w:t>11 305 $</w:t>
            </w:r>
          </w:p>
        </w:tc>
      </w:tr>
      <w:tr w:rsidR="00101284" w14:paraId="6CFB7997" w14:textId="77777777" w:rsidTr="00C02107">
        <w:tc>
          <w:tcPr>
            <w:cnfStyle w:val="001000000000" w:firstRow="0" w:lastRow="0" w:firstColumn="1" w:lastColumn="0" w:oddVBand="0" w:evenVBand="0" w:oddHBand="0" w:evenHBand="0" w:firstRowFirstColumn="0" w:firstRowLastColumn="0" w:lastRowFirstColumn="0" w:lastRowLastColumn="0"/>
            <w:tcW w:w="5495" w:type="dxa"/>
          </w:tcPr>
          <w:p w14:paraId="0CEC4B6F" w14:textId="62B6E500" w:rsidR="00101284" w:rsidRPr="00BA3F04" w:rsidRDefault="000E7786" w:rsidP="00C02107">
            <w:r>
              <w:t>Frais de scolarité</w:t>
            </w:r>
          </w:p>
        </w:tc>
        <w:tc>
          <w:tcPr>
            <w:tcW w:w="3969" w:type="dxa"/>
          </w:tcPr>
          <w:p w14:paraId="6016AB94" w14:textId="40593A5E" w:rsidR="00101284" w:rsidRPr="007636E3" w:rsidRDefault="000456B7" w:rsidP="000456B7">
            <w:pPr>
              <w:jc w:val="center"/>
              <w:cnfStyle w:val="000000000000" w:firstRow="0" w:lastRow="0" w:firstColumn="0" w:lastColumn="0" w:oddVBand="0" w:evenVBand="0" w:oddHBand="0" w:evenHBand="0" w:firstRowFirstColumn="0" w:firstRowLastColumn="0" w:lastRowFirstColumn="0" w:lastRowLastColumn="0"/>
            </w:pPr>
            <w:r>
              <w:t xml:space="preserve">5 000 </w:t>
            </w:r>
            <w:r w:rsidR="00101284" w:rsidRPr="007636E3">
              <w:t>$</w:t>
            </w:r>
          </w:p>
        </w:tc>
        <w:tc>
          <w:tcPr>
            <w:tcW w:w="3682" w:type="dxa"/>
          </w:tcPr>
          <w:p w14:paraId="60C126D4" w14:textId="3A2105BC" w:rsidR="00101284" w:rsidRPr="007636E3" w:rsidRDefault="000456B7" w:rsidP="00C02107">
            <w:pPr>
              <w:jc w:val="center"/>
              <w:cnfStyle w:val="000000000000" w:firstRow="0" w:lastRow="0" w:firstColumn="0" w:lastColumn="0" w:oddVBand="0" w:evenVBand="0" w:oddHBand="0" w:evenHBand="0" w:firstRowFirstColumn="0" w:firstRowLastColumn="0" w:lastRowFirstColumn="0" w:lastRowLastColumn="0"/>
            </w:pPr>
            <w:r>
              <w:t>5 000 $</w:t>
            </w:r>
          </w:p>
        </w:tc>
      </w:tr>
      <w:tr w:rsidR="00101284" w14:paraId="3A134F39" w14:textId="77777777" w:rsidTr="00C02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06748940" w14:textId="466CDCD0" w:rsidR="00101284" w:rsidRPr="00BA3F04" w:rsidRDefault="000E7786" w:rsidP="000E7786">
            <w:r>
              <w:t>Montants relatifs aux études</w:t>
            </w:r>
            <w:r w:rsidR="000456B7">
              <w:t xml:space="preserve"> (465 $ * 12)</w:t>
            </w:r>
          </w:p>
        </w:tc>
        <w:tc>
          <w:tcPr>
            <w:tcW w:w="3969" w:type="dxa"/>
          </w:tcPr>
          <w:p w14:paraId="3FC2053C" w14:textId="1E9DC9B3" w:rsidR="00101284" w:rsidRPr="007636E3" w:rsidRDefault="000456B7" w:rsidP="000456B7">
            <w:pPr>
              <w:jc w:val="center"/>
              <w:cnfStyle w:val="000000100000" w:firstRow="0" w:lastRow="0" w:firstColumn="0" w:lastColumn="0" w:oddVBand="0" w:evenVBand="0" w:oddHBand="1" w:evenHBand="0" w:firstRowFirstColumn="0" w:firstRowLastColumn="0" w:lastRowFirstColumn="0" w:lastRowLastColumn="0"/>
            </w:pPr>
            <w:r>
              <w:t>5 580 $</w:t>
            </w:r>
          </w:p>
        </w:tc>
        <w:tc>
          <w:tcPr>
            <w:tcW w:w="3682" w:type="dxa"/>
          </w:tcPr>
          <w:p w14:paraId="114FB65A" w14:textId="77777777" w:rsidR="00101284" w:rsidRPr="007636E3" w:rsidRDefault="00101284" w:rsidP="00C02107">
            <w:pPr>
              <w:jc w:val="center"/>
              <w:cnfStyle w:val="000000100000" w:firstRow="0" w:lastRow="0" w:firstColumn="0" w:lastColumn="0" w:oddVBand="0" w:evenVBand="0" w:oddHBand="1" w:evenHBand="0" w:firstRowFirstColumn="0" w:firstRowLastColumn="0" w:lastRowFirstColumn="0" w:lastRowLastColumn="0"/>
            </w:pPr>
            <w:r w:rsidRPr="007636E3">
              <w:t>Nil</w:t>
            </w:r>
          </w:p>
        </w:tc>
      </w:tr>
      <w:tr w:rsidR="00101284" w14:paraId="26D69BCA" w14:textId="77777777" w:rsidTr="00C02107">
        <w:tc>
          <w:tcPr>
            <w:cnfStyle w:val="001000000000" w:firstRow="0" w:lastRow="0" w:firstColumn="1" w:lastColumn="0" w:oddVBand="0" w:evenVBand="0" w:oddHBand="0" w:evenHBand="0" w:firstRowFirstColumn="0" w:firstRowLastColumn="0" w:lastRowFirstColumn="0" w:lastRowLastColumn="0"/>
            <w:tcW w:w="5495" w:type="dxa"/>
          </w:tcPr>
          <w:p w14:paraId="11D2FDD9" w14:textId="764BB256" w:rsidR="00101284" w:rsidRPr="00D95016" w:rsidRDefault="000456B7" w:rsidP="000456B7">
            <w:r>
              <w:t>Personne vivant seule</w:t>
            </w:r>
          </w:p>
        </w:tc>
        <w:tc>
          <w:tcPr>
            <w:tcW w:w="3969" w:type="dxa"/>
          </w:tcPr>
          <w:p w14:paraId="666133E3" w14:textId="77777777" w:rsidR="00101284" w:rsidRPr="007636E3" w:rsidRDefault="00101284" w:rsidP="00C02107">
            <w:pPr>
              <w:jc w:val="center"/>
              <w:cnfStyle w:val="000000000000" w:firstRow="0" w:lastRow="0" w:firstColumn="0" w:lastColumn="0" w:oddVBand="0" w:evenVBand="0" w:oddHBand="0" w:evenHBand="0" w:firstRowFirstColumn="0" w:firstRowLastColumn="0" w:lastRowFirstColumn="0" w:lastRowLastColumn="0"/>
            </w:pPr>
            <w:r w:rsidRPr="007636E3">
              <w:t>Nil</w:t>
            </w:r>
          </w:p>
        </w:tc>
        <w:tc>
          <w:tcPr>
            <w:tcW w:w="3682" w:type="dxa"/>
          </w:tcPr>
          <w:p w14:paraId="3A10854D" w14:textId="21189084" w:rsidR="00101284" w:rsidRPr="007636E3" w:rsidRDefault="000456B7" w:rsidP="000456B7">
            <w:pPr>
              <w:jc w:val="center"/>
              <w:cnfStyle w:val="000000000000" w:firstRow="0" w:lastRow="0" w:firstColumn="0" w:lastColumn="0" w:oddVBand="0" w:evenVBand="0" w:oddHBand="0" w:evenHBand="0" w:firstRowFirstColumn="0" w:firstRowLastColumn="0" w:lastRowFirstColumn="0" w:lastRowLastColumn="0"/>
            </w:pPr>
            <w:r>
              <w:t>1 325 $</w:t>
            </w:r>
          </w:p>
        </w:tc>
      </w:tr>
      <w:tr w:rsidR="00101284" w14:paraId="14849F6B" w14:textId="77777777" w:rsidTr="00C02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12234C6F" w14:textId="1BCAD299" w:rsidR="00101284" w:rsidRPr="00D95016" w:rsidRDefault="000456B7" w:rsidP="002314B1">
            <w:r>
              <w:t>Taux, a</w:t>
            </w:r>
            <w:r w:rsidR="002314B1">
              <w:t>près</w:t>
            </w:r>
            <w:r>
              <w:t xml:space="preserve"> abattement</w:t>
            </w:r>
          </w:p>
        </w:tc>
        <w:tc>
          <w:tcPr>
            <w:tcW w:w="3969" w:type="dxa"/>
          </w:tcPr>
          <w:p w14:paraId="6F37ECB4" w14:textId="78C20F33" w:rsidR="00101284" w:rsidRPr="007636E3" w:rsidRDefault="002314B1" w:rsidP="002314B1">
            <w:pPr>
              <w:jc w:val="center"/>
              <w:cnfStyle w:val="000000100000" w:firstRow="0" w:lastRow="0" w:firstColumn="0" w:lastColumn="0" w:oddVBand="0" w:evenVBand="0" w:oddHBand="1" w:evenHBand="0" w:firstRowFirstColumn="0" w:firstRowLastColumn="0" w:lastRowFirstColumn="0" w:lastRowLastColumn="0"/>
            </w:pPr>
            <w:r>
              <w:t>12,5</w:t>
            </w:r>
            <w:r w:rsidR="000456B7">
              <w:t xml:space="preserve"> %</w:t>
            </w:r>
          </w:p>
        </w:tc>
        <w:tc>
          <w:tcPr>
            <w:tcW w:w="3682" w:type="dxa"/>
          </w:tcPr>
          <w:p w14:paraId="4F809FF0" w14:textId="55A4E999" w:rsidR="00101284" w:rsidRPr="007636E3" w:rsidRDefault="000456B7" w:rsidP="000456B7">
            <w:pPr>
              <w:jc w:val="center"/>
              <w:cnfStyle w:val="000000100000" w:firstRow="0" w:lastRow="0" w:firstColumn="0" w:lastColumn="0" w:oddVBand="0" w:evenVBand="0" w:oddHBand="1" w:evenHBand="0" w:firstRowFirstColumn="0" w:firstRowLastColumn="0" w:lastRowFirstColumn="0" w:lastRowLastColumn="0"/>
            </w:pPr>
            <w:r>
              <w:t>20 %</w:t>
            </w:r>
            <w:r w:rsidR="002314B1">
              <w:t xml:space="preserve"> (autres crédits)</w:t>
            </w:r>
            <w:r>
              <w:t xml:space="preserve"> et 8 %</w:t>
            </w:r>
            <w:r w:rsidR="002314B1">
              <w:t xml:space="preserve"> (scolarité seulement)</w:t>
            </w:r>
          </w:p>
        </w:tc>
      </w:tr>
      <w:tr w:rsidR="00FB239B" w14:paraId="3BC3A045" w14:textId="77777777" w:rsidTr="00C02107">
        <w:tc>
          <w:tcPr>
            <w:cnfStyle w:val="001000000000" w:firstRow="0" w:lastRow="0" w:firstColumn="1" w:lastColumn="0" w:oddVBand="0" w:evenVBand="0" w:oddHBand="0" w:evenHBand="0" w:firstRowFirstColumn="0" w:firstRowLastColumn="0" w:lastRowFirstColumn="0" w:lastRowLastColumn="0"/>
            <w:tcW w:w="5495" w:type="dxa"/>
          </w:tcPr>
          <w:p w14:paraId="24C850BB" w14:textId="77777777" w:rsidR="00FB239B" w:rsidRDefault="00FB239B" w:rsidP="000456B7"/>
        </w:tc>
        <w:tc>
          <w:tcPr>
            <w:tcW w:w="3969" w:type="dxa"/>
          </w:tcPr>
          <w:p w14:paraId="33CDE848" w14:textId="77777777" w:rsidR="00FB239B" w:rsidRDefault="00FB239B" w:rsidP="000456B7">
            <w:pPr>
              <w:jc w:val="center"/>
              <w:cnfStyle w:val="000000000000" w:firstRow="0" w:lastRow="0" w:firstColumn="0" w:lastColumn="0" w:oddVBand="0" w:evenVBand="0" w:oddHBand="0" w:evenHBand="0" w:firstRowFirstColumn="0" w:firstRowLastColumn="0" w:lastRowFirstColumn="0" w:lastRowLastColumn="0"/>
            </w:pPr>
          </w:p>
        </w:tc>
        <w:tc>
          <w:tcPr>
            <w:tcW w:w="3682" w:type="dxa"/>
          </w:tcPr>
          <w:p w14:paraId="7D54DD88" w14:textId="77777777" w:rsidR="00FB239B" w:rsidRDefault="00FB239B" w:rsidP="000456B7">
            <w:pPr>
              <w:jc w:val="center"/>
              <w:cnfStyle w:val="000000000000" w:firstRow="0" w:lastRow="0" w:firstColumn="0" w:lastColumn="0" w:oddVBand="0" w:evenVBand="0" w:oddHBand="0" w:evenHBand="0" w:firstRowFirstColumn="0" w:firstRowLastColumn="0" w:lastRowFirstColumn="0" w:lastRowLastColumn="0"/>
            </w:pPr>
          </w:p>
        </w:tc>
      </w:tr>
      <w:tr w:rsidR="00FB239B" w14:paraId="4DD1ACE6" w14:textId="77777777" w:rsidTr="00C02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56CF9356" w14:textId="1C3A4BF4" w:rsidR="00FB239B" w:rsidRDefault="00FB239B" w:rsidP="00FB239B">
            <w:r>
              <w:t>Valeur des crédits, après abattement</w:t>
            </w:r>
          </w:p>
        </w:tc>
        <w:tc>
          <w:tcPr>
            <w:tcW w:w="3969" w:type="dxa"/>
          </w:tcPr>
          <w:p w14:paraId="74543DDB" w14:textId="47DBB968" w:rsidR="00FB239B" w:rsidRDefault="00FB239B" w:rsidP="002314B1">
            <w:pPr>
              <w:jc w:val="center"/>
              <w:cnfStyle w:val="000000100000" w:firstRow="0" w:lastRow="0" w:firstColumn="0" w:lastColumn="0" w:oddVBand="0" w:evenVBand="0" w:oddHBand="1" w:evenHBand="0" w:firstRowFirstColumn="0" w:firstRowLastColumn="0" w:lastRowFirstColumn="0" w:lastRowLastColumn="0"/>
            </w:pPr>
            <w:r>
              <w:t>2  71</w:t>
            </w:r>
            <w:r w:rsidR="002314B1">
              <w:t>5</w:t>
            </w:r>
            <w:r>
              <w:t xml:space="preserve"> $</w:t>
            </w:r>
          </w:p>
        </w:tc>
        <w:tc>
          <w:tcPr>
            <w:tcW w:w="3682" w:type="dxa"/>
          </w:tcPr>
          <w:p w14:paraId="5ED5DED0" w14:textId="6FB168AE" w:rsidR="00FB239B" w:rsidRDefault="00FB239B" w:rsidP="00FB239B">
            <w:pPr>
              <w:jc w:val="center"/>
              <w:cnfStyle w:val="000000100000" w:firstRow="0" w:lastRow="0" w:firstColumn="0" w:lastColumn="0" w:oddVBand="0" w:evenVBand="0" w:oddHBand="1" w:evenHBand="0" w:firstRowFirstColumn="0" w:firstRowLastColumn="0" w:lastRowFirstColumn="0" w:lastRowLastColumn="0"/>
            </w:pPr>
            <w:r>
              <w:t>2  926 $</w:t>
            </w:r>
          </w:p>
        </w:tc>
      </w:tr>
      <w:tr w:rsidR="00FB239B" w14:paraId="06625FB1" w14:textId="77777777" w:rsidTr="00C02107">
        <w:tc>
          <w:tcPr>
            <w:cnfStyle w:val="001000000000" w:firstRow="0" w:lastRow="0" w:firstColumn="1" w:lastColumn="0" w:oddVBand="0" w:evenVBand="0" w:oddHBand="0" w:evenHBand="0" w:firstRowFirstColumn="0" w:firstRowLastColumn="0" w:lastRowFirstColumn="0" w:lastRowLastColumn="0"/>
            <w:tcW w:w="5495" w:type="dxa"/>
          </w:tcPr>
          <w:p w14:paraId="516B620A" w14:textId="5C15BCC9" w:rsidR="00FB239B" w:rsidRDefault="00FB239B" w:rsidP="000456B7">
            <w:r>
              <w:t>Revenu imposable</w:t>
            </w:r>
            <w:r w:rsidR="00C341EA">
              <w:t xml:space="preserve"> (impôts = valeur des crédits)</w:t>
            </w:r>
          </w:p>
        </w:tc>
        <w:tc>
          <w:tcPr>
            <w:tcW w:w="3969" w:type="dxa"/>
          </w:tcPr>
          <w:p w14:paraId="1F9CEB62" w14:textId="5FF362AF" w:rsidR="00FB239B" w:rsidRDefault="00C341EA" w:rsidP="002314B1">
            <w:pPr>
              <w:jc w:val="center"/>
              <w:cnfStyle w:val="000000000000" w:firstRow="0" w:lastRow="0" w:firstColumn="0" w:lastColumn="0" w:oddVBand="0" w:evenVBand="0" w:oddHBand="0" w:evenHBand="0" w:firstRowFirstColumn="0" w:firstRowLastColumn="0" w:lastRowFirstColumn="0" w:lastRowLastColumn="0"/>
            </w:pPr>
            <w:r>
              <w:t>2</w:t>
            </w:r>
            <w:r w:rsidR="002314B1">
              <w:t>1 718</w:t>
            </w:r>
            <w:r>
              <w:t xml:space="preserve"> $</w:t>
            </w:r>
          </w:p>
        </w:tc>
        <w:tc>
          <w:tcPr>
            <w:tcW w:w="3682" w:type="dxa"/>
          </w:tcPr>
          <w:p w14:paraId="61FEC898" w14:textId="1614E0FA" w:rsidR="00FB239B" w:rsidRDefault="00C341EA" w:rsidP="002314B1">
            <w:pPr>
              <w:jc w:val="center"/>
              <w:cnfStyle w:val="000000000000" w:firstRow="0" w:lastRow="0" w:firstColumn="0" w:lastColumn="0" w:oddVBand="0" w:evenVBand="0" w:oddHBand="0" w:evenHBand="0" w:firstRowFirstColumn="0" w:firstRowLastColumn="0" w:lastRowFirstColumn="0" w:lastRowLastColumn="0"/>
            </w:pPr>
            <w:r>
              <w:t xml:space="preserve">18 </w:t>
            </w:r>
            <w:r w:rsidR="002314B1">
              <w:t>288</w:t>
            </w:r>
            <w:r>
              <w:t xml:space="preserve"> $</w:t>
            </w:r>
          </w:p>
        </w:tc>
      </w:tr>
      <w:tr w:rsidR="00FB239B" w14:paraId="2F89CB6A" w14:textId="77777777" w:rsidTr="00C02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45150E61" w14:textId="5C834748" w:rsidR="00FB239B" w:rsidRDefault="002314B1" w:rsidP="000456B7">
            <w:r>
              <w:t>Taux d’impôt, après abattement</w:t>
            </w:r>
          </w:p>
        </w:tc>
        <w:tc>
          <w:tcPr>
            <w:tcW w:w="3969" w:type="dxa"/>
          </w:tcPr>
          <w:p w14:paraId="53D589A3" w14:textId="335286AC" w:rsidR="00FB239B" w:rsidRDefault="002314B1" w:rsidP="000456B7">
            <w:pPr>
              <w:jc w:val="center"/>
              <w:cnfStyle w:val="000000100000" w:firstRow="0" w:lastRow="0" w:firstColumn="0" w:lastColumn="0" w:oddVBand="0" w:evenVBand="0" w:oddHBand="1" w:evenHBand="0" w:firstRowFirstColumn="0" w:firstRowLastColumn="0" w:lastRowFirstColumn="0" w:lastRowLastColumn="0"/>
            </w:pPr>
            <w:r>
              <w:t>12,5 %</w:t>
            </w:r>
          </w:p>
        </w:tc>
        <w:tc>
          <w:tcPr>
            <w:tcW w:w="3682" w:type="dxa"/>
          </w:tcPr>
          <w:p w14:paraId="420E095B" w14:textId="00055572" w:rsidR="00FB239B" w:rsidRDefault="002314B1" w:rsidP="000456B7">
            <w:pPr>
              <w:jc w:val="center"/>
              <w:cnfStyle w:val="000000100000" w:firstRow="0" w:lastRow="0" w:firstColumn="0" w:lastColumn="0" w:oddVBand="0" w:evenVBand="0" w:oddHBand="1" w:evenHBand="0" w:firstRowFirstColumn="0" w:firstRowLastColumn="0" w:lastRowFirstColumn="0" w:lastRowLastColumn="0"/>
            </w:pPr>
            <w:r>
              <w:t>16 %</w:t>
            </w:r>
          </w:p>
        </w:tc>
      </w:tr>
    </w:tbl>
    <w:p w14:paraId="045E21A6" w14:textId="77777777" w:rsidR="00751C47" w:rsidRDefault="00751C47"/>
    <w:p w14:paraId="214D98D2" w14:textId="77777777" w:rsidR="00066F6B" w:rsidRDefault="00066F6B"/>
    <w:p w14:paraId="4ED60683" w14:textId="77E8FEF4" w:rsidR="001D0B9F" w:rsidRDefault="00066F6B" w:rsidP="006C34CF">
      <w:pPr>
        <w:pStyle w:val="Paragraphedeliste"/>
        <w:numPr>
          <w:ilvl w:val="0"/>
          <w:numId w:val="58"/>
        </w:numPr>
        <w:jc w:val="both"/>
      </w:pPr>
      <w:r>
        <w:t>C'est donc dire que Marie pourrai</w:t>
      </w:r>
      <w:r w:rsidR="001D0B9F">
        <w:t>t</w:t>
      </w:r>
      <w:r>
        <w:t xml:space="preserve"> retirer un montant supplémentaire de 18 </w:t>
      </w:r>
      <w:r w:rsidR="002314B1">
        <w:t>288</w:t>
      </w:r>
      <w:r>
        <w:t xml:space="preserve"> $ de son REÉR sans avoir à débourser de l'impôt</w:t>
      </w:r>
      <w:r w:rsidR="001D0B9F">
        <w:t xml:space="preserve"> (la portion des crédits qui ne seront pas utilisés au fédéral </w:t>
      </w:r>
      <w:r w:rsidR="00C32B9C">
        <w:t>pourra</w:t>
      </w:r>
      <w:r w:rsidR="001D0B9F">
        <w:t xml:space="preserve"> faire l'objet d'un report à une année subséquente).  Il ne fait aucun doute que Marie doit réaliser cette transaction puisque de cette façon elle défiscalise son REÉR. Le montant retiré doit être transféré dans le CÉLI de Marie.</w:t>
      </w:r>
    </w:p>
    <w:p w14:paraId="2E0E8B52" w14:textId="77777777" w:rsidR="001D0B9F" w:rsidRDefault="001D0B9F" w:rsidP="001D0B9F">
      <w:pPr>
        <w:jc w:val="both"/>
      </w:pPr>
    </w:p>
    <w:p w14:paraId="3FE5A106" w14:textId="2B412ABB" w:rsidR="00066F6B" w:rsidRDefault="001D0B9F" w:rsidP="006C34CF">
      <w:pPr>
        <w:pStyle w:val="Paragraphedeliste"/>
        <w:numPr>
          <w:ilvl w:val="0"/>
          <w:numId w:val="58"/>
        </w:numPr>
        <w:jc w:val="both"/>
      </w:pPr>
      <w:r>
        <w:rPr>
          <w:noProof/>
          <w:lang w:eastAsia="fr-FR"/>
        </w:rPr>
        <mc:AlternateContent>
          <mc:Choice Requires="wps">
            <w:drawing>
              <wp:anchor distT="0" distB="0" distL="114300" distR="114300" simplePos="0" relativeHeight="252663808" behindDoc="0" locked="0" layoutInCell="1" allowOverlap="1" wp14:anchorId="79DAE0A2" wp14:editId="70860A66">
                <wp:simplePos x="0" y="0"/>
                <wp:positionH relativeFrom="column">
                  <wp:posOffset>-800100</wp:posOffset>
                </wp:positionH>
                <wp:positionV relativeFrom="paragraph">
                  <wp:posOffset>535940</wp:posOffset>
                </wp:positionV>
                <wp:extent cx="571500" cy="571500"/>
                <wp:effectExtent l="25400" t="25400" r="38100" b="38100"/>
                <wp:wrapNone/>
                <wp:docPr id="522" name="Ellipse 522"/>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70FFCA"/>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0CE658ED" w14:textId="4025ECB0" w:rsidR="00573C95" w:rsidRPr="004F4085" w:rsidRDefault="00573C95" w:rsidP="001D0B9F">
                            <w:pPr>
                              <w:jc w:val="center"/>
                            </w:pPr>
                            <w:r>
                              <w:t>3</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22" o:spid="_x0000_s1346" style="position:absolute;left:0;text-align:left;margin-left:-62.95pt;margin-top:42.2pt;width:45pt;height:45pt;z-index:2526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" fillcolor="#70ffca" strokecolor="black [3213]" strokeweight="3pt">
                <v:textbox>
                  <w:txbxContent>
                    <w:p w14:paraId="0CE658ED" w14:textId="4025ECB0" w:rsidR="001501D6" w:rsidRPr="004F4085" w:rsidRDefault="001501D6" w:rsidP="001D0B9F">
                      <w:pPr>
                        <w:jc w:val="center"/>
                      </w:pPr>
                      <w:r>
                        <w:t>3</w:t>
                      </w:r>
                      <w:r w:rsidRPr="004F4085">
                        <w:t xml:space="preserve"> </w:t>
                      </w:r>
                    </w:p>
                  </w:txbxContent>
                </v:textbox>
              </v:oval>
            </w:pict>
          </mc:Fallback>
        </mc:AlternateContent>
      </w:r>
      <w:r>
        <w:t>Une analyse plus approfondie pourrait permettre à Marie de retirer un montant de REÉR un peu plus élevé pour un coût fiscal très faible (</w:t>
      </w:r>
      <w:r w:rsidR="006C506F">
        <w:t>à tout le moins,</w:t>
      </w:r>
      <w:r>
        <w:t xml:space="preserve"> compléter le retrait jusqu'à 2</w:t>
      </w:r>
      <w:r w:rsidR="002314B1">
        <w:t>1 718</w:t>
      </w:r>
      <w:r>
        <w:t xml:space="preserve"> $, soit le seuil d'imposition fédéral dans le cas de Marie). </w:t>
      </w:r>
    </w:p>
    <w:p w14:paraId="38EC827C" w14:textId="77777777" w:rsidR="00066F6B" w:rsidRDefault="00066F6B"/>
    <w:p w14:paraId="09F604D7" w14:textId="6A3DC708" w:rsidR="001D0B9F" w:rsidRDefault="001D0B9F">
      <w:r>
        <w:t>Comparez les recettes de l'année avec le train de vie envisagé.</w:t>
      </w:r>
    </w:p>
    <w:p w14:paraId="6149E0B1" w14:textId="77777777" w:rsidR="001D0B9F" w:rsidRDefault="001D0B9F"/>
    <w:p w14:paraId="5F096ADA" w14:textId="152F72A7" w:rsidR="001D0B9F" w:rsidRDefault="001D0B9F" w:rsidP="006C34CF">
      <w:pPr>
        <w:pStyle w:val="Paragraphedeliste"/>
        <w:numPr>
          <w:ilvl w:val="0"/>
          <w:numId w:val="59"/>
        </w:numPr>
      </w:pPr>
      <w:r>
        <w:t xml:space="preserve">L'ensemble des recettes (10 000 $ + 10 000 $ + 18 </w:t>
      </w:r>
      <w:r w:rsidR="002314B1">
        <w:t>288</w:t>
      </w:r>
      <w:r>
        <w:t xml:space="preserve"> $) = 38 </w:t>
      </w:r>
      <w:r w:rsidR="002314B1">
        <w:t>288</w:t>
      </w:r>
      <w:r>
        <w:t xml:space="preserve"> $</w:t>
      </w:r>
    </w:p>
    <w:p w14:paraId="78AF8EE0" w14:textId="2C8155DE" w:rsidR="001D0B9F" w:rsidRDefault="001D0B9F" w:rsidP="006C34CF">
      <w:pPr>
        <w:pStyle w:val="Paragraphedeliste"/>
        <w:numPr>
          <w:ilvl w:val="0"/>
          <w:numId w:val="59"/>
        </w:numPr>
      </w:pPr>
      <w:r>
        <w:t>Le train de vie envisagé (25 000 $ +5 000 $) = 30 000 $</w:t>
      </w:r>
    </w:p>
    <w:p w14:paraId="33D5CF60" w14:textId="77777777" w:rsidR="001D0B9F" w:rsidRDefault="001D0B9F" w:rsidP="001D0B9F"/>
    <w:p w14:paraId="78C7F4C5" w14:textId="77777777" w:rsidR="001D0B9F" w:rsidRDefault="001D0B9F" w:rsidP="001D0B9F"/>
    <w:p w14:paraId="1754CAB8" w14:textId="1593DC53" w:rsidR="0073021C" w:rsidRDefault="001D0B9F" w:rsidP="00AF27DA">
      <w:pPr>
        <w:jc w:val="both"/>
      </w:pPr>
      <w:r>
        <w:t>En déployant une stratégie qui permet à Marie</w:t>
      </w:r>
      <w:r w:rsidR="006C506F">
        <w:t xml:space="preserve"> de </w:t>
      </w:r>
      <w:r>
        <w:t xml:space="preserve">recueillir des recettes qui sont supérieures à son train de vie, </w:t>
      </w:r>
      <w:r w:rsidR="006C506F">
        <w:t>nous</w:t>
      </w:r>
      <w:r>
        <w:t xml:space="preserve"> ne souhaitons pas enco</w:t>
      </w:r>
      <w:r w:rsidR="00AF27DA">
        <w:t>u</w:t>
      </w:r>
      <w:r>
        <w:t xml:space="preserve">rager celle-ci </w:t>
      </w:r>
      <w:r w:rsidR="00AF27DA">
        <w:t xml:space="preserve">à vivre au-dessus de ses moyens. Il s'agit simplement d'optimiser toutes les rentrées financières potentielles, tout en faisant échec à l'impôt, en maintenant l'équilibre budgétaire de départ et en permettant d'investir les excédents dans un compte enregistré, voire, la plupart du temps dans ce genre de situation, le CÉLI. Avec cette même attitude, Marie devrait même examiner l'option d'obtenir un prêt étudiant lui permettant de bénéficier de crédits d'impôts supplémentaires. </w:t>
      </w:r>
      <w:r>
        <w:t xml:space="preserve"> </w:t>
      </w:r>
    </w:p>
    <w:p w14:paraId="16207FF4" w14:textId="77777777" w:rsidR="0073021C" w:rsidRDefault="0073021C" w:rsidP="00AF27DA">
      <w:pPr>
        <w:jc w:val="both"/>
      </w:pPr>
    </w:p>
    <w:p w14:paraId="6E32DD58" w14:textId="6E88CB33" w:rsidR="00130B80" w:rsidRPr="00130B80" w:rsidRDefault="00130B80" w:rsidP="006C34CF">
      <w:pPr>
        <w:pStyle w:val="Paragraphedeliste"/>
        <w:numPr>
          <w:ilvl w:val="0"/>
          <w:numId w:val="87"/>
        </w:numPr>
        <w:jc w:val="both"/>
        <w:rPr>
          <w:color w:val="FF6700" w:themeColor="accent3"/>
        </w:rPr>
      </w:pPr>
      <w:r w:rsidRPr="00A157D5">
        <w:rPr>
          <w:rFonts w:asciiTheme="majorHAnsi" w:hAnsiTheme="majorHAnsi"/>
          <w:color w:val="FF6700" w:themeColor="accent3"/>
        </w:rPr>
        <w:t>R</w:t>
      </w:r>
      <w:r>
        <w:rPr>
          <w:rFonts w:asciiTheme="majorHAnsi" w:hAnsiTheme="majorHAnsi"/>
          <w:color w:val="FF6700" w:themeColor="accent3"/>
        </w:rPr>
        <w:t>etrait lorsque le revenu imposable est sous le seuil du crédit personnel de base et autres crédits personnels non remboursables et non reportable</w:t>
      </w:r>
      <w:r w:rsidR="0073021C">
        <w:rPr>
          <w:rFonts w:asciiTheme="majorHAnsi" w:hAnsiTheme="majorHAnsi"/>
          <w:color w:val="FF6700" w:themeColor="accent3"/>
        </w:rPr>
        <w:t>s</w:t>
      </w:r>
    </w:p>
    <w:p w14:paraId="7C135F8C" w14:textId="77777777" w:rsidR="00130B80" w:rsidRPr="00130B80" w:rsidRDefault="00130B80" w:rsidP="00130B80">
      <w:pPr>
        <w:ind w:left="360"/>
        <w:jc w:val="both"/>
        <w:rPr>
          <w:color w:val="FF6700" w:themeColor="accent3"/>
        </w:rPr>
      </w:pPr>
    </w:p>
    <w:p w14:paraId="5F4EB6F2" w14:textId="700A41FB" w:rsidR="009A6FEB" w:rsidRDefault="009A6FEB" w:rsidP="001E3DD4">
      <w:pPr>
        <w:jc w:val="both"/>
      </w:pPr>
      <w:r>
        <w:t xml:space="preserve">De la même façon que nous avons optimisé, dans le cas précédent, la situation de Marie Richer, il est impératif de </w:t>
      </w:r>
      <w:r w:rsidR="006C506F">
        <w:t>tirer</w:t>
      </w:r>
      <w:r>
        <w:t xml:space="preserve"> avantage des rares moments où les revenus imposables d'une année se retrouvent sous le seuil des crédits personnels non remboursables d'un contribuable.</w:t>
      </w:r>
    </w:p>
    <w:p w14:paraId="0168ED91" w14:textId="77777777" w:rsidR="009A6FEB" w:rsidRDefault="009A6FEB" w:rsidP="001E3DD4">
      <w:pPr>
        <w:jc w:val="both"/>
      </w:pPr>
    </w:p>
    <w:p w14:paraId="380174E9" w14:textId="0564B712" w:rsidR="001E3DD4" w:rsidRDefault="009A6FEB" w:rsidP="001E3DD4">
      <w:pPr>
        <w:jc w:val="both"/>
      </w:pPr>
      <w:r>
        <w:t xml:space="preserve">Il faut alors </w:t>
      </w:r>
      <w:r w:rsidR="006C506F">
        <w:t>retirer,</w:t>
      </w:r>
      <w:r>
        <w:t xml:space="preserve"> au minimum, un montant du REÉR dont l'imposition est identique aux crédits d'</w:t>
      </w:r>
      <w:r w:rsidR="006C506F">
        <w:t>impôt</w:t>
      </w:r>
      <w:r>
        <w:t>.</w:t>
      </w:r>
      <w:r w:rsidR="005F1E46">
        <w:t xml:space="preserve"> </w:t>
      </w:r>
      <w:r w:rsidRPr="005F1E46">
        <w:rPr>
          <w:color w:val="FF6700" w:themeColor="accent3"/>
        </w:rPr>
        <w:t>E</w:t>
      </w:r>
      <w:r w:rsidR="005F1E46" w:rsidRPr="005F1E46">
        <w:rPr>
          <w:color w:val="FF6700" w:themeColor="accent3"/>
        </w:rPr>
        <w:t>T CE SANS ÉGARD AUX BESOINS DE LIQUIDITÉS</w:t>
      </w:r>
      <w:r>
        <w:t xml:space="preserve">. Encore une fois, cette stratégie vise simplement à déplacer les véhicules d'épargne dans un contexte </w:t>
      </w:r>
      <w:r w:rsidR="005F1E46">
        <w:t>où il n'y a pas d'impôts à payer. Il faut tout de même porter attention au TEMI (inclure l'effet des retraits sur les programmes sociaux)  lorsque nous effectuons de telles opérations. À titre d'exemple, voici des situations qui pourraient créer des opportunités de défiscalisation du REÉR sans aucun impact fiscal:</w:t>
      </w:r>
    </w:p>
    <w:p w14:paraId="321ED722" w14:textId="77777777" w:rsidR="005F1E46" w:rsidRDefault="005F1E46" w:rsidP="001E3DD4">
      <w:pPr>
        <w:jc w:val="both"/>
      </w:pPr>
    </w:p>
    <w:p w14:paraId="1EAB4E30" w14:textId="6AA96C23" w:rsidR="005F1E46" w:rsidRDefault="005F1E46" w:rsidP="00660299">
      <w:pPr>
        <w:pStyle w:val="Paragraphedeliste"/>
        <w:numPr>
          <w:ilvl w:val="0"/>
          <w:numId w:val="133"/>
        </w:numPr>
        <w:jc w:val="both"/>
      </w:pPr>
      <w:r>
        <w:t>Un retour aux études (voir l'exemple de Marie Richer)</w:t>
      </w:r>
      <w:r w:rsidR="005D7797">
        <w:t>.</w:t>
      </w:r>
    </w:p>
    <w:p w14:paraId="0EA19373" w14:textId="77777777" w:rsidR="005F1E46" w:rsidRDefault="005F1E46" w:rsidP="005F1E46">
      <w:pPr>
        <w:ind w:left="360"/>
        <w:jc w:val="both"/>
      </w:pPr>
    </w:p>
    <w:p w14:paraId="5C7A2EC3" w14:textId="584E8FC1" w:rsidR="005F1E46" w:rsidRDefault="005F1E46" w:rsidP="00660299">
      <w:pPr>
        <w:pStyle w:val="Paragraphedeliste"/>
        <w:numPr>
          <w:ilvl w:val="0"/>
          <w:numId w:val="133"/>
        </w:numPr>
        <w:jc w:val="both"/>
      </w:pPr>
      <w:r>
        <w:t xml:space="preserve">Lors d'une année d'invalidité où les prestations d'assurance sont non imposables (lorsque les primes d'assurance sont </w:t>
      </w:r>
      <w:r w:rsidR="006C506F">
        <w:t>déboursées</w:t>
      </w:r>
      <w:r>
        <w:t xml:space="preserve"> par l'employé et non l'employeur. C'est normalement le cas pour les assurances invalidité de longue durée)</w:t>
      </w:r>
      <w:r w:rsidR="005D7797">
        <w:t>.</w:t>
      </w:r>
    </w:p>
    <w:p w14:paraId="2535BFB9" w14:textId="77777777" w:rsidR="005F1E46" w:rsidRDefault="005F1E46" w:rsidP="005F1E46">
      <w:pPr>
        <w:ind w:left="360"/>
        <w:jc w:val="both"/>
      </w:pPr>
    </w:p>
    <w:p w14:paraId="1A08DD9F" w14:textId="7C48C3C5" w:rsidR="005F1E46" w:rsidRDefault="005F1E46" w:rsidP="00660299">
      <w:pPr>
        <w:pStyle w:val="Paragraphedeliste"/>
        <w:numPr>
          <w:ilvl w:val="0"/>
          <w:numId w:val="133"/>
        </w:numPr>
        <w:jc w:val="both"/>
      </w:pPr>
      <w:r>
        <w:t>Lors d'un congé sabbatique ou sans solde qui est financé par des montants non imposables (vente d</w:t>
      </w:r>
      <w:r w:rsidR="005D7797">
        <w:t>e la résidence principale,</w:t>
      </w:r>
      <w:r w:rsidR="007F646D">
        <w:t xml:space="preserve"> legs suite à un décès</w:t>
      </w:r>
      <w:r w:rsidR="005D7797">
        <w:t xml:space="preserve">, </w:t>
      </w:r>
      <w:r w:rsidR="005C60BB">
        <w:t>apports familiaux "</w:t>
      </w:r>
      <w:r w:rsidR="005D7797">
        <w:t>love money</w:t>
      </w:r>
      <w:r w:rsidR="005C60BB">
        <w:t>"</w:t>
      </w:r>
      <w:r w:rsidR="005D7797">
        <w:t xml:space="preserve">). </w:t>
      </w:r>
      <w:r>
        <w:t xml:space="preserve"> </w:t>
      </w:r>
    </w:p>
    <w:p w14:paraId="11A7D213" w14:textId="77777777" w:rsidR="00130B80" w:rsidRDefault="00130B80" w:rsidP="00DA5B57">
      <w:pPr>
        <w:jc w:val="both"/>
      </w:pPr>
    </w:p>
    <w:p w14:paraId="50C4E42C" w14:textId="77777777" w:rsidR="001E3DD4" w:rsidRDefault="001E3DD4" w:rsidP="00DA5B57">
      <w:pPr>
        <w:jc w:val="both"/>
      </w:pPr>
    </w:p>
    <w:p w14:paraId="1E449B3D" w14:textId="1D96605C" w:rsidR="00130B80" w:rsidRPr="00130B80" w:rsidRDefault="00130B80" w:rsidP="006C34CF">
      <w:pPr>
        <w:pStyle w:val="Paragraphedeliste"/>
        <w:numPr>
          <w:ilvl w:val="0"/>
          <w:numId w:val="86"/>
        </w:numPr>
        <w:jc w:val="both"/>
        <w:rPr>
          <w:rFonts w:asciiTheme="majorHAnsi" w:hAnsiTheme="majorHAnsi"/>
          <w:color w:val="FF6700" w:themeColor="accent3"/>
        </w:rPr>
      </w:pPr>
      <w:r w:rsidRPr="00A157D5">
        <w:rPr>
          <w:rFonts w:asciiTheme="majorHAnsi" w:hAnsiTheme="majorHAnsi"/>
          <w:color w:val="FF6700" w:themeColor="accent3"/>
        </w:rPr>
        <w:t>R</w:t>
      </w:r>
      <w:r>
        <w:rPr>
          <w:rFonts w:asciiTheme="majorHAnsi" w:hAnsiTheme="majorHAnsi"/>
          <w:color w:val="FF6700" w:themeColor="accent3"/>
        </w:rPr>
        <w:t>etrait lorsque</w:t>
      </w:r>
      <w:r w:rsidRPr="00130B80">
        <w:rPr>
          <w:rFonts w:asciiTheme="majorHAnsi" w:hAnsiTheme="majorHAnsi"/>
          <w:color w:val="FF6700" w:themeColor="accent3"/>
        </w:rPr>
        <w:t xml:space="preserve"> le retrait peut se réaliser à un taux d'imposition exceptionnellement faible</w:t>
      </w:r>
    </w:p>
    <w:p w14:paraId="3D187159" w14:textId="77777777" w:rsidR="00130B80" w:rsidRDefault="00130B80" w:rsidP="00DA5B57">
      <w:pPr>
        <w:jc w:val="both"/>
      </w:pPr>
    </w:p>
    <w:p w14:paraId="56E36915" w14:textId="63711C32" w:rsidR="00523201" w:rsidRDefault="00523201" w:rsidP="001E3DD4">
      <w:pPr>
        <w:jc w:val="both"/>
      </w:pPr>
      <w:r>
        <w:t>Si les retraits de REÉR qui ne comportent pas d'impôts, aucune réduction de prestations issues des programmes sociaux et aucune augmentation des dépenses de consommation personnelle ne peuvent faire que l'unanimité, il est intéressant d'ouvrir davantage les options de retraits</w:t>
      </w:r>
      <w:r w:rsidR="00FA5770">
        <w:t xml:space="preserve"> </w:t>
      </w:r>
      <w:r>
        <w:t>afin d'y inclure ceux qui peuvent s'effectuer à un faible taux d'imposition.</w:t>
      </w:r>
    </w:p>
    <w:p w14:paraId="5E2DEA01" w14:textId="77777777" w:rsidR="00523201" w:rsidRDefault="00523201" w:rsidP="001E3DD4">
      <w:pPr>
        <w:jc w:val="both"/>
      </w:pPr>
    </w:p>
    <w:p w14:paraId="099AB370" w14:textId="0EE281BE" w:rsidR="00FE5530" w:rsidRDefault="00523201" w:rsidP="00FE5530">
      <w:pPr>
        <w:jc w:val="both"/>
        <w:rPr>
          <w:rFonts w:asciiTheme="majorHAnsi" w:hAnsiTheme="majorHAnsi"/>
        </w:rPr>
      </w:pPr>
      <w:r>
        <w:t>À cet effet, qu'est-ce qu'un faible taux d'imposition</w:t>
      </w:r>
      <w:r w:rsidRPr="00FE5530">
        <w:rPr>
          <w:rFonts w:ascii="Avenir Book" w:hAnsi="Avenir Book"/>
        </w:rPr>
        <w:t xml:space="preserve">? </w:t>
      </w:r>
      <w:r>
        <w:t>Tout</w:t>
      </w:r>
      <w:r w:rsidR="00FA5770">
        <w:t xml:space="preserve"> d'abord, regardons la fourchette des taux d'imposition, elle se situe entre 28,5 % (pour un revenu imposable inférieur à environ 40 000 $) et près de 53 % (pour un revenu imposable de plus de 200 000 $). L'enjeu d'un retrait </w:t>
      </w:r>
      <w:r w:rsidR="00FE5530">
        <w:t xml:space="preserve">anticipé </w:t>
      </w:r>
      <w:r w:rsidR="00FA5770">
        <w:t>REÉR pour un contribuable est le suivant</w:t>
      </w:r>
      <w:r w:rsidR="00FE5530">
        <w:t xml:space="preserve">: vaut-il mieux payer un pourcentage moindre d'impôt aujourd'hui (compte tenu de la situation atypique dans laquelle il peut se retrouver dans une année donnée)  pour éviter de payer un montant plus élevé d'impôt, demain. La question mérite d'être posée et les analyses fiscales et financières se doivent d'être effectuées. Les contextes de vie évoqués sont les mêmes qui ceux qui ont été présentés lors de la rubrique précédente - </w:t>
      </w:r>
      <w:r w:rsidR="00FE5530" w:rsidRPr="00451135">
        <w:rPr>
          <w:rFonts w:asciiTheme="majorHAnsi" w:hAnsiTheme="majorHAnsi"/>
          <w:color w:val="FF6700" w:themeColor="accent3"/>
        </w:rPr>
        <w:t>Retrait lorsque le revenu imposable est sous le seuil du crédit personnel de base et autres crédits personnels non remboursables et non reportables</w:t>
      </w:r>
      <w:r w:rsidR="00FE5530" w:rsidRPr="00FE5530">
        <w:rPr>
          <w:rFonts w:asciiTheme="majorHAnsi" w:hAnsiTheme="majorHAnsi"/>
        </w:rPr>
        <w:t>.</w:t>
      </w:r>
    </w:p>
    <w:p w14:paraId="24CBB46A" w14:textId="77777777" w:rsidR="00FE5530" w:rsidRDefault="00FE5530" w:rsidP="00FE5530">
      <w:pPr>
        <w:jc w:val="both"/>
        <w:rPr>
          <w:rFonts w:asciiTheme="majorHAnsi" w:hAnsiTheme="majorHAnsi"/>
        </w:rPr>
      </w:pPr>
    </w:p>
    <w:p w14:paraId="076705DA" w14:textId="06BD7395" w:rsidR="001E3DD4" w:rsidRDefault="00FE5530" w:rsidP="001E3DD4">
      <w:pPr>
        <w:jc w:val="both"/>
      </w:pPr>
      <w:r>
        <w:rPr>
          <w:rFonts w:asciiTheme="majorHAnsi" w:hAnsiTheme="majorHAnsi"/>
        </w:rPr>
        <w:t>Dans le cas de couple</w:t>
      </w:r>
      <w:r w:rsidR="00E94733">
        <w:rPr>
          <w:rFonts w:asciiTheme="majorHAnsi" w:hAnsiTheme="majorHAnsi"/>
        </w:rPr>
        <w:t xml:space="preserve"> </w:t>
      </w:r>
      <w:r w:rsidR="006C506F">
        <w:rPr>
          <w:rFonts w:asciiTheme="majorHAnsi" w:hAnsiTheme="majorHAnsi"/>
        </w:rPr>
        <w:t>marié</w:t>
      </w:r>
      <w:r w:rsidR="00E94733">
        <w:rPr>
          <w:rFonts w:asciiTheme="majorHAnsi" w:hAnsiTheme="majorHAnsi"/>
        </w:rPr>
        <w:t xml:space="preserve"> ou </w:t>
      </w:r>
      <w:r w:rsidR="006C506F">
        <w:rPr>
          <w:rFonts w:asciiTheme="majorHAnsi" w:hAnsiTheme="majorHAnsi"/>
        </w:rPr>
        <w:t>uni</w:t>
      </w:r>
      <w:r w:rsidR="00E94733">
        <w:rPr>
          <w:rFonts w:asciiTheme="majorHAnsi" w:hAnsiTheme="majorHAnsi"/>
        </w:rPr>
        <w:t xml:space="preserve"> civilement</w:t>
      </w:r>
      <w:r>
        <w:rPr>
          <w:rFonts w:asciiTheme="majorHAnsi" w:hAnsiTheme="majorHAnsi"/>
        </w:rPr>
        <w:t xml:space="preserve"> (ayant des écarts de revenu </w:t>
      </w:r>
      <w:r w:rsidR="00E94733">
        <w:rPr>
          <w:rFonts w:asciiTheme="majorHAnsi" w:hAnsiTheme="majorHAnsi"/>
        </w:rPr>
        <w:t>imposable très importants)</w:t>
      </w:r>
      <w:r>
        <w:rPr>
          <w:rFonts w:asciiTheme="majorHAnsi" w:hAnsiTheme="majorHAnsi"/>
        </w:rPr>
        <w:t>, il peut être intéressant d'évaluer l'optimisa</w:t>
      </w:r>
      <w:r w:rsidR="00E94733">
        <w:rPr>
          <w:rFonts w:asciiTheme="majorHAnsi" w:hAnsiTheme="majorHAnsi"/>
        </w:rPr>
        <w:t xml:space="preserve">tion d'un retrait anticipé dans le cas d'une cotisation au REÉR du conjoint. En planifiant d'avance une telle opération, il est possible d'en faire usage tout en se conformant à la règle anti-évitement qui exige que dans une telle situation, le conjoint </w:t>
      </w:r>
      <w:r w:rsidR="006C506F">
        <w:rPr>
          <w:rFonts w:asciiTheme="majorHAnsi" w:hAnsiTheme="majorHAnsi"/>
        </w:rPr>
        <w:t>doive</w:t>
      </w:r>
      <w:r w:rsidR="00E94733">
        <w:rPr>
          <w:rFonts w:asciiTheme="majorHAnsi" w:hAnsiTheme="majorHAnsi"/>
        </w:rPr>
        <w:t xml:space="preserve"> attendre deux années civiles complètes</w:t>
      </w:r>
      <w:r w:rsidR="00616FAC">
        <w:rPr>
          <w:rFonts w:asciiTheme="majorHAnsi" w:hAnsiTheme="majorHAnsi"/>
        </w:rPr>
        <w:t xml:space="preserve"> (trois 31 décembre)</w:t>
      </w:r>
      <w:r w:rsidR="002915D6">
        <w:rPr>
          <w:rFonts w:asciiTheme="majorHAnsi" w:hAnsiTheme="majorHAnsi"/>
        </w:rPr>
        <w:t xml:space="preserve"> </w:t>
      </w:r>
      <w:r w:rsidR="00E94733">
        <w:rPr>
          <w:rFonts w:asciiTheme="majorHAnsi" w:hAnsiTheme="majorHAnsi"/>
        </w:rPr>
        <w:t xml:space="preserve"> avant de retirer une somme du REÉR établi au profit du conjoint. </w:t>
      </w:r>
      <w:r w:rsidR="001E3DD4">
        <w:t xml:space="preserve">Dans ce sens, une contribution à la fin décembre plutôt qu'au début janvier anticipe la libération de cette règle de </w:t>
      </w:r>
      <w:r w:rsidR="006C506F">
        <w:t xml:space="preserve">presque </w:t>
      </w:r>
      <w:r w:rsidR="001E3DD4">
        <w:t>un an.</w:t>
      </w:r>
      <w:r w:rsidR="00616FAC">
        <w:t xml:space="preserve"> De plus, cette </w:t>
      </w:r>
      <w:r w:rsidR="001E3DD4">
        <w:t xml:space="preserve">règle de 3 ans </w:t>
      </w:r>
      <w:r w:rsidR="00616FAC">
        <w:t>ne s'applique pas aux retraits minimums effectués, à compter de 55 ans, à même le FERR.</w:t>
      </w:r>
    </w:p>
    <w:p w14:paraId="3DF320AC" w14:textId="77777777" w:rsidR="001E3DD4" w:rsidRDefault="001E3DD4" w:rsidP="00DA5B57">
      <w:pPr>
        <w:jc w:val="both"/>
      </w:pPr>
    </w:p>
    <w:p w14:paraId="288EA95D" w14:textId="39BEEFA6" w:rsidR="00130B80" w:rsidRDefault="00130B80" w:rsidP="006C34CF">
      <w:pPr>
        <w:pStyle w:val="Paragraphedeliste"/>
        <w:numPr>
          <w:ilvl w:val="0"/>
          <w:numId w:val="85"/>
        </w:numPr>
        <w:jc w:val="both"/>
        <w:rPr>
          <w:rFonts w:asciiTheme="majorHAnsi" w:hAnsiTheme="majorHAnsi"/>
          <w:color w:val="FF6700" w:themeColor="accent3"/>
        </w:rPr>
      </w:pPr>
      <w:r w:rsidRPr="00A157D5">
        <w:rPr>
          <w:rFonts w:asciiTheme="majorHAnsi" w:hAnsiTheme="majorHAnsi"/>
          <w:color w:val="FF6700" w:themeColor="accent3"/>
        </w:rPr>
        <w:t>R</w:t>
      </w:r>
      <w:r>
        <w:rPr>
          <w:rFonts w:asciiTheme="majorHAnsi" w:hAnsiTheme="majorHAnsi"/>
          <w:color w:val="FF6700" w:themeColor="accent3"/>
        </w:rPr>
        <w:t>etrait p</w:t>
      </w:r>
      <w:r w:rsidRPr="00130B80">
        <w:rPr>
          <w:rFonts w:asciiTheme="majorHAnsi" w:hAnsiTheme="majorHAnsi"/>
          <w:color w:val="FF6700" w:themeColor="accent3"/>
        </w:rPr>
        <w:t>our mettre en place des stratégie</w:t>
      </w:r>
      <w:r>
        <w:rPr>
          <w:rFonts w:asciiTheme="majorHAnsi" w:hAnsiTheme="majorHAnsi"/>
          <w:color w:val="FF6700" w:themeColor="accent3"/>
        </w:rPr>
        <w:t>s</w:t>
      </w:r>
      <w:r w:rsidRPr="00130B80">
        <w:rPr>
          <w:rFonts w:asciiTheme="majorHAnsi" w:hAnsiTheme="majorHAnsi"/>
          <w:color w:val="FF6700" w:themeColor="accent3"/>
        </w:rPr>
        <w:t xml:space="preserve"> de défiscalisation du REÉR</w:t>
      </w:r>
      <w:r w:rsidR="002B05BC">
        <w:rPr>
          <w:rFonts w:asciiTheme="majorHAnsi" w:hAnsiTheme="majorHAnsi"/>
          <w:color w:val="FF6700" w:themeColor="accent3"/>
        </w:rPr>
        <w:t xml:space="preserve"> en utilisant les effets de levier financier</w:t>
      </w:r>
      <w:r w:rsidRPr="00130B80">
        <w:rPr>
          <w:rFonts w:asciiTheme="majorHAnsi" w:hAnsiTheme="majorHAnsi"/>
          <w:color w:val="FF6700" w:themeColor="accent3"/>
        </w:rPr>
        <w:t xml:space="preserve"> (APRÈS AVOIR ANALYSÉ TOUS LES FACTEURS ET ÉVALUÉ LES RI</w:t>
      </w:r>
      <w:r w:rsidR="004057D7">
        <w:rPr>
          <w:rFonts w:asciiTheme="majorHAnsi" w:hAnsiTheme="majorHAnsi"/>
          <w:color w:val="FF6700" w:themeColor="accent3"/>
        </w:rPr>
        <w:t>S</w:t>
      </w:r>
      <w:r w:rsidRPr="00130B80">
        <w:rPr>
          <w:rFonts w:asciiTheme="majorHAnsi" w:hAnsiTheme="majorHAnsi"/>
          <w:color w:val="FF6700" w:themeColor="accent3"/>
        </w:rPr>
        <w:t>QUES</w:t>
      </w:r>
      <w:r>
        <w:rPr>
          <w:rFonts w:asciiTheme="majorHAnsi" w:hAnsiTheme="majorHAnsi"/>
          <w:color w:val="FF6700" w:themeColor="accent3"/>
        </w:rPr>
        <w:t>)</w:t>
      </w:r>
    </w:p>
    <w:p w14:paraId="6CFC7696" w14:textId="77777777" w:rsidR="002B05BC" w:rsidRPr="002B05BC" w:rsidRDefault="002B05BC" w:rsidP="002B05BC">
      <w:pPr>
        <w:ind w:left="360"/>
        <w:jc w:val="both"/>
        <w:rPr>
          <w:rFonts w:asciiTheme="majorHAnsi" w:hAnsiTheme="majorHAnsi"/>
          <w:color w:val="FF6700" w:themeColor="accent3"/>
        </w:rPr>
      </w:pPr>
    </w:p>
    <w:p w14:paraId="2C5E5D0B" w14:textId="21E0E736" w:rsidR="002B05BC" w:rsidRPr="00451135" w:rsidRDefault="002B05BC" w:rsidP="002B05BC">
      <w:pPr>
        <w:jc w:val="both"/>
        <w:rPr>
          <w:rFonts w:asciiTheme="majorHAnsi" w:hAnsiTheme="majorHAnsi"/>
          <w:color w:val="FF6700" w:themeColor="accent3"/>
        </w:rPr>
      </w:pPr>
      <w:r w:rsidRPr="002B05BC">
        <w:rPr>
          <w:rFonts w:asciiTheme="majorHAnsi" w:hAnsiTheme="majorHAnsi"/>
        </w:rPr>
        <w:t xml:space="preserve">Selon les mêmes stratégies que nous avons </w:t>
      </w:r>
      <w:r w:rsidR="006C506F">
        <w:rPr>
          <w:rFonts w:asciiTheme="majorHAnsi" w:hAnsiTheme="majorHAnsi"/>
        </w:rPr>
        <w:t>présentées</w:t>
      </w:r>
      <w:r w:rsidRPr="002B05BC">
        <w:rPr>
          <w:rFonts w:asciiTheme="majorHAnsi" w:hAnsiTheme="majorHAnsi"/>
        </w:rPr>
        <w:t xml:space="preserve"> dans le cadre de la situation 4 </w:t>
      </w:r>
      <w:r w:rsidRPr="00451135">
        <w:rPr>
          <w:rFonts w:asciiTheme="majorHAnsi" w:hAnsiTheme="majorHAnsi"/>
          <w:color w:val="FF6700" w:themeColor="accent3"/>
        </w:rPr>
        <w:t xml:space="preserve">- </w:t>
      </w:r>
      <w:r w:rsidRPr="00451135">
        <w:rPr>
          <w:color w:val="FF6700" w:themeColor="accent3"/>
        </w:rPr>
        <w:t xml:space="preserve">Le contribuable est âgé entre 60 ans et 65 ans. </w:t>
      </w:r>
    </w:p>
    <w:p w14:paraId="4AF7F3F1" w14:textId="77777777" w:rsidR="00130B80" w:rsidRDefault="00130B80" w:rsidP="00DA5B57">
      <w:pPr>
        <w:jc w:val="both"/>
      </w:pPr>
    </w:p>
    <w:p w14:paraId="26886D74" w14:textId="6AFAF0B3" w:rsidR="00130B80" w:rsidRPr="00A157D5" w:rsidRDefault="00130B80" w:rsidP="006C34CF">
      <w:pPr>
        <w:pStyle w:val="Paragraphedeliste"/>
        <w:numPr>
          <w:ilvl w:val="0"/>
          <w:numId w:val="84"/>
        </w:numPr>
        <w:jc w:val="both"/>
        <w:rPr>
          <w:color w:val="FF6700" w:themeColor="accent3"/>
        </w:rPr>
      </w:pPr>
      <w:r w:rsidRPr="00A157D5">
        <w:rPr>
          <w:rFonts w:asciiTheme="majorHAnsi" w:hAnsiTheme="majorHAnsi"/>
          <w:color w:val="FF6700" w:themeColor="accent3"/>
        </w:rPr>
        <w:t>R</w:t>
      </w:r>
      <w:r>
        <w:rPr>
          <w:rFonts w:asciiTheme="majorHAnsi" w:hAnsiTheme="majorHAnsi"/>
          <w:color w:val="FF6700" w:themeColor="accent3"/>
        </w:rPr>
        <w:t>etrait l</w:t>
      </w:r>
      <w:r w:rsidRPr="00130B80">
        <w:rPr>
          <w:rFonts w:asciiTheme="majorHAnsi" w:hAnsiTheme="majorHAnsi"/>
          <w:color w:val="FF6700" w:themeColor="accent3"/>
        </w:rPr>
        <w:t>orsque le coût de la dette du contribuable est tellement élevé que le meilleur rendement correspond à la rembourser</w:t>
      </w:r>
    </w:p>
    <w:p w14:paraId="5F3C474E" w14:textId="77777777" w:rsidR="00130B80" w:rsidRDefault="00130B80" w:rsidP="00DA5B57">
      <w:pPr>
        <w:jc w:val="both"/>
      </w:pPr>
    </w:p>
    <w:p w14:paraId="2F8C5BF1" w14:textId="638D5DDD" w:rsidR="007474F0" w:rsidRDefault="007474F0" w:rsidP="00DA5B57">
      <w:pPr>
        <w:jc w:val="both"/>
      </w:pPr>
      <w:r>
        <w:t xml:space="preserve">Il est possible que le contribuable se retrouve à la fois avec des placements logés dans un REÉR et des dettes dont les intérêts ne sont pas déductibles (comme la plupart d'entre elles) et portent un taux élevé. Nous étudierons en détail cette problématique dans la </w:t>
      </w:r>
      <w:r w:rsidRPr="00A9464B">
        <w:rPr>
          <w:color w:val="008000"/>
        </w:rPr>
        <w:t>PARTIE 5</w:t>
      </w:r>
      <w:r>
        <w:t xml:space="preserve"> portant sur la gestion de la dette. Pour l'instant, contentons-nous de faire part de no</w:t>
      </w:r>
      <w:r w:rsidR="000944EF">
        <w:t xml:space="preserve">s regrets </w:t>
      </w:r>
      <w:r>
        <w:t>à ce contribuable tout en relevant que ce type (malheureusement trop fréquent) de situation fait état de deux grandes vérités:</w:t>
      </w:r>
    </w:p>
    <w:p w14:paraId="16D5BFD3" w14:textId="77777777" w:rsidR="007474F0" w:rsidRDefault="007474F0" w:rsidP="00DA5B57">
      <w:pPr>
        <w:jc w:val="both"/>
      </w:pPr>
    </w:p>
    <w:p w14:paraId="487E11C3" w14:textId="28AB31E4" w:rsidR="002B05BC" w:rsidRDefault="007474F0" w:rsidP="006C34CF">
      <w:pPr>
        <w:pStyle w:val="Paragraphedeliste"/>
        <w:numPr>
          <w:ilvl w:val="0"/>
          <w:numId w:val="60"/>
        </w:numPr>
        <w:jc w:val="both"/>
      </w:pPr>
      <w:r>
        <w:t xml:space="preserve">Le contribuable a des dettes à taux élevé puisque celles-ci découlent </w:t>
      </w:r>
      <w:r w:rsidR="00734AE2">
        <w:t xml:space="preserve">d'un </w:t>
      </w:r>
      <w:r>
        <w:t>train de vie trop élevé</w:t>
      </w:r>
      <w:r w:rsidR="000944EF">
        <w:t>.</w:t>
      </w:r>
    </w:p>
    <w:p w14:paraId="61EB5FB6" w14:textId="77777777" w:rsidR="007474F0" w:rsidRDefault="007474F0" w:rsidP="00734AE2">
      <w:pPr>
        <w:ind w:left="134"/>
        <w:jc w:val="both"/>
      </w:pPr>
    </w:p>
    <w:p w14:paraId="765D9684" w14:textId="486A14C2" w:rsidR="007474F0" w:rsidRDefault="00734AE2" w:rsidP="006C34CF">
      <w:pPr>
        <w:pStyle w:val="Paragraphedeliste"/>
        <w:numPr>
          <w:ilvl w:val="0"/>
          <w:numId w:val="60"/>
        </w:numPr>
        <w:jc w:val="both"/>
      </w:pPr>
      <w:r>
        <w:t xml:space="preserve">Le REÉR et les "épargnes" dans celui-ci du contribuable sont en quelque sorte une forme de mirage </w:t>
      </w:r>
      <w:r w:rsidR="000944EF">
        <w:t>puisque leur source est ces mêmes dettes personnelles.</w:t>
      </w:r>
      <w:r>
        <w:t xml:space="preserve"> </w:t>
      </w:r>
    </w:p>
    <w:p w14:paraId="6BB10DA4" w14:textId="77777777" w:rsidR="00130B80" w:rsidRDefault="00130B80" w:rsidP="00DA5B57">
      <w:pPr>
        <w:jc w:val="both"/>
      </w:pPr>
    </w:p>
    <w:p w14:paraId="0D3FEA7E" w14:textId="25AB3002" w:rsidR="00A9464B" w:rsidRDefault="000944EF" w:rsidP="00DA5B57">
      <w:pPr>
        <w:jc w:val="both"/>
      </w:pPr>
      <w:r>
        <w:t>En effet, tout suit l'effet de vases communiquant en finances personnelles</w:t>
      </w:r>
      <w:r w:rsidR="00A9464B">
        <w:t xml:space="preserve">. Dans un tel cas, </w:t>
      </w:r>
      <w:r w:rsidR="006C506F">
        <w:t>il</w:t>
      </w:r>
      <w:r>
        <w:t xml:space="preserve"> est tout aussi vrai d'imaginer que les biens personnels ont été acquis au "comptant" et que les dettes personnelles </w:t>
      </w:r>
      <w:r w:rsidR="00A9464B">
        <w:t>ont été contractées pour financer les REÉR. Cette vision est douloureuse pour le contribuable, à un point tel, que celui-ci acceptera l'idée de faire l'achat d'un SPA financé sur 48 mois, à un taux d'</w:t>
      </w:r>
      <w:r w:rsidR="006C506F">
        <w:t>intérêt</w:t>
      </w:r>
      <w:r w:rsidR="00A9464B">
        <w:t xml:space="preserve"> de 7,9 %, tout en détenant des REÉR qui lui rapporte</w:t>
      </w:r>
      <w:r w:rsidR="00C65137">
        <w:t>nt</w:t>
      </w:r>
      <w:r w:rsidR="00A9464B">
        <w:t xml:space="preserve"> un rendement de 4 %. Comprenons ici que nous ne cautionnons pas l'achat de biens personnels par l'encaissement d'un REÉR, mais plutôt, qu'une fois l'erreur commise, la situation assumée et la mise en oeuvre d'un nouveau plan financier</w:t>
      </w:r>
      <w:r w:rsidR="0084153E">
        <w:t xml:space="preserve"> entamé, il vaut peut-être mieux rembourser la dette personnelle onéreuse à l'aide d'un retrait REÉR dont le taux d'imposition serait raisonnable. Chaque situation doit être analysée individuellement. </w:t>
      </w:r>
    </w:p>
    <w:p w14:paraId="0752F9D3" w14:textId="77777777" w:rsidR="00DE289C" w:rsidRDefault="00DE289C"/>
    <w:p w14:paraId="1546BDD7" w14:textId="77777777" w:rsidR="00DE289C" w:rsidRDefault="00DE289C"/>
    <w:p w14:paraId="7FF80C2A" w14:textId="634A8557" w:rsidR="00130B80" w:rsidRDefault="000D12A4" w:rsidP="00DA5B57">
      <w:pPr>
        <w:jc w:val="both"/>
        <w:rPr>
          <w:color w:val="AF0013"/>
        </w:rPr>
      </w:pPr>
      <w:r w:rsidRPr="000D12A4">
        <w:rPr>
          <w:noProof/>
          <w:color w:val="AF0013"/>
          <w:lang w:eastAsia="fr-FR"/>
        </w:rPr>
        <w:drawing>
          <wp:anchor distT="0" distB="0" distL="114300" distR="114300" simplePos="0" relativeHeight="252649472" behindDoc="0" locked="0" layoutInCell="1" allowOverlap="1" wp14:anchorId="22FDE491" wp14:editId="37DEF517">
            <wp:simplePos x="0" y="0"/>
            <wp:positionH relativeFrom="column">
              <wp:posOffset>5486400</wp:posOffset>
            </wp:positionH>
            <wp:positionV relativeFrom="paragraph">
              <wp:posOffset>-342900</wp:posOffset>
            </wp:positionV>
            <wp:extent cx="579120" cy="571500"/>
            <wp:effectExtent l="0" t="0" r="5080" b="12700"/>
            <wp:wrapNone/>
            <wp:docPr id="482" name="Image 482">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hyperlink r:id="rId125" w:history="1">
        <w:r w:rsidR="005701BA" w:rsidRPr="005B3FB5">
          <w:rPr>
            <w:rStyle w:val="Lienhypertexte"/>
            <w:color w:val="AF0013"/>
          </w:rPr>
          <w:t>Capsule 7-9 Vidéo récapitulative sur les fondements de base du REÉR</w:t>
        </w:r>
      </w:hyperlink>
      <w:r w:rsidR="005701BA" w:rsidRPr="005B3FB5">
        <w:rPr>
          <w:color w:val="AF0013"/>
        </w:rPr>
        <w:t xml:space="preserve"> </w:t>
      </w:r>
    </w:p>
    <w:p w14:paraId="3B8AF649" w14:textId="77777777" w:rsidR="0099670D" w:rsidRDefault="0099670D" w:rsidP="00DA5B57">
      <w:pPr>
        <w:jc w:val="both"/>
        <w:rPr>
          <w:color w:val="AF0013"/>
        </w:rPr>
      </w:pPr>
    </w:p>
    <w:p w14:paraId="5D17346C" w14:textId="77777777" w:rsidR="0099670D" w:rsidRDefault="0099670D" w:rsidP="00DA5B57">
      <w:pPr>
        <w:jc w:val="both"/>
        <w:rPr>
          <w:color w:val="AF0013"/>
        </w:rPr>
      </w:pPr>
    </w:p>
    <w:p w14:paraId="65FB560A" w14:textId="59C1ABC6" w:rsidR="0099670D" w:rsidRPr="00B00225" w:rsidRDefault="0099670D" w:rsidP="00B00225">
      <w:pPr>
        <w:jc w:val="both"/>
        <w:rPr>
          <w:i/>
        </w:rPr>
      </w:pPr>
      <w:r w:rsidRPr="00B00225">
        <w:rPr>
          <w:i/>
        </w:rPr>
        <w:t xml:space="preserve">En conclusion, dans leur essence, tous </w:t>
      </w:r>
      <w:r w:rsidR="00B00225" w:rsidRPr="00B00225">
        <w:rPr>
          <w:i/>
        </w:rPr>
        <w:t>les</w:t>
      </w:r>
      <w:r w:rsidRPr="00B00225">
        <w:rPr>
          <w:i/>
        </w:rPr>
        <w:t xml:space="preserve"> retraits </w:t>
      </w:r>
      <w:r w:rsidR="00B00225" w:rsidRPr="00B00225">
        <w:rPr>
          <w:i/>
        </w:rPr>
        <w:t xml:space="preserve">REÉR qui sont </w:t>
      </w:r>
      <w:r w:rsidRPr="00B00225">
        <w:rPr>
          <w:i/>
        </w:rPr>
        <w:t>précoces</w:t>
      </w:r>
      <w:r w:rsidR="00B00225" w:rsidRPr="00B00225">
        <w:rPr>
          <w:i/>
        </w:rPr>
        <w:t xml:space="preserve"> et préalables à la retraite</w:t>
      </w:r>
      <w:r w:rsidRPr="00B00225">
        <w:rPr>
          <w:i/>
        </w:rPr>
        <w:t xml:space="preserve"> se veulent une forme différenciée d'épargne, en aucun temps visent-ils l'accroissement des dépenses de consommation.</w:t>
      </w:r>
    </w:p>
    <w:p w14:paraId="5E42EE45" w14:textId="77777777" w:rsidR="0099670D" w:rsidRDefault="0099670D" w:rsidP="00DA5B57">
      <w:pPr>
        <w:jc w:val="both"/>
        <w:rPr>
          <w:color w:val="AF0013"/>
        </w:rPr>
      </w:pPr>
    </w:p>
    <w:p w14:paraId="5C598223" w14:textId="3879E13F" w:rsidR="005A52D1" w:rsidRDefault="005A52D1" w:rsidP="005A52D1">
      <w:pPr>
        <w:pStyle w:val="Titre2"/>
      </w:pPr>
      <w:bookmarkStart w:id="102" w:name="_Toc314397858"/>
      <w:bookmarkStart w:id="103" w:name="_Toc443569402"/>
      <w:r>
        <w:t>Le CÉLI</w:t>
      </w:r>
      <w:bookmarkEnd w:id="102"/>
      <w:bookmarkEnd w:id="103"/>
    </w:p>
    <w:p w14:paraId="70E26642" w14:textId="77777777" w:rsidR="005A52D1" w:rsidRDefault="005A52D1" w:rsidP="005A52D1"/>
    <w:p w14:paraId="3AF94797" w14:textId="211B4A34" w:rsidR="00245648" w:rsidRDefault="00245648" w:rsidP="00F4567E">
      <w:pPr>
        <w:jc w:val="both"/>
      </w:pPr>
      <w:r>
        <w:t xml:space="preserve">Le compte épargne libre d'impôt fut instauré en janvier 2009 afin d'offrir </w:t>
      </w:r>
      <w:r w:rsidR="00F4567E">
        <w:t xml:space="preserve">un </w:t>
      </w:r>
      <w:r>
        <w:t>nouvel espace d'épargne, à l'abri de l'impôt,  aux Canadiens. Le CÉLI se veut un outil complémentaire au REÉR. Cette complémentarité n'est pas toujours comprise par les contribuables</w:t>
      </w:r>
      <w:r w:rsidR="00F4567E">
        <w:t xml:space="preserve">. Cette mésentente est, à notre avis un peu normale puisque les résultats financiers d'une cotisation au CÉLI ou au REÉR sont parfois identiques, parfois différents, issus de modes de fonctionnement différents, mais ayant tous les deux pour objectif d'assister les contribuables dans leur quête d'épargne. </w:t>
      </w:r>
    </w:p>
    <w:p w14:paraId="1963B4C9" w14:textId="77777777" w:rsidR="00F4567E" w:rsidRDefault="00F4567E" w:rsidP="00F4567E">
      <w:pPr>
        <w:jc w:val="both"/>
      </w:pPr>
    </w:p>
    <w:p w14:paraId="2EFA75CC" w14:textId="5BE0A13D" w:rsidR="00F4567E" w:rsidRDefault="00F4567E" w:rsidP="00F4567E">
      <w:pPr>
        <w:jc w:val="both"/>
      </w:pPr>
      <w:r>
        <w:t>Il sera donc important de présenter le CÉLI dans son essence tout en lui donnant le meilleur angle d'analyse possible lorsque nous le comparerons avec le REÉR.</w:t>
      </w:r>
    </w:p>
    <w:p w14:paraId="0D4C8484" w14:textId="77777777" w:rsidR="00F4567E" w:rsidRDefault="00F4567E" w:rsidP="00F4567E">
      <w:pPr>
        <w:jc w:val="both"/>
      </w:pPr>
    </w:p>
    <w:p w14:paraId="35C17D75" w14:textId="7F11922B" w:rsidR="00F4567E" w:rsidRDefault="00D179A2" w:rsidP="006C34CF">
      <w:pPr>
        <w:pStyle w:val="Titre3"/>
        <w:numPr>
          <w:ilvl w:val="2"/>
          <w:numId w:val="61"/>
        </w:numPr>
      </w:pPr>
      <w:bookmarkStart w:id="104" w:name="_Toc314397859"/>
      <w:bookmarkStart w:id="105" w:name="_Toc443569403"/>
      <w:r>
        <w:t>Le fonctionnement</w:t>
      </w:r>
      <w:bookmarkEnd w:id="104"/>
      <w:bookmarkEnd w:id="105"/>
    </w:p>
    <w:p w14:paraId="60217095" w14:textId="77777777" w:rsidR="00D179A2" w:rsidRDefault="00D179A2" w:rsidP="00D179A2"/>
    <w:p w14:paraId="3569D97C" w14:textId="318FC13A" w:rsidR="00B43F6F" w:rsidRDefault="00B43F6F" w:rsidP="00DA2C6E">
      <w:pPr>
        <w:jc w:val="both"/>
      </w:pPr>
      <w:r>
        <w:t xml:space="preserve">Le fonctionnement du CÉLI est simple et d'une grande souplesse, beaucoup plus que dans le cas du REÉR. </w:t>
      </w:r>
      <w:r w:rsidR="0067601D">
        <w:t xml:space="preserve">Il s'agit essentiellement d'investir une somme d'argent dont le placement fructifiera </w:t>
      </w:r>
      <w:r w:rsidR="00DA2C6E">
        <w:t>intégralement à l'abri de l'impôt. Cela veut dire qu'il n'y aucun impact fiscal dans le cas du CÉLI, et ce peu importe le moment (cotisation, détention et retrait).</w:t>
      </w:r>
    </w:p>
    <w:p w14:paraId="72F4AB81" w14:textId="77777777" w:rsidR="00DA2C6E" w:rsidRDefault="00DA2C6E" w:rsidP="00DA2C6E">
      <w:pPr>
        <w:jc w:val="both"/>
      </w:pPr>
    </w:p>
    <w:p w14:paraId="0B7C245D" w14:textId="63139577" w:rsidR="00D76C00" w:rsidRDefault="00EB43F6" w:rsidP="00DA2C6E">
      <w:pPr>
        <w:jc w:val="both"/>
      </w:pPr>
      <w:r w:rsidRPr="00322911">
        <w:rPr>
          <w:noProof/>
          <w:lang w:eastAsia="fr-FR"/>
        </w:rPr>
        <w:drawing>
          <wp:anchor distT="0" distB="0" distL="114300" distR="114300" simplePos="0" relativeHeight="252680192" behindDoc="0" locked="0" layoutInCell="1" allowOverlap="1" wp14:anchorId="01EB87F5" wp14:editId="0159D367">
            <wp:simplePos x="0" y="0"/>
            <wp:positionH relativeFrom="column">
              <wp:posOffset>-800100</wp:posOffset>
            </wp:positionH>
            <wp:positionV relativeFrom="paragraph">
              <wp:posOffset>1076960</wp:posOffset>
            </wp:positionV>
            <wp:extent cx="685800" cy="779145"/>
            <wp:effectExtent l="0" t="0" r="0" b="8255"/>
            <wp:wrapNone/>
            <wp:docPr id="527" name="Image 527"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A2C6E">
        <w:t xml:space="preserve">Lorsque nous abordons la souplesse du CÉLI, nous faisons référence à la possibilité d'y retirer des sommes, sans jamais subir d'effet fiscal défavorable (imposition ou perte de l'espace CÉLI), au gré des besoins financiers du contribuable. La mécanique de rétablissement du solde disponible du CÉLI suite à un retrait a fait l'objet de quelques mégardes de la part des cotisants. </w:t>
      </w:r>
      <w:r w:rsidR="0019146D">
        <w:t xml:space="preserve">L'incompréhension est due au fait que suite à un retrait du CÉLI, l'espace libéré par le montant retranché s'ajoute au solde disponible, </w:t>
      </w:r>
      <w:r w:rsidR="0019146D" w:rsidRPr="002129D1">
        <w:rPr>
          <w:u w:val="single"/>
        </w:rPr>
        <w:t>l'année subséquente</w:t>
      </w:r>
      <w:r w:rsidR="0019146D">
        <w:t xml:space="preserve"> (et non dans la même année où le retrait s'est effectué).</w:t>
      </w:r>
    </w:p>
    <w:p w14:paraId="6EB1DAA1" w14:textId="77777777" w:rsidR="00D76C00" w:rsidRDefault="00D76C00" w:rsidP="00DA2C6E">
      <w:pPr>
        <w:jc w:val="both"/>
      </w:pPr>
    </w:p>
    <w:p w14:paraId="2F64611C" w14:textId="10E8287D" w:rsidR="00DA2C6E" w:rsidRDefault="0019146D" w:rsidP="00DA2C6E">
      <w:pPr>
        <w:jc w:val="both"/>
      </w:pPr>
      <w:r>
        <w:t xml:space="preserve">Par exemple, si </w:t>
      </w:r>
      <w:r w:rsidRPr="00EB43F6">
        <w:rPr>
          <w:color w:val="FF0000"/>
        </w:rPr>
        <w:t>Jean Faucher</w:t>
      </w:r>
      <w:r>
        <w:t xml:space="preserve"> retire cette année 4 888 $ de son espace CÉLI (et qu'il ne possède</w:t>
      </w:r>
      <w:r w:rsidR="002129D1">
        <w:t xml:space="preserve">, pas par ailleurs, </w:t>
      </w:r>
      <w:r>
        <w:t>un solde disponible), il ne p</w:t>
      </w:r>
      <w:r w:rsidR="005A59DB">
        <w:t>ourra</w:t>
      </w:r>
      <w:r>
        <w:t xml:space="preserve"> réinvestir</w:t>
      </w:r>
      <w:r w:rsidR="005A59DB">
        <w:t xml:space="preserve"> une somme</w:t>
      </w:r>
      <w:r>
        <w:t xml:space="preserve"> dans son CÉLI qu</w:t>
      </w:r>
      <w:r w:rsidR="002129D1">
        <w:t>'à compter du 1</w:t>
      </w:r>
      <w:r w:rsidR="002129D1" w:rsidRPr="002129D1">
        <w:rPr>
          <w:vertAlign w:val="superscript"/>
        </w:rPr>
        <w:t>er</w:t>
      </w:r>
      <w:r w:rsidR="002129D1">
        <w:t xml:space="preserve"> janvier de l'année suivante.</w:t>
      </w:r>
    </w:p>
    <w:p w14:paraId="38EE42B8" w14:textId="77777777" w:rsidR="00DA2C6E" w:rsidRDefault="00DA2C6E" w:rsidP="00DA2C6E">
      <w:pPr>
        <w:jc w:val="both"/>
      </w:pPr>
    </w:p>
    <w:p w14:paraId="278254A0" w14:textId="77777777" w:rsidR="00DA2C6E" w:rsidRDefault="00DA2C6E" w:rsidP="00DA2C6E">
      <w:pPr>
        <w:jc w:val="both"/>
      </w:pPr>
    </w:p>
    <w:p w14:paraId="46FF1F99" w14:textId="3F80C35E" w:rsidR="0067601D" w:rsidRDefault="0067601D" w:rsidP="00D179A2">
      <w:r>
        <w:t xml:space="preserve">Voici un tableau comparatif </w:t>
      </w:r>
      <w:r w:rsidR="00293B14">
        <w:t xml:space="preserve">des caractéristiques </w:t>
      </w:r>
      <w:r>
        <w:t>CÉLI vs REÉR</w:t>
      </w:r>
    </w:p>
    <w:p w14:paraId="48817CC1" w14:textId="77777777" w:rsidR="00293B14" w:rsidRDefault="00293B14"/>
    <w:tbl>
      <w:tblPr>
        <w:tblStyle w:val="Listefonce-Accent4"/>
        <w:tblW w:w="0" w:type="auto"/>
        <w:shd w:val="clear" w:color="auto" w:fill="CCFFCC"/>
        <w:tblLook w:val="04A0" w:firstRow="1" w:lastRow="0" w:firstColumn="1" w:lastColumn="0" w:noHBand="0" w:noVBand="1"/>
      </w:tblPr>
      <w:tblGrid>
        <w:gridCol w:w="5495"/>
        <w:gridCol w:w="3969"/>
        <w:gridCol w:w="3682"/>
      </w:tblGrid>
      <w:tr w:rsidR="00293B14" w:rsidRPr="00293B14" w14:paraId="44E0B2F8" w14:textId="77777777" w:rsidTr="00293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2A9BDCE5" w14:textId="26B29397" w:rsidR="00293B14" w:rsidRPr="00293B14" w:rsidRDefault="00293B14" w:rsidP="00293B14">
            <w:pPr>
              <w:jc w:val="center"/>
              <w:rPr>
                <w:color w:val="auto"/>
              </w:rPr>
            </w:pPr>
            <w:r w:rsidRPr="00293B14">
              <w:rPr>
                <w:color w:val="auto"/>
              </w:rPr>
              <w:t>Caractéristiques</w:t>
            </w:r>
          </w:p>
        </w:tc>
        <w:tc>
          <w:tcPr>
            <w:tcW w:w="3969" w:type="dxa"/>
            <w:shd w:val="clear" w:color="auto" w:fill="CCFFCC"/>
          </w:tcPr>
          <w:p w14:paraId="3875FC6F" w14:textId="1FB568EB" w:rsidR="00293B14" w:rsidRPr="00293B14" w:rsidRDefault="00293B14" w:rsidP="00293B14">
            <w:pPr>
              <w:jc w:val="center"/>
              <w:cnfStyle w:val="100000000000" w:firstRow="1" w:lastRow="0" w:firstColumn="0" w:lastColumn="0" w:oddVBand="0" w:evenVBand="0" w:oddHBand="0" w:evenHBand="0" w:firstRowFirstColumn="0" w:firstRowLastColumn="0" w:lastRowFirstColumn="0" w:lastRowLastColumn="0"/>
              <w:rPr>
                <w:color w:val="auto"/>
              </w:rPr>
            </w:pPr>
            <w:r w:rsidRPr="00293B14">
              <w:rPr>
                <w:color w:val="auto"/>
              </w:rPr>
              <w:t>CÉLI</w:t>
            </w:r>
          </w:p>
        </w:tc>
        <w:tc>
          <w:tcPr>
            <w:tcW w:w="3682" w:type="dxa"/>
            <w:shd w:val="clear" w:color="auto" w:fill="CCFFCC"/>
          </w:tcPr>
          <w:p w14:paraId="2161ED7E" w14:textId="0511CECA" w:rsidR="00293B14" w:rsidRPr="00293B14" w:rsidRDefault="00293B14" w:rsidP="00293B14">
            <w:pPr>
              <w:jc w:val="center"/>
              <w:cnfStyle w:val="100000000000" w:firstRow="1" w:lastRow="0" w:firstColumn="0" w:lastColumn="0" w:oddVBand="0" w:evenVBand="0" w:oddHBand="0" w:evenHBand="0" w:firstRowFirstColumn="0" w:firstRowLastColumn="0" w:lastRowFirstColumn="0" w:lastRowLastColumn="0"/>
              <w:rPr>
                <w:color w:val="auto"/>
              </w:rPr>
            </w:pPr>
            <w:r w:rsidRPr="00293B14">
              <w:rPr>
                <w:color w:val="auto"/>
              </w:rPr>
              <w:t>REÉR</w:t>
            </w:r>
          </w:p>
        </w:tc>
      </w:tr>
      <w:tr w:rsidR="00293B14" w:rsidRPr="00293B14" w14:paraId="4B735132" w14:textId="77777777" w:rsidTr="0029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7B3EB6C5" w14:textId="59D3C89E" w:rsidR="00293B14" w:rsidRPr="00293B14" w:rsidRDefault="00293B14" w:rsidP="00293B14">
            <w:pPr>
              <w:rPr>
                <w:color w:val="auto"/>
              </w:rPr>
            </w:pPr>
            <w:r>
              <w:rPr>
                <w:color w:val="auto"/>
              </w:rPr>
              <w:t>Déductibilité de la cotisation</w:t>
            </w:r>
          </w:p>
        </w:tc>
        <w:tc>
          <w:tcPr>
            <w:tcW w:w="3969" w:type="dxa"/>
            <w:shd w:val="clear" w:color="auto" w:fill="000000" w:themeFill="text1"/>
          </w:tcPr>
          <w:p w14:paraId="2FF6AC3D" w14:textId="01C195E2" w:rsidR="00293B14" w:rsidRPr="00293B14" w:rsidRDefault="00293B14"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Non</w:t>
            </w:r>
          </w:p>
        </w:tc>
        <w:tc>
          <w:tcPr>
            <w:tcW w:w="3682" w:type="dxa"/>
            <w:shd w:val="clear" w:color="auto" w:fill="DDDCD0" w:themeFill="text2" w:themeFillTint="33"/>
          </w:tcPr>
          <w:p w14:paraId="253A5FA0" w14:textId="59A43FAF" w:rsidR="00293B14" w:rsidRPr="00293B14" w:rsidRDefault="00293B14"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Oui</w:t>
            </w:r>
          </w:p>
        </w:tc>
      </w:tr>
      <w:tr w:rsidR="00293B14" w:rsidRPr="00293B14" w14:paraId="257AE7F0" w14:textId="77777777" w:rsidTr="00293B14">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21FEBD5D" w14:textId="6AFACDC8" w:rsidR="00293B14" w:rsidRPr="00293B14" w:rsidRDefault="00293B14" w:rsidP="00293B14">
            <w:pPr>
              <w:rPr>
                <w:color w:val="auto"/>
              </w:rPr>
            </w:pPr>
            <w:r>
              <w:rPr>
                <w:color w:val="auto"/>
              </w:rPr>
              <w:t>Abri fiscal durant la détention</w:t>
            </w:r>
          </w:p>
        </w:tc>
        <w:tc>
          <w:tcPr>
            <w:tcW w:w="3969" w:type="dxa"/>
            <w:shd w:val="clear" w:color="auto" w:fill="000000" w:themeFill="text1"/>
          </w:tcPr>
          <w:p w14:paraId="44B3563A" w14:textId="720C82A3" w:rsidR="00293B14" w:rsidRPr="00293B14" w:rsidRDefault="00293B14"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Oui</w:t>
            </w:r>
          </w:p>
        </w:tc>
        <w:tc>
          <w:tcPr>
            <w:tcW w:w="3682" w:type="dxa"/>
            <w:shd w:val="clear" w:color="auto" w:fill="DDDCD0" w:themeFill="text2" w:themeFillTint="33"/>
          </w:tcPr>
          <w:p w14:paraId="2EFFC6D0" w14:textId="49EC39FF" w:rsidR="00293B14" w:rsidRPr="00293B14" w:rsidRDefault="00293B14"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Oui</w:t>
            </w:r>
          </w:p>
        </w:tc>
      </w:tr>
      <w:tr w:rsidR="00293B14" w:rsidRPr="00293B14" w14:paraId="03E2BF56" w14:textId="77777777" w:rsidTr="0029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7720BBE0" w14:textId="09D8BCA4" w:rsidR="00293B14" w:rsidRPr="00293B14" w:rsidRDefault="00293B14" w:rsidP="00293B14">
            <w:pPr>
              <w:rPr>
                <w:color w:val="auto"/>
              </w:rPr>
            </w:pPr>
            <w:r>
              <w:rPr>
                <w:color w:val="auto"/>
              </w:rPr>
              <w:t>Imposition des retraits</w:t>
            </w:r>
          </w:p>
        </w:tc>
        <w:tc>
          <w:tcPr>
            <w:tcW w:w="3969" w:type="dxa"/>
            <w:shd w:val="clear" w:color="auto" w:fill="000000" w:themeFill="text1"/>
          </w:tcPr>
          <w:p w14:paraId="3DD46A79" w14:textId="027A2D7E" w:rsidR="00293B14" w:rsidRPr="00293B14" w:rsidRDefault="00293B14"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Non</w:t>
            </w:r>
          </w:p>
        </w:tc>
        <w:tc>
          <w:tcPr>
            <w:tcW w:w="3682" w:type="dxa"/>
            <w:shd w:val="clear" w:color="auto" w:fill="DDDCD0" w:themeFill="text2" w:themeFillTint="33"/>
          </w:tcPr>
          <w:p w14:paraId="19058597" w14:textId="60606191" w:rsidR="00293B14" w:rsidRPr="00293B14" w:rsidRDefault="00293B14"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Oui</w:t>
            </w:r>
          </w:p>
        </w:tc>
      </w:tr>
      <w:tr w:rsidR="00293B14" w:rsidRPr="00293B14" w14:paraId="46066922" w14:textId="77777777" w:rsidTr="00293B14">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2CD2F2AD" w14:textId="7B61864A" w:rsidR="00293B14" w:rsidRPr="00293B14" w:rsidRDefault="00293B14" w:rsidP="00293B14">
            <w:pPr>
              <w:rPr>
                <w:color w:val="auto"/>
              </w:rPr>
            </w:pPr>
            <w:r>
              <w:rPr>
                <w:color w:val="auto"/>
              </w:rPr>
              <w:t>Plafond établi en fonction des revenus</w:t>
            </w:r>
          </w:p>
        </w:tc>
        <w:tc>
          <w:tcPr>
            <w:tcW w:w="3969" w:type="dxa"/>
            <w:shd w:val="clear" w:color="auto" w:fill="000000" w:themeFill="text1"/>
          </w:tcPr>
          <w:p w14:paraId="33B4A5AC" w14:textId="602AC9C5" w:rsidR="00293B14" w:rsidRPr="00293B14" w:rsidRDefault="00293B14"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Non</w:t>
            </w:r>
          </w:p>
        </w:tc>
        <w:tc>
          <w:tcPr>
            <w:tcW w:w="3682" w:type="dxa"/>
            <w:shd w:val="clear" w:color="auto" w:fill="DDDCD0" w:themeFill="text2" w:themeFillTint="33"/>
          </w:tcPr>
          <w:p w14:paraId="3444949F" w14:textId="538650B8" w:rsidR="00293B14" w:rsidRPr="00293B14" w:rsidRDefault="00293B14"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Oui</w:t>
            </w:r>
          </w:p>
        </w:tc>
      </w:tr>
      <w:tr w:rsidR="005B2E6D" w:rsidRPr="00293B14" w14:paraId="0C98B49C" w14:textId="77777777" w:rsidTr="0029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77350BAB" w14:textId="199C747B" w:rsidR="005B2E6D" w:rsidRDefault="005B2E6D" w:rsidP="00293B14">
            <w:r>
              <w:rPr>
                <w:color w:val="auto"/>
              </w:rPr>
              <w:t>Plafond rétabli suite à un retrait</w:t>
            </w:r>
          </w:p>
        </w:tc>
        <w:tc>
          <w:tcPr>
            <w:tcW w:w="3969" w:type="dxa"/>
            <w:shd w:val="clear" w:color="auto" w:fill="000000" w:themeFill="text1"/>
          </w:tcPr>
          <w:p w14:paraId="490DA9D0" w14:textId="222D60D6" w:rsidR="005B2E6D" w:rsidRDefault="005B2E6D" w:rsidP="00293B14">
            <w:pPr>
              <w:jc w:val="center"/>
              <w:cnfStyle w:val="000000100000" w:firstRow="0" w:lastRow="0" w:firstColumn="0" w:lastColumn="0" w:oddVBand="0" w:evenVBand="0" w:oddHBand="1" w:evenHBand="0" w:firstRowFirstColumn="0" w:firstRowLastColumn="0" w:lastRowFirstColumn="0" w:lastRowLastColumn="0"/>
            </w:pPr>
            <w:r>
              <w:rPr>
                <w:color w:val="auto"/>
              </w:rPr>
              <w:t>Oui</w:t>
            </w:r>
          </w:p>
        </w:tc>
        <w:tc>
          <w:tcPr>
            <w:tcW w:w="3682" w:type="dxa"/>
            <w:shd w:val="clear" w:color="auto" w:fill="DDDCD0" w:themeFill="text2" w:themeFillTint="33"/>
          </w:tcPr>
          <w:p w14:paraId="2C3872CC" w14:textId="41E8B687" w:rsidR="005B2E6D" w:rsidRDefault="005B2E6D" w:rsidP="00293B14">
            <w:pPr>
              <w:jc w:val="center"/>
              <w:cnfStyle w:val="000000100000" w:firstRow="0" w:lastRow="0" w:firstColumn="0" w:lastColumn="0" w:oddVBand="0" w:evenVBand="0" w:oddHBand="1" w:evenHBand="0" w:firstRowFirstColumn="0" w:firstRowLastColumn="0" w:lastRowFirstColumn="0" w:lastRowLastColumn="0"/>
            </w:pPr>
            <w:r>
              <w:rPr>
                <w:color w:val="auto"/>
              </w:rPr>
              <w:t>Non</w:t>
            </w:r>
          </w:p>
        </w:tc>
      </w:tr>
      <w:tr w:rsidR="000E5F81" w:rsidRPr="00293B14" w14:paraId="2B8BD926" w14:textId="77777777" w:rsidTr="00293B14">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2B56AF4F" w14:textId="04421CC3" w:rsidR="000E5F81" w:rsidRPr="000E5F81" w:rsidRDefault="000E5F81" w:rsidP="00293B14">
            <w:pPr>
              <w:rPr>
                <w:color w:val="auto"/>
              </w:rPr>
            </w:pPr>
            <w:r w:rsidRPr="000E5F81">
              <w:rPr>
                <w:color w:val="auto"/>
              </w:rPr>
              <w:t>Effet sur les programmes sociaux</w:t>
            </w:r>
            <w:r>
              <w:rPr>
                <w:color w:val="auto"/>
              </w:rPr>
              <w:t xml:space="preserve"> (TEMI)</w:t>
            </w:r>
          </w:p>
        </w:tc>
        <w:tc>
          <w:tcPr>
            <w:tcW w:w="3969" w:type="dxa"/>
            <w:shd w:val="clear" w:color="auto" w:fill="000000" w:themeFill="text1"/>
          </w:tcPr>
          <w:p w14:paraId="3790402B" w14:textId="775610F8" w:rsidR="000E5F81" w:rsidRDefault="000E5F81" w:rsidP="00293B14">
            <w:pPr>
              <w:jc w:val="center"/>
              <w:cnfStyle w:val="000000000000" w:firstRow="0" w:lastRow="0" w:firstColumn="0" w:lastColumn="0" w:oddVBand="0" w:evenVBand="0" w:oddHBand="0" w:evenHBand="0" w:firstRowFirstColumn="0" w:firstRowLastColumn="0" w:lastRowFirstColumn="0" w:lastRowLastColumn="0"/>
            </w:pPr>
            <w:r>
              <w:t>Non</w:t>
            </w:r>
          </w:p>
        </w:tc>
        <w:tc>
          <w:tcPr>
            <w:tcW w:w="3682" w:type="dxa"/>
            <w:shd w:val="clear" w:color="auto" w:fill="DDDCD0" w:themeFill="text2" w:themeFillTint="33"/>
          </w:tcPr>
          <w:p w14:paraId="33FA7CA0" w14:textId="01674951" w:rsidR="000E5F81" w:rsidRPr="00D51ADB" w:rsidRDefault="00D51ADB" w:rsidP="00293B14">
            <w:pPr>
              <w:jc w:val="center"/>
              <w:cnfStyle w:val="000000000000" w:firstRow="0" w:lastRow="0" w:firstColumn="0" w:lastColumn="0" w:oddVBand="0" w:evenVBand="0" w:oddHBand="0" w:evenHBand="0" w:firstRowFirstColumn="0" w:firstRowLastColumn="0" w:lastRowFirstColumn="0" w:lastRowLastColumn="0"/>
              <w:rPr>
                <w:color w:val="auto"/>
              </w:rPr>
            </w:pPr>
            <w:r w:rsidRPr="00D51ADB">
              <w:rPr>
                <w:color w:val="auto"/>
              </w:rPr>
              <w:t>Oui</w:t>
            </w:r>
          </w:p>
        </w:tc>
      </w:tr>
      <w:tr w:rsidR="005B2E6D" w:rsidRPr="00293B14" w14:paraId="668CF2BA" w14:textId="77777777" w:rsidTr="0029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7EFC213A" w14:textId="30C6A34C" w:rsidR="005B2E6D" w:rsidRPr="00293B14" w:rsidRDefault="005B2E6D" w:rsidP="00293B14">
            <w:pPr>
              <w:rPr>
                <w:color w:val="auto"/>
              </w:rPr>
            </w:pPr>
            <w:r>
              <w:rPr>
                <w:color w:val="auto"/>
              </w:rPr>
              <w:t>Âge minimum</w:t>
            </w:r>
          </w:p>
        </w:tc>
        <w:tc>
          <w:tcPr>
            <w:tcW w:w="3969" w:type="dxa"/>
            <w:shd w:val="clear" w:color="auto" w:fill="000000" w:themeFill="text1"/>
          </w:tcPr>
          <w:p w14:paraId="2993B325" w14:textId="1AFC74D0" w:rsidR="005B2E6D" w:rsidRPr="00293B14" w:rsidRDefault="005B2E6D"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18 ans</w:t>
            </w:r>
          </w:p>
        </w:tc>
        <w:tc>
          <w:tcPr>
            <w:tcW w:w="3682" w:type="dxa"/>
            <w:shd w:val="clear" w:color="auto" w:fill="DDDCD0" w:themeFill="text2" w:themeFillTint="33"/>
          </w:tcPr>
          <w:p w14:paraId="224C5CB3" w14:textId="1F713494" w:rsidR="005B2E6D" w:rsidRPr="00293B14" w:rsidRDefault="005B2E6D"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Non</w:t>
            </w:r>
          </w:p>
        </w:tc>
      </w:tr>
      <w:tr w:rsidR="005B2E6D" w:rsidRPr="00293B14" w14:paraId="4B7AB71F" w14:textId="77777777" w:rsidTr="00293B14">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4848B026" w14:textId="338A6BE7" w:rsidR="005B2E6D" w:rsidRPr="00293B14" w:rsidRDefault="005B2E6D" w:rsidP="00293B14">
            <w:pPr>
              <w:rPr>
                <w:color w:val="auto"/>
              </w:rPr>
            </w:pPr>
            <w:r>
              <w:rPr>
                <w:color w:val="auto"/>
              </w:rPr>
              <w:t>Âge maximum</w:t>
            </w:r>
          </w:p>
        </w:tc>
        <w:tc>
          <w:tcPr>
            <w:tcW w:w="3969" w:type="dxa"/>
            <w:shd w:val="clear" w:color="auto" w:fill="000000" w:themeFill="text1"/>
          </w:tcPr>
          <w:p w14:paraId="279A6ED5" w14:textId="605A5375" w:rsidR="005B2E6D" w:rsidRPr="00293B14" w:rsidRDefault="005B2E6D"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Non</w:t>
            </w:r>
          </w:p>
        </w:tc>
        <w:tc>
          <w:tcPr>
            <w:tcW w:w="3682" w:type="dxa"/>
            <w:shd w:val="clear" w:color="auto" w:fill="DDDCD0" w:themeFill="text2" w:themeFillTint="33"/>
          </w:tcPr>
          <w:p w14:paraId="6A9AB0BA" w14:textId="0440A7D8" w:rsidR="005B2E6D" w:rsidRPr="00293B14" w:rsidRDefault="005B2E6D"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71 ans</w:t>
            </w:r>
          </w:p>
        </w:tc>
      </w:tr>
      <w:tr w:rsidR="005B2E6D" w:rsidRPr="00293B14" w14:paraId="103BD106" w14:textId="77777777" w:rsidTr="0029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3DCFFB26" w14:textId="5480B477" w:rsidR="005B2E6D" w:rsidRPr="00293B14" w:rsidRDefault="005B2E6D" w:rsidP="00293B14">
            <w:pPr>
              <w:rPr>
                <w:color w:val="auto"/>
              </w:rPr>
            </w:pPr>
            <w:r>
              <w:rPr>
                <w:color w:val="auto"/>
              </w:rPr>
              <w:t>Inclus au patrimoine familial</w:t>
            </w:r>
          </w:p>
        </w:tc>
        <w:tc>
          <w:tcPr>
            <w:tcW w:w="3969" w:type="dxa"/>
            <w:shd w:val="clear" w:color="auto" w:fill="000000" w:themeFill="text1"/>
          </w:tcPr>
          <w:p w14:paraId="6EE2C74E" w14:textId="30FD3EB9" w:rsidR="005B2E6D" w:rsidRPr="00293B14" w:rsidRDefault="005B2E6D"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Non</w:t>
            </w:r>
          </w:p>
        </w:tc>
        <w:tc>
          <w:tcPr>
            <w:tcW w:w="3682" w:type="dxa"/>
            <w:shd w:val="clear" w:color="auto" w:fill="DDDCD0" w:themeFill="text2" w:themeFillTint="33"/>
          </w:tcPr>
          <w:p w14:paraId="0D04E7C3" w14:textId="31CCBC7C" w:rsidR="005B2E6D" w:rsidRPr="00293B14" w:rsidRDefault="005B2E6D"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Oui</w:t>
            </w:r>
          </w:p>
        </w:tc>
      </w:tr>
    </w:tbl>
    <w:p w14:paraId="17AF2925" w14:textId="77777777" w:rsidR="005B2E6D" w:rsidRDefault="005B2E6D"/>
    <w:p w14:paraId="450CC4F0" w14:textId="55E107E3" w:rsidR="005B2E6D" w:rsidRDefault="005B2E6D">
      <w:r>
        <w:t>L'effet de ces caractéristiques du CÉLI est expliqué dans la prochaine capsule vidéo.</w:t>
      </w:r>
    </w:p>
    <w:p w14:paraId="60346A5B" w14:textId="6F73D8AF" w:rsidR="005B2E6D" w:rsidRDefault="005B2E6D"/>
    <w:p w14:paraId="4A90221C" w14:textId="77777777" w:rsidR="005B2E6D" w:rsidRDefault="005B2E6D"/>
    <w:p w14:paraId="12310546" w14:textId="4A4CA3EA" w:rsidR="005B2E6D" w:rsidRDefault="005B2E6D">
      <w:r w:rsidRPr="000D12A4">
        <w:rPr>
          <w:noProof/>
          <w:color w:val="AF0013"/>
          <w:lang w:eastAsia="fr-FR"/>
        </w:rPr>
        <w:drawing>
          <wp:anchor distT="0" distB="0" distL="114300" distR="114300" simplePos="0" relativeHeight="252665856" behindDoc="0" locked="0" layoutInCell="1" allowOverlap="1" wp14:anchorId="2FA1939F" wp14:editId="69927483">
            <wp:simplePos x="0" y="0"/>
            <wp:positionH relativeFrom="column">
              <wp:posOffset>3086100</wp:posOffset>
            </wp:positionH>
            <wp:positionV relativeFrom="paragraph">
              <wp:posOffset>26035</wp:posOffset>
            </wp:positionV>
            <wp:extent cx="579120" cy="571500"/>
            <wp:effectExtent l="0" t="0" r="5080" b="12700"/>
            <wp:wrapNone/>
            <wp:docPr id="496" name="Image 496">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27C81B" w14:textId="4BF3F889" w:rsidR="005B2E6D" w:rsidRPr="00376E9C" w:rsidRDefault="00573C95">
      <w:pPr>
        <w:rPr>
          <w:color w:val="AF0013"/>
        </w:rPr>
      </w:pPr>
      <w:hyperlink r:id="rId127" w:history="1">
        <w:r w:rsidR="00AD747E" w:rsidRPr="00376E9C">
          <w:rPr>
            <w:rStyle w:val="Lienhypertexte"/>
            <w:color w:val="AF0013"/>
          </w:rPr>
          <w:t>Capsule 7-10 Fonctionnement du CÉLI</w:t>
        </w:r>
      </w:hyperlink>
    </w:p>
    <w:p w14:paraId="3AA9766D" w14:textId="77777777" w:rsidR="005B2E6D" w:rsidRDefault="005B2E6D"/>
    <w:p w14:paraId="47D2ED0C" w14:textId="77777777" w:rsidR="0095727C" w:rsidRDefault="0095727C"/>
    <w:p w14:paraId="7DE8F2CB" w14:textId="551CC34C" w:rsidR="00D179A2" w:rsidRDefault="00D179A2" w:rsidP="006C34CF">
      <w:pPr>
        <w:pStyle w:val="Titre3"/>
        <w:numPr>
          <w:ilvl w:val="2"/>
          <w:numId w:val="62"/>
        </w:numPr>
      </w:pPr>
      <w:bookmarkStart w:id="106" w:name="_Toc314397860"/>
      <w:bookmarkStart w:id="107" w:name="_Toc443569404"/>
      <w:r>
        <w:t xml:space="preserve">Les scénarios distinctifs </w:t>
      </w:r>
      <w:r w:rsidR="00D559E2">
        <w:t>du CÉLI et du</w:t>
      </w:r>
      <w:r>
        <w:t xml:space="preserve"> REÉR</w:t>
      </w:r>
      <w:bookmarkEnd w:id="106"/>
      <w:bookmarkEnd w:id="107"/>
    </w:p>
    <w:p w14:paraId="20E84717" w14:textId="77777777" w:rsidR="005B2E6D" w:rsidRDefault="005B2E6D" w:rsidP="005B2E6D"/>
    <w:p w14:paraId="09FC0AE9" w14:textId="1A9141D9" w:rsidR="005B2E6D" w:rsidRDefault="00480F7D" w:rsidP="000E5F81">
      <w:pPr>
        <w:jc w:val="both"/>
      </w:pPr>
      <w:r>
        <w:t xml:space="preserve">Comme nous le mentionnions en introduction au sujet, la difficulté à </w:t>
      </w:r>
      <w:r w:rsidR="000E5F81">
        <w:t xml:space="preserve">distinguer et à prioriser le CÉLI ou le REÉR est due à la mauvaise lorgnette qui est utilisée pour en faire l'analyse. Plutôt que de chercher le scénario d'indifférence (le contexte où le CÉLI et le REÉR </w:t>
      </w:r>
      <w:r w:rsidR="006C506F">
        <w:t>donnent</w:t>
      </w:r>
      <w:r w:rsidR="000E5F81">
        <w:t xml:space="preserve"> le même résultat), les analyses se perdent dans une comparaison non intégrée des caractéristiques propres à chacun de</w:t>
      </w:r>
      <w:r w:rsidR="00937C9D">
        <w:t>s</w:t>
      </w:r>
      <w:r w:rsidR="000E5F81">
        <w:t xml:space="preserve"> véhicules de placement. Le nez sur l'écorce de l'arbre, les uns </w:t>
      </w:r>
      <w:proofErr w:type="gramStart"/>
      <w:r w:rsidR="000E5F81">
        <w:t>favoriseront</w:t>
      </w:r>
      <w:proofErr w:type="gramEnd"/>
      <w:r w:rsidR="000E5F81">
        <w:t xml:space="preserve"> le REÉR (à cause du "retour" d'impôt), les autres le CÉLI (puisqu'il n'est pas imposable).</w:t>
      </w:r>
      <w:r>
        <w:t xml:space="preserve"> </w:t>
      </w:r>
    </w:p>
    <w:p w14:paraId="72744DAA" w14:textId="77777777" w:rsidR="00D51ADB" w:rsidRDefault="00D51ADB" w:rsidP="000E5F81">
      <w:pPr>
        <w:jc w:val="both"/>
      </w:pPr>
    </w:p>
    <w:p w14:paraId="65AC0236" w14:textId="77777777" w:rsidR="00D51ADB" w:rsidRDefault="00D51ADB" w:rsidP="000E5F81">
      <w:pPr>
        <w:jc w:val="both"/>
      </w:pPr>
    </w:p>
    <w:p w14:paraId="12DDAEC2" w14:textId="77777777" w:rsidR="00D51ADB" w:rsidRDefault="00D51ADB" w:rsidP="000E5F81">
      <w:pPr>
        <w:jc w:val="both"/>
      </w:pPr>
    </w:p>
    <w:p w14:paraId="72D45729" w14:textId="1621DD9F" w:rsidR="00D51ADB" w:rsidRDefault="00D51ADB" w:rsidP="000E5F81">
      <w:pPr>
        <w:jc w:val="both"/>
      </w:pPr>
      <w:r>
        <w:t>L'approche du scénario d'indifférence nous permet de saisir la véritable nature fiscale du CÉLI et du REÉR. Les deux sont en vérité de purs abris fiscaux qui donnent exactement le même résultat, selon le scénario d'indifférence suivant:</w:t>
      </w:r>
    </w:p>
    <w:p w14:paraId="4E971C34" w14:textId="77777777" w:rsidR="00D51ADB" w:rsidRDefault="00D51ADB" w:rsidP="000E5F81">
      <w:pPr>
        <w:jc w:val="both"/>
      </w:pPr>
    </w:p>
    <w:p w14:paraId="2C3FD15D" w14:textId="36B1E0B4" w:rsidR="00D51ADB" w:rsidRDefault="00D51ADB" w:rsidP="006C34CF">
      <w:pPr>
        <w:pStyle w:val="Paragraphedeliste"/>
        <w:numPr>
          <w:ilvl w:val="0"/>
          <w:numId w:val="103"/>
        </w:numPr>
        <w:jc w:val="both"/>
      </w:pPr>
      <w:r>
        <w:t>Le CÉLI et le REÉR livrent le même rendement.</w:t>
      </w:r>
    </w:p>
    <w:p w14:paraId="20B991B1" w14:textId="77777777" w:rsidR="00D51ADB" w:rsidRDefault="00D51ADB" w:rsidP="00D51ADB">
      <w:pPr>
        <w:ind w:left="360"/>
        <w:jc w:val="both"/>
      </w:pPr>
    </w:p>
    <w:p w14:paraId="2EA28F4F" w14:textId="2C00D32B" w:rsidR="00D51ADB" w:rsidRDefault="00D51ADB" w:rsidP="006C34CF">
      <w:pPr>
        <w:pStyle w:val="Paragraphedeliste"/>
        <w:numPr>
          <w:ilvl w:val="0"/>
          <w:numId w:val="103"/>
        </w:numPr>
        <w:jc w:val="both"/>
      </w:pPr>
      <w:r>
        <w:t>Dans le cas d'un investissement dans le REÉR, le taux d'imposition marginal au moment de la cotisation REÉR = le même taux d'imposition marginal anticipé au moment du retrait  REÉR.</w:t>
      </w:r>
    </w:p>
    <w:p w14:paraId="13DB12A0" w14:textId="77777777" w:rsidR="00D51ADB" w:rsidRDefault="00D51ADB" w:rsidP="00D51ADB">
      <w:pPr>
        <w:ind w:left="360"/>
        <w:jc w:val="both"/>
      </w:pPr>
    </w:p>
    <w:p w14:paraId="2CE8442B" w14:textId="2196A9E7" w:rsidR="00D51ADB" w:rsidRDefault="00D51ADB" w:rsidP="006C34CF">
      <w:pPr>
        <w:pStyle w:val="Paragraphedeliste"/>
        <w:numPr>
          <w:ilvl w:val="0"/>
          <w:numId w:val="103"/>
        </w:numPr>
        <w:jc w:val="both"/>
      </w:pPr>
      <w:r>
        <w:t>Dans le cas d'un investissement dans le REÉR, le remboursement d'impôt obtenu suite à la cotisation est intégralement réinvesti dans un CÉLI ou un REÉR.</w:t>
      </w:r>
    </w:p>
    <w:p w14:paraId="42A54000" w14:textId="77777777" w:rsidR="00B67BD1" w:rsidRDefault="00B67BD1" w:rsidP="00E3186E">
      <w:pPr>
        <w:ind w:left="360"/>
        <w:jc w:val="both"/>
      </w:pPr>
    </w:p>
    <w:p w14:paraId="35660C2B" w14:textId="77777777" w:rsidR="005A59DB" w:rsidRDefault="005A59DB" w:rsidP="00E3186E">
      <w:pPr>
        <w:ind w:left="360"/>
        <w:jc w:val="both"/>
      </w:pPr>
    </w:p>
    <w:p w14:paraId="643DD5B4" w14:textId="2DFBAE38" w:rsidR="00B67BD1" w:rsidRDefault="00B67BD1" w:rsidP="00B67BD1">
      <w:r>
        <w:t>Voici un tableau de priorisation CÉLI vs REÉR selon divers scénarios</w:t>
      </w:r>
      <w:r w:rsidR="00C36A45">
        <w:rPr>
          <w:rStyle w:val="Marquenotebasdepage"/>
        </w:rPr>
        <w:footnoteReference w:customMarkFollows="1" w:id="70"/>
        <w:t>67</w:t>
      </w:r>
    </w:p>
    <w:p w14:paraId="333C4491" w14:textId="77777777" w:rsidR="00B67BD1" w:rsidRDefault="00B67BD1" w:rsidP="00B67BD1"/>
    <w:tbl>
      <w:tblPr>
        <w:tblStyle w:val="Listefonce-Accent4"/>
        <w:tblW w:w="0" w:type="auto"/>
        <w:shd w:val="clear" w:color="auto" w:fill="CCFFCC"/>
        <w:tblLook w:val="04A0" w:firstRow="1" w:lastRow="0" w:firstColumn="1" w:lastColumn="0" w:noHBand="0" w:noVBand="1"/>
      </w:tblPr>
      <w:tblGrid>
        <w:gridCol w:w="8046"/>
        <w:gridCol w:w="1464"/>
        <w:gridCol w:w="1464"/>
      </w:tblGrid>
      <w:tr w:rsidR="00C36A45" w:rsidRPr="00293B14" w14:paraId="7F56164E" w14:textId="77777777" w:rsidTr="005A31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shd w:val="clear" w:color="auto" w:fill="C8A585" w:themeFill="accent5" w:themeFillTint="99"/>
          </w:tcPr>
          <w:p w14:paraId="2A1F30EA" w14:textId="77777777" w:rsidR="00B67BD1" w:rsidRPr="00293B14" w:rsidRDefault="00B67BD1" w:rsidP="00C36A45">
            <w:pPr>
              <w:jc w:val="center"/>
              <w:rPr>
                <w:color w:val="auto"/>
              </w:rPr>
            </w:pPr>
            <w:r w:rsidRPr="00293B14">
              <w:rPr>
                <w:color w:val="auto"/>
              </w:rPr>
              <w:t>Caractéristiques</w:t>
            </w:r>
          </w:p>
        </w:tc>
        <w:tc>
          <w:tcPr>
            <w:tcW w:w="1464" w:type="dxa"/>
            <w:shd w:val="clear" w:color="auto" w:fill="C8A585" w:themeFill="accent5" w:themeFillTint="99"/>
          </w:tcPr>
          <w:p w14:paraId="09A44A5E" w14:textId="69EB2D75" w:rsidR="00B67BD1" w:rsidRPr="00293B14" w:rsidRDefault="00C36A45" w:rsidP="004E0ECB">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Prioris</w:t>
            </w:r>
            <w:r w:rsidR="004E0ECB">
              <w:rPr>
                <w:color w:val="auto"/>
              </w:rPr>
              <w:t>ation</w:t>
            </w:r>
            <w:r>
              <w:rPr>
                <w:color w:val="auto"/>
              </w:rPr>
              <w:t xml:space="preserve"> </w:t>
            </w:r>
            <w:r w:rsidR="00B67BD1" w:rsidRPr="00293B14">
              <w:rPr>
                <w:color w:val="auto"/>
              </w:rPr>
              <w:t>CÉLI</w:t>
            </w:r>
          </w:p>
        </w:tc>
        <w:tc>
          <w:tcPr>
            <w:tcW w:w="1464" w:type="dxa"/>
            <w:shd w:val="clear" w:color="auto" w:fill="C8A585" w:themeFill="accent5" w:themeFillTint="99"/>
          </w:tcPr>
          <w:p w14:paraId="32CA4410" w14:textId="2BE18DE1" w:rsidR="00C36A45" w:rsidRDefault="00C36A45" w:rsidP="00C36A45">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Prioris</w:t>
            </w:r>
            <w:r w:rsidR="004E0ECB">
              <w:rPr>
                <w:color w:val="auto"/>
              </w:rPr>
              <w:t>ation</w:t>
            </w:r>
          </w:p>
          <w:p w14:paraId="7EC5A4F4" w14:textId="77777777" w:rsidR="00B67BD1" w:rsidRPr="00293B14" w:rsidRDefault="00B67BD1" w:rsidP="00C36A45">
            <w:pPr>
              <w:jc w:val="center"/>
              <w:cnfStyle w:val="100000000000" w:firstRow="1" w:lastRow="0" w:firstColumn="0" w:lastColumn="0" w:oddVBand="0" w:evenVBand="0" w:oddHBand="0" w:evenHBand="0" w:firstRowFirstColumn="0" w:firstRowLastColumn="0" w:lastRowFirstColumn="0" w:lastRowLastColumn="0"/>
              <w:rPr>
                <w:color w:val="auto"/>
              </w:rPr>
            </w:pPr>
            <w:r w:rsidRPr="00293B14">
              <w:rPr>
                <w:color w:val="auto"/>
              </w:rPr>
              <w:t>REÉR</w:t>
            </w:r>
          </w:p>
        </w:tc>
      </w:tr>
      <w:tr w:rsidR="00C36A45" w:rsidRPr="00293B14" w14:paraId="712ACF8C" w14:textId="77777777" w:rsidTr="005A3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shd w:val="clear" w:color="auto" w:fill="C8A585" w:themeFill="accent5" w:themeFillTint="99"/>
          </w:tcPr>
          <w:p w14:paraId="24A29D4F" w14:textId="14A1F561" w:rsidR="00B67BD1" w:rsidRPr="00293B14" w:rsidRDefault="00C36A45" w:rsidP="00C36A45">
            <w:pPr>
              <w:rPr>
                <w:color w:val="auto"/>
              </w:rPr>
            </w:pPr>
            <w:r>
              <w:rPr>
                <w:color w:val="auto"/>
              </w:rPr>
              <w:t>Taux d'impôt marginal cotisation = Taux d'impôt marginal retrait</w:t>
            </w:r>
          </w:p>
        </w:tc>
        <w:tc>
          <w:tcPr>
            <w:tcW w:w="1464" w:type="dxa"/>
            <w:shd w:val="clear" w:color="auto" w:fill="000000" w:themeFill="text1"/>
          </w:tcPr>
          <w:p w14:paraId="0D7993A1" w14:textId="2CCFE2B2" w:rsidR="00B67BD1" w:rsidRPr="00293B14" w:rsidRDefault="00062E3B" w:rsidP="00C36A45">
            <w:pPr>
              <w:jc w:val="center"/>
              <w:cnfStyle w:val="000000100000" w:firstRow="0" w:lastRow="0" w:firstColumn="0" w:lastColumn="0" w:oddVBand="0" w:evenVBand="0" w:oddHBand="1" w:evenHBand="0" w:firstRowFirstColumn="0" w:firstRowLastColumn="0" w:lastRowFirstColumn="0" w:lastRowLastColumn="0"/>
              <w:rPr>
                <w:color w:val="auto"/>
              </w:rPr>
            </w:pPr>
            <w:r>
              <w:rPr>
                <w:noProof/>
                <w:lang w:eastAsia="fr-FR"/>
              </w:rPr>
              <w:drawing>
                <wp:anchor distT="0" distB="0" distL="114300" distR="114300" simplePos="0" relativeHeight="252667904" behindDoc="0" locked="0" layoutInCell="1" allowOverlap="1" wp14:anchorId="3E38824F" wp14:editId="6FDDE467">
                  <wp:simplePos x="0" y="0"/>
                  <wp:positionH relativeFrom="column">
                    <wp:posOffset>148590</wp:posOffset>
                  </wp:positionH>
                  <wp:positionV relativeFrom="paragraph">
                    <wp:posOffset>-4445</wp:posOffset>
                  </wp:positionV>
                  <wp:extent cx="342900" cy="344805"/>
                  <wp:effectExtent l="0" t="0" r="12700" b="10795"/>
                  <wp:wrapNone/>
                  <wp:docPr id="517" name="Image 517"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1464" w:type="dxa"/>
            <w:shd w:val="clear" w:color="auto" w:fill="DDDCD0" w:themeFill="text2" w:themeFillTint="33"/>
          </w:tcPr>
          <w:p w14:paraId="0C21363F" w14:textId="347A4FE0" w:rsidR="00B67BD1" w:rsidRPr="00293B14" w:rsidRDefault="00095D6B" w:rsidP="00C36A45">
            <w:pPr>
              <w:jc w:val="center"/>
              <w:cnfStyle w:val="000000100000" w:firstRow="0" w:lastRow="0" w:firstColumn="0" w:lastColumn="0" w:oddVBand="0" w:evenVBand="0" w:oddHBand="1" w:evenHBand="0" w:firstRowFirstColumn="0" w:firstRowLastColumn="0" w:lastRowFirstColumn="0" w:lastRowLastColumn="0"/>
              <w:rPr>
                <w:color w:val="auto"/>
              </w:rPr>
            </w:pPr>
            <w:r>
              <w:rPr>
                <w:noProof/>
                <w:lang w:eastAsia="fr-FR"/>
              </w:rPr>
              <w:drawing>
                <wp:anchor distT="0" distB="0" distL="114300" distR="114300" simplePos="0" relativeHeight="252674048" behindDoc="0" locked="0" layoutInCell="1" allowOverlap="1" wp14:anchorId="53570962" wp14:editId="6CF1B24E">
                  <wp:simplePos x="0" y="0"/>
                  <wp:positionH relativeFrom="column">
                    <wp:posOffset>247650</wp:posOffset>
                  </wp:positionH>
                  <wp:positionV relativeFrom="paragraph">
                    <wp:posOffset>-4445</wp:posOffset>
                  </wp:positionV>
                  <wp:extent cx="342900" cy="344805"/>
                  <wp:effectExtent l="0" t="0" r="12700" b="10795"/>
                  <wp:wrapNone/>
                  <wp:docPr id="524" name="Image 524"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C36A45" w:rsidRPr="00293B14" w14:paraId="55B14C59" w14:textId="77777777" w:rsidTr="005A31F1">
        <w:tc>
          <w:tcPr>
            <w:cnfStyle w:val="001000000000" w:firstRow="0" w:lastRow="0" w:firstColumn="1" w:lastColumn="0" w:oddVBand="0" w:evenVBand="0" w:oddHBand="0" w:evenHBand="0" w:firstRowFirstColumn="0" w:firstRowLastColumn="0" w:lastRowFirstColumn="0" w:lastRowLastColumn="0"/>
            <w:tcW w:w="8046" w:type="dxa"/>
            <w:shd w:val="clear" w:color="auto" w:fill="C8A585" w:themeFill="accent5" w:themeFillTint="99"/>
          </w:tcPr>
          <w:p w14:paraId="0D32C0FA" w14:textId="77777777" w:rsidR="00C36A45" w:rsidRDefault="00C36A45" w:rsidP="00C36A45">
            <w:pPr>
              <w:rPr>
                <w:color w:val="auto"/>
              </w:rPr>
            </w:pPr>
          </w:p>
          <w:p w14:paraId="28042056" w14:textId="77777777" w:rsidR="00C36A45" w:rsidRDefault="00C36A45" w:rsidP="00C36A45">
            <w:pPr>
              <w:rPr>
                <w:color w:val="auto"/>
              </w:rPr>
            </w:pPr>
          </w:p>
          <w:p w14:paraId="126924B3" w14:textId="3D720566" w:rsidR="00B67BD1" w:rsidRPr="00293B14" w:rsidRDefault="00C36A45" w:rsidP="00C36A45">
            <w:pPr>
              <w:rPr>
                <w:color w:val="auto"/>
              </w:rPr>
            </w:pPr>
            <w:r>
              <w:rPr>
                <w:color w:val="auto"/>
              </w:rPr>
              <w:t>Taux d'impôt marginal cotisation &gt; Taux d'impôt marginal retrait</w:t>
            </w:r>
          </w:p>
        </w:tc>
        <w:tc>
          <w:tcPr>
            <w:tcW w:w="1464" w:type="dxa"/>
            <w:shd w:val="clear" w:color="auto" w:fill="000000" w:themeFill="text1"/>
          </w:tcPr>
          <w:p w14:paraId="66B19DCC" w14:textId="15FC36A7" w:rsidR="00B67BD1" w:rsidRPr="00293B14" w:rsidRDefault="00B67BD1" w:rsidP="00C36A45">
            <w:pPr>
              <w:jc w:val="center"/>
              <w:cnfStyle w:val="000000000000" w:firstRow="0" w:lastRow="0" w:firstColumn="0" w:lastColumn="0" w:oddVBand="0" w:evenVBand="0" w:oddHBand="0" w:evenHBand="0" w:firstRowFirstColumn="0" w:firstRowLastColumn="0" w:lastRowFirstColumn="0" w:lastRowLastColumn="0"/>
              <w:rPr>
                <w:color w:val="auto"/>
              </w:rPr>
            </w:pPr>
          </w:p>
        </w:tc>
        <w:tc>
          <w:tcPr>
            <w:tcW w:w="1464" w:type="dxa"/>
            <w:shd w:val="clear" w:color="auto" w:fill="DDDCD0" w:themeFill="text2" w:themeFillTint="33"/>
          </w:tcPr>
          <w:p w14:paraId="46FF92D8" w14:textId="0F523A2C" w:rsidR="00B67BD1" w:rsidRPr="00293B14" w:rsidRDefault="00095D6B" w:rsidP="00C36A45">
            <w:pPr>
              <w:jc w:val="center"/>
              <w:cnfStyle w:val="000000000000" w:firstRow="0" w:lastRow="0" w:firstColumn="0" w:lastColumn="0" w:oddVBand="0" w:evenVBand="0" w:oddHBand="0" w:evenHBand="0" w:firstRowFirstColumn="0" w:firstRowLastColumn="0" w:lastRowFirstColumn="0" w:lastRowLastColumn="0"/>
              <w:rPr>
                <w:color w:val="auto"/>
              </w:rPr>
            </w:pPr>
            <w:r>
              <w:rPr>
                <w:noProof/>
                <w:lang w:eastAsia="fr-FR"/>
              </w:rPr>
              <w:drawing>
                <wp:anchor distT="0" distB="0" distL="114300" distR="114300" simplePos="0" relativeHeight="252676096" behindDoc="0" locked="0" layoutInCell="1" allowOverlap="1" wp14:anchorId="608E69BF" wp14:editId="1F1EA029">
                  <wp:simplePos x="0" y="0"/>
                  <wp:positionH relativeFrom="column">
                    <wp:posOffset>247650</wp:posOffset>
                  </wp:positionH>
                  <wp:positionV relativeFrom="paragraph">
                    <wp:posOffset>265430</wp:posOffset>
                  </wp:positionV>
                  <wp:extent cx="342900" cy="344805"/>
                  <wp:effectExtent l="0" t="0" r="12700" b="10795"/>
                  <wp:wrapNone/>
                  <wp:docPr id="525" name="Image 525"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C36A45" w:rsidRPr="00293B14" w14:paraId="3949F5A4" w14:textId="77777777" w:rsidTr="005A3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shd w:val="clear" w:color="auto" w:fill="C8A585" w:themeFill="accent5" w:themeFillTint="99"/>
          </w:tcPr>
          <w:p w14:paraId="5A45DDF0" w14:textId="77777777" w:rsidR="00C36A45" w:rsidRDefault="00C36A45" w:rsidP="00C36A45">
            <w:pPr>
              <w:rPr>
                <w:color w:val="auto"/>
              </w:rPr>
            </w:pPr>
          </w:p>
          <w:p w14:paraId="41594CBF" w14:textId="77777777" w:rsidR="00C36A45" w:rsidRDefault="00C36A45" w:rsidP="00C36A45">
            <w:pPr>
              <w:rPr>
                <w:color w:val="auto"/>
              </w:rPr>
            </w:pPr>
          </w:p>
          <w:p w14:paraId="0DCAD10B" w14:textId="260AFC5B" w:rsidR="00B67BD1" w:rsidRPr="00293B14" w:rsidRDefault="00C36A45" w:rsidP="00C36A45">
            <w:pPr>
              <w:rPr>
                <w:color w:val="auto"/>
              </w:rPr>
            </w:pPr>
            <w:r>
              <w:rPr>
                <w:color w:val="auto"/>
              </w:rPr>
              <w:t>Taux d'impôt marginal cotisation &lt; Taux d'impôt marginal retrait</w:t>
            </w:r>
          </w:p>
        </w:tc>
        <w:tc>
          <w:tcPr>
            <w:tcW w:w="1464" w:type="dxa"/>
            <w:shd w:val="clear" w:color="auto" w:fill="000000" w:themeFill="text1"/>
          </w:tcPr>
          <w:p w14:paraId="38C25D40" w14:textId="2E90354F" w:rsidR="00B67BD1" w:rsidRPr="00293B14" w:rsidRDefault="00062E3B" w:rsidP="00C36A45">
            <w:pPr>
              <w:jc w:val="center"/>
              <w:cnfStyle w:val="000000100000" w:firstRow="0" w:lastRow="0" w:firstColumn="0" w:lastColumn="0" w:oddVBand="0" w:evenVBand="0" w:oddHBand="1" w:evenHBand="0" w:firstRowFirstColumn="0" w:firstRowLastColumn="0" w:lastRowFirstColumn="0" w:lastRowLastColumn="0"/>
              <w:rPr>
                <w:color w:val="auto"/>
              </w:rPr>
            </w:pPr>
            <w:r>
              <w:rPr>
                <w:noProof/>
                <w:lang w:eastAsia="fr-FR"/>
              </w:rPr>
              <w:drawing>
                <wp:anchor distT="0" distB="0" distL="114300" distR="114300" simplePos="0" relativeHeight="252669952" behindDoc="0" locked="0" layoutInCell="1" allowOverlap="1" wp14:anchorId="6D59F522" wp14:editId="68B58CC4">
                  <wp:simplePos x="0" y="0"/>
                  <wp:positionH relativeFrom="column">
                    <wp:posOffset>148590</wp:posOffset>
                  </wp:positionH>
                  <wp:positionV relativeFrom="paragraph">
                    <wp:posOffset>276860</wp:posOffset>
                  </wp:positionV>
                  <wp:extent cx="342900" cy="344805"/>
                  <wp:effectExtent l="0" t="0" r="12700" b="10795"/>
                  <wp:wrapNone/>
                  <wp:docPr id="521" name="Image 521"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1464" w:type="dxa"/>
            <w:shd w:val="clear" w:color="auto" w:fill="DDDCD0" w:themeFill="text2" w:themeFillTint="33"/>
          </w:tcPr>
          <w:p w14:paraId="13803A51" w14:textId="3D753918" w:rsidR="00B67BD1" w:rsidRPr="00293B14" w:rsidRDefault="00B67BD1" w:rsidP="00C36A45">
            <w:pPr>
              <w:jc w:val="center"/>
              <w:cnfStyle w:val="000000100000" w:firstRow="0" w:lastRow="0" w:firstColumn="0" w:lastColumn="0" w:oddVBand="0" w:evenVBand="0" w:oddHBand="1" w:evenHBand="0" w:firstRowFirstColumn="0" w:firstRowLastColumn="0" w:lastRowFirstColumn="0" w:lastRowLastColumn="0"/>
              <w:rPr>
                <w:color w:val="auto"/>
              </w:rPr>
            </w:pPr>
          </w:p>
        </w:tc>
      </w:tr>
      <w:tr w:rsidR="00C36A45" w:rsidRPr="00293B14" w14:paraId="418F6904" w14:textId="77777777" w:rsidTr="005A31F1">
        <w:tc>
          <w:tcPr>
            <w:cnfStyle w:val="001000000000" w:firstRow="0" w:lastRow="0" w:firstColumn="1" w:lastColumn="0" w:oddVBand="0" w:evenVBand="0" w:oddHBand="0" w:evenHBand="0" w:firstRowFirstColumn="0" w:firstRowLastColumn="0" w:lastRowFirstColumn="0" w:lastRowLastColumn="0"/>
            <w:tcW w:w="8046" w:type="dxa"/>
            <w:shd w:val="clear" w:color="auto" w:fill="C8A585" w:themeFill="accent5" w:themeFillTint="99"/>
          </w:tcPr>
          <w:p w14:paraId="0E7FEFBA" w14:textId="77777777" w:rsidR="00C36A45" w:rsidRDefault="00C36A45" w:rsidP="00C36A45">
            <w:pPr>
              <w:rPr>
                <w:color w:val="auto"/>
              </w:rPr>
            </w:pPr>
          </w:p>
          <w:p w14:paraId="19E21C7F" w14:textId="77777777" w:rsidR="00C36A45" w:rsidRDefault="00C36A45" w:rsidP="00C36A45">
            <w:pPr>
              <w:rPr>
                <w:color w:val="auto"/>
              </w:rPr>
            </w:pPr>
          </w:p>
          <w:p w14:paraId="126BF733" w14:textId="77777777" w:rsidR="00B67BD1" w:rsidRDefault="00C36A45" w:rsidP="00C36A45">
            <w:pPr>
              <w:rPr>
                <w:color w:val="auto"/>
              </w:rPr>
            </w:pPr>
            <w:r>
              <w:rPr>
                <w:color w:val="auto"/>
              </w:rPr>
              <w:t>Remboursement d'impôt utilisé pour augmenter le train de vie</w:t>
            </w:r>
          </w:p>
          <w:p w14:paraId="52F728CE" w14:textId="77777777" w:rsidR="00C36A45" w:rsidRDefault="00C36A45" w:rsidP="00C36A45">
            <w:pPr>
              <w:rPr>
                <w:color w:val="auto"/>
              </w:rPr>
            </w:pPr>
          </w:p>
          <w:p w14:paraId="6561619A" w14:textId="0A4584CB" w:rsidR="00C36A45" w:rsidRPr="00293B14" w:rsidRDefault="00C36A45" w:rsidP="00C36A45">
            <w:pPr>
              <w:rPr>
                <w:color w:val="auto"/>
              </w:rPr>
            </w:pPr>
          </w:p>
        </w:tc>
        <w:tc>
          <w:tcPr>
            <w:tcW w:w="1464" w:type="dxa"/>
            <w:shd w:val="clear" w:color="auto" w:fill="000000" w:themeFill="text1"/>
          </w:tcPr>
          <w:p w14:paraId="63EA46A8" w14:textId="17E63BDC" w:rsidR="00B67BD1" w:rsidRPr="00293B14" w:rsidRDefault="00062E3B" w:rsidP="00C36A45">
            <w:pPr>
              <w:jc w:val="center"/>
              <w:cnfStyle w:val="000000000000" w:firstRow="0" w:lastRow="0" w:firstColumn="0" w:lastColumn="0" w:oddVBand="0" w:evenVBand="0" w:oddHBand="0" w:evenHBand="0" w:firstRowFirstColumn="0" w:firstRowLastColumn="0" w:lastRowFirstColumn="0" w:lastRowLastColumn="0"/>
              <w:rPr>
                <w:color w:val="auto"/>
              </w:rPr>
            </w:pPr>
            <w:r>
              <w:rPr>
                <w:noProof/>
                <w:lang w:eastAsia="fr-FR"/>
              </w:rPr>
              <w:lastRenderedPageBreak/>
              <w:drawing>
                <wp:anchor distT="0" distB="0" distL="114300" distR="114300" simplePos="0" relativeHeight="252672000" behindDoc="0" locked="0" layoutInCell="1" allowOverlap="1" wp14:anchorId="769315AD" wp14:editId="4DF992B0">
                  <wp:simplePos x="0" y="0"/>
                  <wp:positionH relativeFrom="column">
                    <wp:posOffset>148590</wp:posOffset>
                  </wp:positionH>
                  <wp:positionV relativeFrom="paragraph">
                    <wp:posOffset>287655</wp:posOffset>
                  </wp:positionV>
                  <wp:extent cx="342900" cy="344805"/>
                  <wp:effectExtent l="0" t="0" r="12700" b="10795"/>
                  <wp:wrapNone/>
                  <wp:docPr id="523" name="Image 523"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1464" w:type="dxa"/>
            <w:shd w:val="clear" w:color="auto" w:fill="DDDCD0" w:themeFill="text2" w:themeFillTint="33"/>
          </w:tcPr>
          <w:p w14:paraId="2DA58295" w14:textId="551C31E6" w:rsidR="00B67BD1" w:rsidRPr="00293B14" w:rsidRDefault="00B67BD1" w:rsidP="00C36A45">
            <w:pPr>
              <w:jc w:val="center"/>
              <w:cnfStyle w:val="000000000000" w:firstRow="0" w:lastRow="0" w:firstColumn="0" w:lastColumn="0" w:oddVBand="0" w:evenVBand="0" w:oddHBand="0" w:evenHBand="0" w:firstRowFirstColumn="0" w:firstRowLastColumn="0" w:lastRowFirstColumn="0" w:lastRowLastColumn="0"/>
              <w:rPr>
                <w:color w:val="auto"/>
              </w:rPr>
            </w:pPr>
          </w:p>
        </w:tc>
      </w:tr>
    </w:tbl>
    <w:p w14:paraId="315B276E" w14:textId="1494E2E0" w:rsidR="005A31F1" w:rsidRDefault="005A31F1" w:rsidP="005A31F1">
      <w:r>
        <w:lastRenderedPageBreak/>
        <w:t>Les scénarios distinctifs du CÉLI et du REÉR sont expliqués dans la prochaine capsule vidéo.</w:t>
      </w:r>
    </w:p>
    <w:p w14:paraId="1104793C" w14:textId="77777777" w:rsidR="005A31F1" w:rsidRDefault="005A31F1" w:rsidP="005A31F1"/>
    <w:p w14:paraId="73ABB734" w14:textId="77777777" w:rsidR="005A31F1" w:rsidRDefault="005A31F1" w:rsidP="005A31F1"/>
    <w:p w14:paraId="1DA03FE0" w14:textId="77777777" w:rsidR="005A31F1" w:rsidRDefault="005A31F1" w:rsidP="005A31F1">
      <w:r w:rsidRPr="000D12A4">
        <w:rPr>
          <w:noProof/>
          <w:color w:val="AF0013"/>
          <w:lang w:eastAsia="fr-FR"/>
        </w:rPr>
        <w:drawing>
          <wp:anchor distT="0" distB="0" distL="114300" distR="114300" simplePos="0" relativeHeight="252678144" behindDoc="0" locked="0" layoutInCell="1" allowOverlap="1" wp14:anchorId="6F7EF8CA" wp14:editId="56B9DBA8">
            <wp:simplePos x="0" y="0"/>
            <wp:positionH relativeFrom="column">
              <wp:posOffset>3657600</wp:posOffset>
            </wp:positionH>
            <wp:positionV relativeFrom="paragraph">
              <wp:posOffset>10795</wp:posOffset>
            </wp:positionV>
            <wp:extent cx="579120" cy="571500"/>
            <wp:effectExtent l="0" t="0" r="5080" b="12700"/>
            <wp:wrapNone/>
            <wp:docPr id="526" name="Image 526">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A1D1AD1" w14:textId="5162CF5C" w:rsidR="00B67BD1" w:rsidRPr="00376E9C" w:rsidRDefault="00573C95">
      <w:pPr>
        <w:rPr>
          <w:color w:val="AF0013"/>
        </w:rPr>
      </w:pPr>
      <w:hyperlink r:id="rId129" w:history="1">
        <w:r w:rsidR="008C5A4D" w:rsidRPr="00376E9C">
          <w:rPr>
            <w:rStyle w:val="Lienhypertexte"/>
            <w:color w:val="AF0013"/>
          </w:rPr>
          <w:t>Capsule 7-11 Scénarios distinctifs CÉLI et RÉER</w:t>
        </w:r>
      </w:hyperlink>
    </w:p>
    <w:p w14:paraId="492C46CF" w14:textId="77777777" w:rsidR="00E3186E" w:rsidRPr="005B2E6D" w:rsidRDefault="00E3186E" w:rsidP="00E3186E">
      <w:pPr>
        <w:ind w:left="360"/>
        <w:jc w:val="both"/>
      </w:pPr>
    </w:p>
    <w:p w14:paraId="6CB760D0" w14:textId="77777777" w:rsidR="00D179A2" w:rsidRDefault="00D179A2" w:rsidP="00D179A2"/>
    <w:p w14:paraId="616A69E3" w14:textId="4A6D0E9E" w:rsidR="00D179A2" w:rsidRDefault="00D179A2" w:rsidP="006C34CF">
      <w:pPr>
        <w:pStyle w:val="Titre3"/>
        <w:numPr>
          <w:ilvl w:val="2"/>
          <w:numId w:val="63"/>
        </w:numPr>
      </w:pPr>
      <w:bookmarkStart w:id="108" w:name="_Toc314397861"/>
      <w:bookmarkStart w:id="109" w:name="_Toc443569405"/>
      <w:r>
        <w:t>La défiscalisation du REÉR par le CÉLI</w:t>
      </w:r>
      <w:bookmarkEnd w:id="108"/>
      <w:bookmarkEnd w:id="109"/>
      <w:r>
        <w:t xml:space="preserve"> </w:t>
      </w:r>
    </w:p>
    <w:p w14:paraId="03C081EA" w14:textId="77777777" w:rsidR="009B67DB" w:rsidRDefault="009B67DB" w:rsidP="009B67DB"/>
    <w:p w14:paraId="2995EBD2" w14:textId="138744CD" w:rsidR="009B6E72" w:rsidRDefault="00D150C2" w:rsidP="009B6E72">
      <w:pPr>
        <w:jc w:val="both"/>
      </w:pPr>
      <w:r>
        <w:t xml:space="preserve">Maintenant que nous avons </w:t>
      </w:r>
      <w:r w:rsidR="009B6E72">
        <w:t>analysé</w:t>
      </w:r>
      <w:r>
        <w:t xml:space="preserve"> les deux véhicules fiscaux sous l'angle</w:t>
      </w:r>
      <w:r w:rsidR="009B6E72">
        <w:t xml:space="preserve"> où ceux-ci sont tous les deux des abris fiscaux purs, donnant des résultats qui peuvent se ressembler (voire être identique comme dans le scénario d'indifférence présenté précédemment), nous aimerions démontrer de quelle façon le CÉLI pourrait servir à acquitter l'impôt latent du REÉR. </w:t>
      </w:r>
    </w:p>
    <w:p w14:paraId="3489DED5" w14:textId="77777777" w:rsidR="009B6E72" w:rsidRDefault="009B6E72" w:rsidP="009B6E72">
      <w:pPr>
        <w:jc w:val="both"/>
      </w:pPr>
    </w:p>
    <w:p w14:paraId="7D494A65" w14:textId="243D94C5" w:rsidR="00D559E2" w:rsidRDefault="009B6E72" w:rsidP="009B6E72">
      <w:pPr>
        <w:jc w:val="both"/>
      </w:pPr>
      <w:r>
        <w:t xml:space="preserve">Avant, nous souhaitons apporter deux mises au point quant à la démonstration qui suivra. Tout d'abord, le terme "défiscalisation" n'a pas exactement la même teneur que celle que nous avons </w:t>
      </w:r>
      <w:r w:rsidR="006C506F">
        <w:t>présentée</w:t>
      </w:r>
      <w:r>
        <w:t xml:space="preserve"> précédemment. Dans le cas présent, il ne s'agit pas de transférer le REÉR vers le CÉLI, mais plutôt d'utiliser le CÉLI afin de constituer une provision</w:t>
      </w:r>
      <w:r w:rsidR="002D27FE">
        <w:t xml:space="preserve"> financière</w:t>
      </w:r>
      <w:r>
        <w:t xml:space="preserve"> qui permettra d'acquitter l'impôt lors des retraits du REÉR.</w:t>
      </w:r>
      <w:r w:rsidR="002D27FE">
        <w:t xml:space="preserve"> Ensuite, nous tenons à préciser que cette défiscalisation est une autre façon d'imager le concept d'abri fiscal pur</w:t>
      </w:r>
      <w:r w:rsidR="004427DB">
        <w:rPr>
          <w:rStyle w:val="Marquenotebasdepage"/>
        </w:rPr>
        <w:footnoteReference w:customMarkFollows="1" w:id="71"/>
        <w:t>68</w:t>
      </w:r>
      <w:r w:rsidR="002D27FE">
        <w:t xml:space="preserve"> qui a été présenté par le planificateur financier</w:t>
      </w:r>
      <w:r w:rsidR="00C404F6">
        <w:t>,</w:t>
      </w:r>
      <w:r w:rsidR="002D27FE">
        <w:t xml:space="preserve"> Éric Brassard.</w:t>
      </w:r>
    </w:p>
    <w:p w14:paraId="0F155708" w14:textId="77777777" w:rsidR="009B6E72" w:rsidRDefault="009B6E72" w:rsidP="009B6E72">
      <w:pPr>
        <w:jc w:val="both"/>
      </w:pPr>
    </w:p>
    <w:p w14:paraId="438F7DAC" w14:textId="7633FC41" w:rsidR="00AF209A" w:rsidRDefault="00AF209A" w:rsidP="00AF209A">
      <w:r>
        <w:t>La défiscalisation du CÉLI par le REÉR est expliquée dans la prochaine capsule vidéo.</w:t>
      </w:r>
    </w:p>
    <w:p w14:paraId="72D50DD1" w14:textId="77777777" w:rsidR="00AF209A" w:rsidRDefault="00AF209A" w:rsidP="00AF209A"/>
    <w:p w14:paraId="727FFF10" w14:textId="6169CF38" w:rsidR="00AF209A" w:rsidRDefault="00AF209A" w:rsidP="00AF209A">
      <w:r w:rsidRPr="000D12A4">
        <w:rPr>
          <w:noProof/>
          <w:color w:val="AF0013"/>
          <w:lang w:eastAsia="fr-FR"/>
        </w:rPr>
        <w:drawing>
          <wp:anchor distT="0" distB="0" distL="114300" distR="114300" simplePos="0" relativeHeight="252682240" behindDoc="0" locked="0" layoutInCell="1" allowOverlap="1" wp14:anchorId="1D237E41" wp14:editId="7876CDC2">
            <wp:simplePos x="0" y="0"/>
            <wp:positionH relativeFrom="column">
              <wp:posOffset>4114800</wp:posOffset>
            </wp:positionH>
            <wp:positionV relativeFrom="paragraph">
              <wp:posOffset>173355</wp:posOffset>
            </wp:positionV>
            <wp:extent cx="579120" cy="571500"/>
            <wp:effectExtent l="0" t="0" r="5080" b="12700"/>
            <wp:wrapNone/>
            <wp:docPr id="528" name="Image 528">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368F7A2" w14:textId="03F4CD04" w:rsidR="00AF209A" w:rsidRDefault="00AF209A" w:rsidP="00AF209A"/>
    <w:p w14:paraId="40B87CF6" w14:textId="46063D9F" w:rsidR="009B6E72" w:rsidRPr="00376E9C" w:rsidRDefault="00573C95" w:rsidP="009B6E72">
      <w:pPr>
        <w:jc w:val="both"/>
        <w:rPr>
          <w:color w:val="AF0013"/>
        </w:rPr>
      </w:pPr>
      <w:hyperlink r:id="rId131" w:history="1">
        <w:r w:rsidR="008C5A4D" w:rsidRPr="00376E9C">
          <w:rPr>
            <w:rStyle w:val="Lienhypertexte"/>
            <w:color w:val="AF0013"/>
          </w:rPr>
          <w:t>Capsule 7-12 La défiscalisation du REÉR par le CÉLI</w:t>
        </w:r>
      </w:hyperlink>
    </w:p>
    <w:p w14:paraId="7FB80078" w14:textId="6A7DAEBC" w:rsidR="00D559E2" w:rsidRDefault="00D559E2" w:rsidP="006C34CF">
      <w:pPr>
        <w:pStyle w:val="Titre3"/>
        <w:numPr>
          <w:ilvl w:val="2"/>
          <w:numId w:val="64"/>
        </w:numPr>
      </w:pPr>
      <w:bookmarkStart w:id="110" w:name="_Toc314397862"/>
      <w:bookmarkStart w:id="111" w:name="_Toc443569406"/>
      <w:r>
        <w:lastRenderedPageBreak/>
        <w:t>L'</w:t>
      </w:r>
      <w:r w:rsidR="003C55C1">
        <w:t>approche comportementale</w:t>
      </w:r>
      <w:r>
        <w:t xml:space="preserve"> du CÉLI</w:t>
      </w:r>
      <w:r w:rsidR="003C55C1">
        <w:t xml:space="preserve"> et du REÉR</w:t>
      </w:r>
      <w:bookmarkEnd w:id="110"/>
      <w:bookmarkEnd w:id="111"/>
    </w:p>
    <w:p w14:paraId="0F01C984" w14:textId="77777777" w:rsidR="001B506C" w:rsidRDefault="001B506C" w:rsidP="001B506C"/>
    <w:p w14:paraId="529C98B4" w14:textId="4A0048DE" w:rsidR="001B506C" w:rsidRDefault="00A54BC1" w:rsidP="002D64AA">
      <w:pPr>
        <w:jc w:val="both"/>
      </w:pPr>
      <w:r>
        <w:t xml:space="preserve">Pour les humains </w:t>
      </w:r>
      <w:r w:rsidR="00B948B9" w:rsidRPr="00B948B9">
        <w:rPr>
          <w:color w:val="FF6700" w:themeColor="accent3"/>
        </w:rPr>
        <w:t>RATIONNELS</w:t>
      </w:r>
      <w:r>
        <w:t xml:space="preserve"> et </w:t>
      </w:r>
      <w:r w:rsidR="00B948B9" w:rsidRPr="00B948B9">
        <w:rPr>
          <w:color w:val="FF6700" w:themeColor="accent3"/>
        </w:rPr>
        <w:t>SANS FAILLE</w:t>
      </w:r>
      <w:r w:rsidR="006C506F" w:rsidRPr="00451135">
        <w:rPr>
          <w:color w:val="FF6700" w:themeColor="accent3"/>
        </w:rPr>
        <w:t>S</w:t>
      </w:r>
      <w:r w:rsidR="006C506F">
        <w:t xml:space="preserve"> </w:t>
      </w:r>
      <w:r>
        <w:t xml:space="preserve">le débat entourant le CÉLI </w:t>
      </w:r>
      <w:r w:rsidR="006C506F">
        <w:t>et</w:t>
      </w:r>
      <w:r>
        <w:t xml:space="preserve"> le REÉR se résume à une équation mathématique dont les variables se limitent à l'intégration de deux taux d'imposition </w:t>
      </w:r>
      <w:r w:rsidR="006C506F">
        <w:t>marginaux</w:t>
      </w:r>
      <w:r>
        <w:t xml:space="preserve"> (celui de la cotisation et celui du retrait). Mais, qu'en est-il pour tous les autres humains qui sont parfois </w:t>
      </w:r>
      <w:r w:rsidR="00B948B9" w:rsidRPr="00B948B9">
        <w:rPr>
          <w:color w:val="FF6700" w:themeColor="accent3"/>
        </w:rPr>
        <w:t>BIAISÉS</w:t>
      </w:r>
      <w:r>
        <w:t xml:space="preserve">, </w:t>
      </w:r>
      <w:r w:rsidR="00B948B9" w:rsidRPr="00B948B9">
        <w:rPr>
          <w:color w:val="FF6700" w:themeColor="accent3"/>
        </w:rPr>
        <w:t>ENTÊTÉS</w:t>
      </w:r>
      <w:r>
        <w:t xml:space="preserve">, </w:t>
      </w:r>
      <w:r w:rsidR="006C506F">
        <w:rPr>
          <w:color w:val="FF6700" w:themeColor="accent3"/>
        </w:rPr>
        <w:t>ÉMOTIFS,</w:t>
      </w:r>
      <w:r>
        <w:t xml:space="preserve"> et je ne sais quoi </w:t>
      </w:r>
      <w:r w:rsidR="002D43B9">
        <w:t xml:space="preserve">en terme </w:t>
      </w:r>
      <w:r w:rsidR="006C506F">
        <w:t>d'</w:t>
      </w:r>
      <w:r>
        <w:t xml:space="preserve">autres </w:t>
      </w:r>
      <w:r w:rsidR="002D64AA">
        <w:t>tares qui l'éloigne</w:t>
      </w:r>
      <w:r w:rsidR="002D43B9">
        <w:t>nt</w:t>
      </w:r>
      <w:r w:rsidR="002D64AA">
        <w:t xml:space="preserve"> de ce qui est</w:t>
      </w:r>
      <w:r w:rsidR="00B948B9">
        <w:t>,</w:t>
      </w:r>
      <w:r w:rsidR="002D64AA">
        <w:t xml:space="preserve"> </w:t>
      </w:r>
      <w:r w:rsidR="00B948B9">
        <w:t xml:space="preserve">pour lui, </w:t>
      </w:r>
      <w:r w:rsidR="002D64AA">
        <w:t>la meilleure décision</w:t>
      </w:r>
      <w:r w:rsidR="002D43B9">
        <w:t xml:space="preserve"> financière</w:t>
      </w:r>
      <w:r w:rsidR="002D64AA">
        <w:t xml:space="preserve"> à prendre. Est-ce que le CÉLI ou le REÉR peut</w:t>
      </w:r>
      <w:r>
        <w:t xml:space="preserve"> </w:t>
      </w:r>
      <w:r w:rsidR="002D64AA">
        <w:t>amener l'humain faillible vers un meilleur comportement en matière de finances personnelles</w:t>
      </w:r>
      <w:r w:rsidR="002D64AA" w:rsidRPr="002D64AA">
        <w:rPr>
          <w:rFonts w:ascii="Avenir Book" w:hAnsi="Avenir Book"/>
        </w:rPr>
        <w:t>?</w:t>
      </w:r>
      <w:r w:rsidR="002D64AA">
        <w:rPr>
          <w:rFonts w:ascii="Avenir Book" w:hAnsi="Avenir Book"/>
        </w:rPr>
        <w:t xml:space="preserve"> </w:t>
      </w:r>
      <w:r w:rsidR="002D64AA" w:rsidRPr="002D64AA">
        <w:t xml:space="preserve">Si le sujet </w:t>
      </w:r>
      <w:r w:rsidR="002D64AA">
        <w:t>est d'un</w:t>
      </w:r>
      <w:r w:rsidR="002D64AA" w:rsidRPr="002D64AA">
        <w:t xml:space="preserve"> grand intérêt</w:t>
      </w:r>
      <w:r w:rsidR="002D64AA">
        <w:t>, et que les principes empruntés aux sciences comportementales nous offrent des pistes de réflexion, il demeure qu'il n'y pas d'étude qui le démontre clairement.</w:t>
      </w:r>
    </w:p>
    <w:p w14:paraId="268F937C" w14:textId="77777777" w:rsidR="008F57A9" w:rsidRDefault="008F57A9" w:rsidP="002D64AA">
      <w:pPr>
        <w:jc w:val="both"/>
      </w:pPr>
    </w:p>
    <w:p w14:paraId="6D19C686" w14:textId="5D611C4D" w:rsidR="008F57A9" w:rsidRPr="00DC146B" w:rsidRDefault="00D63814" w:rsidP="002D64AA">
      <w:pPr>
        <w:jc w:val="both"/>
        <w:rPr>
          <w:b/>
          <w:i/>
        </w:rPr>
      </w:pPr>
      <w:r w:rsidRPr="00DC146B">
        <w:rPr>
          <w:b/>
          <w:i/>
        </w:rPr>
        <w:t>Gardons à l'esprit que dans un monde où tous les humains seraient rationnels et sans faille</w:t>
      </w:r>
      <w:r w:rsidR="006C506F">
        <w:rPr>
          <w:b/>
          <w:i/>
        </w:rPr>
        <w:t>s,</w:t>
      </w:r>
      <w:r w:rsidRPr="00DC146B">
        <w:rPr>
          <w:b/>
          <w:i/>
        </w:rPr>
        <w:t xml:space="preserve"> la présente discussion serait inutile. </w:t>
      </w:r>
    </w:p>
    <w:p w14:paraId="4CC6EA42" w14:textId="77777777" w:rsidR="00D63814" w:rsidRDefault="00D63814" w:rsidP="002D64AA">
      <w:pPr>
        <w:jc w:val="both"/>
      </w:pPr>
    </w:p>
    <w:p w14:paraId="331A1EC5" w14:textId="7B11D44C" w:rsidR="005B233A" w:rsidRDefault="004C3FD2" w:rsidP="002D64AA">
      <w:pPr>
        <w:jc w:val="both"/>
      </w:pPr>
      <w:r>
        <w:t xml:space="preserve">D'un point de vue </w:t>
      </w:r>
      <w:r w:rsidR="006C506F">
        <w:t>comportemental</w:t>
      </w:r>
      <w:r>
        <w:t xml:space="preserve">, il y a lieu de se demander laquelle de ces deux prémisses est la plus favorable à l'épargne et à son maintient. </w:t>
      </w:r>
    </w:p>
    <w:p w14:paraId="0CA45F92" w14:textId="77777777" w:rsidR="005B233A" w:rsidRDefault="005B233A" w:rsidP="002D64AA">
      <w:pPr>
        <w:jc w:val="both"/>
      </w:pPr>
    </w:p>
    <w:p w14:paraId="29AD4EFF" w14:textId="4AFB710F" w:rsidR="004C3FD2" w:rsidRDefault="004C3FD2" w:rsidP="002D64AA">
      <w:pPr>
        <w:jc w:val="both"/>
      </w:pPr>
      <w:r>
        <w:t>Le CÉLI a l'avantage d'être un lieu d'épargne qui ne pénalise ceux et celles qui décident plus tard d'utiliser</w:t>
      </w:r>
      <w:r w:rsidR="00937C9D">
        <w:t>,</w:t>
      </w:r>
      <w:r>
        <w:t xml:space="preserve"> pour d'autres fins que l'épargne</w:t>
      </w:r>
      <w:r w:rsidR="00937C9D">
        <w:t>,</w:t>
      </w:r>
      <w:r>
        <w:t xml:space="preserve"> le capital qui y est investi. Étant donné cette souplesse, les gens peuvent être, à la fois, consentant à y épargner des montants (ce qui est favorable pour l'épargnant) et aussi, tentés d'en retirer des montants puisqu'il n'y a pas de pénalités ou d'impôt qui découle de ce geste (ce qui est défavorable pour l'épargnant).</w:t>
      </w:r>
      <w:r w:rsidR="00DC146B">
        <w:t xml:space="preserve"> Le CÉLI peut alors être perçu comme de l'épargne, non pas pour la retraite, mais pour consommer plus tard. L'épargne semble moins définitive que dans le cas d'un REÉR.</w:t>
      </w:r>
    </w:p>
    <w:p w14:paraId="6F0EEDF9" w14:textId="77777777" w:rsidR="00D63814" w:rsidRDefault="00D63814" w:rsidP="002D64AA">
      <w:pPr>
        <w:jc w:val="both"/>
      </w:pPr>
    </w:p>
    <w:p w14:paraId="7B18D6F0" w14:textId="3B6068FC" w:rsidR="00D63814" w:rsidRDefault="005B233A" w:rsidP="002D64AA">
      <w:pPr>
        <w:jc w:val="both"/>
      </w:pPr>
      <w:r>
        <w:t xml:space="preserve">Le </w:t>
      </w:r>
      <w:r w:rsidR="00D63814">
        <w:t xml:space="preserve">REÉR </w:t>
      </w:r>
      <w:r>
        <w:t xml:space="preserve">a quant à lui une mécanique qui peut encourager le maintient de l'épargne puisque les retraits font l'objet d'un impôt qui peut être perçu comme une pénalité plutôt que le remboursement d'un montant qui a fait l'objet d'une avance de la part du fisc. Par contre, cette même réalité pourrait refroidir </w:t>
      </w:r>
      <w:r w:rsidR="0025219F">
        <w:t>un individu qui aimerait présentement épargner sans pour autant dédier cet</w:t>
      </w:r>
      <w:r w:rsidR="00956977">
        <w:t>te</w:t>
      </w:r>
      <w:r w:rsidR="0025219F">
        <w:t xml:space="preserve"> épargne à la retraite. Peut-être souhaite-t-il simplement épargner afin de prendre une année sabbatique et faire le tour du monde dans 10 ans.</w:t>
      </w:r>
    </w:p>
    <w:p w14:paraId="3435A6ED" w14:textId="77777777" w:rsidR="000F4A18" w:rsidRDefault="000F4A18" w:rsidP="002D64AA">
      <w:pPr>
        <w:jc w:val="both"/>
      </w:pPr>
    </w:p>
    <w:p w14:paraId="502241CA" w14:textId="7E807B48" w:rsidR="002D64AA" w:rsidRDefault="000F4A18" w:rsidP="00221EE4">
      <w:pPr>
        <w:jc w:val="both"/>
      </w:pPr>
      <w:r>
        <w:lastRenderedPageBreak/>
        <w:t>L'autre problématique comportementale relativement au REÉR est l'utilisation qui est faite, par le contribuable, du remboursement d'impôt obtenu suite à une cotisation. Comme nous l'avons étudié</w:t>
      </w:r>
      <w:r w:rsidR="00221EE4">
        <w:t>,</w:t>
      </w:r>
      <w:r>
        <w:t xml:space="preserve"> ce montant correspond à l'impôt qui devra être payé plus tard au moment</w:t>
      </w:r>
      <w:r w:rsidR="00221EE4">
        <w:t xml:space="preserve"> du retrait REÉR. Pour rendre le REÉR tel un abri fiscal pur, il faut absolument que l'individu investisse ce remboursement dans un REÉR ou un CÉLI. Or, un grand nombre de personnes considère le remboursement comme une forme de gain fortuit qui laisse alors place à toute sorte d'utilisation qui vise avant tout la gratification immédiate par la consommation de biens et de services. </w:t>
      </w:r>
    </w:p>
    <w:p w14:paraId="23B239D7" w14:textId="77777777" w:rsidR="00221EE4" w:rsidRDefault="00221EE4" w:rsidP="00221EE4">
      <w:pPr>
        <w:jc w:val="both"/>
      </w:pPr>
    </w:p>
    <w:p w14:paraId="36C2FDB0" w14:textId="718B0D92" w:rsidR="005A52D1" w:rsidRDefault="005A52D1" w:rsidP="006C34CF">
      <w:pPr>
        <w:pStyle w:val="Titre2"/>
        <w:numPr>
          <w:ilvl w:val="1"/>
          <w:numId w:val="63"/>
        </w:numPr>
      </w:pPr>
      <w:bookmarkStart w:id="112" w:name="_Toc314397863"/>
      <w:bookmarkStart w:id="113" w:name="_Toc443569407"/>
      <w:r>
        <w:t>Le REÉÉ</w:t>
      </w:r>
      <w:bookmarkEnd w:id="112"/>
      <w:bookmarkEnd w:id="113"/>
    </w:p>
    <w:p w14:paraId="424B861E" w14:textId="77777777" w:rsidR="00686EFA" w:rsidRDefault="00686EFA" w:rsidP="00686EFA"/>
    <w:p w14:paraId="1855BDC9" w14:textId="2FED9ABD" w:rsidR="00697857" w:rsidRDefault="00697857" w:rsidP="007A426D">
      <w:pPr>
        <w:jc w:val="both"/>
      </w:pPr>
      <w:r w:rsidRPr="007A426D">
        <w:t xml:space="preserve">Le </w:t>
      </w:r>
      <w:r w:rsidR="007A426D">
        <w:t xml:space="preserve">régime enregistré d'épargne étude (REÉÉ) constitue un formidable levier financier pour quiconque souhaite planifier et financer les études de ses enfants ou petits-enfants. Il devient une force financière qui permet l'accumulation d'une épargne qui servira à investir dans la promesse d'un avenir meilleur bâti </w:t>
      </w:r>
      <w:r w:rsidR="00683FEB">
        <w:t>sur le socle de</w:t>
      </w:r>
      <w:r w:rsidR="007A426D">
        <w:t xml:space="preserve"> l'éducation de nos enfants. </w:t>
      </w:r>
    </w:p>
    <w:p w14:paraId="49561236" w14:textId="77777777" w:rsidR="00683FEB" w:rsidRDefault="00683FEB" w:rsidP="007A426D">
      <w:pPr>
        <w:jc w:val="both"/>
      </w:pPr>
    </w:p>
    <w:p w14:paraId="06057B63" w14:textId="0D90DF8D" w:rsidR="00683FEB" w:rsidRPr="00240624" w:rsidRDefault="00683FEB" w:rsidP="007A426D">
      <w:pPr>
        <w:jc w:val="both"/>
        <w:rPr>
          <w:color w:val="FF0000"/>
        </w:rPr>
      </w:pPr>
      <w:r>
        <w:t xml:space="preserve">Malheureusement, ce régime est méconnu et </w:t>
      </w:r>
      <w:r w:rsidR="006C506F">
        <w:t>sous-utilisé</w:t>
      </w:r>
      <w:r>
        <w:t xml:space="preserve"> lorsque l'on pense à l'inventaire des nombreux avantages qu'il comporte. Peut-être est-ce, malgré tous les débats que l'on peut y intenter, dû à la relative accessibilité financière aux études post-secondaire au Québec. On ne pourrait imaginer un intérêt aussi timide si ce régime étai</w:t>
      </w:r>
      <w:r w:rsidR="00FE3A05">
        <w:t>t</w:t>
      </w:r>
      <w:r>
        <w:t xml:space="preserve"> disponible aux États-Unis</w:t>
      </w:r>
      <w:r w:rsidR="00FE3A05">
        <w:t>,</w:t>
      </w:r>
      <w:r>
        <w:t xml:space="preserve"> où l'épargne pour les études futures</w:t>
      </w:r>
      <w:r w:rsidR="00FE3A05">
        <w:t xml:space="preserve"> est</w:t>
      </w:r>
      <w:r>
        <w:t xml:space="preserve"> entreprise dès la naissance des enfants</w:t>
      </w:r>
      <w:r w:rsidR="00FE3A05">
        <w:t xml:space="preserve"> tant le</w:t>
      </w:r>
      <w:r w:rsidR="00451135">
        <w:t>s</w:t>
      </w:r>
      <w:r w:rsidR="00FE3A05">
        <w:t xml:space="preserve"> coût</w:t>
      </w:r>
      <w:r w:rsidR="00451135">
        <w:t>s</w:t>
      </w:r>
      <w:r w:rsidR="00FE3A05">
        <w:t xml:space="preserve"> ser</w:t>
      </w:r>
      <w:r w:rsidR="00451135">
        <w:t>ont</w:t>
      </w:r>
      <w:r w:rsidR="00FE3A05">
        <w:t xml:space="preserve"> élevé</w:t>
      </w:r>
      <w:r w:rsidR="00451135">
        <w:t>s</w:t>
      </w:r>
      <w:r>
        <w:t xml:space="preserve">. </w:t>
      </w:r>
    </w:p>
    <w:p w14:paraId="2C5E8E01" w14:textId="77777777" w:rsidR="00697857" w:rsidRDefault="00697857" w:rsidP="00697857">
      <w:pPr>
        <w:jc w:val="both"/>
      </w:pPr>
    </w:p>
    <w:p w14:paraId="427A88DE" w14:textId="77777777" w:rsidR="00697857" w:rsidRDefault="00697857" w:rsidP="006C34CF">
      <w:pPr>
        <w:pStyle w:val="Titre3"/>
        <w:numPr>
          <w:ilvl w:val="2"/>
          <w:numId w:val="65"/>
        </w:numPr>
      </w:pPr>
      <w:bookmarkStart w:id="114" w:name="_Toc314397864"/>
      <w:bookmarkStart w:id="115" w:name="_Toc443569408"/>
      <w:r>
        <w:t>Le fonctionnement</w:t>
      </w:r>
      <w:bookmarkEnd w:id="114"/>
      <w:bookmarkEnd w:id="115"/>
    </w:p>
    <w:p w14:paraId="71E17194" w14:textId="77777777" w:rsidR="00697857" w:rsidRDefault="00697857" w:rsidP="00697857"/>
    <w:p w14:paraId="70CF3F29" w14:textId="20033687" w:rsidR="00697857" w:rsidRDefault="00697857" w:rsidP="00697857">
      <w:pPr>
        <w:jc w:val="both"/>
      </w:pPr>
      <w:r w:rsidRPr="00FE3A05">
        <w:t xml:space="preserve">Le fonctionnement du </w:t>
      </w:r>
      <w:r w:rsidR="00FE3A05">
        <w:t>REÉÉ</w:t>
      </w:r>
      <w:r w:rsidRPr="00FE3A05">
        <w:t xml:space="preserve"> </w:t>
      </w:r>
      <w:r w:rsidR="00FE3A05">
        <w:t>emprunte certaines caractéristiques au REÉR (abri fiscal), au CÉLI (</w:t>
      </w:r>
      <w:r w:rsidR="006C506F">
        <w:t>non-déductibilité</w:t>
      </w:r>
      <w:r w:rsidR="00FE3A05">
        <w:t xml:space="preserve"> des déductions) et</w:t>
      </w:r>
      <w:r w:rsidR="00567353">
        <w:t xml:space="preserve"> fait preuve d'innovations qui lui sont propres (versements de subventions gouvernementales et fractionnement de revenus). </w:t>
      </w:r>
      <w:r w:rsidR="002D0431">
        <w:t>Nous présentons tout d'abord un tableau qui résume les principales règles qui s'appliquent au régime enregistré d'épargne étude. Par la suite, nous commenterons davantage certaines de ces règles afin de permettre une meilleure compréhension et appréciation des facteurs de risque (qui sont faibles), des moyens d'optimisation et de la souplesse générale du régime.</w:t>
      </w:r>
    </w:p>
    <w:p w14:paraId="0A43BB97" w14:textId="77777777" w:rsidR="002724EB" w:rsidRDefault="002724EB" w:rsidP="00697857">
      <w:pPr>
        <w:jc w:val="both"/>
      </w:pPr>
    </w:p>
    <w:p w14:paraId="695F76EE" w14:textId="77777777" w:rsidR="00697857" w:rsidRDefault="00697857" w:rsidP="00697857">
      <w:pPr>
        <w:jc w:val="both"/>
      </w:pPr>
    </w:p>
    <w:p w14:paraId="710B6280" w14:textId="53809AF6" w:rsidR="00697857" w:rsidRDefault="00697857" w:rsidP="00697857">
      <w:r>
        <w:lastRenderedPageBreak/>
        <w:t>Voici un tableau des caractéristiques REÉÉ</w:t>
      </w:r>
    </w:p>
    <w:p w14:paraId="5CCECC26" w14:textId="77777777" w:rsidR="00697857" w:rsidRDefault="00697857" w:rsidP="00697857"/>
    <w:tbl>
      <w:tblPr>
        <w:tblStyle w:val="Listefonce-Accent4"/>
        <w:tblW w:w="14142" w:type="dxa"/>
        <w:shd w:val="clear" w:color="auto" w:fill="CCFFCC"/>
        <w:tblLook w:val="04A0" w:firstRow="1" w:lastRow="0" w:firstColumn="1" w:lastColumn="0" w:noHBand="0" w:noVBand="1"/>
      </w:tblPr>
      <w:tblGrid>
        <w:gridCol w:w="4644"/>
        <w:gridCol w:w="9498"/>
      </w:tblGrid>
      <w:tr w:rsidR="00D720A7" w:rsidRPr="00293B14" w14:paraId="1C9998E8" w14:textId="77777777" w:rsidTr="007B5B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CAF278" w:themeFill="background2"/>
          </w:tcPr>
          <w:p w14:paraId="047AAD31" w14:textId="77777777" w:rsidR="00D720A7" w:rsidRPr="00293B14" w:rsidRDefault="00D720A7" w:rsidP="00697857">
            <w:pPr>
              <w:jc w:val="center"/>
              <w:rPr>
                <w:color w:val="auto"/>
              </w:rPr>
            </w:pPr>
            <w:r w:rsidRPr="00293B14">
              <w:rPr>
                <w:color w:val="auto"/>
              </w:rPr>
              <w:t>Caractéristiques</w:t>
            </w:r>
          </w:p>
        </w:tc>
        <w:tc>
          <w:tcPr>
            <w:tcW w:w="9498" w:type="dxa"/>
            <w:shd w:val="clear" w:color="auto" w:fill="CAF278" w:themeFill="background2"/>
          </w:tcPr>
          <w:p w14:paraId="36122DB0" w14:textId="0EA72C41" w:rsidR="00D720A7" w:rsidRPr="00697857" w:rsidRDefault="00D720A7" w:rsidP="00697857">
            <w:pPr>
              <w:jc w:val="center"/>
              <w:cnfStyle w:val="100000000000" w:firstRow="1" w:lastRow="0" w:firstColumn="0" w:lastColumn="0" w:oddVBand="0" w:evenVBand="0" w:oddHBand="0" w:evenHBand="0" w:firstRowFirstColumn="0" w:firstRowLastColumn="0" w:lastRowFirstColumn="0" w:lastRowLastColumn="0"/>
              <w:rPr>
                <w:color w:val="auto"/>
              </w:rPr>
            </w:pPr>
            <w:r w:rsidRPr="00697857">
              <w:rPr>
                <w:color w:val="auto"/>
              </w:rPr>
              <w:t>REÉÉ</w:t>
            </w:r>
          </w:p>
        </w:tc>
      </w:tr>
      <w:tr w:rsidR="00D720A7" w:rsidRPr="00293B14" w14:paraId="244855DA"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2A1D3906" w14:textId="099F476E" w:rsidR="00D720A7" w:rsidRPr="00D720A7" w:rsidRDefault="00D720A7" w:rsidP="00697857">
            <w:pPr>
              <w:rPr>
                <w:color w:val="auto"/>
              </w:rPr>
            </w:pPr>
            <w:r w:rsidRPr="00D720A7">
              <w:rPr>
                <w:color w:val="auto"/>
              </w:rPr>
              <w:t>Types de régime</w:t>
            </w:r>
          </w:p>
        </w:tc>
        <w:tc>
          <w:tcPr>
            <w:tcW w:w="9498" w:type="dxa"/>
          </w:tcPr>
          <w:p w14:paraId="3E217312" w14:textId="4F34C714" w:rsidR="00D720A7" w:rsidRDefault="00D720A7" w:rsidP="00D720A7">
            <w:pPr>
              <w:cnfStyle w:val="000000100000" w:firstRow="0" w:lastRow="0" w:firstColumn="0" w:lastColumn="0" w:oddVBand="0" w:evenVBand="0" w:oddHBand="1" w:evenHBand="0" w:firstRowFirstColumn="0" w:firstRowLastColumn="0" w:lastRowFirstColumn="0" w:lastRowLastColumn="0"/>
            </w:pPr>
            <w:r>
              <w:t>Individuel (un seul enfant) ou familial (plusieurs enfants d'une même famille)</w:t>
            </w:r>
          </w:p>
        </w:tc>
      </w:tr>
      <w:tr w:rsidR="00D720A7" w:rsidRPr="00293B14" w14:paraId="0A64ACA0" w14:textId="77777777" w:rsidTr="007B5BFB">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4B8BB095" w14:textId="77777777" w:rsidR="00D720A7" w:rsidRPr="00293B14" w:rsidRDefault="00D720A7" w:rsidP="00697857">
            <w:pPr>
              <w:rPr>
                <w:color w:val="auto"/>
              </w:rPr>
            </w:pPr>
            <w:r>
              <w:rPr>
                <w:color w:val="auto"/>
              </w:rPr>
              <w:t>Déductibilité de la cotisation</w:t>
            </w:r>
          </w:p>
        </w:tc>
        <w:tc>
          <w:tcPr>
            <w:tcW w:w="9498" w:type="dxa"/>
          </w:tcPr>
          <w:p w14:paraId="3D982B61" w14:textId="6348474D" w:rsidR="00D720A7" w:rsidRDefault="00D720A7" w:rsidP="00D720A7">
            <w:pPr>
              <w:cnfStyle w:val="000000000000" w:firstRow="0" w:lastRow="0" w:firstColumn="0" w:lastColumn="0" w:oddVBand="0" w:evenVBand="0" w:oddHBand="0" w:evenHBand="0" w:firstRowFirstColumn="0" w:firstRowLastColumn="0" w:lastRowFirstColumn="0" w:lastRowLastColumn="0"/>
            </w:pPr>
            <w:r>
              <w:t>Non</w:t>
            </w:r>
          </w:p>
        </w:tc>
      </w:tr>
      <w:tr w:rsidR="00D720A7" w:rsidRPr="00293B14" w14:paraId="579B34AD"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533F1B37" w14:textId="77777777" w:rsidR="00D720A7" w:rsidRPr="00293B14" w:rsidRDefault="00D720A7" w:rsidP="00697857">
            <w:pPr>
              <w:rPr>
                <w:color w:val="auto"/>
              </w:rPr>
            </w:pPr>
            <w:r>
              <w:rPr>
                <w:color w:val="auto"/>
              </w:rPr>
              <w:t>Abri fiscal durant la détention</w:t>
            </w:r>
          </w:p>
        </w:tc>
        <w:tc>
          <w:tcPr>
            <w:tcW w:w="9498" w:type="dxa"/>
          </w:tcPr>
          <w:p w14:paraId="4D079548" w14:textId="66E43BFF" w:rsidR="00D720A7" w:rsidRDefault="00D720A7" w:rsidP="00D720A7">
            <w:pPr>
              <w:cnfStyle w:val="000000100000" w:firstRow="0" w:lastRow="0" w:firstColumn="0" w:lastColumn="0" w:oddVBand="0" w:evenVBand="0" w:oddHBand="1" w:evenHBand="0" w:firstRowFirstColumn="0" w:firstRowLastColumn="0" w:lastRowFirstColumn="0" w:lastRowLastColumn="0"/>
            </w:pPr>
            <w:r>
              <w:t>Oui</w:t>
            </w:r>
          </w:p>
        </w:tc>
      </w:tr>
      <w:tr w:rsidR="00D720A7" w:rsidRPr="00293B14" w14:paraId="57392B8B" w14:textId="77777777" w:rsidTr="007B5BFB">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7840B493" w14:textId="77777777" w:rsidR="00D720A7" w:rsidRPr="00293B14" w:rsidRDefault="00D720A7" w:rsidP="00697857">
            <w:pPr>
              <w:rPr>
                <w:color w:val="auto"/>
              </w:rPr>
            </w:pPr>
            <w:r>
              <w:rPr>
                <w:color w:val="auto"/>
              </w:rPr>
              <w:t>Imposition des retraits</w:t>
            </w:r>
          </w:p>
        </w:tc>
        <w:tc>
          <w:tcPr>
            <w:tcW w:w="9498" w:type="dxa"/>
          </w:tcPr>
          <w:p w14:paraId="3748D5C5" w14:textId="3FEC4E88" w:rsidR="00D720A7" w:rsidRDefault="00D720A7" w:rsidP="00FC5585">
            <w:pPr>
              <w:cnfStyle w:val="000000000000" w:firstRow="0" w:lastRow="0" w:firstColumn="0" w:lastColumn="0" w:oddVBand="0" w:evenVBand="0" w:oddHBand="0" w:evenHBand="0" w:firstRowFirstColumn="0" w:firstRowLastColumn="0" w:lastRowFirstColumn="0" w:lastRowLastColumn="0"/>
            </w:pPr>
            <w:r>
              <w:t>Seulement les subventions et les revenus</w:t>
            </w:r>
            <w:r w:rsidR="00FC5585">
              <w:t xml:space="preserve">, appelés </w:t>
            </w:r>
            <w:r>
              <w:t xml:space="preserve"> </w:t>
            </w:r>
            <w:r w:rsidR="00FC5585">
              <w:t xml:space="preserve">"paiements d'aide aux études" </w:t>
            </w:r>
            <w:r>
              <w:t xml:space="preserve">(dans la déclaration des enfants, l'impôt est souvent nul). Le capital (cotisations) </w:t>
            </w:r>
            <w:r w:rsidR="001012D2">
              <w:t xml:space="preserve">est </w:t>
            </w:r>
            <w:r>
              <w:t>remi</w:t>
            </w:r>
            <w:r w:rsidR="001012D2">
              <w:t>s</w:t>
            </w:r>
            <w:r>
              <w:t xml:space="preserve"> aux parents sans impôt</w:t>
            </w:r>
          </w:p>
        </w:tc>
      </w:tr>
      <w:tr w:rsidR="00D720A7" w:rsidRPr="00293B14" w14:paraId="78CC2D81"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474858E0" w14:textId="0F1141A1" w:rsidR="00D720A7" w:rsidRPr="00293B14" w:rsidRDefault="00D720A7" w:rsidP="001012D2">
            <w:pPr>
              <w:rPr>
                <w:color w:val="auto"/>
              </w:rPr>
            </w:pPr>
            <w:r>
              <w:rPr>
                <w:color w:val="auto"/>
              </w:rPr>
              <w:t xml:space="preserve">Plafond </w:t>
            </w:r>
            <w:r w:rsidR="001012D2">
              <w:rPr>
                <w:color w:val="auto"/>
              </w:rPr>
              <w:t>des cotisations</w:t>
            </w:r>
          </w:p>
        </w:tc>
        <w:tc>
          <w:tcPr>
            <w:tcW w:w="9498" w:type="dxa"/>
          </w:tcPr>
          <w:p w14:paraId="5BE8A901" w14:textId="423BCC2E" w:rsidR="00D720A7" w:rsidRDefault="001012D2" w:rsidP="001012D2">
            <w:pPr>
              <w:cnfStyle w:val="000000100000" w:firstRow="0" w:lastRow="0" w:firstColumn="0" w:lastColumn="0" w:oddVBand="0" w:evenVBand="0" w:oddHBand="1" w:evenHBand="0" w:firstRowFirstColumn="0" w:firstRowLastColumn="0" w:lastRowFirstColumn="0" w:lastRowLastColumn="0"/>
            </w:pPr>
            <w:r>
              <w:t>50 000 $ /enfant</w:t>
            </w:r>
          </w:p>
        </w:tc>
      </w:tr>
      <w:tr w:rsidR="00D720A7" w:rsidRPr="00293B14" w14:paraId="09707F83" w14:textId="77777777" w:rsidTr="007B5BFB">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4BFA9ABC" w14:textId="0D877FF8" w:rsidR="00D720A7" w:rsidRDefault="00D720A7" w:rsidP="001012D2">
            <w:r>
              <w:rPr>
                <w:color w:val="auto"/>
              </w:rPr>
              <w:t xml:space="preserve">Plafond </w:t>
            </w:r>
            <w:r w:rsidR="001012D2">
              <w:rPr>
                <w:color w:val="auto"/>
              </w:rPr>
              <w:t>des subventions</w:t>
            </w:r>
          </w:p>
        </w:tc>
        <w:tc>
          <w:tcPr>
            <w:tcW w:w="9498" w:type="dxa"/>
          </w:tcPr>
          <w:p w14:paraId="63D78995" w14:textId="74F2D085" w:rsidR="00D720A7" w:rsidRDefault="001012D2" w:rsidP="001012D2">
            <w:pPr>
              <w:cnfStyle w:val="000000000000" w:firstRow="0" w:lastRow="0" w:firstColumn="0" w:lastColumn="0" w:oddVBand="0" w:evenVBand="0" w:oddHBand="0" w:evenHBand="0" w:firstRowFirstColumn="0" w:firstRowLastColumn="0" w:lastRowFirstColumn="0" w:lastRowLastColumn="0"/>
            </w:pPr>
            <w:r>
              <w:t>750 $/enfant/année, maximum à vie 10 800 $/enfant</w:t>
            </w:r>
          </w:p>
        </w:tc>
      </w:tr>
      <w:tr w:rsidR="00D720A7" w:rsidRPr="00293B14" w14:paraId="08002DCC"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3BD88494" w14:textId="5B25EF98" w:rsidR="00D720A7" w:rsidRPr="000E5F81" w:rsidRDefault="001012D2" w:rsidP="00697857">
            <w:pPr>
              <w:rPr>
                <w:color w:val="auto"/>
              </w:rPr>
            </w:pPr>
            <w:r>
              <w:rPr>
                <w:color w:val="auto"/>
              </w:rPr>
              <w:t>Taux des subventions</w:t>
            </w:r>
          </w:p>
        </w:tc>
        <w:tc>
          <w:tcPr>
            <w:tcW w:w="9498" w:type="dxa"/>
          </w:tcPr>
          <w:p w14:paraId="6E87BD6A" w14:textId="0FB1F0D6" w:rsidR="00D720A7" w:rsidRDefault="001012D2" w:rsidP="00D720A7">
            <w:pPr>
              <w:cnfStyle w:val="000000100000" w:firstRow="0" w:lastRow="0" w:firstColumn="0" w:lastColumn="0" w:oddVBand="0" w:evenVBand="0" w:oddHBand="1" w:evenHBand="0" w:firstRowFirstColumn="0" w:firstRowLastColumn="0" w:lastRowFirstColumn="0" w:lastRowLastColumn="0"/>
            </w:pPr>
            <w:r>
              <w:t xml:space="preserve">30 % (Le fédéral et le Québec </w:t>
            </w:r>
            <w:r w:rsidR="004F2763">
              <w:t>bonifient</w:t>
            </w:r>
            <w:r>
              <w:t xml:space="preserve"> ce taux pour les familles à faible revenu)</w:t>
            </w:r>
          </w:p>
        </w:tc>
      </w:tr>
      <w:tr w:rsidR="00D720A7" w:rsidRPr="00293B14" w14:paraId="4BC56429" w14:textId="77777777" w:rsidTr="007B5BFB">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09E9AA47" w14:textId="2694D8EE" w:rsidR="00D720A7" w:rsidRPr="00293B14" w:rsidRDefault="00D720A7" w:rsidP="00697857">
            <w:pPr>
              <w:rPr>
                <w:color w:val="auto"/>
              </w:rPr>
            </w:pPr>
            <w:r>
              <w:rPr>
                <w:color w:val="auto"/>
              </w:rPr>
              <w:t>Âge minimum</w:t>
            </w:r>
            <w:r w:rsidR="001012D2">
              <w:rPr>
                <w:color w:val="auto"/>
              </w:rPr>
              <w:t xml:space="preserve"> pour cotiser</w:t>
            </w:r>
          </w:p>
        </w:tc>
        <w:tc>
          <w:tcPr>
            <w:tcW w:w="9498" w:type="dxa"/>
          </w:tcPr>
          <w:p w14:paraId="3D4679C8" w14:textId="75F0DAAE" w:rsidR="00D720A7" w:rsidRDefault="00D720A7" w:rsidP="00D720A7">
            <w:pPr>
              <w:cnfStyle w:val="000000000000" w:firstRow="0" w:lastRow="0" w:firstColumn="0" w:lastColumn="0" w:oddVBand="0" w:evenVBand="0" w:oddHBand="0" w:evenHBand="0" w:firstRowFirstColumn="0" w:firstRowLastColumn="0" w:lastRowFirstColumn="0" w:lastRowLastColumn="0"/>
            </w:pPr>
            <w:r>
              <w:t>Naissance</w:t>
            </w:r>
          </w:p>
        </w:tc>
      </w:tr>
      <w:tr w:rsidR="00D720A7" w:rsidRPr="00293B14" w14:paraId="509D9975"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6EA05EB8" w14:textId="3752EBD1" w:rsidR="00D720A7" w:rsidRPr="00293B14" w:rsidRDefault="00D720A7" w:rsidP="00697857">
            <w:pPr>
              <w:rPr>
                <w:color w:val="auto"/>
              </w:rPr>
            </w:pPr>
            <w:r>
              <w:rPr>
                <w:color w:val="auto"/>
              </w:rPr>
              <w:t>Âge maximum</w:t>
            </w:r>
            <w:r w:rsidR="001012D2">
              <w:rPr>
                <w:color w:val="auto"/>
              </w:rPr>
              <w:t xml:space="preserve"> pour cotiser</w:t>
            </w:r>
          </w:p>
        </w:tc>
        <w:tc>
          <w:tcPr>
            <w:tcW w:w="9498" w:type="dxa"/>
          </w:tcPr>
          <w:p w14:paraId="4083F94D" w14:textId="5FBBDF0D" w:rsidR="00D720A7" w:rsidRDefault="00D720A7" w:rsidP="00D720A7">
            <w:pPr>
              <w:cnfStyle w:val="000000100000" w:firstRow="0" w:lastRow="0" w:firstColumn="0" w:lastColumn="0" w:oddVBand="0" w:evenVBand="0" w:oddHBand="1" w:evenHBand="0" w:firstRowFirstColumn="0" w:firstRowLastColumn="0" w:lastRowFirstColumn="0" w:lastRowLastColumn="0"/>
            </w:pPr>
            <w:r>
              <w:t>17 ans</w:t>
            </w:r>
          </w:p>
        </w:tc>
      </w:tr>
      <w:tr w:rsidR="002D0431" w:rsidRPr="00293B14" w14:paraId="50EF17EF" w14:textId="77777777" w:rsidTr="007B5BFB">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5B5EB14E" w14:textId="24B6F4F4" w:rsidR="002D0431" w:rsidRDefault="002D0431" w:rsidP="002D0431">
            <w:r>
              <w:rPr>
                <w:color w:val="auto"/>
              </w:rPr>
              <w:t>Âge maximum pour retirer</w:t>
            </w:r>
          </w:p>
        </w:tc>
        <w:tc>
          <w:tcPr>
            <w:tcW w:w="9498" w:type="dxa"/>
          </w:tcPr>
          <w:p w14:paraId="5AC4F4C5" w14:textId="19E0003F" w:rsidR="002D0431" w:rsidRDefault="002D0431" w:rsidP="00D720A7">
            <w:pPr>
              <w:cnfStyle w:val="000000000000" w:firstRow="0" w:lastRow="0" w:firstColumn="0" w:lastColumn="0" w:oddVBand="0" w:evenVBand="0" w:oddHBand="0" w:evenHBand="0" w:firstRowFirstColumn="0" w:firstRowLastColumn="0" w:lastRowFirstColumn="0" w:lastRowLastColumn="0"/>
            </w:pPr>
            <w:r>
              <w:t>31 ans</w:t>
            </w:r>
          </w:p>
        </w:tc>
      </w:tr>
      <w:tr w:rsidR="00D720A7" w:rsidRPr="00293B14" w14:paraId="5B379456"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4914ED01" w14:textId="175FFC58" w:rsidR="00D720A7" w:rsidRPr="00293B14" w:rsidRDefault="002D0431" w:rsidP="002D0431">
            <w:pPr>
              <w:rPr>
                <w:color w:val="auto"/>
              </w:rPr>
            </w:pPr>
            <w:r>
              <w:rPr>
                <w:color w:val="auto"/>
              </w:rPr>
              <w:t>Durée limite du régime</w:t>
            </w:r>
          </w:p>
        </w:tc>
        <w:tc>
          <w:tcPr>
            <w:tcW w:w="9498" w:type="dxa"/>
          </w:tcPr>
          <w:p w14:paraId="6BE33B20" w14:textId="3CC709EA" w:rsidR="00D720A7" w:rsidRDefault="002D0431" w:rsidP="002D0431">
            <w:pPr>
              <w:cnfStyle w:val="000000100000" w:firstRow="0" w:lastRow="0" w:firstColumn="0" w:lastColumn="0" w:oddVBand="0" w:evenVBand="0" w:oddHBand="1" w:evenHBand="0" w:firstRowFirstColumn="0" w:firstRowLastColumn="0" w:lastRowFirstColumn="0" w:lastRowLastColumn="0"/>
            </w:pPr>
            <w:r>
              <w:t>35 ans</w:t>
            </w:r>
          </w:p>
        </w:tc>
      </w:tr>
    </w:tbl>
    <w:p w14:paraId="7E428C9E" w14:textId="77777777" w:rsidR="00697857" w:rsidRDefault="00697857" w:rsidP="00697857"/>
    <w:p w14:paraId="63F4165B" w14:textId="77777777" w:rsidR="00EC6B38" w:rsidRDefault="00EC6B38" w:rsidP="00697857"/>
    <w:p w14:paraId="7AD53DC1" w14:textId="526ECC39" w:rsidR="00103DCF" w:rsidRDefault="00EC6B38" w:rsidP="00EC6B38">
      <w:pPr>
        <w:jc w:val="both"/>
      </w:pPr>
      <w:r>
        <w:t xml:space="preserve">Pour évaluer et réduire les </w:t>
      </w:r>
      <w:r w:rsidR="00103DCF" w:rsidRPr="00103DCF">
        <w:rPr>
          <w:color w:val="FF6700" w:themeColor="accent3"/>
        </w:rPr>
        <w:t>FACTEURS DE RISQUE</w:t>
      </w:r>
      <w:r w:rsidRPr="00103DCF">
        <w:rPr>
          <w:color w:val="FF6700" w:themeColor="accent3"/>
        </w:rPr>
        <w:t xml:space="preserve"> </w:t>
      </w:r>
      <w:r>
        <w:t>associé</w:t>
      </w:r>
      <w:r w:rsidR="00103DCF">
        <w:t>s</w:t>
      </w:r>
      <w:r>
        <w:t xml:space="preserve"> au REÉÉ, il convient d'intégrer quelques règles qui lui sont particulières. Le REÉÉ accomplit ses objectifs lorsqu'au moins un enfant poursuit ses études jusqu'au niveau post-secondaire. Il est simple de comprendre que les probabilités de voir un tel événement augmentent proportionnellement au nombre d'enfants. C'est pour cette raison qu'il est avantageux, lorsque la famille compte plus d'un enfant, de souscrire à un </w:t>
      </w:r>
      <w:r w:rsidRPr="00EC6B38">
        <w:rPr>
          <w:color w:val="FF6700" w:themeColor="accent3"/>
        </w:rPr>
        <w:t>RÉGIME FAMILAL</w:t>
      </w:r>
      <w:r>
        <w:rPr>
          <w:color w:val="FF6700" w:themeColor="accent3"/>
        </w:rPr>
        <w:t xml:space="preserve"> </w:t>
      </w:r>
      <w:r w:rsidRPr="00EC6B38">
        <w:t>dont tous les enfants sont bénéficiaires,</w:t>
      </w:r>
      <w:r>
        <w:t xml:space="preserve"> plutôt qu'à un régime individuel pour chacun des enfants. Dans un régime familial, les revenus et subventions attribuables à un enfant qui n'aboutirait pas à des études post-secondaires pourr</w:t>
      </w:r>
      <w:r w:rsidR="00103DCF">
        <w:t xml:space="preserve">ont être transférés à un autre enfant bénéficiaire inscrit au régime qui saura satisfaire les conditions d'admissibilité. L'autre atout qui réduit considérablement le risque est l'option, dans le cas où aucun des enfants ne </w:t>
      </w:r>
      <w:r w:rsidR="004F2763">
        <w:t>réaliserait</w:t>
      </w:r>
      <w:r w:rsidR="00103DCF">
        <w:t xml:space="preserve"> des études admissibles, de transférer les revenus du régime au REÉR du souscripteur, sans aucun impôt ou pénalité (les subventions devront cependant être remboursé</w:t>
      </w:r>
      <w:r w:rsidR="00BD2623">
        <w:t>es</w:t>
      </w:r>
      <w:r w:rsidR="00103DCF">
        <w:t xml:space="preserve"> au gouvernement). </w:t>
      </w:r>
    </w:p>
    <w:p w14:paraId="14223E24" w14:textId="77777777" w:rsidR="00103DCF" w:rsidRDefault="00103DCF" w:rsidP="00EC6B38">
      <w:pPr>
        <w:jc w:val="both"/>
      </w:pPr>
    </w:p>
    <w:p w14:paraId="1C58D71F" w14:textId="2B7B7D7C" w:rsidR="00EC6B38" w:rsidRDefault="00103DCF" w:rsidP="00EC6B38">
      <w:pPr>
        <w:jc w:val="both"/>
      </w:pPr>
      <w:r>
        <w:lastRenderedPageBreak/>
        <w:t xml:space="preserve"> </w:t>
      </w:r>
      <w:r w:rsidR="00AD5598">
        <w:t xml:space="preserve">Bien que la SECTION 4.4.2. </w:t>
      </w:r>
      <w:proofErr w:type="gramStart"/>
      <w:r w:rsidR="00AD5598">
        <w:t>portera</w:t>
      </w:r>
      <w:proofErr w:type="gramEnd"/>
      <w:r w:rsidR="00AD5598">
        <w:t xml:space="preserve"> spécifiquement sur l'optimisation du REÉÉ, nous aimerions dès maintenant présenter trois </w:t>
      </w:r>
      <w:r w:rsidR="00AD5598" w:rsidRPr="00AD5598">
        <w:rPr>
          <w:color w:val="FF6700" w:themeColor="accent3"/>
        </w:rPr>
        <w:t>MOYENS D</w:t>
      </w:r>
      <w:r w:rsidR="00AD5598">
        <w:rPr>
          <w:color w:val="FF6700" w:themeColor="accent3"/>
        </w:rPr>
        <w:t>'</w:t>
      </w:r>
      <w:r w:rsidR="00AD5598" w:rsidRPr="00AD5598">
        <w:rPr>
          <w:color w:val="FF6700" w:themeColor="accent3"/>
        </w:rPr>
        <w:t>OPTIMISATION</w:t>
      </w:r>
      <w:r w:rsidR="00AD5598">
        <w:t xml:space="preserve"> qui sont essentiels à connaître. Tout d'abord, il ne sert à rien d'effectuer des cotisations</w:t>
      </w:r>
      <w:r w:rsidR="00D0067B">
        <w:t xml:space="preserve"> </w:t>
      </w:r>
      <w:proofErr w:type="gramStart"/>
      <w:r w:rsidR="00AD5598">
        <w:t>annuelles</w:t>
      </w:r>
      <w:proofErr w:type="gramEnd"/>
      <w:r w:rsidR="00AD5598">
        <w:t xml:space="preserve"> excéde</w:t>
      </w:r>
      <w:r w:rsidR="00D0067B">
        <w:t xml:space="preserve">nts 2 500 $ par enfant </w:t>
      </w:r>
      <w:r w:rsidR="004F2763">
        <w:t>puisqu’</w:t>
      </w:r>
      <w:r w:rsidR="00D0067B">
        <w:t>au-delà de ce montant aucune subvention ne sera versée.</w:t>
      </w:r>
      <w:r w:rsidR="00EC6B38">
        <w:t xml:space="preserve"> </w:t>
      </w:r>
      <w:r w:rsidR="00D0067B">
        <w:t>En clair, il faut mieux verser annuellement 2 500 $ pour un enfant pendant quatre années que de verser un seul montant de 10 000 $ pour le même enfant. Cette règle est incontournable, si l'épargne vo</w:t>
      </w:r>
      <w:r w:rsidR="0036076F">
        <w:t>us brûle, déposez le 10 000 $ dans le</w:t>
      </w:r>
      <w:r w:rsidR="00D0067B">
        <w:t xml:space="preserve"> CÉLI et faites-en le décaissement par tranche de 2 500 $ par année pour effectuer les versements au REÉÉ. Les règles d'exception n'étant jamais très loin en matière fiscale, il faut juxtaposer à la règle précédente l'opportunité de "rattraper", annuellement, une année où le maximum de subvention (750 $) n'a pas été versé </w:t>
      </w:r>
      <w:r w:rsidR="004F2763">
        <w:t>au bénéfice</w:t>
      </w:r>
      <w:r w:rsidR="00D0067B">
        <w:t xml:space="preserve"> d'un enfant. </w:t>
      </w:r>
      <w:r w:rsidR="007C1E67">
        <w:t xml:space="preserve">Par exemple, si le contribuable n'a versé que 2 500 $, il y a trois ans, </w:t>
      </w:r>
      <w:r w:rsidR="004F2763">
        <w:t>au bénéfice</w:t>
      </w:r>
      <w:r w:rsidR="007C1E67">
        <w:t xml:space="preserve"> de son enfant, il pourra dans l'année courante effectuer un "rattrapage" d'une année et cotiser un montant de 5 000 $ qui générera des subventions gouvernementales de 1 500 $. </w:t>
      </w:r>
      <w:r w:rsidR="00550606">
        <w:t>Finalement, une subvention peut être versée au bénéfice d'un enfant pour les années où il célèbrera son 16</w:t>
      </w:r>
      <w:r w:rsidR="00550606" w:rsidRPr="0036076F">
        <w:rPr>
          <w:vertAlign w:val="superscript"/>
        </w:rPr>
        <w:t>e</w:t>
      </w:r>
      <w:r w:rsidR="00550606">
        <w:t xml:space="preserve"> et 17</w:t>
      </w:r>
      <w:r w:rsidR="00550606" w:rsidRPr="0036076F">
        <w:rPr>
          <w:vertAlign w:val="superscript"/>
        </w:rPr>
        <w:t>e</w:t>
      </w:r>
      <w:r w:rsidR="00550606">
        <w:t xml:space="preserve"> anniversaire à la condition qu'un montant minimum de 2 000 $ ait été versé au régime dans les années </w:t>
      </w:r>
      <w:r w:rsidR="00896EEF">
        <w:t>antérieures</w:t>
      </w:r>
      <w:r w:rsidR="00550606">
        <w:t>. Cette dernière condition sert également à établir l'admissibilité à la règle du "rattrapage" d'une année où il n'y aurait pas eu de versement de la subvention</w:t>
      </w:r>
      <w:r w:rsidR="00550606" w:rsidRPr="00953E88">
        <w:t xml:space="preserve">. </w:t>
      </w:r>
      <w:r w:rsidR="00953E88">
        <w:rPr>
          <w:u w:val="single"/>
        </w:rPr>
        <w:t xml:space="preserve">Le contribuable doit </w:t>
      </w:r>
      <w:r w:rsidR="00350FC2" w:rsidRPr="0036076F">
        <w:rPr>
          <w:u w:val="single"/>
        </w:rPr>
        <w:t>donc agir</w:t>
      </w:r>
      <w:r w:rsidR="0036076F" w:rsidRPr="0036076F">
        <w:rPr>
          <w:u w:val="single"/>
        </w:rPr>
        <w:t xml:space="preserve"> (cotisation d'au moins 2 000 $)</w:t>
      </w:r>
      <w:r w:rsidR="00350FC2" w:rsidRPr="0036076F">
        <w:rPr>
          <w:u w:val="single"/>
        </w:rPr>
        <w:t xml:space="preserve"> avant </w:t>
      </w:r>
      <w:r w:rsidR="0036076F" w:rsidRPr="0036076F">
        <w:rPr>
          <w:u w:val="single"/>
        </w:rPr>
        <w:t>fin de l'année où l'enfant célèbre son 15</w:t>
      </w:r>
      <w:r w:rsidR="0036076F" w:rsidRPr="0036076F">
        <w:rPr>
          <w:u w:val="single"/>
          <w:vertAlign w:val="superscript"/>
        </w:rPr>
        <w:t>e</w:t>
      </w:r>
      <w:r w:rsidR="0036076F" w:rsidRPr="0036076F">
        <w:rPr>
          <w:u w:val="single"/>
        </w:rPr>
        <w:t xml:space="preserve"> anniversaire</w:t>
      </w:r>
      <w:r w:rsidR="0036076F">
        <w:t>.</w:t>
      </w:r>
      <w:r w:rsidR="000539D9">
        <w:t xml:space="preserve"> </w:t>
      </w:r>
      <w:r w:rsidR="0036076F">
        <w:t xml:space="preserve"> </w:t>
      </w:r>
      <w:r w:rsidR="00550606">
        <w:t xml:space="preserve"> </w:t>
      </w:r>
    </w:p>
    <w:p w14:paraId="39413B18" w14:textId="77777777" w:rsidR="0036076F" w:rsidRDefault="0036076F" w:rsidP="00EC6B38">
      <w:pPr>
        <w:jc w:val="both"/>
      </w:pPr>
    </w:p>
    <w:p w14:paraId="7EEB695D" w14:textId="2B2D1E59" w:rsidR="0036076F" w:rsidRDefault="0036076F" w:rsidP="00EC6B38">
      <w:pPr>
        <w:jc w:val="both"/>
      </w:pPr>
      <w:r>
        <w:t xml:space="preserve">Finalement, les modalités d'utilisation des fonds du REÉÉ par les bénéficiaires sont </w:t>
      </w:r>
      <w:proofErr w:type="gramStart"/>
      <w:r>
        <w:t>d'une</w:t>
      </w:r>
      <w:proofErr w:type="gramEnd"/>
      <w:r>
        <w:t xml:space="preserve"> extrême </w:t>
      </w:r>
      <w:r w:rsidRPr="0036076F">
        <w:rPr>
          <w:color w:val="FF6700" w:themeColor="accent3"/>
        </w:rPr>
        <w:t>SOUPLESSE</w:t>
      </w:r>
      <w:r>
        <w:t xml:space="preserve">. Dès que l'enfant </w:t>
      </w:r>
      <w:r w:rsidR="007B4A54">
        <w:t>adhère à un programme de formation admissible, celui-ci peut recevoir un paiement d'aide aux études (les revenus et les subventions du REÉÉ) d'un montant maximum de 5 000 $. Après les 13 premières semaines, si l'enfant participe toujours au programme admissible, le montant pouvant faire l'objet d'un retrait du REÉÉ ne fera pas</w:t>
      </w:r>
      <w:r w:rsidR="006932E8">
        <w:t xml:space="preserve"> l'objet de limite restrictive. Les paiements effectués aux enfants n'ont pas </w:t>
      </w:r>
      <w:r w:rsidR="00937C9D">
        <w:t xml:space="preserve">à </w:t>
      </w:r>
      <w:r w:rsidR="006932E8">
        <w:t xml:space="preserve">être directement justifiés ou encore moins jumelés à des pièces justificatives qui sont directement </w:t>
      </w:r>
      <w:r w:rsidR="004F2763">
        <w:t>reliées</w:t>
      </w:r>
      <w:r w:rsidR="006932E8">
        <w:t xml:space="preserve"> aux frais de scolarité. C'est donc dire </w:t>
      </w:r>
      <w:r w:rsidR="00FD5ABE">
        <w:t>qu</w:t>
      </w:r>
      <w:r w:rsidR="006932E8">
        <w:t xml:space="preserve">e </w:t>
      </w:r>
      <w:r w:rsidR="00FD5ABE">
        <w:t xml:space="preserve">tous les frais de subsistances de l'étudiant sont </w:t>
      </w:r>
      <w:r w:rsidR="004F2763">
        <w:t>admissibles</w:t>
      </w:r>
      <w:r w:rsidR="00FD5ABE">
        <w:t xml:space="preserve">. Cette vue sera essentielle lorsque nous reparlerons de la priorisation à donner au REÉR, CÉLI et REÉÉ en tant que </w:t>
      </w:r>
      <w:r w:rsidR="00FD5ABE" w:rsidRPr="00FD5ABE">
        <w:rPr>
          <w:u w:val="single"/>
        </w:rPr>
        <w:t>véhicule d'épargne pour la retraite</w:t>
      </w:r>
      <w:r w:rsidR="00FD5ABE">
        <w:rPr>
          <w:u w:val="single"/>
        </w:rPr>
        <w:t>.</w:t>
      </w:r>
    </w:p>
    <w:p w14:paraId="2BA1DE10" w14:textId="77777777" w:rsidR="002D0431" w:rsidRDefault="002D0431" w:rsidP="00697857"/>
    <w:p w14:paraId="5A199763" w14:textId="7F93978A" w:rsidR="00697857" w:rsidRDefault="00697857" w:rsidP="00697857">
      <w:r>
        <w:t>L</w:t>
      </w:r>
      <w:r w:rsidR="003B1C3E">
        <w:t>e fonctionnement</w:t>
      </w:r>
      <w:r>
        <w:t xml:space="preserve"> du REÉÉ est expliqué dans la prochaine capsule vidéo.</w:t>
      </w:r>
    </w:p>
    <w:p w14:paraId="4FE52550" w14:textId="77777777" w:rsidR="003B1C3E" w:rsidRDefault="003B1C3E" w:rsidP="00697857"/>
    <w:p w14:paraId="53723D74" w14:textId="20D89282" w:rsidR="008C5A4D" w:rsidRDefault="00153E2F" w:rsidP="00697857">
      <w:r w:rsidRPr="000D12A4">
        <w:rPr>
          <w:noProof/>
          <w:color w:val="AF0013"/>
          <w:lang w:eastAsia="fr-FR"/>
        </w:rPr>
        <w:drawing>
          <wp:anchor distT="0" distB="0" distL="114300" distR="114300" simplePos="0" relativeHeight="252684288" behindDoc="0" locked="0" layoutInCell="1" allowOverlap="1" wp14:anchorId="2F600548" wp14:editId="58DD1EEC">
            <wp:simplePos x="0" y="0"/>
            <wp:positionH relativeFrom="column">
              <wp:posOffset>3314700</wp:posOffset>
            </wp:positionH>
            <wp:positionV relativeFrom="paragraph">
              <wp:posOffset>67945</wp:posOffset>
            </wp:positionV>
            <wp:extent cx="579120" cy="571500"/>
            <wp:effectExtent l="0" t="0" r="5080" b="12700"/>
            <wp:wrapNone/>
            <wp:docPr id="530" name="Image 530">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0AC7636" w14:textId="33E63052" w:rsidR="008C5A4D" w:rsidRPr="00376E9C" w:rsidRDefault="00573C95" w:rsidP="00697857">
      <w:pPr>
        <w:rPr>
          <w:color w:val="AF0013"/>
        </w:rPr>
      </w:pPr>
      <w:hyperlink r:id="rId133" w:history="1">
        <w:r w:rsidR="008C5A4D" w:rsidRPr="00376E9C">
          <w:rPr>
            <w:rStyle w:val="Lienhypertexte"/>
            <w:color w:val="AF0013"/>
          </w:rPr>
          <w:t>Capsule 7-13 Fonctionnement du REÉÉ</w:t>
        </w:r>
      </w:hyperlink>
    </w:p>
    <w:p w14:paraId="04D8070C" w14:textId="0AC604E6" w:rsidR="00697857" w:rsidRDefault="00697857" w:rsidP="006C34CF">
      <w:pPr>
        <w:pStyle w:val="Titre3"/>
        <w:numPr>
          <w:ilvl w:val="2"/>
          <w:numId w:val="66"/>
        </w:numPr>
      </w:pPr>
      <w:bookmarkStart w:id="116" w:name="_Toc314397865"/>
      <w:bookmarkStart w:id="117" w:name="_Toc443569409"/>
      <w:r>
        <w:lastRenderedPageBreak/>
        <w:t>Optimisation du REÉÉ</w:t>
      </w:r>
      <w:bookmarkEnd w:id="116"/>
      <w:bookmarkEnd w:id="117"/>
    </w:p>
    <w:p w14:paraId="6E9315FF" w14:textId="77777777" w:rsidR="00697857" w:rsidRDefault="00697857" w:rsidP="00697857"/>
    <w:p w14:paraId="35D9AE1F" w14:textId="5EF97216" w:rsidR="00EA7B82" w:rsidRDefault="00EA7B82" w:rsidP="00EA7B82">
      <w:pPr>
        <w:jc w:val="both"/>
      </w:pPr>
      <w:r>
        <w:t xml:space="preserve">Tout comme le CÉLI et le REÉR, le REÉÉ est un abri fiscal qui fait partie de l'arsenal mis à la disposition de l'épargnant (si celui-ci est parent d'un enfant) afin </w:t>
      </w:r>
      <w:r w:rsidR="005422FA">
        <w:t xml:space="preserve">qu'il puisse </w:t>
      </w:r>
      <w:r>
        <w:t xml:space="preserve">optimiser ses actifs financiers. La question ultime </w:t>
      </w:r>
      <w:r w:rsidR="005422FA">
        <w:t>étant</w:t>
      </w:r>
      <w:r>
        <w:t xml:space="preserve"> de maximiser et de prioriser le bon véhicule d'épargne selon le profil et les objectifs de l'épargnant. </w:t>
      </w:r>
    </w:p>
    <w:p w14:paraId="1EBC2B64" w14:textId="77777777" w:rsidR="00953E88" w:rsidRDefault="00953E88" w:rsidP="00EA7B82">
      <w:pPr>
        <w:jc w:val="both"/>
      </w:pPr>
    </w:p>
    <w:p w14:paraId="33D97026" w14:textId="507A30C2" w:rsidR="00953E88" w:rsidRDefault="00953E88" w:rsidP="00EA7B82">
      <w:pPr>
        <w:jc w:val="both"/>
      </w:pPr>
      <w:r>
        <w:t>Il ne fait aucun doute que lorsque le contribuable adhère à une vision communicante de l'épargne</w:t>
      </w:r>
      <w:r w:rsidR="00452126">
        <w:t>,</w:t>
      </w:r>
      <w:r>
        <w:t xml:space="preserve"> et que celui-ci a un enfant, </w:t>
      </w:r>
      <w:r w:rsidRPr="00723865">
        <w:rPr>
          <w:u w:val="single"/>
        </w:rPr>
        <w:t xml:space="preserve">il doit tout d'abord prioriser le REÉÉ </w:t>
      </w:r>
      <w:r w:rsidR="00452126" w:rsidRPr="00723865">
        <w:rPr>
          <w:u w:val="single"/>
        </w:rPr>
        <w:t>à titre de véhicule d'épargne</w:t>
      </w:r>
      <w:r w:rsidR="00452126">
        <w:t xml:space="preserve">. La notion de vision communicante de l'épargne est importante et elle peut ne pas être </w:t>
      </w:r>
      <w:r w:rsidR="004F2763">
        <w:t>partagée</w:t>
      </w:r>
      <w:r w:rsidR="00452126">
        <w:t xml:space="preserve"> par tous. Elle signifie que l'investissement dans le REÉÉ bien que lié à l'éducation n'est pas ultimement dédié à ses </w:t>
      </w:r>
      <w:r w:rsidR="004F2763">
        <w:t>dépenses,</w:t>
      </w:r>
      <w:r w:rsidR="00452126">
        <w:t xml:space="preserve"> mais plutôt à l'accroissement du capital accumulé pour la retraite. Voici deux façons d'imager ce concept de vases communicants.</w:t>
      </w:r>
    </w:p>
    <w:p w14:paraId="4D744040" w14:textId="77777777" w:rsidR="00452126" w:rsidRDefault="00452126" w:rsidP="00EA7B82">
      <w:pPr>
        <w:jc w:val="both"/>
      </w:pPr>
    </w:p>
    <w:p w14:paraId="0F0EFC35" w14:textId="6AAF5F15" w:rsidR="00B90745" w:rsidRDefault="00452126" w:rsidP="00EA7B82">
      <w:pPr>
        <w:jc w:val="both"/>
      </w:pPr>
      <w:r>
        <w:t xml:space="preserve">Premièrement, imaginons que la philosophie du contribuable est d'assumer tous les coûts de subsistance de son enfant jusqu'au début du </w:t>
      </w:r>
      <w:r w:rsidR="004F2763">
        <w:t>CÉGEP</w:t>
      </w:r>
      <w:r>
        <w:t xml:space="preserve"> et de cesser</w:t>
      </w:r>
      <w:r w:rsidR="008E6E40">
        <w:t>,</w:t>
      </w:r>
      <w:r>
        <w:t xml:space="preserve"> par la suite</w:t>
      </w:r>
      <w:r w:rsidR="008E6E40">
        <w:t>,</w:t>
      </w:r>
      <w:r>
        <w:t xml:space="preserve"> toute contribution parentale</w:t>
      </w:r>
      <w:r w:rsidR="008E6E40">
        <w:t xml:space="preserve"> reliée à l'éducation de son enfant. Dans ce contexte</w:t>
      </w:r>
      <w:r w:rsidR="005422FA">
        <w:t>,</w:t>
      </w:r>
      <w:r w:rsidR="008E6E40">
        <w:t xml:space="preserve"> </w:t>
      </w:r>
      <w:r w:rsidR="005422FA">
        <w:t>i</w:t>
      </w:r>
      <w:r w:rsidR="008E6E40">
        <w:t>l est facile de comprendre que tous les montants qui auront été investis</w:t>
      </w:r>
      <w:r w:rsidR="005422FA">
        <w:t xml:space="preserve"> (les cotisations)</w:t>
      </w:r>
      <w:r w:rsidR="008E6E40">
        <w:t xml:space="preserve"> dans un REÉÉ pourront être remis au parent. L'enfant remettra également ses paiements d'aide aux études (subventions + rendement - impôt. s'il y a lieu)  au parent (à titre de pension et d'hébergement). Par la suite, le parent pourra poursuivre son élan d'épargnant en choisissant d'investir tous ces montants dans un REÉR ou un CÉLI. Toute la séquence aura alors eu comme seul but d'optimiser le capital </w:t>
      </w:r>
      <w:proofErr w:type="gramStart"/>
      <w:r w:rsidR="008E6E40">
        <w:t>retraite</w:t>
      </w:r>
      <w:proofErr w:type="gramEnd"/>
      <w:r w:rsidR="005422FA">
        <w:t>,</w:t>
      </w:r>
      <w:r w:rsidR="008E6E40">
        <w:t xml:space="preserve"> et </w:t>
      </w:r>
      <w:r w:rsidR="005422FA">
        <w:t>n</w:t>
      </w:r>
      <w:r w:rsidR="008E6E40">
        <w:t>on pas, une portion pour les études et une autre pour la retraite.</w:t>
      </w:r>
    </w:p>
    <w:p w14:paraId="66F5FCF1" w14:textId="77777777" w:rsidR="00B90745" w:rsidRDefault="00B90745" w:rsidP="00EA7B82">
      <w:pPr>
        <w:jc w:val="both"/>
      </w:pPr>
    </w:p>
    <w:p w14:paraId="3BBF72A8" w14:textId="6D367665" w:rsidR="00B90745" w:rsidRDefault="00B90745" w:rsidP="00EA7B82">
      <w:pPr>
        <w:jc w:val="both"/>
      </w:pPr>
      <w:r>
        <w:t>Deuxièmement, le même résultat est obtenu, si la philosophie du contribuable est d'assumer tous les frais de subsistances et d'étude de son enfant. La question devient alors, quelle est la meilleure façon d'accumuler le capital nécessaire pour financer ces dépenses. Ce qui sera assumé comme dépense à même le REÉÉ n'aura pas à être déboursé dans le cadre du budget familial, laissant ainsi une</w:t>
      </w:r>
      <w:r w:rsidR="005422FA">
        <w:t xml:space="preserve"> même</w:t>
      </w:r>
      <w:r>
        <w:t xml:space="preserve"> somme qui pourra être investie dans le REÉR ou le CÉLI.</w:t>
      </w:r>
    </w:p>
    <w:p w14:paraId="24D77F30" w14:textId="77777777" w:rsidR="00723865" w:rsidRDefault="00723865" w:rsidP="00EA7B82">
      <w:pPr>
        <w:jc w:val="both"/>
      </w:pPr>
    </w:p>
    <w:p w14:paraId="7A372CC6" w14:textId="7CF20443" w:rsidR="00723865" w:rsidRDefault="00B15FFD" w:rsidP="00EA7B82">
      <w:pPr>
        <w:jc w:val="both"/>
      </w:pPr>
      <w:r>
        <w:t>En mots</w:t>
      </w:r>
      <w:r w:rsidR="00937C9D">
        <w:t xml:space="preserve"> simples</w:t>
      </w:r>
      <w:r>
        <w:t>, p</w:t>
      </w:r>
      <w:r w:rsidR="00723865">
        <w:t>ourquoi le REÉÉ est</w:t>
      </w:r>
      <w:r>
        <w:t>-il l'abri fiscal</w:t>
      </w:r>
      <w:r w:rsidR="00723865">
        <w:t xml:space="preserve"> suprême</w:t>
      </w:r>
      <w:r w:rsidR="00E012D1">
        <w:t xml:space="preserve"> </w:t>
      </w:r>
      <w:r w:rsidRPr="00E012D1">
        <w:rPr>
          <w:rFonts w:ascii="Avenir Book" w:hAnsi="Avenir Book"/>
        </w:rPr>
        <w:t>?</w:t>
      </w:r>
      <w:r>
        <w:t xml:space="preserve">  </w:t>
      </w:r>
      <w:r w:rsidR="00E012D1">
        <w:t>Nous avons déjà constaté que le CÉLI et le REÉR donnai</w:t>
      </w:r>
      <w:r w:rsidR="009473E6">
        <w:t>en</w:t>
      </w:r>
      <w:r w:rsidR="00E012D1">
        <w:t xml:space="preserve">t le même résultat lorsque les taux d'impôt étaient </w:t>
      </w:r>
      <w:r w:rsidR="004F2763">
        <w:t>les mêmes</w:t>
      </w:r>
      <w:r w:rsidR="00E012D1">
        <w:t xml:space="preserve"> (à la cotisation et au retrait REÉR). Or le REÉÉ, dans </w:t>
      </w:r>
      <w:r w:rsidR="009473E6">
        <w:t>presque tous l</w:t>
      </w:r>
      <w:r w:rsidR="00E012D1">
        <w:t xml:space="preserve">es cas, permettra d'obtenir un résultat complètement défiscalisé puisque c'est l'enfant </w:t>
      </w:r>
      <w:r w:rsidR="00E012D1">
        <w:lastRenderedPageBreak/>
        <w:t xml:space="preserve">qui s'imposera sur les subventions et les revenus générés par le régime (les crédits d'impôt personnels permettront d'annuler l'impôt). </w:t>
      </w:r>
      <w:r w:rsidR="00A51B32">
        <w:t>En toute logique, le REÉÉ devient alors identique au CÉLI (qui lui est identique au REÉR</w:t>
      </w:r>
      <w:r w:rsidR="004F2763">
        <w:t>),</w:t>
      </w:r>
      <w:r w:rsidR="00A51B32">
        <w:t xml:space="preserve"> et ce, avant même de considérer les </w:t>
      </w:r>
      <w:r w:rsidR="00A51B32" w:rsidRPr="009B53A0">
        <w:rPr>
          <w:color w:val="FF6700" w:themeColor="accent3"/>
        </w:rPr>
        <w:t>SUBVENTIONS GOUVERNEM</w:t>
      </w:r>
      <w:r w:rsidR="004F2763">
        <w:rPr>
          <w:color w:val="FF6700" w:themeColor="accent3"/>
        </w:rPr>
        <w:t>EN</w:t>
      </w:r>
      <w:r w:rsidR="00A51B32" w:rsidRPr="009B53A0">
        <w:rPr>
          <w:color w:val="FF6700" w:themeColor="accent3"/>
        </w:rPr>
        <w:t>TALES DE 30 %</w:t>
      </w:r>
      <w:r w:rsidR="00A51B32">
        <w:t>.</w:t>
      </w:r>
      <w:r w:rsidR="009B53A0">
        <w:t xml:space="preserve"> Ces subventions font la différence.</w:t>
      </w:r>
    </w:p>
    <w:p w14:paraId="1DD1E595" w14:textId="77777777" w:rsidR="00723865" w:rsidRDefault="00723865" w:rsidP="00EA7B82">
      <w:pPr>
        <w:jc w:val="both"/>
      </w:pPr>
    </w:p>
    <w:p w14:paraId="68D0356C" w14:textId="667D15B3" w:rsidR="00723865" w:rsidRDefault="009473E6" w:rsidP="00EA7B82">
      <w:pPr>
        <w:jc w:val="both"/>
      </w:pPr>
      <w:r>
        <w:t xml:space="preserve">Puisque les subventions </w:t>
      </w:r>
      <w:r w:rsidR="00575A07">
        <w:t xml:space="preserve">gouvernementales </w:t>
      </w:r>
      <w:r>
        <w:t>font toute la différence, il devient alors primordial de ne</w:t>
      </w:r>
      <w:r w:rsidR="00723865">
        <w:t xml:space="preserve"> pas franchir l</w:t>
      </w:r>
      <w:r>
        <w:t xml:space="preserve">a limite de </w:t>
      </w:r>
      <w:r w:rsidR="00723865">
        <w:t xml:space="preserve"> 2 500 $</w:t>
      </w:r>
      <w:r>
        <w:t xml:space="preserve">/année/enfant </w:t>
      </w:r>
      <w:r w:rsidR="00723865">
        <w:t xml:space="preserve">(ou 5 000 $ lorsqu'il est possible de récupérer </w:t>
      </w:r>
      <w:r w:rsidR="004F2763">
        <w:t>les arrérages</w:t>
      </w:r>
      <w:r w:rsidR="00723865">
        <w:t xml:space="preserve"> d'une année)</w:t>
      </w:r>
      <w:r w:rsidR="00575A07">
        <w:t xml:space="preserve">. Au-delà de cette </w:t>
      </w:r>
      <w:r w:rsidR="004F2763">
        <w:t>somme,</w:t>
      </w:r>
      <w:r w:rsidR="00575A07">
        <w:t xml:space="preserve"> aucune subvention n'est versée et l'épargne excédentaire devrait alors être </w:t>
      </w:r>
      <w:r w:rsidR="004F2763">
        <w:t>investie</w:t>
      </w:r>
      <w:r w:rsidR="00575A07">
        <w:t xml:space="preserve"> dans un CÉLI afin de prévoir une cotisa</w:t>
      </w:r>
      <w:r w:rsidR="003577B0">
        <w:t>tion optimale au REÉÉ d</w:t>
      </w:r>
      <w:r w:rsidR="00681B5A">
        <w:t>ans le</w:t>
      </w:r>
      <w:r w:rsidR="003577B0">
        <w:t>s années subséquentes.</w:t>
      </w:r>
    </w:p>
    <w:p w14:paraId="0A08EBF2" w14:textId="77777777" w:rsidR="0092270B" w:rsidRDefault="0092270B" w:rsidP="00EA7B82">
      <w:pPr>
        <w:jc w:val="both"/>
      </w:pPr>
    </w:p>
    <w:p w14:paraId="1350495B" w14:textId="38CD502A" w:rsidR="0092270B" w:rsidRDefault="00386D47" w:rsidP="00EA7B82">
      <w:pPr>
        <w:jc w:val="both"/>
      </w:pPr>
      <w:r>
        <w:t>Au moment</w:t>
      </w:r>
      <w:r w:rsidR="00B55B1C">
        <w:t xml:space="preserve"> où</w:t>
      </w:r>
      <w:r>
        <w:t xml:space="preserve"> l’enfant souscrit aux conditions du REÉÉ, en fréquentant un établissement d’études post-secondaires, une stratégie d’optimisation des dé</w:t>
      </w:r>
      <w:r w:rsidR="00EA59D7">
        <w:t>caissement</w:t>
      </w:r>
      <w:r>
        <w:t xml:space="preserve">s doit être </w:t>
      </w:r>
      <w:r w:rsidR="00B55B1C">
        <w:t>mise</w:t>
      </w:r>
      <w:r>
        <w:t xml:space="preserve"> en place. Les principes sont simples, si les parents possèdent des cotisations inutilisées au REÉR, CÉLI ou REÉÉ (si un autre enfant était admissible),</w:t>
      </w:r>
      <w:r w:rsidR="00EA59D7">
        <w:t xml:space="preserve"> </w:t>
      </w:r>
      <w:r>
        <w:t xml:space="preserve">ceux-ci devraient récupérer immédiatement le capital investi afin de </w:t>
      </w:r>
      <w:r w:rsidR="008111CA">
        <w:t xml:space="preserve">le </w:t>
      </w:r>
      <w:r>
        <w:t>loger dans l’abri fiscal disponible. Quant aux pa</w:t>
      </w:r>
      <w:r w:rsidR="00EA59D7">
        <w:t>iements d'aide aux études (subventions + rendement</w:t>
      </w:r>
      <w:r>
        <w:t xml:space="preserve">) </w:t>
      </w:r>
      <w:r w:rsidR="008111CA">
        <w:t xml:space="preserve">pour les </w:t>
      </w:r>
      <w:r>
        <w:t>enfant</w:t>
      </w:r>
      <w:r w:rsidR="008111CA">
        <w:t>s</w:t>
      </w:r>
      <w:r>
        <w:t>, le principe est de retirer les sommes le plus rapidement possible</w:t>
      </w:r>
      <w:r w:rsidR="00E60642">
        <w:t xml:space="preserve"> (</w:t>
      </w:r>
      <w:r w:rsidR="008111CA">
        <w:t xml:space="preserve">par mesure de précaution </w:t>
      </w:r>
      <w:r w:rsidR="00E60642">
        <w:t>en cas d’abandon d’études), tout</w:t>
      </w:r>
      <w:r w:rsidR="009C3909">
        <w:t xml:space="preserve"> en s’assurant de ne pas débourser d’imp</w:t>
      </w:r>
      <w:r w:rsidR="00323895">
        <w:t>ôt</w:t>
      </w:r>
      <w:r w:rsidR="00E60642">
        <w:t xml:space="preserve"> (revenu imposable inférieur aux crédits personnels) </w:t>
      </w:r>
      <w:r w:rsidR="00323895">
        <w:t xml:space="preserve"> et </w:t>
      </w:r>
      <w:r w:rsidR="00E60642">
        <w:t xml:space="preserve">de </w:t>
      </w:r>
      <w:r w:rsidR="008111CA">
        <w:t>pouvoir investir l’excédent de liquidité dans le CÉLI (disponible à compter de 18 ans).</w:t>
      </w:r>
      <w:r w:rsidR="00E60642">
        <w:t xml:space="preserve"> </w:t>
      </w:r>
    </w:p>
    <w:p w14:paraId="435F029C" w14:textId="77777777" w:rsidR="00575A07" w:rsidRDefault="00575A07" w:rsidP="00EA7B82">
      <w:pPr>
        <w:jc w:val="both"/>
      </w:pPr>
    </w:p>
    <w:p w14:paraId="76A426D5" w14:textId="078388FA" w:rsidR="00D16FEC" w:rsidRDefault="00C8497D" w:rsidP="00EA7B82">
      <w:pPr>
        <w:jc w:val="both"/>
      </w:pPr>
      <w:r>
        <w:t>Dans</w:t>
      </w:r>
      <w:r w:rsidR="00D4166B">
        <w:t xml:space="preserve"> les derniers retranchements des facteurs d'optimisation, nous retrouvons le concept de l'opportunité non renouvelée. Si le contribuable souhaite </w:t>
      </w:r>
      <w:r w:rsidR="006C506F">
        <w:t>tirer</w:t>
      </w:r>
      <w:r w:rsidR="00D4166B">
        <w:t xml:space="preserve"> avantage de tous les abris fiscaux </w:t>
      </w:r>
      <w:r w:rsidR="00F112F8">
        <w:t>et tendre vers les limites que les régimes prescrivent, le contribuable doit tenir compte de leurs échéances. À cet égard, les opportunités de cotiser au</w:t>
      </w:r>
      <w:r w:rsidR="00D16FEC">
        <w:t xml:space="preserve"> CÉLI </w:t>
      </w:r>
      <w:r w:rsidR="00F112F8">
        <w:t>ne sont pas soumis</w:t>
      </w:r>
      <w:r w:rsidR="00FF4120">
        <w:t>es</w:t>
      </w:r>
      <w:r w:rsidR="00F112F8">
        <w:t xml:space="preserve"> à une échéance, </w:t>
      </w:r>
      <w:r w:rsidR="00D16FEC">
        <w:t xml:space="preserve">le REÉR </w:t>
      </w:r>
      <w:r w:rsidR="00F112F8">
        <w:t xml:space="preserve"> permettra au cotisant d'y verser une somme </w:t>
      </w:r>
      <w:r w:rsidR="00D16FEC">
        <w:t xml:space="preserve">jusqu'à </w:t>
      </w:r>
      <w:r w:rsidR="00F112F8">
        <w:t xml:space="preserve">l'âge de </w:t>
      </w:r>
      <w:r w:rsidR="00D16FEC">
        <w:t xml:space="preserve">71 ans </w:t>
      </w:r>
      <w:r w:rsidR="00FF4120">
        <w:t xml:space="preserve">alors que </w:t>
      </w:r>
      <w:r w:rsidR="00D16FEC">
        <w:t>l</w:t>
      </w:r>
      <w:r w:rsidR="00F112F8">
        <w:t>'opportunité d</w:t>
      </w:r>
      <w:r w:rsidR="00D16FEC">
        <w:t xml:space="preserve">e </w:t>
      </w:r>
      <w:r w:rsidR="00F112F8">
        <w:t xml:space="preserve">cotiser au </w:t>
      </w:r>
      <w:r w:rsidR="00D16FEC">
        <w:t xml:space="preserve">REÉÉ </w:t>
      </w:r>
      <w:r w:rsidR="00681B5A">
        <w:t>s'envolera</w:t>
      </w:r>
      <w:r w:rsidR="00FF4120">
        <w:t xml:space="preserve"> </w:t>
      </w:r>
      <w:r w:rsidR="00D16FEC">
        <w:t xml:space="preserve">au moment où </w:t>
      </w:r>
      <w:r w:rsidR="00FF4120">
        <w:t>le plus jeune</w:t>
      </w:r>
      <w:r w:rsidR="00D16FEC">
        <w:t xml:space="preserve"> enfant aura atteint l'âge de 17 ans</w:t>
      </w:r>
      <w:r w:rsidR="00FF4120">
        <w:t xml:space="preserve"> (15 ans, si les cotisations ne totalisent pas un minimum de 2 000 $ à cet âge)</w:t>
      </w:r>
      <w:r w:rsidR="00D16FEC">
        <w:t>.</w:t>
      </w:r>
      <w:r w:rsidR="00FF4120">
        <w:t xml:space="preserve"> En d'autres termes, le contribuable aura toujours l'occasion d'effectuer un rattrapage de cotisations au REÉR, alors que tout sera terminé dans l'année où l'enfant célèbrera son 15</w:t>
      </w:r>
      <w:r w:rsidR="00FF4120" w:rsidRPr="00FF4120">
        <w:rPr>
          <w:vertAlign w:val="superscript"/>
        </w:rPr>
        <w:t>e</w:t>
      </w:r>
      <w:r w:rsidR="00FF4120">
        <w:t xml:space="preserve"> anniversaire</w:t>
      </w:r>
      <w:r w:rsidR="005C24BE">
        <w:t xml:space="preserve"> dans le cas du REÉÉ</w:t>
      </w:r>
      <w:r w:rsidR="00FF4120">
        <w:t>.</w:t>
      </w:r>
      <w:r w:rsidR="001978D7">
        <w:t xml:space="preserve"> </w:t>
      </w:r>
    </w:p>
    <w:p w14:paraId="2F5A12B9" w14:textId="77777777" w:rsidR="001978D7" w:rsidRDefault="001978D7" w:rsidP="00EA7B82">
      <w:pPr>
        <w:jc w:val="both"/>
      </w:pPr>
    </w:p>
    <w:p w14:paraId="179ABE50" w14:textId="241D64E5" w:rsidR="001978D7" w:rsidRDefault="001978D7" w:rsidP="00EA7B82">
      <w:pPr>
        <w:jc w:val="both"/>
      </w:pPr>
      <w:r>
        <w:t>Un tout nouveau REÉÉ pour mon ado de 15 ans</w:t>
      </w:r>
      <w:r w:rsidR="00681B5A">
        <w:t xml:space="preserve"> </w:t>
      </w:r>
      <w:r>
        <w:t>est possible (</w:t>
      </w:r>
      <w:r w:rsidR="00681B5A">
        <w:t xml:space="preserve">mentionnons que c'est aussi </w:t>
      </w:r>
      <w:r>
        <w:t xml:space="preserve">très payant), mais il faut verser au moins 2 000 $ avant le 31 décembre pour donner droit à des cotisations annuelles de 5 000 $ pour les deux années subséquentes (16 ans et 17 ans). Sur cette courte période, il convient même d'envisager </w:t>
      </w:r>
      <w:r>
        <w:lastRenderedPageBreak/>
        <w:t>l'emprunt (si le taux est raisonnable) puisque vous pourrez rembourser le capital dès que votre ado sera au C</w:t>
      </w:r>
      <w:r w:rsidR="00305F4B">
        <w:t>É</w:t>
      </w:r>
      <w:r>
        <w:t>GEP.</w:t>
      </w:r>
      <w:r w:rsidR="000539D9">
        <w:t xml:space="preserve"> Cette approche tardive, de la dernière minute, est aussi une approche qui devrait éliminer complètement le risque de souscrire à un REÉÉ pour un enfant qui n’entreprendra </w:t>
      </w:r>
      <w:r w:rsidR="00B55B1C">
        <w:t>pas d</w:t>
      </w:r>
      <w:r w:rsidR="000539D9">
        <w:t xml:space="preserve">’études post-secondaires. À15 ans, votre ado a complété sa quatrième année de secondaire, ce qui devrait dresser un portrait assez clair sur ses intentions académiques futures. </w:t>
      </w:r>
      <w:r w:rsidR="00AF4D24">
        <w:t xml:space="preserve">À ce stade-ci, si l’avenir </w:t>
      </w:r>
      <w:r w:rsidR="005151B6">
        <w:t xml:space="preserve">académique de votre ado </w:t>
      </w:r>
      <w:r w:rsidR="00AF4D24">
        <w:t>est toujours incertain</w:t>
      </w:r>
      <w:r w:rsidR="005151B6">
        <w:t>, nous convenons que le REÉÉ ne serait pas la meilleure avenue pour votre épargne.</w:t>
      </w:r>
    </w:p>
    <w:p w14:paraId="07EA9CA4" w14:textId="77777777" w:rsidR="004D1D63" w:rsidRDefault="004D1D63" w:rsidP="00686EFA"/>
    <w:p w14:paraId="6DE4EB6F" w14:textId="5B989720" w:rsidR="00C10B20" w:rsidRDefault="006A7D5C" w:rsidP="00686EFA">
      <w:r>
        <w:t>Comparons deux cas où l'utilisation du REÉÉ n'aura pas donné les mêmes fruits malgré les mêmes disponibilités financières.</w:t>
      </w:r>
    </w:p>
    <w:p w14:paraId="751EB99F" w14:textId="09A679A2" w:rsidR="00177AC7" w:rsidRDefault="005E593A" w:rsidP="00686EFA">
      <w:r w:rsidRPr="00322911">
        <w:rPr>
          <w:noProof/>
          <w:lang w:eastAsia="fr-FR"/>
        </w:rPr>
        <w:drawing>
          <wp:anchor distT="0" distB="0" distL="114300" distR="114300" simplePos="0" relativeHeight="252688384" behindDoc="0" locked="0" layoutInCell="1" allowOverlap="1" wp14:anchorId="71B0C71E" wp14:editId="5294E55C">
            <wp:simplePos x="0" y="0"/>
            <wp:positionH relativeFrom="column">
              <wp:posOffset>-800100</wp:posOffset>
            </wp:positionH>
            <wp:positionV relativeFrom="paragraph">
              <wp:posOffset>-31115</wp:posOffset>
            </wp:positionV>
            <wp:extent cx="685800" cy="779145"/>
            <wp:effectExtent l="0" t="0" r="0" b="8255"/>
            <wp:wrapNone/>
            <wp:docPr id="529" name="Image 529"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3AED2FC" w14:textId="77777777" w:rsidR="005E593A" w:rsidRDefault="005E593A"/>
    <w:p w14:paraId="5DDC0689" w14:textId="3901C173" w:rsidR="00BB0D30" w:rsidRDefault="006A7D5C">
      <w:r>
        <w:t xml:space="preserve">LE CAS </w:t>
      </w:r>
      <w:r w:rsidR="00537F73">
        <w:t xml:space="preserve">de </w:t>
      </w:r>
      <w:r w:rsidRPr="006A7D5C">
        <w:rPr>
          <w:color w:val="FF0000"/>
        </w:rPr>
        <w:t>Jean Faucher</w:t>
      </w:r>
      <w:r>
        <w:t xml:space="preserve"> et </w:t>
      </w:r>
      <w:r w:rsidR="001727BA">
        <w:t xml:space="preserve">de </w:t>
      </w:r>
      <w:r>
        <w:t>sa fille Jeanne</w:t>
      </w:r>
    </w:p>
    <w:p w14:paraId="39258892" w14:textId="77777777" w:rsidR="008F649B" w:rsidRDefault="008F649B"/>
    <w:p w14:paraId="735E979B" w14:textId="77777777" w:rsidR="008F649B" w:rsidRDefault="008F649B" w:rsidP="00B2789E">
      <w:pPr>
        <w:jc w:val="both"/>
      </w:pPr>
      <w:r>
        <w:rPr>
          <w:noProof/>
          <w:lang w:eastAsia="fr-FR"/>
        </w:rPr>
        <mc:AlternateContent>
          <mc:Choice Requires="wps">
            <w:drawing>
              <wp:anchor distT="0" distB="0" distL="114300" distR="114300" simplePos="0" relativeHeight="252692480" behindDoc="0" locked="0" layoutInCell="1" allowOverlap="1" wp14:anchorId="0CBDE551" wp14:editId="78C1E3A1">
                <wp:simplePos x="0" y="0"/>
                <wp:positionH relativeFrom="column">
                  <wp:posOffset>-342900</wp:posOffset>
                </wp:positionH>
                <wp:positionV relativeFrom="paragraph">
                  <wp:posOffset>135890</wp:posOffset>
                </wp:positionV>
                <wp:extent cx="571500" cy="571500"/>
                <wp:effectExtent l="25400" t="25400" r="38100" b="38100"/>
                <wp:wrapNone/>
                <wp:docPr id="533" name="Ellipse 533"/>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FFFF00"/>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6FF52426" w14:textId="7F6DFF9D" w:rsidR="00573C95" w:rsidRPr="004F4085" w:rsidRDefault="00573C95" w:rsidP="008F649B">
                            <w:pPr>
                              <w:jc w:val="center"/>
                            </w:pPr>
                            <w:r>
                              <w:t>1</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33" o:spid="_x0000_s1347" style="position:absolute;left:0;text-align:left;margin-left:-26.95pt;margin-top:10.7pt;width:45pt;height:45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" fillcolor="yellow" strokecolor="black [3213]" strokeweight="3pt">
                <v:textbox>
                  <w:txbxContent>
                    <w:p w14:paraId="6FF52426" w14:textId="7F6DFF9D" w:rsidR="001501D6" w:rsidRPr="004F4085" w:rsidRDefault="001501D6" w:rsidP="008F649B">
                      <w:pPr>
                        <w:jc w:val="center"/>
                      </w:pPr>
                      <w:r>
                        <w:t>1</w:t>
                      </w:r>
                      <w:r w:rsidRPr="004F4085">
                        <w:t xml:space="preserve"> </w:t>
                      </w:r>
                    </w:p>
                  </w:txbxContent>
                </v:textbox>
              </v:oval>
            </w:pict>
          </mc:Fallback>
        </mc:AlternateContent>
      </w:r>
      <w:r>
        <w:tab/>
      </w:r>
    </w:p>
    <w:p w14:paraId="41468B41" w14:textId="24D36F15" w:rsidR="008F649B" w:rsidRDefault="008F649B" w:rsidP="00B2789E">
      <w:pPr>
        <w:jc w:val="both"/>
      </w:pPr>
      <w:r>
        <w:tab/>
        <w:t>Jusqu'à aujourd'hui, Jean n'a jamais réussi à épargner d'</w:t>
      </w:r>
      <w:r w:rsidR="00B55B1C">
        <w:t>autres</w:t>
      </w:r>
      <w:r>
        <w:t xml:space="preserve"> </w:t>
      </w:r>
      <w:r w:rsidR="00A0363A">
        <w:t>montants</w:t>
      </w:r>
      <w:r>
        <w:t xml:space="preserve"> que ce</w:t>
      </w:r>
      <w:r w:rsidR="00A0363A">
        <w:t>ux</w:t>
      </w:r>
      <w:r>
        <w:t xml:space="preserve"> qui lui étaient </w:t>
      </w:r>
      <w:r w:rsidR="00A0363A">
        <w:t>prélevés</w:t>
      </w:r>
      <w:r>
        <w:t xml:space="preserve"> </w:t>
      </w:r>
      <w:r>
        <w:tab/>
        <w:t xml:space="preserve">par le RPACD </w:t>
      </w:r>
      <w:r w:rsidR="00A0363A">
        <w:t>qu'il possède auprès de</w:t>
      </w:r>
      <w:r>
        <w:t xml:space="preserve"> son employeur. </w:t>
      </w:r>
    </w:p>
    <w:p w14:paraId="54A889DE" w14:textId="77777777" w:rsidR="008F649B" w:rsidRDefault="008F649B"/>
    <w:p w14:paraId="60BDE249" w14:textId="642BA0C4" w:rsidR="008F649B" w:rsidRDefault="008F649B" w:rsidP="00B2789E">
      <w:pPr>
        <w:jc w:val="both"/>
      </w:pPr>
      <w:r>
        <w:rPr>
          <w:noProof/>
          <w:lang w:eastAsia="fr-FR"/>
        </w:rPr>
        <mc:AlternateContent>
          <mc:Choice Requires="wps">
            <w:drawing>
              <wp:anchor distT="0" distB="0" distL="114300" distR="114300" simplePos="0" relativeHeight="252694528" behindDoc="0" locked="0" layoutInCell="1" allowOverlap="1" wp14:anchorId="152B142C" wp14:editId="7C32AA86">
                <wp:simplePos x="0" y="0"/>
                <wp:positionH relativeFrom="column">
                  <wp:posOffset>-342900</wp:posOffset>
                </wp:positionH>
                <wp:positionV relativeFrom="paragraph">
                  <wp:posOffset>74295</wp:posOffset>
                </wp:positionV>
                <wp:extent cx="571500" cy="571500"/>
                <wp:effectExtent l="25400" t="25400" r="38100" b="38100"/>
                <wp:wrapNone/>
                <wp:docPr id="534" name="Ellipse 534"/>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FFFF00"/>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BE05220" w14:textId="1E58062A" w:rsidR="00573C95" w:rsidRPr="004F4085" w:rsidRDefault="00573C95" w:rsidP="008F649B">
                            <w:pPr>
                              <w:jc w:val="center"/>
                            </w:pPr>
                            <w:r>
                              <w:t>2</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34" o:spid="_x0000_s1348" style="position:absolute;left:0;text-align:left;margin-left:-26.95pt;margin-top:5.85pt;width:45pt;height:45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" fillcolor="yellow" strokecolor="black [3213]" strokeweight="3pt">
                <v:textbox>
                  <w:txbxContent>
                    <w:p w14:paraId="7BE05220" w14:textId="1E58062A" w:rsidR="001501D6" w:rsidRPr="004F4085" w:rsidRDefault="001501D6" w:rsidP="008F649B">
                      <w:pPr>
                        <w:jc w:val="center"/>
                      </w:pPr>
                      <w:r>
                        <w:t>2</w:t>
                      </w:r>
                      <w:r w:rsidRPr="004F4085">
                        <w:t xml:space="preserve"> </w:t>
                      </w:r>
                    </w:p>
                  </w:txbxContent>
                </v:textbox>
              </v:oval>
            </w:pict>
          </mc:Fallback>
        </mc:AlternateContent>
      </w:r>
    </w:p>
    <w:p w14:paraId="24047B4C" w14:textId="3035875D" w:rsidR="00B2789E" w:rsidRDefault="008F649B" w:rsidP="00B2789E">
      <w:pPr>
        <w:jc w:val="both"/>
      </w:pPr>
      <w:r>
        <w:tab/>
        <w:t xml:space="preserve">Il y a 5 ans, alors que Jeanne était âgée de 13 ans, Jean a reçu un héritage de 15 000 $ qu'il a investi </w:t>
      </w:r>
      <w:r>
        <w:tab/>
        <w:t xml:space="preserve">immédiatement et intégralement dans un REÉÉ dont Jeanne est la bénéficiaire. </w:t>
      </w:r>
      <w:r w:rsidR="00A0363A">
        <w:t xml:space="preserve">Le rendement annuel a </w:t>
      </w:r>
      <w:r w:rsidR="00A0363A">
        <w:tab/>
        <w:t>été de 5 %.</w:t>
      </w:r>
    </w:p>
    <w:p w14:paraId="651A62CC" w14:textId="77777777" w:rsidR="00B2789E" w:rsidRDefault="00B2789E"/>
    <w:p w14:paraId="57C2706F" w14:textId="77777777" w:rsidR="00B2789E" w:rsidRDefault="00B2789E">
      <w:r>
        <w:rPr>
          <w:noProof/>
          <w:lang w:eastAsia="fr-FR"/>
        </w:rPr>
        <mc:AlternateContent>
          <mc:Choice Requires="wps">
            <w:drawing>
              <wp:anchor distT="0" distB="0" distL="114300" distR="114300" simplePos="0" relativeHeight="252696576" behindDoc="0" locked="0" layoutInCell="1" allowOverlap="1" wp14:anchorId="71FA29AB" wp14:editId="2852BCB1">
                <wp:simplePos x="0" y="0"/>
                <wp:positionH relativeFrom="column">
                  <wp:posOffset>-342900</wp:posOffset>
                </wp:positionH>
                <wp:positionV relativeFrom="paragraph">
                  <wp:posOffset>12700</wp:posOffset>
                </wp:positionV>
                <wp:extent cx="571500" cy="571500"/>
                <wp:effectExtent l="25400" t="25400" r="38100" b="38100"/>
                <wp:wrapNone/>
                <wp:docPr id="535" name="Ellipse 535"/>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FFFF00"/>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6BFCAAE9" w14:textId="524AB3C9" w:rsidR="00573C95" w:rsidRPr="004F4085" w:rsidRDefault="00573C95" w:rsidP="00B2789E">
                            <w:pPr>
                              <w:jc w:val="center"/>
                            </w:pPr>
                            <w:r>
                              <w:t>3</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35" o:spid="_x0000_s1349" style="position:absolute;margin-left:-26.95pt;margin-top:1pt;width:45pt;height:45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" fillcolor="yellow" strokecolor="black [3213]" strokeweight="3pt">
                <v:textbox>
                  <w:txbxContent>
                    <w:p w14:paraId="6BFCAAE9" w14:textId="524AB3C9" w:rsidR="001501D6" w:rsidRPr="004F4085" w:rsidRDefault="001501D6" w:rsidP="00B2789E">
                      <w:pPr>
                        <w:jc w:val="center"/>
                      </w:pPr>
                      <w:r>
                        <w:t>3</w:t>
                      </w:r>
                      <w:r w:rsidRPr="004F4085">
                        <w:t xml:space="preserve"> </w:t>
                      </w:r>
                    </w:p>
                  </w:txbxContent>
                </v:textbox>
              </v:oval>
            </w:pict>
          </mc:Fallback>
        </mc:AlternateContent>
      </w:r>
      <w:r>
        <w:tab/>
      </w:r>
    </w:p>
    <w:p w14:paraId="5796A573" w14:textId="77777777" w:rsidR="00B2789E" w:rsidRDefault="00B2789E" w:rsidP="00B2789E">
      <w:pPr>
        <w:jc w:val="both"/>
      </w:pPr>
      <w:r>
        <w:tab/>
        <w:t xml:space="preserve">Jeanne est une jeune fille très travaillante avec de bonnes aptitudes pour l'épargne. Le solde de </w:t>
      </w:r>
      <w:r>
        <w:tab/>
        <w:t xml:space="preserve">son </w:t>
      </w:r>
      <w:r>
        <w:tab/>
        <w:t>compte bancaire était au 31 décembre:</w:t>
      </w:r>
    </w:p>
    <w:p w14:paraId="035CF7AE" w14:textId="77777777" w:rsidR="00B2789E" w:rsidRDefault="00B2789E">
      <w:r>
        <w:tab/>
      </w:r>
    </w:p>
    <w:p w14:paraId="5ACF9011" w14:textId="7B3D3FB0" w:rsidR="00D719F9" w:rsidRDefault="00D719F9" w:rsidP="006C34CF">
      <w:pPr>
        <w:pStyle w:val="Paragraphedeliste"/>
        <w:numPr>
          <w:ilvl w:val="0"/>
          <w:numId w:val="67"/>
        </w:numPr>
      </w:pPr>
      <w:r>
        <w:t>l'année de ses 16 ans</w:t>
      </w:r>
      <w:r>
        <w:tab/>
      </w:r>
      <w:r>
        <w:tab/>
        <w:t>2 900 $</w:t>
      </w:r>
    </w:p>
    <w:p w14:paraId="67D6CD51" w14:textId="77C12AB6" w:rsidR="00D719F9" w:rsidRDefault="00D719F9" w:rsidP="006C34CF">
      <w:pPr>
        <w:pStyle w:val="Paragraphedeliste"/>
        <w:numPr>
          <w:ilvl w:val="0"/>
          <w:numId w:val="67"/>
        </w:numPr>
      </w:pPr>
      <w:r>
        <w:t>l'année de ses 17 ans</w:t>
      </w:r>
      <w:r>
        <w:tab/>
      </w:r>
      <w:r>
        <w:tab/>
        <w:t xml:space="preserve">6 600 $ </w:t>
      </w:r>
    </w:p>
    <w:p w14:paraId="6647BDAA" w14:textId="77777777" w:rsidR="00475CB2" w:rsidRDefault="00D719F9" w:rsidP="006C34CF">
      <w:pPr>
        <w:pStyle w:val="Paragraphedeliste"/>
        <w:numPr>
          <w:ilvl w:val="0"/>
          <w:numId w:val="67"/>
        </w:numPr>
      </w:pPr>
      <w:r>
        <w:t>l'année de ses 18 ans</w:t>
      </w:r>
      <w:r>
        <w:tab/>
      </w:r>
      <w:r>
        <w:tab/>
        <w:t>7 800 $</w:t>
      </w:r>
    </w:p>
    <w:p w14:paraId="28F0EF10" w14:textId="5F2996E5" w:rsidR="00A0363A" w:rsidRDefault="00A0363A" w:rsidP="009832E9">
      <w:pPr>
        <w:pStyle w:val="Paragraphedeliste"/>
        <w:ind w:left="1776"/>
      </w:pPr>
    </w:p>
    <w:p w14:paraId="598EC6C7" w14:textId="77777777" w:rsidR="009832E9" w:rsidRDefault="009832E9" w:rsidP="009832E9">
      <w:pPr>
        <w:pStyle w:val="Paragraphedeliste"/>
        <w:ind w:left="1776"/>
      </w:pPr>
    </w:p>
    <w:p w14:paraId="4590EF9D" w14:textId="1096B60F" w:rsidR="00A0363A" w:rsidRDefault="00A0363A" w:rsidP="00A0363A">
      <w:r>
        <w:lastRenderedPageBreak/>
        <w:t>Le résultat de l'épargne en date d'aujourd'hui (REÉÉ)</w:t>
      </w:r>
    </w:p>
    <w:p w14:paraId="556C963C" w14:textId="77777777" w:rsidR="009832E9" w:rsidRDefault="009832E9" w:rsidP="00A0363A"/>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9"/>
        <w:gridCol w:w="2629"/>
        <w:gridCol w:w="3072"/>
        <w:gridCol w:w="2835"/>
      </w:tblGrid>
      <w:tr w:rsidR="00A0363A" w14:paraId="5582B96F" w14:textId="77777777" w:rsidTr="00E570EC">
        <w:tc>
          <w:tcPr>
            <w:tcW w:w="2629" w:type="dxa"/>
            <w:shd w:val="clear" w:color="auto" w:fill="000000"/>
          </w:tcPr>
          <w:p w14:paraId="6193BAD0" w14:textId="00D30491" w:rsidR="00A0363A" w:rsidRDefault="00A0363A" w:rsidP="00A0363A">
            <w:pPr>
              <w:jc w:val="center"/>
            </w:pPr>
            <w:r>
              <w:t>Capital investi</w:t>
            </w:r>
          </w:p>
        </w:tc>
        <w:tc>
          <w:tcPr>
            <w:tcW w:w="2629" w:type="dxa"/>
            <w:shd w:val="clear" w:color="auto" w:fill="000000"/>
          </w:tcPr>
          <w:p w14:paraId="7B729DB1" w14:textId="7D7C8FFF" w:rsidR="00A0363A" w:rsidRDefault="00A0363A" w:rsidP="00A0363A">
            <w:pPr>
              <w:jc w:val="center"/>
            </w:pPr>
            <w:r>
              <w:t>Subventions</w:t>
            </w:r>
          </w:p>
        </w:tc>
        <w:tc>
          <w:tcPr>
            <w:tcW w:w="3072" w:type="dxa"/>
            <w:shd w:val="clear" w:color="auto" w:fill="000000"/>
          </w:tcPr>
          <w:p w14:paraId="77189139" w14:textId="40A17784" w:rsidR="00A0363A" w:rsidRDefault="00A0363A" w:rsidP="00A0363A">
            <w:pPr>
              <w:jc w:val="center"/>
            </w:pPr>
            <w:r>
              <w:t>Revenus de placement</w:t>
            </w:r>
          </w:p>
        </w:tc>
        <w:tc>
          <w:tcPr>
            <w:tcW w:w="2835" w:type="dxa"/>
            <w:shd w:val="clear" w:color="auto" w:fill="000000"/>
          </w:tcPr>
          <w:p w14:paraId="048836B7" w14:textId="0D72D620" w:rsidR="00A0363A" w:rsidRDefault="00A0363A" w:rsidP="00A0363A">
            <w:pPr>
              <w:jc w:val="center"/>
            </w:pPr>
            <w:r>
              <w:t>Solde aujourd'hui</w:t>
            </w:r>
          </w:p>
        </w:tc>
      </w:tr>
      <w:tr w:rsidR="00A0363A" w14:paraId="33F15BEE" w14:textId="77777777" w:rsidTr="00E570EC">
        <w:tc>
          <w:tcPr>
            <w:tcW w:w="2629" w:type="dxa"/>
            <w:shd w:val="clear" w:color="auto" w:fill="E16B6F"/>
          </w:tcPr>
          <w:p w14:paraId="1310C1F3" w14:textId="77777777" w:rsidR="00A0363A" w:rsidRDefault="00A0363A" w:rsidP="00A0363A">
            <w:pPr>
              <w:jc w:val="center"/>
            </w:pPr>
          </w:p>
        </w:tc>
        <w:tc>
          <w:tcPr>
            <w:tcW w:w="2629" w:type="dxa"/>
            <w:shd w:val="clear" w:color="auto" w:fill="E16B6F"/>
          </w:tcPr>
          <w:p w14:paraId="04ED4CF7" w14:textId="77777777" w:rsidR="00A0363A" w:rsidRDefault="00A0363A" w:rsidP="00A0363A">
            <w:pPr>
              <w:jc w:val="center"/>
            </w:pPr>
          </w:p>
        </w:tc>
        <w:tc>
          <w:tcPr>
            <w:tcW w:w="3072" w:type="dxa"/>
            <w:shd w:val="clear" w:color="auto" w:fill="E16B6F"/>
          </w:tcPr>
          <w:p w14:paraId="1EAE505C" w14:textId="77777777" w:rsidR="00A0363A" w:rsidRDefault="00A0363A" w:rsidP="00A0363A">
            <w:pPr>
              <w:jc w:val="center"/>
            </w:pPr>
          </w:p>
        </w:tc>
        <w:tc>
          <w:tcPr>
            <w:tcW w:w="2835" w:type="dxa"/>
            <w:shd w:val="clear" w:color="auto" w:fill="E16B6F"/>
          </w:tcPr>
          <w:p w14:paraId="204DAED8" w14:textId="77777777" w:rsidR="00A0363A" w:rsidRDefault="00A0363A" w:rsidP="00A0363A">
            <w:pPr>
              <w:jc w:val="center"/>
            </w:pPr>
          </w:p>
        </w:tc>
      </w:tr>
      <w:tr w:rsidR="00A0363A" w14:paraId="2010D33C" w14:textId="77777777" w:rsidTr="00E570EC">
        <w:tc>
          <w:tcPr>
            <w:tcW w:w="2629" w:type="dxa"/>
            <w:shd w:val="clear" w:color="auto" w:fill="E16B6F"/>
          </w:tcPr>
          <w:p w14:paraId="4D6097F2" w14:textId="3A62DB1C" w:rsidR="00A0363A" w:rsidRDefault="00A0363A" w:rsidP="00A0363A">
            <w:pPr>
              <w:jc w:val="center"/>
            </w:pPr>
            <w:r>
              <w:t>15 000  $</w:t>
            </w:r>
          </w:p>
        </w:tc>
        <w:tc>
          <w:tcPr>
            <w:tcW w:w="2629" w:type="dxa"/>
            <w:shd w:val="clear" w:color="auto" w:fill="E16B6F"/>
          </w:tcPr>
          <w:p w14:paraId="0DB1FAA1" w14:textId="1D7E29F3" w:rsidR="00A0363A" w:rsidRDefault="006A0016" w:rsidP="006A0016">
            <w:pPr>
              <w:jc w:val="center"/>
            </w:pPr>
            <w:r>
              <w:t>750</w:t>
            </w:r>
            <w:r w:rsidR="00A0363A">
              <w:t xml:space="preserve"> $</w:t>
            </w:r>
          </w:p>
        </w:tc>
        <w:tc>
          <w:tcPr>
            <w:tcW w:w="3072" w:type="dxa"/>
            <w:shd w:val="clear" w:color="auto" w:fill="E16B6F"/>
          </w:tcPr>
          <w:p w14:paraId="7FE8B28C" w14:textId="4AD1F9F7" w:rsidR="00A0363A" w:rsidRDefault="00437EAE" w:rsidP="006A0016">
            <w:pPr>
              <w:jc w:val="center"/>
            </w:pPr>
            <w:r>
              <w:t xml:space="preserve">4 </w:t>
            </w:r>
            <w:r w:rsidR="006A0016">
              <w:t>351</w:t>
            </w:r>
            <w:r>
              <w:t xml:space="preserve"> $</w:t>
            </w:r>
          </w:p>
        </w:tc>
        <w:tc>
          <w:tcPr>
            <w:tcW w:w="2835" w:type="dxa"/>
            <w:shd w:val="clear" w:color="auto" w:fill="E16B6F"/>
          </w:tcPr>
          <w:p w14:paraId="1D16B0AE" w14:textId="350FA929" w:rsidR="00A0363A" w:rsidRDefault="00437EAE" w:rsidP="006A0016">
            <w:pPr>
              <w:jc w:val="center"/>
            </w:pPr>
            <w:r>
              <w:t>2</w:t>
            </w:r>
            <w:r w:rsidR="006A0016">
              <w:t>0 101</w:t>
            </w:r>
            <w:r>
              <w:t xml:space="preserve"> $</w:t>
            </w:r>
          </w:p>
        </w:tc>
      </w:tr>
    </w:tbl>
    <w:p w14:paraId="1EAC1F90" w14:textId="4833C723" w:rsidR="00BB0D30" w:rsidRDefault="00BB0D30" w:rsidP="009832E9"/>
    <w:p w14:paraId="6C1CAD88" w14:textId="77777777" w:rsidR="009832E9" w:rsidRDefault="009832E9" w:rsidP="009832E9"/>
    <w:p w14:paraId="233A3032" w14:textId="77777777" w:rsidR="009832E9" w:rsidRDefault="009832E9" w:rsidP="009832E9"/>
    <w:p w14:paraId="7BBF7D5F" w14:textId="13672B80" w:rsidR="00FA70F8" w:rsidRDefault="005E593A">
      <w:r>
        <w:rPr>
          <w:noProof/>
          <w:lang w:eastAsia="fr-FR"/>
        </w:rPr>
        <w:drawing>
          <wp:anchor distT="0" distB="0" distL="114300" distR="114300" simplePos="0" relativeHeight="252690432" behindDoc="0" locked="0" layoutInCell="1" allowOverlap="1" wp14:anchorId="513CD259" wp14:editId="4613260B">
            <wp:simplePos x="0" y="0"/>
            <wp:positionH relativeFrom="column">
              <wp:posOffset>-643719</wp:posOffset>
            </wp:positionH>
            <wp:positionV relativeFrom="paragraph">
              <wp:posOffset>-295557</wp:posOffset>
            </wp:positionV>
            <wp:extent cx="383540" cy="723265"/>
            <wp:effectExtent l="177800" t="50800" r="99060" b="64135"/>
            <wp:wrapNone/>
            <wp:docPr id="532" name="Imag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11">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A7D5C">
        <w:t xml:space="preserve">Le CAS </w:t>
      </w:r>
      <w:r w:rsidR="00537F73">
        <w:t xml:space="preserve">de </w:t>
      </w:r>
      <w:r w:rsidR="006A7D5C" w:rsidRPr="006A7D5C">
        <w:rPr>
          <w:color w:val="008000"/>
        </w:rPr>
        <w:t>Marie Richer</w:t>
      </w:r>
      <w:r w:rsidR="006A7D5C">
        <w:t xml:space="preserve"> et </w:t>
      </w:r>
      <w:r w:rsidR="001727BA">
        <w:t xml:space="preserve">de </w:t>
      </w:r>
      <w:r w:rsidR="006A7D5C">
        <w:t>sa fille Charlotte</w:t>
      </w:r>
    </w:p>
    <w:p w14:paraId="47A3312A" w14:textId="77777777" w:rsidR="00FA70F8" w:rsidRDefault="00FA70F8"/>
    <w:p w14:paraId="1425BD5C" w14:textId="77777777" w:rsidR="00FA70F8" w:rsidRDefault="00FA70F8" w:rsidP="00FA70F8">
      <w:pPr>
        <w:jc w:val="both"/>
      </w:pPr>
      <w:r>
        <w:rPr>
          <w:noProof/>
          <w:lang w:eastAsia="fr-FR"/>
        </w:rPr>
        <mc:AlternateContent>
          <mc:Choice Requires="wps">
            <w:drawing>
              <wp:anchor distT="0" distB="0" distL="114300" distR="114300" simplePos="0" relativeHeight="252698624" behindDoc="0" locked="0" layoutInCell="1" allowOverlap="1" wp14:anchorId="7246FC13" wp14:editId="34B4F5ED">
                <wp:simplePos x="0" y="0"/>
                <wp:positionH relativeFrom="column">
                  <wp:posOffset>-342900</wp:posOffset>
                </wp:positionH>
                <wp:positionV relativeFrom="paragraph">
                  <wp:posOffset>74295</wp:posOffset>
                </wp:positionV>
                <wp:extent cx="571500" cy="571500"/>
                <wp:effectExtent l="25400" t="25400" r="38100" b="38100"/>
                <wp:wrapNone/>
                <wp:docPr id="536" name="Ellipse 536"/>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1335EAB8" w14:textId="77777777" w:rsidR="00573C95" w:rsidRPr="004F4085" w:rsidRDefault="00573C95" w:rsidP="00FA70F8">
                            <w:pPr>
                              <w:jc w:val="center"/>
                            </w:pPr>
                            <w:r>
                              <w:t>1</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36" o:spid="_x0000_s1350" style="position:absolute;left:0;text-align:left;margin-left:-26.95pt;margin-top:5.85pt;width:45pt;height:45pt;z-index:2526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" fillcolor="green" strokecolor="black [3213]" strokeweight="3pt">
                <v:textbox>
                  <w:txbxContent>
                    <w:p w14:paraId="1335EAB8" w14:textId="77777777" w:rsidR="001501D6" w:rsidRPr="004F4085" w:rsidRDefault="001501D6" w:rsidP="00FA70F8">
                      <w:pPr>
                        <w:jc w:val="center"/>
                      </w:pPr>
                      <w:r>
                        <w:t>1</w:t>
                      </w:r>
                      <w:r w:rsidRPr="004F4085">
                        <w:t xml:space="preserve"> </w:t>
                      </w:r>
                    </w:p>
                  </w:txbxContent>
                </v:textbox>
              </v:oval>
            </w:pict>
          </mc:Fallback>
        </mc:AlternateContent>
      </w:r>
      <w:r>
        <w:tab/>
      </w:r>
    </w:p>
    <w:p w14:paraId="06DE2514" w14:textId="253B1A48" w:rsidR="00FA70F8" w:rsidRDefault="00FA70F8" w:rsidP="00FA70F8">
      <w:pPr>
        <w:jc w:val="both"/>
      </w:pPr>
      <w:r>
        <w:tab/>
        <w:t>Jusqu'à aujourd'hui, Marie n'a jamais réussi à épargner d'</w:t>
      </w:r>
      <w:r w:rsidR="00581F3F">
        <w:t>autres</w:t>
      </w:r>
      <w:r>
        <w:t xml:space="preserve"> montants que ceux qui lui étaient </w:t>
      </w:r>
      <w:r w:rsidR="00451135">
        <w:tab/>
      </w:r>
      <w:r>
        <w:t>prélevés</w:t>
      </w:r>
      <w:r w:rsidR="00451135">
        <w:t xml:space="preserve"> </w:t>
      </w:r>
      <w:r>
        <w:t xml:space="preserve">par le RPACD qu'elle possède auprès de son employeur. </w:t>
      </w:r>
    </w:p>
    <w:p w14:paraId="13411BA7" w14:textId="77777777" w:rsidR="00FA70F8" w:rsidRDefault="00FA70F8" w:rsidP="00FA70F8"/>
    <w:p w14:paraId="43CE8FAA" w14:textId="77777777" w:rsidR="00FA70F8" w:rsidRDefault="00FA70F8" w:rsidP="00FA70F8">
      <w:pPr>
        <w:jc w:val="both"/>
      </w:pPr>
      <w:r>
        <w:rPr>
          <w:noProof/>
          <w:lang w:eastAsia="fr-FR"/>
        </w:rPr>
        <mc:AlternateContent>
          <mc:Choice Requires="wps">
            <w:drawing>
              <wp:anchor distT="0" distB="0" distL="114300" distR="114300" simplePos="0" relativeHeight="252699648" behindDoc="0" locked="0" layoutInCell="1" allowOverlap="1" wp14:anchorId="70F2E16A" wp14:editId="5D2B47E3">
                <wp:simplePos x="0" y="0"/>
                <wp:positionH relativeFrom="column">
                  <wp:posOffset>-342900</wp:posOffset>
                </wp:positionH>
                <wp:positionV relativeFrom="paragraph">
                  <wp:posOffset>74295</wp:posOffset>
                </wp:positionV>
                <wp:extent cx="571500" cy="571500"/>
                <wp:effectExtent l="25400" t="25400" r="38100" b="38100"/>
                <wp:wrapNone/>
                <wp:docPr id="537" name="Ellipse 537"/>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00C573B" w14:textId="77777777" w:rsidR="00573C95" w:rsidRPr="004F4085" w:rsidRDefault="00573C95" w:rsidP="00FA70F8">
                            <w:pPr>
                              <w:jc w:val="center"/>
                            </w:pPr>
                            <w:r>
                              <w:t>2</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37" o:spid="_x0000_s1351" style="position:absolute;left:0;text-align:left;margin-left:-26.95pt;margin-top:5.85pt;width:45pt;height:45pt;z-index:2526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" fillcolor="green" strokecolor="black [3213]" strokeweight="3pt">
                <v:textbox>
                  <w:txbxContent>
                    <w:p w14:paraId="700C573B" w14:textId="77777777" w:rsidR="001501D6" w:rsidRPr="004F4085" w:rsidRDefault="001501D6" w:rsidP="00FA70F8">
                      <w:pPr>
                        <w:jc w:val="center"/>
                      </w:pPr>
                      <w:r>
                        <w:t>2</w:t>
                      </w:r>
                      <w:r w:rsidRPr="004F4085">
                        <w:t xml:space="preserve"> </w:t>
                      </w:r>
                    </w:p>
                  </w:txbxContent>
                </v:textbox>
              </v:oval>
            </w:pict>
          </mc:Fallback>
        </mc:AlternateContent>
      </w:r>
    </w:p>
    <w:p w14:paraId="666A36DC" w14:textId="1942ED6E" w:rsidR="00FA70F8" w:rsidRDefault="00FA70F8" w:rsidP="00FA70F8">
      <w:pPr>
        <w:jc w:val="both"/>
      </w:pPr>
      <w:r>
        <w:tab/>
        <w:t xml:space="preserve">Il y a 5 ans, alors que Charlotte était âgée de 13 ans, Marie a reçu un héritage de 15 000 $ qu'elle a </w:t>
      </w:r>
      <w:r>
        <w:tab/>
        <w:t>investi de la façon suivante</w:t>
      </w:r>
      <w:r w:rsidR="007C141A">
        <w:t>: 2 500 $</w:t>
      </w:r>
      <w:r>
        <w:t xml:space="preserve"> dans un REÉÉ dont </w:t>
      </w:r>
      <w:r w:rsidR="009F2405">
        <w:t>Charlotte</w:t>
      </w:r>
      <w:r>
        <w:t xml:space="preserve"> est la bénéficiaire</w:t>
      </w:r>
      <w:r w:rsidR="007C141A">
        <w:t xml:space="preserve"> et 12 500 $ dans un </w:t>
      </w:r>
      <w:r w:rsidR="007C141A">
        <w:tab/>
        <w:t>CÉLI</w:t>
      </w:r>
      <w:r>
        <w:t>.</w:t>
      </w:r>
      <w:r w:rsidR="007C141A">
        <w:t xml:space="preserve"> </w:t>
      </w:r>
      <w:r>
        <w:t>Le</w:t>
      </w:r>
      <w:r w:rsidR="007C141A">
        <w:t>s</w:t>
      </w:r>
      <w:r>
        <w:t xml:space="preserve"> rendement</w:t>
      </w:r>
      <w:r w:rsidR="007C141A">
        <w:t>s</w:t>
      </w:r>
      <w:r>
        <w:t xml:space="preserve"> annuel</w:t>
      </w:r>
      <w:r w:rsidR="006A0016">
        <w:t>s</w:t>
      </w:r>
      <w:r w:rsidR="007C141A">
        <w:t xml:space="preserve"> ont été de </w:t>
      </w:r>
      <w:r>
        <w:t>5 %</w:t>
      </w:r>
      <w:r w:rsidR="007C141A">
        <w:t xml:space="preserve"> pour les deux véhicules de placement</w:t>
      </w:r>
      <w:r>
        <w:t>.</w:t>
      </w:r>
    </w:p>
    <w:p w14:paraId="6C91AA4A" w14:textId="4204CB5B" w:rsidR="006A0016" w:rsidRDefault="006A0016" w:rsidP="00FA70F8">
      <w:pPr>
        <w:jc w:val="both"/>
      </w:pPr>
      <w:r>
        <w:rPr>
          <w:noProof/>
          <w:lang w:eastAsia="fr-FR"/>
        </w:rPr>
        <mc:AlternateContent>
          <mc:Choice Requires="wps">
            <w:drawing>
              <wp:anchor distT="0" distB="0" distL="114300" distR="114300" simplePos="0" relativeHeight="252702720" behindDoc="0" locked="0" layoutInCell="1" allowOverlap="1" wp14:anchorId="74ED5196" wp14:editId="4CFA2AD0">
                <wp:simplePos x="0" y="0"/>
                <wp:positionH relativeFrom="column">
                  <wp:posOffset>-342900</wp:posOffset>
                </wp:positionH>
                <wp:positionV relativeFrom="paragraph">
                  <wp:posOffset>74295</wp:posOffset>
                </wp:positionV>
                <wp:extent cx="571500" cy="571500"/>
                <wp:effectExtent l="25400" t="25400" r="38100" b="38100"/>
                <wp:wrapNone/>
                <wp:docPr id="539" name="Ellipse 539"/>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284CAE76" w14:textId="7C6A1363" w:rsidR="00573C95" w:rsidRPr="004F4085" w:rsidRDefault="00573C95" w:rsidP="006A0016">
                            <w:pPr>
                              <w:jc w:val="center"/>
                            </w:pPr>
                            <w:r>
                              <w:t>3</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39" o:spid="_x0000_s1352" style="position:absolute;left:0;text-align:left;margin-left:-26.95pt;margin-top:5.85pt;width:45pt;height:45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" fillcolor="green" strokecolor="black [3213]" strokeweight="3pt">
                <v:textbox>
                  <w:txbxContent>
                    <w:p w14:paraId="284CAE76" w14:textId="7C6A1363" w:rsidR="001501D6" w:rsidRPr="004F4085" w:rsidRDefault="001501D6" w:rsidP="006A0016">
                      <w:pPr>
                        <w:jc w:val="center"/>
                      </w:pPr>
                      <w:r>
                        <w:t>3</w:t>
                      </w:r>
                      <w:r w:rsidRPr="004F4085">
                        <w:t xml:space="preserve"> </w:t>
                      </w:r>
                    </w:p>
                  </w:txbxContent>
                </v:textbox>
              </v:oval>
            </w:pict>
          </mc:Fallback>
        </mc:AlternateContent>
      </w:r>
    </w:p>
    <w:p w14:paraId="2B3EBD10" w14:textId="7B0069E8" w:rsidR="006A0016" w:rsidRDefault="006A0016" w:rsidP="00FA70F8">
      <w:pPr>
        <w:jc w:val="both"/>
      </w:pPr>
      <w:r>
        <w:tab/>
        <w:t>Par la suite, Marie a transféré des montants du CÉLI au REÉÉ selon la séquence suivante:</w:t>
      </w:r>
    </w:p>
    <w:p w14:paraId="20E7E31C" w14:textId="0F4E183E" w:rsidR="006A0016" w:rsidRDefault="006A0016" w:rsidP="00FA70F8">
      <w:pPr>
        <w:jc w:val="both"/>
      </w:pPr>
    </w:p>
    <w:p w14:paraId="045D870A" w14:textId="19768554" w:rsidR="006A0016" w:rsidRDefault="006A0016" w:rsidP="006C34CF">
      <w:pPr>
        <w:pStyle w:val="Paragraphedeliste"/>
        <w:numPr>
          <w:ilvl w:val="0"/>
          <w:numId w:val="67"/>
        </w:numPr>
      </w:pPr>
      <w:r>
        <w:t>l'année de ses 14 ans</w:t>
      </w:r>
      <w:r>
        <w:tab/>
      </w:r>
      <w:r>
        <w:tab/>
        <w:t>5 000 $</w:t>
      </w:r>
    </w:p>
    <w:p w14:paraId="13123D36" w14:textId="611EB6F3" w:rsidR="006A0016" w:rsidRDefault="006A0016" w:rsidP="006C34CF">
      <w:pPr>
        <w:pStyle w:val="Paragraphedeliste"/>
        <w:numPr>
          <w:ilvl w:val="0"/>
          <w:numId w:val="67"/>
        </w:numPr>
      </w:pPr>
      <w:r>
        <w:t>l'année de ses 15 ans</w:t>
      </w:r>
      <w:r>
        <w:tab/>
      </w:r>
      <w:r>
        <w:tab/>
        <w:t>5 000 $</w:t>
      </w:r>
    </w:p>
    <w:p w14:paraId="3DC30B65" w14:textId="1727A089" w:rsidR="006A0016" w:rsidRDefault="00937C9D" w:rsidP="006C34CF">
      <w:pPr>
        <w:pStyle w:val="Paragraphedeliste"/>
        <w:numPr>
          <w:ilvl w:val="0"/>
          <w:numId w:val="67"/>
        </w:numPr>
      </w:pPr>
      <w:r>
        <w:rPr>
          <w:noProof/>
          <w:lang w:eastAsia="fr-FR"/>
        </w:rPr>
        <mc:AlternateContent>
          <mc:Choice Requires="wps">
            <w:drawing>
              <wp:anchor distT="0" distB="0" distL="114300" distR="114300" simplePos="0" relativeHeight="252700672" behindDoc="0" locked="0" layoutInCell="1" allowOverlap="1" wp14:anchorId="1CCDF1C2" wp14:editId="3B9D5FB0">
                <wp:simplePos x="0" y="0"/>
                <wp:positionH relativeFrom="column">
                  <wp:posOffset>-342900</wp:posOffset>
                </wp:positionH>
                <wp:positionV relativeFrom="paragraph">
                  <wp:posOffset>160020</wp:posOffset>
                </wp:positionV>
                <wp:extent cx="571500" cy="571500"/>
                <wp:effectExtent l="25400" t="25400" r="38100" b="38100"/>
                <wp:wrapNone/>
                <wp:docPr id="538" name="Ellipse 538"/>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2A99DAA0" w14:textId="0642BA45" w:rsidR="00573C95" w:rsidRPr="004F4085" w:rsidRDefault="00573C95" w:rsidP="00FA70F8">
                            <w:pPr>
                              <w:jc w:val="center"/>
                            </w:pPr>
                            <w:r>
                              <w:t>4</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38" o:spid="_x0000_s1353" style="position:absolute;left:0;text-align:left;margin-left:-26.95pt;margin-top:12.6pt;width:45pt;height:45pt;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" fillcolor="green" strokecolor="black [3213]" strokeweight="3pt">
                <v:textbox>
                  <w:txbxContent>
                    <w:p w14:paraId="2A99DAA0" w14:textId="0642BA45" w:rsidR="001501D6" w:rsidRPr="004F4085" w:rsidRDefault="001501D6" w:rsidP="00FA70F8">
                      <w:pPr>
                        <w:jc w:val="center"/>
                      </w:pPr>
                      <w:r>
                        <w:t>4</w:t>
                      </w:r>
                      <w:r w:rsidRPr="004F4085">
                        <w:t xml:space="preserve"> </w:t>
                      </w:r>
                    </w:p>
                  </w:txbxContent>
                </v:textbox>
              </v:oval>
            </w:pict>
          </mc:Fallback>
        </mc:AlternateContent>
      </w:r>
      <w:r w:rsidR="006A0016">
        <w:t>l'année de ses 16 ans</w:t>
      </w:r>
      <w:r w:rsidR="006A0016">
        <w:tab/>
      </w:r>
      <w:r w:rsidR="006A0016">
        <w:tab/>
        <w:t xml:space="preserve">3 </w:t>
      </w:r>
      <w:r w:rsidR="006E1474">
        <w:t>708</w:t>
      </w:r>
      <w:r w:rsidR="006A0016">
        <w:t xml:space="preserve"> $</w:t>
      </w:r>
    </w:p>
    <w:p w14:paraId="7258DBF3" w14:textId="77777777" w:rsidR="00937C9D" w:rsidRDefault="00937C9D" w:rsidP="00937C9D">
      <w:pPr>
        <w:ind w:left="1416"/>
      </w:pPr>
    </w:p>
    <w:p w14:paraId="1A51CF9E" w14:textId="1C99529F" w:rsidR="00937C9D" w:rsidRDefault="00FA70F8" w:rsidP="00937C9D">
      <w:pPr>
        <w:jc w:val="both"/>
      </w:pPr>
      <w:r>
        <w:tab/>
      </w:r>
      <w:r w:rsidR="00937C9D">
        <w:t>Charlotte a effectué les cotisations suivantes à son REÉÉ:</w:t>
      </w:r>
    </w:p>
    <w:p w14:paraId="4F96A123" w14:textId="77777777" w:rsidR="00937C9D" w:rsidRDefault="00937C9D" w:rsidP="00937C9D">
      <w:r>
        <w:tab/>
      </w:r>
    </w:p>
    <w:p w14:paraId="60B09328" w14:textId="15F2ED4A" w:rsidR="00937C9D" w:rsidRDefault="00937C9D" w:rsidP="00937C9D">
      <w:pPr>
        <w:pStyle w:val="Paragraphedeliste"/>
        <w:numPr>
          <w:ilvl w:val="0"/>
          <w:numId w:val="67"/>
        </w:numPr>
      </w:pPr>
      <w:r>
        <w:t>l'année de ses 16 ans</w:t>
      </w:r>
      <w:r>
        <w:tab/>
      </w:r>
      <w:r>
        <w:tab/>
        <w:t xml:space="preserve">1 </w:t>
      </w:r>
      <w:r w:rsidR="006E1474">
        <w:t>292</w:t>
      </w:r>
      <w:r>
        <w:t xml:space="preserve"> $</w:t>
      </w:r>
    </w:p>
    <w:p w14:paraId="710A3E65" w14:textId="77777777" w:rsidR="00937C9D" w:rsidRDefault="00937C9D" w:rsidP="00937C9D">
      <w:pPr>
        <w:pStyle w:val="Paragraphedeliste"/>
        <w:numPr>
          <w:ilvl w:val="0"/>
          <w:numId w:val="67"/>
        </w:numPr>
      </w:pPr>
      <w:r>
        <w:t>l'année de ses 17 ans</w:t>
      </w:r>
      <w:r>
        <w:tab/>
      </w:r>
      <w:r>
        <w:tab/>
        <w:t>5 000 $</w:t>
      </w:r>
    </w:p>
    <w:p w14:paraId="68C912F6" w14:textId="77777777" w:rsidR="00FA70F8" w:rsidRDefault="00FA70F8" w:rsidP="00FA70F8"/>
    <w:p w14:paraId="6943278D" w14:textId="28702C1B" w:rsidR="00D719F9" w:rsidRDefault="00FA70F8" w:rsidP="00937C9D">
      <w:pPr>
        <w:jc w:val="both"/>
      </w:pPr>
      <w:r>
        <w:tab/>
      </w:r>
      <w:r w:rsidR="00D719F9">
        <w:t xml:space="preserve"> </w:t>
      </w:r>
    </w:p>
    <w:p w14:paraId="1F6CB210" w14:textId="11FBE3D9" w:rsidR="00937C9D" w:rsidRDefault="00937C9D" w:rsidP="00937C9D">
      <w:pPr>
        <w:jc w:val="both"/>
      </w:pPr>
      <w:r>
        <w:rPr>
          <w:noProof/>
          <w:lang w:eastAsia="fr-FR"/>
        </w:rPr>
        <w:lastRenderedPageBreak/>
        <mc:AlternateContent>
          <mc:Choice Requires="wps">
            <w:drawing>
              <wp:anchor distT="0" distB="0" distL="114300" distR="114300" simplePos="0" relativeHeight="252704768" behindDoc="0" locked="0" layoutInCell="1" allowOverlap="1" wp14:anchorId="1F1FFA4D" wp14:editId="02DEFF28">
                <wp:simplePos x="0" y="0"/>
                <wp:positionH relativeFrom="column">
                  <wp:posOffset>-228600</wp:posOffset>
                </wp:positionH>
                <wp:positionV relativeFrom="paragraph">
                  <wp:posOffset>-228600</wp:posOffset>
                </wp:positionV>
                <wp:extent cx="571500" cy="571500"/>
                <wp:effectExtent l="25400" t="25400" r="38100" b="38100"/>
                <wp:wrapNone/>
                <wp:docPr id="540" name="Ellipse 540"/>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175D693C" w14:textId="44B1694F" w:rsidR="00573C95" w:rsidRPr="004F4085" w:rsidRDefault="00573C95" w:rsidP="006A0016">
                            <w:pPr>
                              <w:jc w:val="center"/>
                            </w:pPr>
                            <w:r>
                              <w:t>5</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40" o:spid="_x0000_s1354" style="position:absolute;left:0;text-align:left;margin-left:-17.95pt;margin-top:-17.95pt;width:45pt;height:45pt;z-index:2527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" fillcolor="green" strokecolor="black [3213]" strokeweight="3pt">
                <v:textbox>
                  <w:txbxContent>
                    <w:p w14:paraId="175D693C" w14:textId="44B1694F" w:rsidR="001501D6" w:rsidRPr="004F4085" w:rsidRDefault="001501D6" w:rsidP="006A0016">
                      <w:pPr>
                        <w:jc w:val="center"/>
                      </w:pPr>
                      <w:r>
                        <w:t>5</w:t>
                      </w:r>
                      <w:r w:rsidRPr="004F4085">
                        <w:t xml:space="preserve"> </w:t>
                      </w:r>
                    </w:p>
                  </w:txbxContent>
                </v:textbox>
              </v:oval>
            </w:pict>
          </mc:Fallback>
        </mc:AlternateContent>
      </w:r>
      <w:r w:rsidR="00BB6C75">
        <w:tab/>
      </w:r>
      <w:r>
        <w:t xml:space="preserve">Charlotte est une jeune fille très travaillante avec de bonnes aptitudes pour l'épargne. Le solde de </w:t>
      </w:r>
      <w:r>
        <w:tab/>
        <w:t>son compte bancaire était au 31 décembre:</w:t>
      </w:r>
    </w:p>
    <w:p w14:paraId="27F7E276" w14:textId="77777777" w:rsidR="00937C9D" w:rsidRDefault="00937C9D" w:rsidP="00937C9D">
      <w:r>
        <w:tab/>
      </w:r>
    </w:p>
    <w:p w14:paraId="6BB789C1" w14:textId="0EC4DF18" w:rsidR="00937C9D" w:rsidRDefault="00937C9D" w:rsidP="00937C9D">
      <w:pPr>
        <w:pStyle w:val="Paragraphedeliste"/>
        <w:numPr>
          <w:ilvl w:val="0"/>
          <w:numId w:val="67"/>
        </w:numPr>
      </w:pPr>
      <w:r>
        <w:t>l'année de ses 16 ans</w:t>
      </w:r>
      <w:r>
        <w:tab/>
      </w:r>
      <w:r>
        <w:tab/>
        <w:t xml:space="preserve">2 900 $ (1 </w:t>
      </w:r>
      <w:r w:rsidR="006E1474">
        <w:t>608</w:t>
      </w:r>
      <w:r>
        <w:t xml:space="preserve"> $ après la cotisation au REÉÉ)</w:t>
      </w:r>
    </w:p>
    <w:p w14:paraId="7B2C967D" w14:textId="0FCD4DAE" w:rsidR="00937C9D" w:rsidRDefault="00937C9D" w:rsidP="00937C9D">
      <w:pPr>
        <w:pStyle w:val="Paragraphedeliste"/>
        <w:numPr>
          <w:ilvl w:val="0"/>
          <w:numId w:val="67"/>
        </w:numPr>
      </w:pPr>
      <w:r>
        <w:t>l'année de ses 17 ans</w:t>
      </w:r>
      <w:r>
        <w:tab/>
      </w:r>
      <w:r>
        <w:tab/>
        <w:t>6 600 $ (</w:t>
      </w:r>
      <w:r w:rsidR="006E1474">
        <w:t xml:space="preserve">1 600 </w:t>
      </w:r>
      <w:r>
        <w:t>$ après l</w:t>
      </w:r>
      <w:r w:rsidR="006E1474">
        <w:t>a</w:t>
      </w:r>
      <w:r>
        <w:t xml:space="preserve"> cotisation au REÉÉ)</w:t>
      </w:r>
    </w:p>
    <w:p w14:paraId="78963078" w14:textId="77777777" w:rsidR="00937C9D" w:rsidRDefault="00937C9D" w:rsidP="00937C9D">
      <w:pPr>
        <w:pStyle w:val="Paragraphedeliste"/>
        <w:numPr>
          <w:ilvl w:val="0"/>
          <w:numId w:val="67"/>
        </w:numPr>
      </w:pPr>
      <w:r>
        <w:t>l'année de ses 18 ans</w:t>
      </w:r>
      <w:r>
        <w:tab/>
      </w:r>
      <w:r>
        <w:tab/>
        <w:t xml:space="preserve">7 800 $ (7 800 $ après le remboursement des cotisations) </w:t>
      </w:r>
    </w:p>
    <w:p w14:paraId="0B32CCF2" w14:textId="399561E8" w:rsidR="006A0016" w:rsidRDefault="006A0016" w:rsidP="006A0016"/>
    <w:p w14:paraId="520D6E43" w14:textId="032D4A90" w:rsidR="00090B77" w:rsidRDefault="006A0016" w:rsidP="00937C9D">
      <w:pPr>
        <w:jc w:val="both"/>
      </w:pPr>
      <w:r>
        <w:tab/>
      </w:r>
    </w:p>
    <w:p w14:paraId="60F6774D" w14:textId="77777777" w:rsidR="00FA70F8" w:rsidRDefault="00FA70F8" w:rsidP="00FA70F8">
      <w:r>
        <w:t>Le résultat de l'épargne en date d'aujourd'hui (REÉÉ)</w:t>
      </w:r>
    </w:p>
    <w:p w14:paraId="6A4B9DE9" w14:textId="77777777" w:rsidR="00FA70F8" w:rsidRDefault="00FA70F8" w:rsidP="00FA70F8"/>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5"/>
        <w:gridCol w:w="2106"/>
        <w:gridCol w:w="2284"/>
        <w:gridCol w:w="2545"/>
        <w:gridCol w:w="1983"/>
        <w:gridCol w:w="2169"/>
      </w:tblGrid>
      <w:tr w:rsidR="00F95406" w14:paraId="18DA0E1F" w14:textId="77777777" w:rsidTr="00F95406">
        <w:tc>
          <w:tcPr>
            <w:tcW w:w="2135" w:type="dxa"/>
            <w:shd w:val="clear" w:color="auto" w:fill="000000"/>
          </w:tcPr>
          <w:p w14:paraId="52973CBB" w14:textId="6687FF36" w:rsidR="00F95406" w:rsidRDefault="00F95406" w:rsidP="00F95406">
            <w:pPr>
              <w:jc w:val="center"/>
            </w:pPr>
            <w:r>
              <w:t>Âge de Charlotte</w:t>
            </w:r>
          </w:p>
        </w:tc>
        <w:tc>
          <w:tcPr>
            <w:tcW w:w="2106" w:type="dxa"/>
            <w:shd w:val="clear" w:color="auto" w:fill="000000"/>
          </w:tcPr>
          <w:p w14:paraId="71F5E4C9" w14:textId="08A239FC" w:rsidR="00F95406" w:rsidRDefault="00F95406" w:rsidP="006A0016">
            <w:pPr>
              <w:jc w:val="center"/>
            </w:pPr>
            <w:r>
              <w:t>Capital investi</w:t>
            </w:r>
          </w:p>
        </w:tc>
        <w:tc>
          <w:tcPr>
            <w:tcW w:w="2284" w:type="dxa"/>
            <w:shd w:val="clear" w:color="auto" w:fill="000000"/>
          </w:tcPr>
          <w:p w14:paraId="0156D781" w14:textId="77777777" w:rsidR="00F95406" w:rsidRDefault="00F95406" w:rsidP="006A0016">
            <w:pPr>
              <w:jc w:val="center"/>
            </w:pPr>
            <w:r>
              <w:t>Subventions</w:t>
            </w:r>
          </w:p>
        </w:tc>
        <w:tc>
          <w:tcPr>
            <w:tcW w:w="2545" w:type="dxa"/>
            <w:shd w:val="clear" w:color="auto" w:fill="000000"/>
          </w:tcPr>
          <w:p w14:paraId="7B96134D" w14:textId="77777777" w:rsidR="00F95406" w:rsidRDefault="00F95406" w:rsidP="006A0016">
            <w:pPr>
              <w:jc w:val="center"/>
            </w:pPr>
            <w:r>
              <w:t>Revenus de placement</w:t>
            </w:r>
          </w:p>
        </w:tc>
        <w:tc>
          <w:tcPr>
            <w:tcW w:w="1983" w:type="dxa"/>
            <w:shd w:val="clear" w:color="auto" w:fill="000000"/>
          </w:tcPr>
          <w:p w14:paraId="508D0614" w14:textId="68569458" w:rsidR="00F95406" w:rsidRDefault="00F95406" w:rsidP="00D719F9">
            <w:pPr>
              <w:jc w:val="center"/>
            </w:pPr>
            <w:r>
              <w:t>Capital remboursé à Charlotte</w:t>
            </w:r>
          </w:p>
        </w:tc>
        <w:tc>
          <w:tcPr>
            <w:tcW w:w="2169" w:type="dxa"/>
            <w:shd w:val="clear" w:color="auto" w:fill="000000"/>
          </w:tcPr>
          <w:p w14:paraId="476F6DF4" w14:textId="379E576F" w:rsidR="00F95406" w:rsidRDefault="00F95406" w:rsidP="00D719F9">
            <w:pPr>
              <w:jc w:val="center"/>
            </w:pPr>
            <w:r>
              <w:t>Solde à la fin</w:t>
            </w:r>
          </w:p>
        </w:tc>
      </w:tr>
      <w:tr w:rsidR="00F95406" w14:paraId="3D3A85C3" w14:textId="77777777" w:rsidTr="005627D0">
        <w:tc>
          <w:tcPr>
            <w:tcW w:w="2135" w:type="dxa"/>
            <w:shd w:val="clear" w:color="auto" w:fill="BCE1D2"/>
          </w:tcPr>
          <w:p w14:paraId="4FD6C934" w14:textId="77777777" w:rsidR="00F95406" w:rsidRDefault="00F95406" w:rsidP="006A0016">
            <w:pPr>
              <w:jc w:val="center"/>
            </w:pPr>
          </w:p>
        </w:tc>
        <w:tc>
          <w:tcPr>
            <w:tcW w:w="2106" w:type="dxa"/>
            <w:shd w:val="clear" w:color="auto" w:fill="BCE1D2"/>
          </w:tcPr>
          <w:p w14:paraId="005C84FF" w14:textId="0F01B704" w:rsidR="00F95406" w:rsidRDefault="00F95406" w:rsidP="006A0016">
            <w:pPr>
              <w:jc w:val="center"/>
            </w:pPr>
          </w:p>
        </w:tc>
        <w:tc>
          <w:tcPr>
            <w:tcW w:w="2284" w:type="dxa"/>
            <w:shd w:val="clear" w:color="auto" w:fill="BCE1D2"/>
          </w:tcPr>
          <w:p w14:paraId="7866D3EB" w14:textId="77777777" w:rsidR="00F95406" w:rsidRDefault="00F95406" w:rsidP="006A0016">
            <w:pPr>
              <w:jc w:val="center"/>
            </w:pPr>
          </w:p>
        </w:tc>
        <w:tc>
          <w:tcPr>
            <w:tcW w:w="2545" w:type="dxa"/>
            <w:shd w:val="clear" w:color="auto" w:fill="BCE1D2"/>
          </w:tcPr>
          <w:p w14:paraId="1BDCE1CD" w14:textId="77777777" w:rsidR="00F95406" w:rsidRDefault="00F95406" w:rsidP="006A0016">
            <w:pPr>
              <w:jc w:val="center"/>
            </w:pPr>
          </w:p>
        </w:tc>
        <w:tc>
          <w:tcPr>
            <w:tcW w:w="1983" w:type="dxa"/>
            <w:shd w:val="clear" w:color="auto" w:fill="BCE1D2"/>
          </w:tcPr>
          <w:p w14:paraId="22556FC8" w14:textId="77777777" w:rsidR="00F95406" w:rsidRDefault="00F95406" w:rsidP="006A0016">
            <w:pPr>
              <w:jc w:val="center"/>
            </w:pPr>
          </w:p>
        </w:tc>
        <w:tc>
          <w:tcPr>
            <w:tcW w:w="2169" w:type="dxa"/>
            <w:shd w:val="clear" w:color="auto" w:fill="BCE1D2"/>
          </w:tcPr>
          <w:p w14:paraId="03CF27E7" w14:textId="4D2F156A" w:rsidR="00F95406" w:rsidRDefault="00F95406" w:rsidP="006A0016">
            <w:pPr>
              <w:jc w:val="center"/>
            </w:pPr>
          </w:p>
        </w:tc>
      </w:tr>
      <w:tr w:rsidR="00F95406" w14:paraId="0B6FF5D1" w14:textId="77777777" w:rsidTr="005627D0">
        <w:tc>
          <w:tcPr>
            <w:tcW w:w="2135" w:type="dxa"/>
            <w:shd w:val="clear" w:color="auto" w:fill="BCE1D2"/>
          </w:tcPr>
          <w:p w14:paraId="3A5144E2" w14:textId="0A569FB3" w:rsidR="00F95406" w:rsidRDefault="00F95406" w:rsidP="00D719F9">
            <w:pPr>
              <w:jc w:val="center"/>
            </w:pPr>
            <w:r>
              <w:t>13</w:t>
            </w:r>
          </w:p>
        </w:tc>
        <w:tc>
          <w:tcPr>
            <w:tcW w:w="2106" w:type="dxa"/>
            <w:shd w:val="clear" w:color="auto" w:fill="BCE1D2"/>
          </w:tcPr>
          <w:p w14:paraId="092A5034" w14:textId="7DF1A4EE" w:rsidR="00F95406" w:rsidRDefault="00F95406" w:rsidP="00D719F9">
            <w:pPr>
              <w:jc w:val="center"/>
            </w:pPr>
            <w:r>
              <w:t>2 500 $</w:t>
            </w:r>
          </w:p>
        </w:tc>
        <w:tc>
          <w:tcPr>
            <w:tcW w:w="2284" w:type="dxa"/>
            <w:shd w:val="clear" w:color="auto" w:fill="BCE1D2"/>
          </w:tcPr>
          <w:p w14:paraId="37537D82" w14:textId="64FE461C" w:rsidR="00F95406" w:rsidRDefault="00F95406" w:rsidP="00F95406">
            <w:pPr>
              <w:jc w:val="center"/>
            </w:pPr>
            <w:r>
              <w:t>750 $</w:t>
            </w:r>
          </w:p>
        </w:tc>
        <w:tc>
          <w:tcPr>
            <w:tcW w:w="2545" w:type="dxa"/>
            <w:shd w:val="clear" w:color="auto" w:fill="BCE1D2"/>
          </w:tcPr>
          <w:p w14:paraId="1902BAEC" w14:textId="6088ECC0" w:rsidR="00F95406" w:rsidRDefault="00F95406" w:rsidP="006A0016">
            <w:pPr>
              <w:jc w:val="center"/>
            </w:pPr>
            <w:r>
              <w:t>163 $</w:t>
            </w:r>
          </w:p>
        </w:tc>
        <w:tc>
          <w:tcPr>
            <w:tcW w:w="1983" w:type="dxa"/>
            <w:shd w:val="clear" w:color="auto" w:fill="BCE1D2"/>
          </w:tcPr>
          <w:p w14:paraId="2AD64DDC" w14:textId="77777777" w:rsidR="00F95406" w:rsidRDefault="00F95406" w:rsidP="006A0016">
            <w:pPr>
              <w:jc w:val="center"/>
            </w:pPr>
          </w:p>
        </w:tc>
        <w:tc>
          <w:tcPr>
            <w:tcW w:w="2169" w:type="dxa"/>
            <w:shd w:val="clear" w:color="auto" w:fill="BCE1D2"/>
          </w:tcPr>
          <w:p w14:paraId="18C9A948" w14:textId="1A198826" w:rsidR="00F95406" w:rsidRDefault="00F95406" w:rsidP="006A0016">
            <w:pPr>
              <w:jc w:val="center"/>
            </w:pPr>
            <w:r>
              <w:t>3 413 $</w:t>
            </w:r>
          </w:p>
        </w:tc>
      </w:tr>
      <w:tr w:rsidR="00F95406" w14:paraId="7BA863FD" w14:textId="77777777" w:rsidTr="005627D0">
        <w:tc>
          <w:tcPr>
            <w:tcW w:w="2135" w:type="dxa"/>
            <w:shd w:val="clear" w:color="auto" w:fill="BCE1D2"/>
          </w:tcPr>
          <w:p w14:paraId="6E925704" w14:textId="38394AC7" w:rsidR="00F95406" w:rsidRDefault="00F95406" w:rsidP="006A0016">
            <w:pPr>
              <w:jc w:val="center"/>
            </w:pPr>
            <w:r>
              <w:t>14</w:t>
            </w:r>
          </w:p>
        </w:tc>
        <w:tc>
          <w:tcPr>
            <w:tcW w:w="2106" w:type="dxa"/>
            <w:shd w:val="clear" w:color="auto" w:fill="BCE1D2"/>
          </w:tcPr>
          <w:p w14:paraId="342AE325" w14:textId="5ACC66D8" w:rsidR="00F95406" w:rsidRDefault="00F95406" w:rsidP="006A0016">
            <w:pPr>
              <w:jc w:val="center"/>
            </w:pPr>
            <w:r>
              <w:t>5 000 $</w:t>
            </w:r>
          </w:p>
        </w:tc>
        <w:tc>
          <w:tcPr>
            <w:tcW w:w="2284" w:type="dxa"/>
            <w:shd w:val="clear" w:color="auto" w:fill="BCE1D2"/>
          </w:tcPr>
          <w:p w14:paraId="6C58D48F" w14:textId="09D49FEE" w:rsidR="00F95406" w:rsidRDefault="00F95406" w:rsidP="006A0016">
            <w:pPr>
              <w:jc w:val="center"/>
            </w:pPr>
            <w:r>
              <w:t>1 500 $</w:t>
            </w:r>
          </w:p>
        </w:tc>
        <w:tc>
          <w:tcPr>
            <w:tcW w:w="2545" w:type="dxa"/>
            <w:shd w:val="clear" w:color="auto" w:fill="BCE1D2"/>
          </w:tcPr>
          <w:p w14:paraId="26DF7527" w14:textId="1D099C7C" w:rsidR="00F95406" w:rsidRDefault="00F95406" w:rsidP="006A0016">
            <w:pPr>
              <w:jc w:val="center"/>
            </w:pPr>
            <w:r>
              <w:t>496 $</w:t>
            </w:r>
          </w:p>
        </w:tc>
        <w:tc>
          <w:tcPr>
            <w:tcW w:w="1983" w:type="dxa"/>
            <w:shd w:val="clear" w:color="auto" w:fill="BCE1D2"/>
          </w:tcPr>
          <w:p w14:paraId="0EC34822" w14:textId="77777777" w:rsidR="00F95406" w:rsidRDefault="00F95406" w:rsidP="006A0016">
            <w:pPr>
              <w:jc w:val="center"/>
            </w:pPr>
          </w:p>
        </w:tc>
        <w:tc>
          <w:tcPr>
            <w:tcW w:w="2169" w:type="dxa"/>
            <w:shd w:val="clear" w:color="auto" w:fill="BCE1D2"/>
          </w:tcPr>
          <w:p w14:paraId="659E0EBD" w14:textId="7FEF5E82" w:rsidR="00F95406" w:rsidRDefault="00F95406" w:rsidP="006A0016">
            <w:pPr>
              <w:jc w:val="center"/>
            </w:pPr>
            <w:r>
              <w:t>10 409 $</w:t>
            </w:r>
          </w:p>
        </w:tc>
      </w:tr>
      <w:tr w:rsidR="00F95406" w14:paraId="1A1C829C" w14:textId="77777777" w:rsidTr="005627D0">
        <w:tc>
          <w:tcPr>
            <w:tcW w:w="2135" w:type="dxa"/>
            <w:shd w:val="clear" w:color="auto" w:fill="BCE1D2"/>
          </w:tcPr>
          <w:p w14:paraId="33DD5198" w14:textId="08F68957" w:rsidR="00F95406" w:rsidRDefault="00F95406" w:rsidP="006A0016">
            <w:pPr>
              <w:jc w:val="center"/>
            </w:pPr>
            <w:r>
              <w:t>15</w:t>
            </w:r>
          </w:p>
        </w:tc>
        <w:tc>
          <w:tcPr>
            <w:tcW w:w="2106" w:type="dxa"/>
            <w:shd w:val="clear" w:color="auto" w:fill="BCE1D2"/>
          </w:tcPr>
          <w:p w14:paraId="09D2A8E4" w14:textId="7F211987" w:rsidR="00F95406" w:rsidRDefault="00F95406" w:rsidP="006A0016">
            <w:pPr>
              <w:jc w:val="center"/>
            </w:pPr>
            <w:r>
              <w:t>5 000 $</w:t>
            </w:r>
          </w:p>
        </w:tc>
        <w:tc>
          <w:tcPr>
            <w:tcW w:w="2284" w:type="dxa"/>
            <w:shd w:val="clear" w:color="auto" w:fill="BCE1D2"/>
          </w:tcPr>
          <w:p w14:paraId="71A5E327" w14:textId="3D081553" w:rsidR="00F95406" w:rsidRDefault="00F95406" w:rsidP="006A0016">
            <w:pPr>
              <w:jc w:val="center"/>
            </w:pPr>
            <w:r>
              <w:t>1 500 $</w:t>
            </w:r>
          </w:p>
        </w:tc>
        <w:tc>
          <w:tcPr>
            <w:tcW w:w="2545" w:type="dxa"/>
            <w:shd w:val="clear" w:color="auto" w:fill="BCE1D2"/>
          </w:tcPr>
          <w:p w14:paraId="04085572" w14:textId="67801553" w:rsidR="00F95406" w:rsidRDefault="00F95406" w:rsidP="006A0016">
            <w:pPr>
              <w:jc w:val="center"/>
            </w:pPr>
            <w:r>
              <w:t>845 $</w:t>
            </w:r>
          </w:p>
        </w:tc>
        <w:tc>
          <w:tcPr>
            <w:tcW w:w="1983" w:type="dxa"/>
            <w:shd w:val="clear" w:color="auto" w:fill="BCE1D2"/>
          </w:tcPr>
          <w:p w14:paraId="1331FBCF" w14:textId="77777777" w:rsidR="00F95406" w:rsidRDefault="00F95406" w:rsidP="006A0016">
            <w:pPr>
              <w:jc w:val="center"/>
            </w:pPr>
          </w:p>
        </w:tc>
        <w:tc>
          <w:tcPr>
            <w:tcW w:w="2169" w:type="dxa"/>
            <w:shd w:val="clear" w:color="auto" w:fill="BCE1D2"/>
          </w:tcPr>
          <w:p w14:paraId="4EC296B5" w14:textId="14C5133F" w:rsidR="00F95406" w:rsidRDefault="00F95406" w:rsidP="006A0016">
            <w:pPr>
              <w:jc w:val="center"/>
            </w:pPr>
            <w:r>
              <w:t>17 754 $</w:t>
            </w:r>
          </w:p>
        </w:tc>
      </w:tr>
      <w:tr w:rsidR="00F95406" w14:paraId="19C563C8" w14:textId="77777777" w:rsidTr="005627D0">
        <w:tc>
          <w:tcPr>
            <w:tcW w:w="2135" w:type="dxa"/>
            <w:shd w:val="clear" w:color="auto" w:fill="BCE1D2"/>
          </w:tcPr>
          <w:p w14:paraId="4DCE633E" w14:textId="74FF884C" w:rsidR="00F95406" w:rsidRDefault="00F95406" w:rsidP="006A0016">
            <w:pPr>
              <w:jc w:val="center"/>
            </w:pPr>
            <w:r>
              <w:t>16</w:t>
            </w:r>
          </w:p>
        </w:tc>
        <w:tc>
          <w:tcPr>
            <w:tcW w:w="2106" w:type="dxa"/>
            <w:shd w:val="clear" w:color="auto" w:fill="BCE1D2"/>
          </w:tcPr>
          <w:p w14:paraId="6592B7F8" w14:textId="4C90104E" w:rsidR="00F95406" w:rsidRDefault="00F95406" w:rsidP="006A0016">
            <w:pPr>
              <w:jc w:val="center"/>
            </w:pPr>
            <w:r>
              <w:t>5 000 $</w:t>
            </w:r>
          </w:p>
        </w:tc>
        <w:tc>
          <w:tcPr>
            <w:tcW w:w="2284" w:type="dxa"/>
            <w:shd w:val="clear" w:color="auto" w:fill="BCE1D2"/>
          </w:tcPr>
          <w:p w14:paraId="48A88CCB" w14:textId="7A26DCE7" w:rsidR="00F95406" w:rsidRDefault="00F95406" w:rsidP="006A0016">
            <w:pPr>
              <w:jc w:val="center"/>
            </w:pPr>
            <w:r>
              <w:t>1 500 $</w:t>
            </w:r>
          </w:p>
        </w:tc>
        <w:tc>
          <w:tcPr>
            <w:tcW w:w="2545" w:type="dxa"/>
            <w:shd w:val="clear" w:color="auto" w:fill="BCE1D2"/>
          </w:tcPr>
          <w:p w14:paraId="052E3093" w14:textId="37B9255A" w:rsidR="00F95406" w:rsidRDefault="00F95406" w:rsidP="006A0016">
            <w:pPr>
              <w:jc w:val="center"/>
            </w:pPr>
            <w:r>
              <w:t>1 213 $</w:t>
            </w:r>
          </w:p>
        </w:tc>
        <w:tc>
          <w:tcPr>
            <w:tcW w:w="1983" w:type="dxa"/>
            <w:shd w:val="clear" w:color="auto" w:fill="BCE1D2"/>
          </w:tcPr>
          <w:p w14:paraId="33FFB3DE" w14:textId="77777777" w:rsidR="00F95406" w:rsidRDefault="00F95406" w:rsidP="006A0016">
            <w:pPr>
              <w:jc w:val="center"/>
            </w:pPr>
          </w:p>
        </w:tc>
        <w:tc>
          <w:tcPr>
            <w:tcW w:w="2169" w:type="dxa"/>
            <w:shd w:val="clear" w:color="auto" w:fill="BCE1D2"/>
          </w:tcPr>
          <w:p w14:paraId="580A2F4C" w14:textId="37BF0F42" w:rsidR="00F95406" w:rsidRDefault="00F95406" w:rsidP="006A0016">
            <w:pPr>
              <w:jc w:val="center"/>
            </w:pPr>
            <w:r>
              <w:t>25 467 $</w:t>
            </w:r>
          </w:p>
        </w:tc>
      </w:tr>
      <w:tr w:rsidR="00F95406" w14:paraId="6339413E" w14:textId="77777777" w:rsidTr="005627D0">
        <w:tc>
          <w:tcPr>
            <w:tcW w:w="2135" w:type="dxa"/>
            <w:shd w:val="clear" w:color="auto" w:fill="BCE1D2"/>
          </w:tcPr>
          <w:p w14:paraId="0D479FFB" w14:textId="0A1CC692" w:rsidR="00F95406" w:rsidRDefault="00F95406" w:rsidP="006A0016">
            <w:pPr>
              <w:jc w:val="center"/>
            </w:pPr>
            <w:r>
              <w:t>17</w:t>
            </w:r>
          </w:p>
        </w:tc>
        <w:tc>
          <w:tcPr>
            <w:tcW w:w="2106" w:type="dxa"/>
            <w:shd w:val="clear" w:color="auto" w:fill="BCE1D2"/>
          </w:tcPr>
          <w:p w14:paraId="78555154" w14:textId="01C21260" w:rsidR="00F95406" w:rsidRDefault="00F95406" w:rsidP="006A0016">
            <w:pPr>
              <w:jc w:val="center"/>
            </w:pPr>
            <w:r>
              <w:t>5 000 $</w:t>
            </w:r>
          </w:p>
        </w:tc>
        <w:tc>
          <w:tcPr>
            <w:tcW w:w="2284" w:type="dxa"/>
            <w:shd w:val="clear" w:color="auto" w:fill="BCE1D2"/>
          </w:tcPr>
          <w:p w14:paraId="7C1DFB53" w14:textId="3FF57C42" w:rsidR="00F95406" w:rsidRDefault="00F95406" w:rsidP="006A0016">
            <w:pPr>
              <w:jc w:val="center"/>
            </w:pPr>
            <w:r>
              <w:t>1 500 $</w:t>
            </w:r>
          </w:p>
        </w:tc>
        <w:tc>
          <w:tcPr>
            <w:tcW w:w="2545" w:type="dxa"/>
            <w:shd w:val="clear" w:color="auto" w:fill="BCE1D2"/>
          </w:tcPr>
          <w:p w14:paraId="253F8A14" w14:textId="681FE4B3" w:rsidR="00F95406" w:rsidRDefault="00F95406" w:rsidP="006A0016">
            <w:pPr>
              <w:jc w:val="center"/>
            </w:pPr>
            <w:r>
              <w:t>1 598 $</w:t>
            </w:r>
          </w:p>
        </w:tc>
        <w:tc>
          <w:tcPr>
            <w:tcW w:w="1983" w:type="dxa"/>
            <w:shd w:val="clear" w:color="auto" w:fill="BCE1D2"/>
          </w:tcPr>
          <w:p w14:paraId="78DD997F" w14:textId="454C4B13" w:rsidR="00F95406" w:rsidRDefault="00F95406" w:rsidP="006E1474">
            <w:pPr>
              <w:jc w:val="center"/>
            </w:pPr>
            <w:r>
              <w:t xml:space="preserve">6 </w:t>
            </w:r>
            <w:r w:rsidR="006E1474">
              <w:t>292</w:t>
            </w:r>
            <w:r>
              <w:t xml:space="preserve"> $</w:t>
            </w:r>
          </w:p>
        </w:tc>
        <w:tc>
          <w:tcPr>
            <w:tcW w:w="2169" w:type="dxa"/>
            <w:shd w:val="clear" w:color="auto" w:fill="BCE1D2"/>
          </w:tcPr>
          <w:p w14:paraId="11A0DC89" w14:textId="6E6AD3F8" w:rsidR="00F95406" w:rsidRDefault="00F95406" w:rsidP="006E1474">
            <w:pPr>
              <w:jc w:val="center"/>
            </w:pPr>
            <w:r>
              <w:t xml:space="preserve">27 </w:t>
            </w:r>
            <w:r w:rsidR="006E1474">
              <w:t>273</w:t>
            </w:r>
            <w:r>
              <w:t xml:space="preserve"> $</w:t>
            </w:r>
          </w:p>
        </w:tc>
      </w:tr>
    </w:tbl>
    <w:p w14:paraId="6136116A" w14:textId="77777777" w:rsidR="00FA70F8" w:rsidRDefault="00FA70F8" w:rsidP="00FA70F8">
      <w:pPr>
        <w:jc w:val="center"/>
      </w:pPr>
    </w:p>
    <w:p w14:paraId="5616F63A" w14:textId="77777777" w:rsidR="005627D0" w:rsidRDefault="005627D0"/>
    <w:p w14:paraId="758876C8" w14:textId="5EFD6C11" w:rsidR="005627D0" w:rsidRDefault="000D653A" w:rsidP="003C27B6">
      <w:pPr>
        <w:jc w:val="both"/>
      </w:pPr>
      <w:r>
        <w:rPr>
          <w:noProof/>
          <w:lang w:eastAsia="fr-FR"/>
        </w:rPr>
        <mc:AlternateContent>
          <mc:Choice Requires="wps">
            <w:drawing>
              <wp:anchor distT="0" distB="0" distL="114300" distR="114300" simplePos="0" relativeHeight="252715008" behindDoc="0" locked="0" layoutInCell="1" allowOverlap="1" wp14:anchorId="77F6491F" wp14:editId="4949A05C">
                <wp:simplePos x="0" y="0"/>
                <wp:positionH relativeFrom="column">
                  <wp:posOffset>228600</wp:posOffset>
                </wp:positionH>
                <wp:positionV relativeFrom="paragraph">
                  <wp:posOffset>657225</wp:posOffset>
                </wp:positionV>
                <wp:extent cx="1371600" cy="1372870"/>
                <wp:effectExtent l="25400" t="25400" r="25400" b="24130"/>
                <wp:wrapNone/>
                <wp:docPr id="545" name="Ellipse 545"/>
                <wp:cNvGraphicFramePr/>
                <a:graphic xmlns:a="http://schemas.openxmlformats.org/drawingml/2006/main">
                  <a:graphicData uri="http://schemas.microsoft.com/office/word/2010/wordprocessingShape">
                    <wps:wsp>
                      <wps:cNvSpPr/>
                      <wps:spPr>
                        <a:xfrm>
                          <a:off x="0" y="0"/>
                          <a:ext cx="1371600" cy="1372870"/>
                        </a:xfrm>
                        <a:prstGeom prst="ellipse">
                          <a:avLst/>
                        </a:prstGeom>
                        <a:solidFill>
                          <a:srgbClr val="BCE1D2"/>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5B861EC4" w14:textId="435739CB" w:rsidR="00573C95" w:rsidRDefault="00573C95" w:rsidP="0087359D">
                            <w:pPr>
                              <w:jc w:val="center"/>
                              <w:rPr>
                                <w:sz w:val="20"/>
                                <w:szCs w:val="20"/>
                              </w:rPr>
                            </w:pPr>
                            <w:r>
                              <w:rPr>
                                <w:sz w:val="20"/>
                                <w:szCs w:val="20"/>
                              </w:rPr>
                              <w:t>Rendement</w:t>
                            </w:r>
                          </w:p>
                          <w:p w14:paraId="36AF1C07" w14:textId="5C161C07" w:rsidR="00573C95" w:rsidRPr="00733F32" w:rsidRDefault="00573C95" w:rsidP="0087359D">
                            <w:pPr>
                              <w:jc w:val="center"/>
                              <w:rPr>
                                <w:sz w:val="32"/>
                                <w:szCs w:val="32"/>
                              </w:rPr>
                            </w:pPr>
                            <w:r w:rsidRPr="00733F32">
                              <w:rPr>
                                <w:sz w:val="32"/>
                                <w:szCs w:val="32"/>
                              </w:rPr>
                              <w:t>12,</w:t>
                            </w:r>
                            <w:r>
                              <w:rPr>
                                <w:sz w:val="32"/>
                                <w:szCs w:val="32"/>
                              </w:rPr>
                              <w:t>70</w:t>
                            </w:r>
                            <w:r w:rsidRPr="00733F32">
                              <w:rPr>
                                <w:sz w:val="32"/>
                                <w:szCs w:val="32"/>
                              </w:rPr>
                              <w:t xml:space="preserve">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45" o:spid="_x0000_s1355" style="position:absolute;left:0;text-align:left;margin-left:18pt;margin-top:51.75pt;width:108pt;height:108.1pt;z-index:2527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" fillcolor="#bce1d2" strokecolor="black [3213]" strokeweight="3pt">
                <v:textbox>
                  <w:txbxContent>
                    <w:p w14:paraId="5B861EC4" w14:textId="435739CB" w:rsidR="001501D6" w:rsidRDefault="001501D6" w:rsidP="0087359D">
                      <w:pPr>
                        <w:jc w:val="center"/>
                        <w:rPr>
                          <w:sz w:val="20"/>
                          <w:szCs w:val="20"/>
                        </w:rPr>
                      </w:pPr>
                      <w:r>
                        <w:rPr>
                          <w:sz w:val="20"/>
                          <w:szCs w:val="20"/>
                        </w:rPr>
                        <w:t>Rendement</w:t>
                      </w:r>
                    </w:p>
                    <w:p w14:paraId="36AF1C07" w14:textId="5C161C07" w:rsidR="001501D6" w:rsidRPr="00733F32" w:rsidRDefault="001501D6" w:rsidP="0087359D">
                      <w:pPr>
                        <w:jc w:val="center"/>
                        <w:rPr>
                          <w:sz w:val="32"/>
                          <w:szCs w:val="32"/>
                        </w:rPr>
                      </w:pPr>
                      <w:r w:rsidRPr="00733F32">
                        <w:rPr>
                          <w:sz w:val="32"/>
                          <w:szCs w:val="32"/>
                        </w:rPr>
                        <w:t>12,</w:t>
                      </w:r>
                      <w:r>
                        <w:rPr>
                          <w:sz w:val="32"/>
                          <w:szCs w:val="32"/>
                        </w:rPr>
                        <w:t>70</w:t>
                      </w:r>
                      <w:r w:rsidRPr="00733F32">
                        <w:rPr>
                          <w:sz w:val="32"/>
                          <w:szCs w:val="32"/>
                        </w:rPr>
                        <w:t xml:space="preserve"> % </w:t>
                      </w:r>
                    </w:p>
                  </w:txbxContent>
                </v:textbox>
              </v:oval>
            </w:pict>
          </mc:Fallback>
        </mc:AlternateContent>
      </w:r>
      <w:r>
        <w:rPr>
          <w:noProof/>
          <w:lang w:eastAsia="fr-FR"/>
        </w:rPr>
        <mc:AlternateContent>
          <mc:Choice Requires="wps">
            <w:drawing>
              <wp:anchor distT="0" distB="0" distL="114300" distR="114300" simplePos="0" relativeHeight="252717056" behindDoc="0" locked="0" layoutInCell="1" allowOverlap="1" wp14:anchorId="266B0E9E" wp14:editId="5E541652">
                <wp:simplePos x="0" y="0"/>
                <wp:positionH relativeFrom="column">
                  <wp:posOffset>6515100</wp:posOffset>
                </wp:positionH>
                <wp:positionV relativeFrom="paragraph">
                  <wp:posOffset>657225</wp:posOffset>
                </wp:positionV>
                <wp:extent cx="1371600" cy="1371600"/>
                <wp:effectExtent l="25400" t="25400" r="25400" b="25400"/>
                <wp:wrapNone/>
                <wp:docPr id="546" name="Ellipse 546"/>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E16B6F"/>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0450EC81" w14:textId="2F8DB67B" w:rsidR="00573C95" w:rsidRPr="00733F32" w:rsidRDefault="00573C95" w:rsidP="00733F32">
                            <w:pPr>
                              <w:jc w:val="center"/>
                              <w:rPr>
                                <w:sz w:val="20"/>
                                <w:szCs w:val="20"/>
                              </w:rPr>
                            </w:pPr>
                            <w:r w:rsidRPr="00733F32">
                              <w:rPr>
                                <w:sz w:val="20"/>
                                <w:szCs w:val="20"/>
                              </w:rPr>
                              <w:t>Rendement</w:t>
                            </w:r>
                          </w:p>
                          <w:p w14:paraId="2BF80C4C" w14:textId="565ECC7E" w:rsidR="00573C95" w:rsidRPr="00733F32" w:rsidRDefault="00573C95" w:rsidP="00733F32">
                            <w:pPr>
                              <w:jc w:val="center"/>
                              <w:rPr>
                                <w:sz w:val="32"/>
                                <w:szCs w:val="32"/>
                              </w:rPr>
                            </w:pPr>
                            <w:r w:rsidRPr="00733F32">
                              <w:rPr>
                                <w:sz w:val="32"/>
                                <w:szCs w:val="32"/>
                              </w:rPr>
                              <w:t xml:space="preserve">6,03 %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46" o:spid="_x0000_s1356" style="position:absolute;left:0;text-align:left;margin-left:513pt;margin-top:51.75pt;width:108pt;height:108pt;z-index:2527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" fillcolor="#e16b6f" strokecolor="black [3213]" strokeweight="3pt">
                <v:textbox>
                  <w:txbxContent>
                    <w:p w14:paraId="0450EC81" w14:textId="2F8DB67B" w:rsidR="001501D6" w:rsidRPr="00733F32" w:rsidRDefault="001501D6" w:rsidP="00733F32">
                      <w:pPr>
                        <w:jc w:val="center"/>
                        <w:rPr>
                          <w:sz w:val="20"/>
                          <w:szCs w:val="20"/>
                        </w:rPr>
                      </w:pPr>
                      <w:r w:rsidRPr="00733F32">
                        <w:rPr>
                          <w:sz w:val="20"/>
                          <w:szCs w:val="20"/>
                        </w:rPr>
                        <w:t>Rendement</w:t>
                      </w:r>
                    </w:p>
                    <w:p w14:paraId="2BF80C4C" w14:textId="565ECC7E" w:rsidR="001501D6" w:rsidRPr="00733F32" w:rsidRDefault="001501D6" w:rsidP="00733F32">
                      <w:pPr>
                        <w:jc w:val="center"/>
                        <w:rPr>
                          <w:sz w:val="32"/>
                          <w:szCs w:val="32"/>
                        </w:rPr>
                      </w:pPr>
                      <w:r w:rsidRPr="00733F32">
                        <w:rPr>
                          <w:sz w:val="32"/>
                          <w:szCs w:val="32"/>
                        </w:rPr>
                        <w:t xml:space="preserve">6,03 % </w:t>
                      </w:r>
                    </w:p>
                  </w:txbxContent>
                </v:textbox>
              </v:oval>
            </w:pict>
          </mc:Fallback>
        </mc:AlternateContent>
      </w:r>
      <w:r w:rsidR="005627D0">
        <w:t>Pour le même 15 000 $ reçu en héritage</w:t>
      </w:r>
      <w:r w:rsidR="00C04DB9">
        <w:t>,</w:t>
      </w:r>
      <w:r w:rsidR="005627D0">
        <w:t xml:space="preserve"> </w:t>
      </w:r>
      <w:r w:rsidR="005627D0" w:rsidRPr="005627D0">
        <w:rPr>
          <w:u w:val="single"/>
        </w:rPr>
        <w:t>il y a cinq ans</w:t>
      </w:r>
      <w:r w:rsidR="005627D0">
        <w:t>, en adoptant une attitude et des connaissances d'optimisation, Marie a su bâtir un patrimoine</w:t>
      </w:r>
      <w:r w:rsidR="00FD64B9">
        <w:t xml:space="preserve"> </w:t>
      </w:r>
      <w:proofErr w:type="gramStart"/>
      <w:r w:rsidR="005627D0">
        <w:t>retraite</w:t>
      </w:r>
      <w:proofErr w:type="gramEnd"/>
      <w:r w:rsidR="005627D0">
        <w:t xml:space="preserve"> supplémentaire beaucoup plus important que </w:t>
      </w:r>
      <w:r w:rsidR="00C04DB9">
        <w:t xml:space="preserve">celui constitué par </w:t>
      </w:r>
      <w:r w:rsidR="005627D0">
        <w:t>Jean. Imaginez l'exercice avec deux enfants! Trois!! En utilisant l'emprunt pour les années 16 et 17!!!</w:t>
      </w:r>
    </w:p>
    <w:p w14:paraId="6A21DB95" w14:textId="707B40F7" w:rsidR="005627D0" w:rsidRDefault="00176721">
      <w:r>
        <w:rPr>
          <w:noProof/>
          <w:lang w:eastAsia="fr-FR"/>
        </w:rPr>
        <mc:AlternateContent>
          <mc:Choice Requires="wps">
            <w:drawing>
              <wp:anchor distT="0" distB="0" distL="114300" distR="114300" simplePos="0" relativeHeight="252708864" behindDoc="0" locked="0" layoutInCell="1" allowOverlap="1" wp14:anchorId="7512050C" wp14:editId="431484F7">
                <wp:simplePos x="0" y="0"/>
                <wp:positionH relativeFrom="column">
                  <wp:posOffset>5257800</wp:posOffset>
                </wp:positionH>
                <wp:positionV relativeFrom="paragraph">
                  <wp:posOffset>24130</wp:posOffset>
                </wp:positionV>
                <wp:extent cx="1600200" cy="1600200"/>
                <wp:effectExtent l="25400" t="25400" r="25400" b="25400"/>
                <wp:wrapNone/>
                <wp:docPr id="542" name="Ellipse 542"/>
                <wp:cNvGraphicFramePr/>
                <a:graphic xmlns:a="http://schemas.openxmlformats.org/drawingml/2006/main">
                  <a:graphicData uri="http://schemas.microsoft.com/office/word/2010/wordprocessingShape">
                    <wps:wsp>
                      <wps:cNvSpPr/>
                      <wps:spPr>
                        <a:xfrm>
                          <a:off x="0" y="0"/>
                          <a:ext cx="1600200" cy="1600200"/>
                        </a:xfrm>
                        <a:prstGeom prst="ellipse">
                          <a:avLst/>
                        </a:prstGeom>
                        <a:solidFill>
                          <a:srgbClr val="E16B6F"/>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367CFCAA" w14:textId="77777777" w:rsidR="00573C95" w:rsidRDefault="00573C95" w:rsidP="005627D0">
                            <w:pPr>
                              <w:jc w:val="center"/>
                            </w:pPr>
                            <w:r>
                              <w:t>Capital de Jean</w:t>
                            </w:r>
                          </w:p>
                          <w:p w14:paraId="3B41FA3C" w14:textId="77777777" w:rsidR="00573C95" w:rsidRDefault="00573C95" w:rsidP="005627D0">
                            <w:pPr>
                              <w:jc w:val="center"/>
                            </w:pPr>
                          </w:p>
                          <w:p w14:paraId="3031D361" w14:textId="6D29B639" w:rsidR="00573C95" w:rsidRPr="0087359D" w:rsidRDefault="00573C95" w:rsidP="005627D0">
                            <w:pPr>
                              <w:jc w:val="center"/>
                              <w:rPr>
                                <w:sz w:val="36"/>
                                <w:szCs w:val="36"/>
                              </w:rPr>
                            </w:pPr>
                            <w:r w:rsidRPr="0087359D">
                              <w:rPr>
                                <w:sz w:val="36"/>
                                <w:szCs w:val="36"/>
                              </w:rPr>
                              <w:t xml:space="preserve">20 101 $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42" o:spid="_x0000_s1357" style="position:absolute;margin-left:414pt;margin-top:1.9pt;width:126pt;height:126pt;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" fillcolor="#e16b6f" strokecolor="black [3213]" strokeweight="3pt">
                <v:textbox>
                  <w:txbxContent>
                    <w:p w14:paraId="367CFCAA" w14:textId="77777777" w:rsidR="001501D6" w:rsidRDefault="001501D6" w:rsidP="005627D0">
                      <w:pPr>
                        <w:jc w:val="center"/>
                      </w:pPr>
                      <w:r>
                        <w:t>Capital de Jean</w:t>
                      </w:r>
                    </w:p>
                    <w:p w14:paraId="3B41FA3C" w14:textId="77777777" w:rsidR="001501D6" w:rsidRDefault="001501D6" w:rsidP="005627D0">
                      <w:pPr>
                        <w:jc w:val="center"/>
                      </w:pPr>
                    </w:p>
                    <w:p w14:paraId="3031D361" w14:textId="6D29B639" w:rsidR="001501D6" w:rsidRPr="0087359D" w:rsidRDefault="001501D6" w:rsidP="005627D0">
                      <w:pPr>
                        <w:jc w:val="center"/>
                        <w:rPr>
                          <w:sz w:val="36"/>
                          <w:szCs w:val="36"/>
                        </w:rPr>
                      </w:pPr>
                      <w:r w:rsidRPr="0087359D">
                        <w:rPr>
                          <w:sz w:val="36"/>
                          <w:szCs w:val="36"/>
                        </w:rPr>
                        <w:t xml:space="preserve">20 101 $ </w:t>
                      </w:r>
                    </w:p>
                  </w:txbxContent>
                </v:textbox>
              </v:oval>
            </w:pict>
          </mc:Fallback>
        </mc:AlternateContent>
      </w:r>
      <w:r>
        <w:rPr>
          <w:noProof/>
          <w:lang w:eastAsia="fr-FR"/>
        </w:rPr>
        <mc:AlternateContent>
          <mc:Choice Requires="wps">
            <w:drawing>
              <wp:anchor distT="0" distB="0" distL="114300" distR="114300" simplePos="0" relativeHeight="252706816" behindDoc="0" locked="0" layoutInCell="1" allowOverlap="1" wp14:anchorId="11E4F5C6" wp14:editId="43784163">
                <wp:simplePos x="0" y="0"/>
                <wp:positionH relativeFrom="column">
                  <wp:posOffset>1257300</wp:posOffset>
                </wp:positionH>
                <wp:positionV relativeFrom="paragraph">
                  <wp:posOffset>24130</wp:posOffset>
                </wp:positionV>
                <wp:extent cx="1591945" cy="1600200"/>
                <wp:effectExtent l="25400" t="25400" r="33655" b="25400"/>
                <wp:wrapNone/>
                <wp:docPr id="541" name="Ellipse 541"/>
                <wp:cNvGraphicFramePr/>
                <a:graphic xmlns:a="http://schemas.openxmlformats.org/drawingml/2006/main">
                  <a:graphicData uri="http://schemas.microsoft.com/office/word/2010/wordprocessingShape">
                    <wps:wsp>
                      <wps:cNvSpPr/>
                      <wps:spPr>
                        <a:xfrm>
                          <a:off x="0" y="0"/>
                          <a:ext cx="1591945" cy="1600200"/>
                        </a:xfrm>
                        <a:prstGeom prst="ellipse">
                          <a:avLst/>
                        </a:prstGeom>
                        <a:solidFill>
                          <a:srgbClr val="BCE1D2"/>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6C1CC81F" w14:textId="77777777" w:rsidR="00573C95" w:rsidRDefault="00573C95" w:rsidP="005627D0">
                            <w:pPr>
                              <w:jc w:val="center"/>
                            </w:pPr>
                            <w:r>
                              <w:t>Capital de Marie</w:t>
                            </w:r>
                          </w:p>
                          <w:p w14:paraId="4A155E6F" w14:textId="77777777" w:rsidR="00573C95" w:rsidRDefault="00573C95" w:rsidP="005627D0">
                            <w:pPr>
                              <w:jc w:val="center"/>
                            </w:pPr>
                          </w:p>
                          <w:p w14:paraId="29967703" w14:textId="5F845039" w:rsidR="00573C95" w:rsidRPr="0087359D" w:rsidRDefault="00573C95" w:rsidP="005627D0">
                            <w:pPr>
                              <w:jc w:val="center"/>
                              <w:rPr>
                                <w:sz w:val="36"/>
                                <w:szCs w:val="36"/>
                              </w:rPr>
                            </w:pPr>
                            <w:r w:rsidRPr="0087359D">
                              <w:rPr>
                                <w:sz w:val="36"/>
                                <w:szCs w:val="36"/>
                              </w:rPr>
                              <w:t xml:space="preserve">27 </w:t>
                            </w:r>
                            <w:r>
                              <w:rPr>
                                <w:sz w:val="36"/>
                                <w:szCs w:val="36"/>
                              </w:rPr>
                              <w:t>273</w:t>
                            </w:r>
                            <w:r w:rsidRPr="0087359D">
                              <w:rPr>
                                <w:sz w:val="36"/>
                                <w:szCs w:val="36"/>
                              </w:rPr>
                              <w:t xml:space="preserve">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41" o:spid="_x0000_s1358" style="position:absolute;margin-left:99pt;margin-top:1.9pt;width:125.35pt;height:126pt;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" fillcolor="#bce1d2" strokecolor="black [3213]" strokeweight="3pt">
                <v:textbox>
                  <w:txbxContent>
                    <w:p w14:paraId="6C1CC81F" w14:textId="77777777" w:rsidR="001501D6" w:rsidRDefault="001501D6" w:rsidP="005627D0">
                      <w:pPr>
                        <w:jc w:val="center"/>
                      </w:pPr>
                      <w:r>
                        <w:t>Capital de Marie</w:t>
                      </w:r>
                    </w:p>
                    <w:p w14:paraId="4A155E6F" w14:textId="77777777" w:rsidR="001501D6" w:rsidRDefault="001501D6" w:rsidP="005627D0">
                      <w:pPr>
                        <w:jc w:val="center"/>
                      </w:pPr>
                    </w:p>
                    <w:p w14:paraId="29967703" w14:textId="5F845039" w:rsidR="001501D6" w:rsidRPr="0087359D" w:rsidRDefault="001501D6" w:rsidP="005627D0">
                      <w:pPr>
                        <w:jc w:val="center"/>
                        <w:rPr>
                          <w:sz w:val="36"/>
                          <w:szCs w:val="36"/>
                        </w:rPr>
                      </w:pPr>
                      <w:r w:rsidRPr="0087359D">
                        <w:rPr>
                          <w:sz w:val="36"/>
                          <w:szCs w:val="36"/>
                        </w:rPr>
                        <w:t xml:space="preserve">27 </w:t>
                      </w:r>
                      <w:r>
                        <w:rPr>
                          <w:sz w:val="36"/>
                          <w:szCs w:val="36"/>
                        </w:rPr>
                        <w:t>273</w:t>
                      </w:r>
                      <w:r w:rsidRPr="0087359D">
                        <w:rPr>
                          <w:sz w:val="36"/>
                          <w:szCs w:val="36"/>
                        </w:rPr>
                        <w:t xml:space="preserve"> $ </w:t>
                      </w:r>
                    </w:p>
                  </w:txbxContent>
                </v:textbox>
              </v:oval>
            </w:pict>
          </mc:Fallback>
        </mc:AlternateContent>
      </w:r>
    </w:p>
    <w:p w14:paraId="60B9D515" w14:textId="39E629C6" w:rsidR="00171227" w:rsidRDefault="005627D0">
      <w:r>
        <w:t xml:space="preserve"> </w:t>
      </w:r>
    </w:p>
    <w:p w14:paraId="627284EA" w14:textId="7201D413" w:rsidR="00171227" w:rsidRDefault="00176721">
      <w:r>
        <w:rPr>
          <w:noProof/>
          <w:lang w:eastAsia="fr-FR"/>
        </w:rPr>
        <mc:AlternateContent>
          <mc:Choice Requires="wps">
            <w:drawing>
              <wp:anchor distT="0" distB="0" distL="114300" distR="114300" simplePos="0" relativeHeight="252710912" behindDoc="0" locked="0" layoutInCell="1" allowOverlap="1" wp14:anchorId="0A9DC915" wp14:editId="227A2923">
                <wp:simplePos x="0" y="0"/>
                <wp:positionH relativeFrom="column">
                  <wp:posOffset>3660775</wp:posOffset>
                </wp:positionH>
                <wp:positionV relativeFrom="paragraph">
                  <wp:posOffset>110490</wp:posOffset>
                </wp:positionV>
                <wp:extent cx="571500" cy="571500"/>
                <wp:effectExtent l="0" t="228600" r="190500" b="241300"/>
                <wp:wrapThrough wrapText="bothSides">
                  <wp:wrapPolygon edited="0">
                    <wp:start x="26521" y="22438"/>
                    <wp:lineTo x="27725" y="18317"/>
                    <wp:lineTo x="5857" y="-3280"/>
                    <wp:lineTo x="-978" y="-4382"/>
                    <wp:lineTo x="-4242" y="-863"/>
                    <wp:lineTo x="-3488" y="1146"/>
                    <wp:lineTo x="-3937" y="7277"/>
                    <wp:lineTo x="90" y="24108"/>
                    <wp:lineTo x="794" y="24761"/>
                    <wp:lineTo x="23256" y="25957"/>
                    <wp:lineTo x="26521" y="22438"/>
                  </wp:wrapPolygon>
                </wp:wrapThrough>
                <wp:docPr id="543" name="Forme en L 543"/>
                <wp:cNvGraphicFramePr/>
                <a:graphic xmlns:a="http://schemas.openxmlformats.org/drawingml/2006/main">
                  <a:graphicData uri="http://schemas.microsoft.com/office/word/2010/wordprocessingShape">
                    <wps:wsp>
                      <wps:cNvSpPr/>
                      <wps:spPr>
                        <a:xfrm rot="13628820">
                          <a:off x="0" y="0"/>
                          <a:ext cx="571500" cy="571500"/>
                        </a:xfrm>
                        <a:prstGeom prst="corner">
                          <a:avLst>
                            <a:gd name="adj1" fmla="val 19177"/>
                            <a:gd name="adj2" fmla="val 19116"/>
                          </a:avLst>
                        </a:prstGeom>
                        <a:solidFill>
                          <a:schemeClr val="tx1"/>
                        </a:solidFill>
                        <a:ln w="76200" cmpd="sng">
                          <a:solidFill>
                            <a:srgbClr val="BCE1D2"/>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orme en L 543" o:spid="_x0000_s1026" style="position:absolute;margin-left:288.25pt;margin-top:8.7pt;width:45pt;height:45pt;rotation:-8706654fd;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71500,571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" path="m0,0l109248,,109248,461903,571500,461903,571500,571500,,571500,,0xe" fillcolor="black [3213]" strokecolor="#bce1d2" strokeweight="6pt">
                <v:path arrowok="t" o:connecttype="custom" o:connectlocs="0,0;109248,0;109248,461903;571500,461903;571500,571500;0,571500;0,0" o:connectangles="0,0,0,0,0,0,0"/>
                <w10:wrap type="through"/>
              </v:shape>
            </w:pict>
          </mc:Fallback>
        </mc:AlternateContent>
      </w:r>
    </w:p>
    <w:p w14:paraId="5E61F0FA" w14:textId="6F282434" w:rsidR="00171227" w:rsidRDefault="00171227"/>
    <w:p w14:paraId="6E669D34" w14:textId="258C36B0" w:rsidR="00171227" w:rsidRDefault="00171227"/>
    <w:p w14:paraId="71A9D3CA" w14:textId="77777777" w:rsidR="00171227" w:rsidRDefault="00171227"/>
    <w:p w14:paraId="717A7D06" w14:textId="77777777" w:rsidR="00475CB2" w:rsidRDefault="00475CB2"/>
    <w:p w14:paraId="63AB9D92" w14:textId="57A304CD" w:rsidR="00171227" w:rsidRDefault="00171227">
      <w:pPr>
        <w:rPr>
          <w:rFonts w:ascii="Avenir Book" w:hAnsi="Avenir Book"/>
        </w:rPr>
      </w:pPr>
      <w:r>
        <w:t>Avez-vous suivi la piste des flux monétaires</w:t>
      </w:r>
      <w:r w:rsidR="007D6375">
        <w:t xml:space="preserve"> </w:t>
      </w:r>
      <w:r w:rsidRPr="007D6375">
        <w:rPr>
          <w:rFonts w:ascii="Avenir Book" w:hAnsi="Avenir Book"/>
        </w:rPr>
        <w:t>?</w:t>
      </w:r>
    </w:p>
    <w:p w14:paraId="483107CB" w14:textId="77777777" w:rsidR="00555F32" w:rsidRDefault="00555F32"/>
    <w:p w14:paraId="4577A378" w14:textId="23FC111A" w:rsidR="00B658BD" w:rsidRDefault="00B658BD">
      <w:r w:rsidRPr="00171817">
        <w:rPr>
          <w:rFonts w:asciiTheme="majorHAnsi" w:hAnsiTheme="majorHAnsi"/>
          <w:noProof/>
          <w:lang w:eastAsia="fr-FR"/>
        </w:rPr>
        <w:drawing>
          <wp:anchor distT="0" distB="0" distL="114300" distR="114300" simplePos="0" relativeHeight="252712960" behindDoc="0" locked="0" layoutInCell="1" allowOverlap="1" wp14:anchorId="18F2D487" wp14:editId="4F9DAE97">
            <wp:simplePos x="0" y="0"/>
            <wp:positionH relativeFrom="column">
              <wp:posOffset>8115300</wp:posOffset>
            </wp:positionH>
            <wp:positionV relativeFrom="paragraph">
              <wp:posOffset>26035</wp:posOffset>
            </wp:positionV>
            <wp:extent cx="685800" cy="741045"/>
            <wp:effectExtent l="0" t="0" r="0" b="0"/>
            <wp:wrapNone/>
            <wp:docPr id="544" name="Image 544" descr="Macintosh HD:Users:marcbachand:Desktop:logo_WIKI_FISCx180 - copie.pn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71227">
        <w:t>De quelle façon les placements temporaires au</w:t>
      </w:r>
      <w:r>
        <w:t xml:space="preserve"> CÉLI de Marie ont été intégrés aux calculs</w:t>
      </w:r>
      <w:r w:rsidR="007D6375">
        <w:t xml:space="preserve"> </w:t>
      </w:r>
      <w:r w:rsidRPr="007D6375">
        <w:rPr>
          <w:rFonts w:ascii="Avenir Book" w:hAnsi="Avenir Book"/>
        </w:rPr>
        <w:t>?</w:t>
      </w:r>
    </w:p>
    <w:p w14:paraId="1DD3BC85" w14:textId="77777777" w:rsidR="00B658BD" w:rsidRDefault="00B658BD"/>
    <w:p w14:paraId="4151D75A" w14:textId="39111735" w:rsidR="00FA70F8" w:rsidRDefault="00B658BD">
      <w:r>
        <w:t xml:space="preserve">Pour discuter de ces questions ou pour débattre de la méthodologie employée, rendez-vous des </w:t>
      </w:r>
      <w:r w:rsidR="00733F32" w:rsidRPr="00733F32">
        <w:rPr>
          <w:color w:val="FF6700" w:themeColor="accent3"/>
        </w:rPr>
        <w:t>TENACES</w:t>
      </w:r>
      <w:r>
        <w:t xml:space="preserve"> sur </w:t>
      </w:r>
    </w:p>
    <w:p w14:paraId="61BFE2CA" w14:textId="4F98F120" w:rsidR="00697857" w:rsidRDefault="00697857" w:rsidP="00697857">
      <w:r>
        <w:t xml:space="preserve">Un </w:t>
      </w:r>
      <w:r w:rsidR="00D16FEC">
        <w:t xml:space="preserve">autre </w:t>
      </w:r>
      <w:r>
        <w:t>exemple d'optimisation du REÉÉ est expliqué dans la prochaine capsule vidéo.</w:t>
      </w:r>
    </w:p>
    <w:p w14:paraId="196C5061" w14:textId="77777777" w:rsidR="00697857" w:rsidRDefault="00697857" w:rsidP="00697857"/>
    <w:p w14:paraId="6B54496A" w14:textId="1D3C0D5F" w:rsidR="00697857" w:rsidRDefault="00697857" w:rsidP="00697857">
      <w:r w:rsidRPr="000D12A4">
        <w:rPr>
          <w:noProof/>
          <w:color w:val="AF0013"/>
          <w:lang w:eastAsia="fr-FR"/>
        </w:rPr>
        <w:drawing>
          <wp:anchor distT="0" distB="0" distL="114300" distR="114300" simplePos="0" relativeHeight="252686336" behindDoc="0" locked="0" layoutInCell="1" allowOverlap="1" wp14:anchorId="087EA9FF" wp14:editId="79745F48">
            <wp:simplePos x="0" y="0"/>
            <wp:positionH relativeFrom="column">
              <wp:posOffset>2743200</wp:posOffset>
            </wp:positionH>
            <wp:positionV relativeFrom="paragraph">
              <wp:posOffset>156210</wp:posOffset>
            </wp:positionV>
            <wp:extent cx="579120" cy="571500"/>
            <wp:effectExtent l="0" t="0" r="5080" b="12700"/>
            <wp:wrapNone/>
            <wp:docPr id="531" name="Image 531">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915FD8" w14:textId="150934D2" w:rsidR="00697857" w:rsidRDefault="00697857" w:rsidP="00697857"/>
    <w:p w14:paraId="022901E8" w14:textId="32DA3D74" w:rsidR="00C10B20" w:rsidRPr="00376E9C" w:rsidRDefault="00573C95" w:rsidP="00686EFA">
      <w:pPr>
        <w:rPr>
          <w:color w:val="AF0013"/>
        </w:rPr>
      </w:pPr>
      <w:hyperlink r:id="rId135" w:history="1">
        <w:r w:rsidR="00090FF0" w:rsidRPr="00376E9C">
          <w:rPr>
            <w:rStyle w:val="Lienhypertexte"/>
            <w:color w:val="AF0013"/>
          </w:rPr>
          <w:t>Capsule 7-14 Optimisation du REÉÉ</w:t>
        </w:r>
      </w:hyperlink>
    </w:p>
    <w:p w14:paraId="2CE8FADF" w14:textId="7E1C70FD" w:rsidR="00C660D8" w:rsidRDefault="00C660D8" w:rsidP="00C660D8">
      <w:pPr>
        <w:tabs>
          <w:tab w:val="left" w:pos="525"/>
        </w:tabs>
        <w:rPr>
          <w:rFonts w:asciiTheme="majorHAnsi" w:eastAsiaTheme="majorEastAsia" w:hAnsiTheme="majorHAnsi" w:cstheme="majorBidi"/>
          <w:b/>
          <w:bCs/>
          <w:color w:val="6E9400" w:themeColor="accent1" w:themeShade="BF"/>
          <w:sz w:val="28"/>
          <w:szCs w:val="26"/>
        </w:rPr>
      </w:pPr>
      <w:r>
        <w:rPr>
          <w:rFonts w:asciiTheme="majorHAnsi" w:eastAsiaTheme="majorEastAsia" w:hAnsiTheme="majorHAnsi" w:cstheme="majorBidi"/>
          <w:b/>
          <w:bCs/>
          <w:color w:val="6E9400" w:themeColor="accent1" w:themeShade="BF"/>
          <w:sz w:val="28"/>
          <w:szCs w:val="26"/>
        </w:rPr>
        <w:tab/>
      </w:r>
    </w:p>
    <w:p w14:paraId="1902D52D" w14:textId="77777777" w:rsidR="00BB0D30" w:rsidRDefault="00BB0D30" w:rsidP="00C660D8">
      <w:pPr>
        <w:tabs>
          <w:tab w:val="left" w:pos="525"/>
        </w:tabs>
        <w:rPr>
          <w:rFonts w:asciiTheme="majorHAnsi" w:eastAsiaTheme="majorEastAsia" w:hAnsiTheme="majorHAnsi" w:cstheme="majorBidi"/>
          <w:b/>
          <w:bCs/>
          <w:color w:val="6E9400" w:themeColor="accent1" w:themeShade="BF"/>
          <w:sz w:val="28"/>
          <w:szCs w:val="26"/>
        </w:rPr>
      </w:pPr>
    </w:p>
    <w:p w14:paraId="6664F919" w14:textId="775C59AB" w:rsidR="00686EFA" w:rsidRDefault="00686EFA" w:rsidP="006C34CF">
      <w:pPr>
        <w:pStyle w:val="Titre2"/>
        <w:numPr>
          <w:ilvl w:val="1"/>
          <w:numId w:val="63"/>
        </w:numPr>
      </w:pPr>
      <w:bookmarkStart w:id="118" w:name="_Toc314397866"/>
      <w:bookmarkStart w:id="119" w:name="_Toc443569410"/>
      <w:r>
        <w:t>Conclusion</w:t>
      </w:r>
      <w:r w:rsidR="00DA79B5">
        <w:t xml:space="preserve"> et optimisation</w:t>
      </w:r>
      <w:bookmarkEnd w:id="118"/>
      <w:bookmarkEnd w:id="119"/>
    </w:p>
    <w:p w14:paraId="26944BD3" w14:textId="77777777" w:rsidR="00D774CD" w:rsidRDefault="00D774CD" w:rsidP="00D774CD"/>
    <w:p w14:paraId="222DA31D" w14:textId="3464E386" w:rsidR="00D774CD" w:rsidRDefault="00D774CD" w:rsidP="00D405B4">
      <w:pPr>
        <w:jc w:val="both"/>
      </w:pPr>
      <w:r>
        <w:t xml:space="preserve">Nous venons de parcourir l'étude des trois abris fiscaux les plus courants et les plus accessibles aux individus </w:t>
      </w:r>
      <w:r w:rsidR="00D405B4">
        <w:t xml:space="preserve">qui désirent </w:t>
      </w:r>
      <w:r>
        <w:t xml:space="preserve">faire fructifier leur épargne. Pour la très grande majorité de la </w:t>
      </w:r>
      <w:r w:rsidR="00581F3F">
        <w:t>population,</w:t>
      </w:r>
      <w:r>
        <w:t xml:space="preserve"> les choix qu'ils auront à faire en </w:t>
      </w:r>
      <w:r w:rsidR="00D405B4">
        <w:t xml:space="preserve">matière de logement de l'épargne personnelle se limiteront à prioriser le REÉR, le CÉLI ou le REÉÉ. Tout en précisant, à l'aide d'un conseiller, leur profil d'investisseur qui leur </w:t>
      </w:r>
      <w:r w:rsidR="00580177">
        <w:t xml:space="preserve">à son </w:t>
      </w:r>
      <w:r w:rsidR="00D405B4">
        <w:t xml:space="preserve">tour dictera la composition du portefeuille de placements, selon la tranche de vie dans laquelle les épargnants évolueront. Nul besoin pour ceux-ci de </w:t>
      </w:r>
      <w:r w:rsidR="005478A8">
        <w:t>débattre de grands sujets</w:t>
      </w:r>
      <w:r w:rsidR="00580177">
        <w:t xml:space="preserve"> (qui savent impressionner lors de 5 à 7)</w:t>
      </w:r>
      <w:r w:rsidR="005478A8">
        <w:t xml:space="preserve"> ou d'occasions d'investissement (actions accréditives, "Hedge Fund", immobilier, sociétés en commandite, fiducies de revenus, assurance-vie universelle, etc.) qu'ils ne maîtriseront pas et qui par la confusion qu'ils sèmeront pourr</w:t>
      </w:r>
      <w:r w:rsidR="00580177">
        <w:t>ont</w:t>
      </w:r>
      <w:r w:rsidR="005478A8">
        <w:t xml:space="preserve"> s'avérer un amalgame de "fausses bonnes idées". </w:t>
      </w:r>
      <w:r w:rsidR="00D405B4">
        <w:t xml:space="preserve">   </w:t>
      </w:r>
      <w:r>
        <w:t xml:space="preserve"> </w:t>
      </w:r>
    </w:p>
    <w:p w14:paraId="35649FEE" w14:textId="77777777" w:rsidR="00DB241E" w:rsidRPr="00D774CD" w:rsidRDefault="00DB241E" w:rsidP="00D405B4">
      <w:pPr>
        <w:jc w:val="both"/>
      </w:pPr>
    </w:p>
    <w:p w14:paraId="5CB05F2F" w14:textId="40067838" w:rsidR="004E0BDA" w:rsidRDefault="00275B4C" w:rsidP="006C34CF">
      <w:pPr>
        <w:pStyle w:val="Titre3"/>
        <w:numPr>
          <w:ilvl w:val="2"/>
          <w:numId w:val="68"/>
        </w:numPr>
      </w:pPr>
      <w:bookmarkStart w:id="120" w:name="_Toc314397867"/>
      <w:bookmarkStart w:id="121" w:name="_Toc443569411"/>
      <w:r>
        <w:t>REÉR, CÉLI ou REÉÉ</w:t>
      </w:r>
      <w:bookmarkEnd w:id="120"/>
      <w:bookmarkEnd w:id="121"/>
    </w:p>
    <w:p w14:paraId="1C5E2086" w14:textId="77777777" w:rsidR="00B8499C" w:rsidRDefault="00B8499C" w:rsidP="00B8499C"/>
    <w:p w14:paraId="3FD00BF7" w14:textId="77777777" w:rsidR="00C17944" w:rsidRDefault="00033837" w:rsidP="00033837">
      <w:pPr>
        <w:jc w:val="both"/>
      </w:pPr>
      <w:r>
        <w:t xml:space="preserve">Tout juste avant de conclure sur la priorisation des véhicules fiscaux de placements, rappelons-nous que la seule et véritable priorité que les contribuables devraient se donner est celle de tout d'abord, </w:t>
      </w:r>
      <w:r w:rsidRPr="00033837">
        <w:rPr>
          <w:color w:val="FF6700" w:themeColor="accent3"/>
        </w:rPr>
        <w:t xml:space="preserve">ÉPARGNER, ET </w:t>
      </w:r>
      <w:r w:rsidRPr="00033837">
        <w:rPr>
          <w:color w:val="FF6700" w:themeColor="accent3"/>
        </w:rPr>
        <w:lastRenderedPageBreak/>
        <w:t>ÉPARGNER LE PLUS TÔT POSSIBLE</w:t>
      </w:r>
      <w:r>
        <w:t xml:space="preserve">. </w:t>
      </w:r>
      <w:r w:rsidR="006A10DD">
        <w:t xml:space="preserve">C'est l'amorce de toute planification de la retraite. </w:t>
      </w:r>
      <w:r>
        <w:t xml:space="preserve">Tous ont déjà lu, vu, entendu, que par l'effet des rendements composés, il est possible de bâtir un capital </w:t>
      </w:r>
      <w:r w:rsidR="006A10DD">
        <w:t xml:space="preserve">de </w:t>
      </w:r>
      <w:r>
        <w:t xml:space="preserve">retraite plus important en investissant moins, mais tôt, qu'en investissant plus, mais tard. </w:t>
      </w:r>
    </w:p>
    <w:p w14:paraId="52026B40" w14:textId="77777777" w:rsidR="00475CB2" w:rsidRDefault="00475CB2" w:rsidP="00033837">
      <w:pPr>
        <w:jc w:val="both"/>
      </w:pPr>
    </w:p>
    <w:p w14:paraId="1D50A153" w14:textId="3173F759" w:rsidR="00190891" w:rsidRDefault="00190891" w:rsidP="006C34CF">
      <w:pPr>
        <w:pStyle w:val="Titre4"/>
        <w:numPr>
          <w:ilvl w:val="3"/>
          <w:numId w:val="69"/>
        </w:numPr>
      </w:pPr>
      <w:bookmarkStart w:id="122" w:name="_Toc314397868"/>
      <w:bookmarkStart w:id="123" w:name="_Toc443569412"/>
      <w:r>
        <w:t>L'épargne hâtive</w:t>
      </w:r>
      <w:bookmarkEnd w:id="122"/>
      <w:bookmarkEnd w:id="123"/>
    </w:p>
    <w:p w14:paraId="7DFE91DA" w14:textId="77777777" w:rsidR="00190891" w:rsidRPr="00190891" w:rsidRDefault="00190891" w:rsidP="00190891"/>
    <w:p w14:paraId="22BCD2D6" w14:textId="1D79582F" w:rsidR="00DB241E" w:rsidRDefault="00033837" w:rsidP="00033837">
      <w:pPr>
        <w:jc w:val="both"/>
      </w:pPr>
      <w:r>
        <w:t xml:space="preserve">Nous allons présenter deux scénarios pour illustrer </w:t>
      </w:r>
      <w:r w:rsidR="00190891">
        <w:t xml:space="preserve">l'importance d'épargner tôt afin de bénéficier au maximum de l'effet des rendements composés. </w:t>
      </w:r>
      <w:r w:rsidR="009D04ED">
        <w:t>Ce</w:t>
      </w:r>
      <w:r w:rsidR="00851E7D">
        <w:t>tte règle d'or</w:t>
      </w:r>
      <w:r w:rsidR="00DB241E">
        <w:t xml:space="preserve"> est bien connue. La </w:t>
      </w:r>
      <w:r w:rsidR="00DB241E" w:rsidRPr="00DB241E">
        <w:rPr>
          <w:color w:val="FF6700" w:themeColor="accent3"/>
        </w:rPr>
        <w:t>RÈGLE DU 72</w:t>
      </w:r>
      <w:r w:rsidR="00DB241E">
        <w:t xml:space="preserve"> en est une expression simple et imagée.</w:t>
      </w:r>
    </w:p>
    <w:p w14:paraId="7C10F3DF" w14:textId="77777777" w:rsidR="00DB241E" w:rsidRDefault="00DB241E" w:rsidP="00033837">
      <w:pPr>
        <w:jc w:val="both"/>
      </w:pPr>
    </w:p>
    <w:p w14:paraId="57CE4DA6" w14:textId="5E79DB53" w:rsidR="00DB241E" w:rsidRDefault="00DB241E" w:rsidP="00DB241E">
      <w:pPr>
        <w:jc w:val="both"/>
      </w:pPr>
      <w:r>
        <w:t>"</w:t>
      </w:r>
      <w:r w:rsidRPr="00DB241E">
        <w:t>Comment ça fonctionne</w:t>
      </w:r>
      <w:r w:rsidR="0092270B">
        <w:t xml:space="preserve"> </w:t>
      </w:r>
      <w:r w:rsidRPr="0092270B">
        <w:rPr>
          <w:rFonts w:ascii="Avenir Book" w:hAnsi="Avenir Book"/>
        </w:rPr>
        <w:t>?</w:t>
      </w:r>
      <w:r w:rsidRPr="00DB241E">
        <w:t xml:space="preserve">  </w:t>
      </w:r>
      <w:r w:rsidR="00EE7E4F">
        <w:t>Il faut</w:t>
      </w:r>
      <w:r w:rsidRPr="00DB241E">
        <w:t xml:space="preserve"> connaître le taux applicable </w:t>
      </w:r>
      <w:r w:rsidR="00EE7E4F">
        <w:t>au</w:t>
      </w:r>
      <w:r w:rsidRPr="00DB241E">
        <w:t xml:space="preserve"> rendement d</w:t>
      </w:r>
      <w:r w:rsidR="00EE7E4F">
        <w:t>u</w:t>
      </w:r>
      <w:r w:rsidRPr="00DB241E">
        <w:t xml:space="preserve"> placement. </w:t>
      </w:r>
      <w:r w:rsidR="00EE7E4F">
        <w:t>Par la suite, nous d</w:t>
      </w:r>
      <w:r w:rsidRPr="00DB241E">
        <w:t>ivis</w:t>
      </w:r>
      <w:r w:rsidR="00EE7E4F">
        <w:t>ons</w:t>
      </w:r>
      <w:r w:rsidRPr="00DB241E">
        <w:t xml:space="preserve"> le nombre 72 par le taux d</w:t>
      </w:r>
      <w:r w:rsidR="00EE7E4F">
        <w:t xml:space="preserve">e rendement </w:t>
      </w:r>
      <w:r w:rsidRPr="00DB241E">
        <w:t>obtenu p</w:t>
      </w:r>
      <w:r w:rsidR="00EE7E4F">
        <w:t>ar le</w:t>
      </w:r>
      <w:r w:rsidRPr="00DB241E">
        <w:t xml:space="preserve"> placement. Par exemple, </w:t>
      </w:r>
      <w:r w:rsidR="00EE7E4F">
        <w:t>nous a</w:t>
      </w:r>
      <w:r w:rsidRPr="00DB241E">
        <w:t>vo</w:t>
      </w:r>
      <w:r w:rsidR="00EE7E4F">
        <w:t>n</w:t>
      </w:r>
      <w:r w:rsidRPr="00DB241E">
        <w:t xml:space="preserve">s épargné </w:t>
      </w:r>
      <w:r w:rsidR="0092270B">
        <w:t xml:space="preserve">une somme de </w:t>
      </w:r>
      <w:r w:rsidRPr="00DB241E">
        <w:t>5 000 $ et souhait</w:t>
      </w:r>
      <w:r w:rsidR="00EE7E4F">
        <w:t>ons</w:t>
      </w:r>
      <w:r w:rsidRPr="00DB241E">
        <w:t xml:space="preserve"> l’investir. Dans combien d’années pouv</w:t>
      </w:r>
      <w:r w:rsidR="00EE7E4F">
        <w:t>ons</w:t>
      </w:r>
      <w:r w:rsidRPr="00DB241E">
        <w:t>-</w:t>
      </w:r>
      <w:r w:rsidR="00EE7E4F">
        <w:t>nous</w:t>
      </w:r>
      <w:r w:rsidRPr="00DB241E">
        <w:t xml:space="preserve"> espérer</w:t>
      </w:r>
      <w:r w:rsidR="00EE7E4F">
        <w:t xml:space="preserve"> </w:t>
      </w:r>
      <w:r w:rsidRPr="00DB241E">
        <w:t>doubl</w:t>
      </w:r>
      <w:r w:rsidR="00EE7E4F">
        <w:t>er</w:t>
      </w:r>
      <w:r w:rsidRPr="00DB241E">
        <w:t xml:space="preserve"> </w:t>
      </w:r>
      <w:r w:rsidR="00EE7E4F">
        <w:t xml:space="preserve">la valeur du </w:t>
      </w:r>
      <w:r w:rsidRPr="00DB241E">
        <w:t xml:space="preserve">placement initial </w:t>
      </w:r>
      <w:r w:rsidRPr="0092270B">
        <w:rPr>
          <w:rFonts w:ascii="Avenir Book" w:hAnsi="Avenir Book"/>
        </w:rPr>
        <w:t>?</w:t>
      </w:r>
      <w:r w:rsidRPr="00DB241E">
        <w:t xml:space="preserve"> Si l</w:t>
      </w:r>
      <w:r w:rsidR="00EE7E4F">
        <w:t>e rendement du</w:t>
      </w:r>
      <w:r w:rsidRPr="00DB241E">
        <w:t xml:space="preserve"> placement est de 4 %, il faudra </w:t>
      </w:r>
      <w:r w:rsidR="00EE7E4F">
        <w:t>alors</w:t>
      </w:r>
      <w:r w:rsidRPr="00DB241E">
        <w:t xml:space="preserve"> 18 ans (72 divisé par 4) pour doubler </w:t>
      </w:r>
      <w:r w:rsidR="00EE7E4F">
        <w:t>la</w:t>
      </w:r>
      <w:r w:rsidRPr="00DB241E">
        <w:t xml:space="preserve"> mise et avoir une somme d’environ 10 000 $.</w:t>
      </w:r>
    </w:p>
    <w:p w14:paraId="3D5164F9" w14:textId="77777777" w:rsidR="00DB241E" w:rsidRPr="00DB241E" w:rsidRDefault="00DB241E" w:rsidP="00DB241E">
      <w:pPr>
        <w:jc w:val="both"/>
      </w:pPr>
    </w:p>
    <w:p w14:paraId="2085D011" w14:textId="44C971E8" w:rsidR="00DB241E" w:rsidRDefault="00DB241E" w:rsidP="00DB241E">
      <w:pPr>
        <w:jc w:val="both"/>
      </w:pPr>
      <w:r w:rsidRPr="00DB241E">
        <w:t xml:space="preserve">Cette méthode simple de calcul peut </w:t>
      </w:r>
      <w:r w:rsidR="00EE7E4F">
        <w:t>a</w:t>
      </w:r>
      <w:r w:rsidRPr="00DB241E">
        <w:t>ider à fixer des objectifs d’épargne à long terme. Rappel</w:t>
      </w:r>
      <w:r w:rsidR="00EE7E4F">
        <w:t>ons</w:t>
      </w:r>
      <w:r w:rsidRPr="00DB241E">
        <w:t>-</w:t>
      </w:r>
      <w:r w:rsidR="00EE7E4F">
        <w:t>nous</w:t>
      </w:r>
      <w:r w:rsidRPr="00DB241E">
        <w:t xml:space="preserve"> que la règle du 72 tient compte du fait que les </w:t>
      </w:r>
      <w:r w:rsidR="00EE7E4F">
        <w:t>rendements</w:t>
      </w:r>
      <w:r w:rsidRPr="00DB241E">
        <w:t xml:space="preserve"> générés sont réinvestis au même taux pour toute la période. Il s’agit d’un calcul approximatif qui se base sur une formule de calcul de mathématique financière.</w:t>
      </w:r>
      <w:r>
        <w:t>"</w:t>
      </w:r>
      <w:r>
        <w:rPr>
          <w:rStyle w:val="Marquenotebasdepage"/>
        </w:rPr>
        <w:footnoteReference w:customMarkFollows="1" w:id="72"/>
        <w:t>69</w:t>
      </w:r>
    </w:p>
    <w:p w14:paraId="59BC0651" w14:textId="537246E0" w:rsidR="00475CB2" w:rsidRDefault="00E873A2" w:rsidP="00DB241E">
      <w:pPr>
        <w:jc w:val="both"/>
      </w:pPr>
      <w:r>
        <w:rPr>
          <w:noProof/>
          <w:lang w:eastAsia="fr-FR"/>
        </w:rPr>
        <w:drawing>
          <wp:anchor distT="0" distB="0" distL="114300" distR="114300" simplePos="0" relativeHeight="252729344" behindDoc="0" locked="0" layoutInCell="1" allowOverlap="1" wp14:anchorId="78E3A1CA" wp14:editId="6215F1CA">
            <wp:simplePos x="0" y="0"/>
            <wp:positionH relativeFrom="column">
              <wp:posOffset>0</wp:posOffset>
            </wp:positionH>
            <wp:positionV relativeFrom="paragraph">
              <wp:posOffset>122555</wp:posOffset>
            </wp:positionV>
            <wp:extent cx="3771900" cy="1832610"/>
            <wp:effectExtent l="0" t="0" r="12700" b="0"/>
            <wp:wrapNone/>
            <wp:docPr id="555" name="Image 555" descr="Macintosh HD:Users:marysetrepanier:Desktop:Capture d’écran 2015-11-02 à 10.5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ysetrepanier:Desktop:Capture d’écran 2015-11-02 à 10.56.02.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771900" cy="18326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A57B653" w14:textId="77777777" w:rsidR="009832E9" w:rsidRDefault="009832E9" w:rsidP="00DB241E">
      <w:pPr>
        <w:jc w:val="both"/>
      </w:pPr>
    </w:p>
    <w:p w14:paraId="61FA3E8E" w14:textId="77777777" w:rsidR="009832E9" w:rsidRDefault="009832E9" w:rsidP="00DB241E">
      <w:pPr>
        <w:jc w:val="both"/>
      </w:pPr>
    </w:p>
    <w:p w14:paraId="583EB476" w14:textId="77777777" w:rsidR="009832E9" w:rsidRDefault="009832E9" w:rsidP="00DB241E">
      <w:pPr>
        <w:jc w:val="both"/>
      </w:pPr>
    </w:p>
    <w:p w14:paraId="789DFBC3" w14:textId="77777777" w:rsidR="009832E9" w:rsidRDefault="009832E9" w:rsidP="00DB241E">
      <w:pPr>
        <w:jc w:val="both"/>
      </w:pPr>
    </w:p>
    <w:p w14:paraId="5FD0736E" w14:textId="77777777" w:rsidR="009832E9" w:rsidRDefault="009832E9" w:rsidP="00DB241E">
      <w:pPr>
        <w:jc w:val="both"/>
      </w:pPr>
    </w:p>
    <w:p w14:paraId="5AE92C16" w14:textId="77777777" w:rsidR="009832E9" w:rsidRDefault="009832E9" w:rsidP="00DB241E">
      <w:pPr>
        <w:jc w:val="both"/>
      </w:pPr>
    </w:p>
    <w:p w14:paraId="3E4D1BC3" w14:textId="77777777" w:rsidR="009832E9" w:rsidRDefault="009832E9" w:rsidP="00DB241E">
      <w:pPr>
        <w:jc w:val="both"/>
      </w:pPr>
    </w:p>
    <w:p w14:paraId="2F2EE487" w14:textId="77777777" w:rsidR="009832E9" w:rsidRDefault="009832E9" w:rsidP="00DB241E">
      <w:pPr>
        <w:jc w:val="both"/>
      </w:pPr>
    </w:p>
    <w:p w14:paraId="3501DCF8" w14:textId="77777777" w:rsidR="009832E9" w:rsidRPr="00DB241E" w:rsidRDefault="009832E9" w:rsidP="00DB241E">
      <w:pPr>
        <w:jc w:val="both"/>
      </w:pPr>
    </w:p>
    <w:p w14:paraId="5BAA684D" w14:textId="56289379" w:rsidR="00851E7D" w:rsidRDefault="006A10DD" w:rsidP="005E4C37">
      <w:r>
        <w:rPr>
          <w:noProof/>
          <w:lang w:eastAsia="fr-FR"/>
        </w:rPr>
        <w:drawing>
          <wp:anchor distT="0" distB="0" distL="114300" distR="114300" simplePos="0" relativeHeight="252719104" behindDoc="0" locked="0" layoutInCell="1" allowOverlap="1" wp14:anchorId="6758A338" wp14:editId="4E7A831E">
            <wp:simplePos x="0" y="0"/>
            <wp:positionH relativeFrom="column">
              <wp:posOffset>-490855</wp:posOffset>
            </wp:positionH>
            <wp:positionV relativeFrom="paragraph">
              <wp:posOffset>-142875</wp:posOffset>
            </wp:positionV>
            <wp:extent cx="383540" cy="723265"/>
            <wp:effectExtent l="177800" t="50800" r="99060" b="64135"/>
            <wp:wrapNone/>
            <wp:docPr id="547" name="Imag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11">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t xml:space="preserve">Scénario 1 - </w:t>
      </w:r>
      <w:r w:rsidRPr="006A10DD">
        <w:rPr>
          <w:color w:val="008000"/>
        </w:rPr>
        <w:t>Marie Richer</w:t>
      </w:r>
      <w:r>
        <w:t xml:space="preserve"> investit </w:t>
      </w:r>
      <w:r w:rsidRPr="0092643C">
        <w:rPr>
          <w:u w:val="single"/>
        </w:rPr>
        <w:t>moins</w:t>
      </w:r>
      <w:r>
        <w:t xml:space="preserve"> que </w:t>
      </w:r>
      <w:r w:rsidRPr="006A10DD">
        <w:rPr>
          <w:color w:val="FF0000"/>
        </w:rPr>
        <w:t>Jean Faucher</w:t>
      </w:r>
      <w:r>
        <w:t xml:space="preserve"> et se retrouve avec un capita</w:t>
      </w:r>
      <w:r w:rsidR="0092643C">
        <w:t>l</w:t>
      </w:r>
      <w:r>
        <w:t xml:space="preserve"> de retraite </w:t>
      </w:r>
      <w:r w:rsidRPr="0092643C">
        <w:rPr>
          <w:u w:val="single"/>
        </w:rPr>
        <w:t>plus</w:t>
      </w:r>
      <w:r>
        <w:t xml:space="preserve"> élevé.</w:t>
      </w:r>
    </w:p>
    <w:p w14:paraId="394D833C" w14:textId="77777777" w:rsidR="000454B7" w:rsidRDefault="000454B7"/>
    <w:p w14:paraId="6DB05DB3" w14:textId="77777777" w:rsidR="000454B7" w:rsidRDefault="000454B7"/>
    <w:tbl>
      <w:tblPr>
        <w:tblStyle w:val="Grille"/>
        <w:tblW w:w="0" w:type="auto"/>
        <w:tblInd w:w="108" w:type="dxa"/>
        <w:tblLook w:val="04A0" w:firstRow="1" w:lastRow="0" w:firstColumn="1" w:lastColumn="0" w:noHBand="0" w:noVBand="1"/>
      </w:tblPr>
      <w:tblGrid>
        <w:gridCol w:w="5812"/>
      </w:tblGrid>
      <w:tr w:rsidR="000454B7" w14:paraId="22693916" w14:textId="77777777" w:rsidTr="00BB339F">
        <w:tc>
          <w:tcPr>
            <w:tcW w:w="5812" w:type="dxa"/>
            <w:shd w:val="clear" w:color="auto" w:fill="BCE1D2"/>
          </w:tcPr>
          <w:p w14:paraId="3255D8C1" w14:textId="39BFB3B8" w:rsidR="000454B7" w:rsidRDefault="000454B7" w:rsidP="000454B7">
            <w:pPr>
              <w:jc w:val="center"/>
            </w:pPr>
            <w:r>
              <w:t>Marie Richer</w:t>
            </w:r>
          </w:p>
        </w:tc>
      </w:tr>
    </w:tbl>
    <w:tbl>
      <w:tblPr>
        <w:tblStyle w:val="Grille"/>
        <w:tblpPr w:leftFromText="141" w:rightFromText="141" w:vertAnchor="page" w:horzAnchor="page" w:tblpX="8006" w:tblpY="2318"/>
        <w:tblW w:w="6062" w:type="dxa"/>
        <w:tblLook w:val="04A0" w:firstRow="1" w:lastRow="0" w:firstColumn="1" w:lastColumn="0" w:noHBand="0" w:noVBand="1"/>
      </w:tblPr>
      <w:tblGrid>
        <w:gridCol w:w="6062"/>
      </w:tblGrid>
      <w:tr w:rsidR="00A07F17" w14:paraId="7B8713E9" w14:textId="77777777" w:rsidTr="00A07F17">
        <w:tc>
          <w:tcPr>
            <w:tcW w:w="6062" w:type="dxa"/>
            <w:shd w:val="clear" w:color="auto" w:fill="E16B6F"/>
          </w:tcPr>
          <w:p w14:paraId="209B292B" w14:textId="77777777" w:rsidR="00A07F17" w:rsidRDefault="00A07F17" w:rsidP="00A07F17">
            <w:pPr>
              <w:jc w:val="center"/>
            </w:pPr>
            <w:r>
              <w:t>Jean Faucher</w:t>
            </w:r>
          </w:p>
        </w:tc>
      </w:tr>
    </w:tbl>
    <w:p w14:paraId="6FCD7E0F" w14:textId="67BB4D76" w:rsidR="005B2361" w:rsidRDefault="00F0541A">
      <w:r>
        <w:tab/>
      </w:r>
      <w:r>
        <w:tab/>
      </w:r>
      <w:r>
        <w:tab/>
      </w:r>
      <w:r>
        <w:tab/>
      </w:r>
    </w:p>
    <w:tbl>
      <w:tblPr>
        <w:tblStyle w:val="Grille"/>
        <w:tblpPr w:leftFromText="141" w:rightFromText="141" w:vertAnchor="text" w:horzAnchor="page" w:tblpX="1526" w:tblpY="130"/>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1701"/>
      </w:tblGrid>
      <w:tr w:rsidR="00345746" w14:paraId="0C17F2A8" w14:textId="77777777" w:rsidTr="00BB339F">
        <w:tc>
          <w:tcPr>
            <w:tcW w:w="4077" w:type="dxa"/>
            <w:shd w:val="clear" w:color="auto" w:fill="ECE1D6" w:themeFill="accent5" w:themeFillTint="33"/>
          </w:tcPr>
          <w:p w14:paraId="392AACC8" w14:textId="77777777" w:rsidR="00345746" w:rsidRDefault="00345746" w:rsidP="00345746">
            <w:r>
              <w:t>Âge, aujourd'hui</w:t>
            </w:r>
          </w:p>
        </w:tc>
        <w:tc>
          <w:tcPr>
            <w:tcW w:w="1701" w:type="dxa"/>
            <w:shd w:val="clear" w:color="auto" w:fill="BCE1D2"/>
          </w:tcPr>
          <w:p w14:paraId="35334CD9" w14:textId="77777777" w:rsidR="00345746" w:rsidRDefault="00345746" w:rsidP="00776AFC">
            <w:pPr>
              <w:jc w:val="center"/>
            </w:pPr>
            <w:r>
              <w:t>55 ans</w:t>
            </w:r>
          </w:p>
        </w:tc>
      </w:tr>
      <w:tr w:rsidR="00345746" w14:paraId="1959FB44" w14:textId="77777777" w:rsidTr="00BB339F">
        <w:tc>
          <w:tcPr>
            <w:tcW w:w="4077" w:type="dxa"/>
            <w:shd w:val="clear" w:color="auto" w:fill="ECE1D6" w:themeFill="accent5" w:themeFillTint="33"/>
          </w:tcPr>
          <w:p w14:paraId="0DC4D7FF" w14:textId="77777777" w:rsidR="00345746" w:rsidRDefault="00345746" w:rsidP="00345746">
            <w:r>
              <w:t>Âge, début épargne</w:t>
            </w:r>
          </w:p>
        </w:tc>
        <w:tc>
          <w:tcPr>
            <w:tcW w:w="1701" w:type="dxa"/>
            <w:shd w:val="clear" w:color="auto" w:fill="BCE1D2"/>
          </w:tcPr>
          <w:p w14:paraId="539F179E" w14:textId="77777777" w:rsidR="00345746" w:rsidRDefault="00345746" w:rsidP="00776AFC">
            <w:pPr>
              <w:jc w:val="center"/>
            </w:pPr>
            <w:r>
              <w:t>20 ans</w:t>
            </w:r>
          </w:p>
        </w:tc>
      </w:tr>
      <w:tr w:rsidR="00345746" w14:paraId="2F85F284" w14:textId="77777777" w:rsidTr="00BB339F">
        <w:tc>
          <w:tcPr>
            <w:tcW w:w="4077" w:type="dxa"/>
            <w:shd w:val="clear" w:color="auto" w:fill="ECE1D6" w:themeFill="accent5" w:themeFillTint="33"/>
          </w:tcPr>
          <w:p w14:paraId="2C0924A4" w14:textId="77777777" w:rsidR="00345746" w:rsidRDefault="00345746" w:rsidP="00345746">
            <w:r>
              <w:t>Montant annuel épargné</w:t>
            </w:r>
          </w:p>
        </w:tc>
        <w:tc>
          <w:tcPr>
            <w:tcW w:w="1701" w:type="dxa"/>
            <w:shd w:val="clear" w:color="auto" w:fill="BCE1D2"/>
          </w:tcPr>
          <w:p w14:paraId="75CF5F3F" w14:textId="77777777" w:rsidR="00345746" w:rsidRDefault="00345746" w:rsidP="00776AFC">
            <w:pPr>
              <w:jc w:val="center"/>
            </w:pPr>
            <w:r>
              <w:t>3 000 $</w:t>
            </w:r>
          </w:p>
        </w:tc>
      </w:tr>
      <w:tr w:rsidR="00345746" w14:paraId="44BC3793" w14:textId="77777777" w:rsidTr="00BB339F">
        <w:tc>
          <w:tcPr>
            <w:tcW w:w="4077" w:type="dxa"/>
            <w:shd w:val="clear" w:color="auto" w:fill="ECE1D6" w:themeFill="accent5" w:themeFillTint="33"/>
          </w:tcPr>
          <w:p w14:paraId="40B58AE5" w14:textId="77777777" w:rsidR="00345746" w:rsidRDefault="00345746" w:rsidP="00345746">
            <w:r>
              <w:t>Montant total épargné</w:t>
            </w:r>
          </w:p>
        </w:tc>
        <w:tc>
          <w:tcPr>
            <w:tcW w:w="1701" w:type="dxa"/>
            <w:shd w:val="clear" w:color="auto" w:fill="BCE1D2"/>
          </w:tcPr>
          <w:p w14:paraId="0F9E3DF9" w14:textId="77777777" w:rsidR="00345746" w:rsidRPr="00BB339F" w:rsidRDefault="00345746" w:rsidP="00776AFC">
            <w:pPr>
              <w:jc w:val="center"/>
              <w:rPr>
                <w:sz w:val="32"/>
                <w:szCs w:val="32"/>
              </w:rPr>
            </w:pPr>
            <w:r w:rsidRPr="00BB339F">
              <w:rPr>
                <w:sz w:val="32"/>
                <w:szCs w:val="32"/>
              </w:rPr>
              <w:t>105 000 $</w:t>
            </w:r>
          </w:p>
        </w:tc>
      </w:tr>
      <w:tr w:rsidR="00345746" w14:paraId="42465110" w14:textId="77777777" w:rsidTr="00BB339F">
        <w:tc>
          <w:tcPr>
            <w:tcW w:w="4077" w:type="dxa"/>
            <w:shd w:val="clear" w:color="auto" w:fill="ECE1D6" w:themeFill="accent5" w:themeFillTint="33"/>
          </w:tcPr>
          <w:p w14:paraId="03ACCC23" w14:textId="77777777" w:rsidR="00345746" w:rsidRDefault="00345746" w:rsidP="00345746">
            <w:r>
              <w:t>Rendement</w:t>
            </w:r>
          </w:p>
        </w:tc>
        <w:tc>
          <w:tcPr>
            <w:tcW w:w="1701" w:type="dxa"/>
            <w:shd w:val="clear" w:color="auto" w:fill="BCE1D2"/>
          </w:tcPr>
          <w:p w14:paraId="17200401" w14:textId="77777777" w:rsidR="00345746" w:rsidRDefault="00345746" w:rsidP="00776AFC">
            <w:pPr>
              <w:jc w:val="center"/>
            </w:pPr>
            <w:r>
              <w:t>5 %</w:t>
            </w:r>
          </w:p>
        </w:tc>
      </w:tr>
      <w:tr w:rsidR="00345746" w14:paraId="58633184" w14:textId="77777777" w:rsidTr="00BB339F">
        <w:tc>
          <w:tcPr>
            <w:tcW w:w="4077" w:type="dxa"/>
            <w:shd w:val="clear" w:color="auto" w:fill="ECE1D6" w:themeFill="accent5" w:themeFillTint="33"/>
          </w:tcPr>
          <w:p w14:paraId="1C93F58C" w14:textId="77777777" w:rsidR="00443BE2" w:rsidRDefault="00443BE2" w:rsidP="00345746"/>
          <w:p w14:paraId="1EA09D38" w14:textId="77777777" w:rsidR="00345746" w:rsidRDefault="00345746" w:rsidP="00345746">
            <w:r w:rsidRPr="00BB339F">
              <w:rPr>
                <w:sz w:val="32"/>
                <w:szCs w:val="32"/>
              </w:rPr>
              <w:t>Valeur de l'actif</w:t>
            </w:r>
            <w:r>
              <w:t>, aujourd'hui</w:t>
            </w:r>
          </w:p>
        </w:tc>
        <w:tc>
          <w:tcPr>
            <w:tcW w:w="1701" w:type="dxa"/>
            <w:shd w:val="clear" w:color="auto" w:fill="BCE1D2"/>
          </w:tcPr>
          <w:p w14:paraId="733FB9AC" w14:textId="77777777" w:rsidR="00443BE2" w:rsidRDefault="00443BE2" w:rsidP="00776AFC">
            <w:pPr>
              <w:jc w:val="center"/>
            </w:pPr>
          </w:p>
          <w:p w14:paraId="12BC2EFC" w14:textId="77777777" w:rsidR="00345746" w:rsidRPr="002479C0" w:rsidRDefault="00345746" w:rsidP="00776AFC">
            <w:pPr>
              <w:jc w:val="center"/>
              <w:rPr>
                <w:sz w:val="32"/>
                <w:szCs w:val="32"/>
              </w:rPr>
            </w:pPr>
            <w:r w:rsidRPr="002479C0">
              <w:rPr>
                <w:sz w:val="32"/>
                <w:szCs w:val="32"/>
              </w:rPr>
              <w:t>284 509 $</w:t>
            </w:r>
          </w:p>
        </w:tc>
      </w:tr>
    </w:tbl>
    <w:p w14:paraId="177D4691" w14:textId="423113B2" w:rsidR="000454B7" w:rsidRDefault="000454B7"/>
    <w:p w14:paraId="76C013FA" w14:textId="77777777" w:rsidR="000454B7" w:rsidRDefault="000454B7"/>
    <w:tbl>
      <w:tblPr>
        <w:tblStyle w:val="Grille"/>
        <w:tblpPr w:leftFromText="141" w:rightFromText="141" w:vertAnchor="text" w:horzAnchor="page" w:tblpX="8006" w:tblpY="-450"/>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1985"/>
      </w:tblGrid>
      <w:tr w:rsidR="00345746" w14:paraId="091F1961" w14:textId="77777777" w:rsidTr="00BB339F">
        <w:tc>
          <w:tcPr>
            <w:tcW w:w="4077" w:type="dxa"/>
            <w:shd w:val="clear" w:color="auto" w:fill="ECE1D6" w:themeFill="accent5" w:themeFillTint="33"/>
          </w:tcPr>
          <w:p w14:paraId="77424BCF" w14:textId="77777777" w:rsidR="00345746" w:rsidRDefault="00345746" w:rsidP="00345746">
            <w:r>
              <w:t>Âge, aujourd'hui</w:t>
            </w:r>
          </w:p>
        </w:tc>
        <w:tc>
          <w:tcPr>
            <w:tcW w:w="1985" w:type="dxa"/>
            <w:shd w:val="clear" w:color="auto" w:fill="E16B6F"/>
          </w:tcPr>
          <w:p w14:paraId="45632F6C" w14:textId="77777777" w:rsidR="00345746" w:rsidRDefault="00345746" w:rsidP="00776AFC">
            <w:pPr>
              <w:jc w:val="center"/>
            </w:pPr>
            <w:r>
              <w:t>55 ans</w:t>
            </w:r>
          </w:p>
        </w:tc>
      </w:tr>
      <w:tr w:rsidR="00345746" w14:paraId="62A558AB" w14:textId="77777777" w:rsidTr="00BB339F">
        <w:tc>
          <w:tcPr>
            <w:tcW w:w="4077" w:type="dxa"/>
            <w:shd w:val="clear" w:color="auto" w:fill="ECE1D6" w:themeFill="accent5" w:themeFillTint="33"/>
          </w:tcPr>
          <w:p w14:paraId="091D5B3C" w14:textId="77777777" w:rsidR="00345746" w:rsidRDefault="00345746" w:rsidP="00345746">
            <w:r>
              <w:t>Âge, début épargne</w:t>
            </w:r>
          </w:p>
        </w:tc>
        <w:tc>
          <w:tcPr>
            <w:tcW w:w="1985" w:type="dxa"/>
            <w:shd w:val="clear" w:color="auto" w:fill="E16B6F"/>
          </w:tcPr>
          <w:p w14:paraId="4641BABA" w14:textId="77777777" w:rsidR="00345746" w:rsidRDefault="00345746" w:rsidP="00776AFC">
            <w:pPr>
              <w:jc w:val="center"/>
            </w:pPr>
            <w:r>
              <w:t>40 ans</w:t>
            </w:r>
          </w:p>
        </w:tc>
      </w:tr>
      <w:tr w:rsidR="00345746" w14:paraId="41A030B1" w14:textId="77777777" w:rsidTr="00BB339F">
        <w:tc>
          <w:tcPr>
            <w:tcW w:w="4077" w:type="dxa"/>
            <w:shd w:val="clear" w:color="auto" w:fill="ECE1D6" w:themeFill="accent5" w:themeFillTint="33"/>
          </w:tcPr>
          <w:p w14:paraId="7C4795EC" w14:textId="77777777" w:rsidR="00345746" w:rsidRDefault="00345746" w:rsidP="00345746">
            <w:r>
              <w:t>Montant annuel épargné</w:t>
            </w:r>
          </w:p>
        </w:tc>
        <w:tc>
          <w:tcPr>
            <w:tcW w:w="1985" w:type="dxa"/>
            <w:shd w:val="clear" w:color="auto" w:fill="E16B6F"/>
          </w:tcPr>
          <w:p w14:paraId="614F7DF6" w14:textId="77777777" w:rsidR="00345746" w:rsidRDefault="00345746" w:rsidP="00776AFC">
            <w:pPr>
              <w:jc w:val="center"/>
            </w:pPr>
            <w:r>
              <w:t>10 000 $</w:t>
            </w:r>
          </w:p>
        </w:tc>
      </w:tr>
      <w:tr w:rsidR="00345746" w14:paraId="14BB313F" w14:textId="77777777" w:rsidTr="00BB339F">
        <w:tc>
          <w:tcPr>
            <w:tcW w:w="4077" w:type="dxa"/>
            <w:shd w:val="clear" w:color="auto" w:fill="ECE1D6" w:themeFill="accent5" w:themeFillTint="33"/>
          </w:tcPr>
          <w:p w14:paraId="3978C67A" w14:textId="77777777" w:rsidR="00345746" w:rsidRDefault="00345746" w:rsidP="00345746">
            <w:r>
              <w:t>Montant total épargné</w:t>
            </w:r>
          </w:p>
        </w:tc>
        <w:tc>
          <w:tcPr>
            <w:tcW w:w="1985" w:type="dxa"/>
            <w:shd w:val="clear" w:color="auto" w:fill="E16B6F"/>
          </w:tcPr>
          <w:p w14:paraId="6962F76E" w14:textId="77777777" w:rsidR="00345746" w:rsidRPr="002479C0" w:rsidRDefault="00345746" w:rsidP="00776AFC">
            <w:pPr>
              <w:jc w:val="center"/>
              <w:rPr>
                <w:sz w:val="32"/>
                <w:szCs w:val="32"/>
              </w:rPr>
            </w:pPr>
            <w:r w:rsidRPr="002479C0">
              <w:rPr>
                <w:sz w:val="32"/>
                <w:szCs w:val="32"/>
              </w:rPr>
              <w:t>150 000 $</w:t>
            </w:r>
          </w:p>
        </w:tc>
      </w:tr>
      <w:tr w:rsidR="00345746" w14:paraId="6BFF5F8D" w14:textId="77777777" w:rsidTr="00BB339F">
        <w:tc>
          <w:tcPr>
            <w:tcW w:w="4077" w:type="dxa"/>
            <w:shd w:val="clear" w:color="auto" w:fill="ECE1D6" w:themeFill="accent5" w:themeFillTint="33"/>
          </w:tcPr>
          <w:p w14:paraId="6C5D0225" w14:textId="77777777" w:rsidR="00345746" w:rsidRDefault="00345746" w:rsidP="00345746">
            <w:r>
              <w:t>Rendement</w:t>
            </w:r>
          </w:p>
        </w:tc>
        <w:tc>
          <w:tcPr>
            <w:tcW w:w="1985" w:type="dxa"/>
            <w:shd w:val="clear" w:color="auto" w:fill="E16B6F"/>
          </w:tcPr>
          <w:p w14:paraId="4728317D" w14:textId="77777777" w:rsidR="00345746" w:rsidRDefault="00345746" w:rsidP="00776AFC">
            <w:pPr>
              <w:jc w:val="center"/>
            </w:pPr>
            <w:r>
              <w:t>5 %</w:t>
            </w:r>
          </w:p>
        </w:tc>
      </w:tr>
      <w:tr w:rsidR="00345746" w14:paraId="7AF69F4A" w14:textId="77777777" w:rsidTr="00BB339F">
        <w:tc>
          <w:tcPr>
            <w:tcW w:w="4077" w:type="dxa"/>
            <w:shd w:val="clear" w:color="auto" w:fill="ECE1D6" w:themeFill="accent5" w:themeFillTint="33"/>
          </w:tcPr>
          <w:p w14:paraId="6EC2F611" w14:textId="77777777" w:rsidR="00443BE2" w:rsidRDefault="00443BE2" w:rsidP="00345746"/>
          <w:p w14:paraId="3F018794" w14:textId="77777777" w:rsidR="00345746" w:rsidRDefault="00345746" w:rsidP="00345746">
            <w:r w:rsidRPr="00BB339F">
              <w:rPr>
                <w:sz w:val="32"/>
                <w:szCs w:val="32"/>
              </w:rPr>
              <w:t>Valeur de l'actif</w:t>
            </w:r>
            <w:r>
              <w:t>, aujourd'hui</w:t>
            </w:r>
          </w:p>
        </w:tc>
        <w:tc>
          <w:tcPr>
            <w:tcW w:w="1985" w:type="dxa"/>
            <w:shd w:val="clear" w:color="auto" w:fill="E16B6F"/>
          </w:tcPr>
          <w:p w14:paraId="4866CA4F" w14:textId="77777777" w:rsidR="00443BE2" w:rsidRDefault="00443BE2" w:rsidP="00776AFC">
            <w:pPr>
              <w:jc w:val="center"/>
            </w:pPr>
          </w:p>
          <w:p w14:paraId="38BB0D36" w14:textId="77777777" w:rsidR="00345746" w:rsidRPr="00BB339F" w:rsidRDefault="00345746" w:rsidP="00776AFC">
            <w:pPr>
              <w:jc w:val="center"/>
              <w:rPr>
                <w:sz w:val="32"/>
                <w:szCs w:val="32"/>
              </w:rPr>
            </w:pPr>
            <w:r w:rsidRPr="00BB339F">
              <w:rPr>
                <w:sz w:val="32"/>
                <w:szCs w:val="32"/>
              </w:rPr>
              <w:t>226 574 $</w:t>
            </w:r>
          </w:p>
        </w:tc>
      </w:tr>
    </w:tbl>
    <w:p w14:paraId="06C59685" w14:textId="1797A274" w:rsidR="005B2361" w:rsidRDefault="00A81A03">
      <w:r>
        <w:rPr>
          <w:noProof/>
          <w:lang w:eastAsia="fr-FR"/>
        </w:rPr>
        <mc:AlternateContent>
          <mc:Choice Requires="wps">
            <w:drawing>
              <wp:anchor distT="0" distB="0" distL="114300" distR="114300" simplePos="0" relativeHeight="252722176" behindDoc="0" locked="0" layoutInCell="1" allowOverlap="1" wp14:anchorId="42C103EE" wp14:editId="6351A3DA">
                <wp:simplePos x="0" y="0"/>
                <wp:positionH relativeFrom="column">
                  <wp:posOffset>-224790</wp:posOffset>
                </wp:positionH>
                <wp:positionV relativeFrom="paragraph">
                  <wp:posOffset>736600</wp:posOffset>
                </wp:positionV>
                <wp:extent cx="342900" cy="342900"/>
                <wp:effectExtent l="76200" t="76200" r="38100" b="63500"/>
                <wp:wrapNone/>
                <wp:docPr id="552" name="Étoile à 5 branches 552"/>
                <wp:cNvGraphicFramePr/>
                <a:graphic xmlns:a="http://schemas.openxmlformats.org/drawingml/2006/main">
                  <a:graphicData uri="http://schemas.microsoft.com/office/word/2010/wordprocessingShape">
                    <wps:wsp>
                      <wps:cNvSpPr/>
                      <wps:spPr>
                        <a:xfrm>
                          <a:off x="0" y="0"/>
                          <a:ext cx="342900" cy="342900"/>
                        </a:xfrm>
                        <a:prstGeom prst="star5">
                          <a:avLst/>
                        </a:prstGeom>
                        <a:solidFill>
                          <a:schemeClr val="accent4">
                            <a:lumMod val="75000"/>
                          </a:schemeClr>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332820A" w14:textId="54F38495" w:rsidR="00573C95" w:rsidRDefault="00573C95" w:rsidP="00A81A03">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Étoile à 5 branches 552" o:spid="_x0000_s1359" style="position:absolute;margin-left:-17.65pt;margin-top:58pt;width:27pt;height:27pt;z-index:25272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2900,342900"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" adj="-11796480,,5400" path="m0,130976l130977,130977,171450,,211923,130977,342900,130976,236937,211923,277412,342899,171450,261950,65488,342899,105963,211923,,130976xe" fillcolor="#6b6e4b [2407]" strokecolor="black [3213]">
                <v:stroke joinstyle="miter"/>
                <v:formulas/>
                <v:path arrowok="t" o:connecttype="custom" o:connectlocs="0,130976;130977,130977;171450,0;211923,130977;342900,130976;236937,211923;277412,342899;171450,261950;65488,342899;105963,211923;0,130976" o:connectangles="0,0,0,0,0,0,0,0,0,0,0" textboxrect="0,0,342900,342900"/>
                <v:textbox>
                  <w:txbxContent>
                    <w:p w14:paraId="4332820A" w14:textId="54F38495" w:rsidR="001501D6" w:rsidRDefault="001501D6" w:rsidP="00A81A03">
                      <w:pPr>
                        <w:jc w:val="center"/>
                      </w:pPr>
                    </w:p>
                  </w:txbxContent>
                </v:textbox>
              </v:shape>
            </w:pict>
          </mc:Fallback>
        </mc:AlternateContent>
      </w:r>
      <w:r w:rsidR="005B2361">
        <w:tab/>
      </w:r>
      <w:r w:rsidR="005B2361">
        <w:tab/>
      </w:r>
      <w:r w:rsidR="00F0541A">
        <w:br w:type="textWrapping" w:clear="all"/>
      </w:r>
    </w:p>
    <w:p w14:paraId="3EAB6D1B" w14:textId="2A7EF223" w:rsidR="0092643C" w:rsidRDefault="00A12615">
      <w:r w:rsidRPr="00322911">
        <w:rPr>
          <w:noProof/>
          <w:lang w:eastAsia="fr-FR"/>
        </w:rPr>
        <w:drawing>
          <wp:anchor distT="0" distB="0" distL="114300" distR="114300" simplePos="0" relativeHeight="252721152" behindDoc="0" locked="0" layoutInCell="1" allowOverlap="1" wp14:anchorId="07DB79D3" wp14:editId="631BE661">
            <wp:simplePos x="0" y="0"/>
            <wp:positionH relativeFrom="column">
              <wp:posOffset>-800100</wp:posOffset>
            </wp:positionH>
            <wp:positionV relativeFrom="paragraph">
              <wp:posOffset>127000</wp:posOffset>
            </wp:positionV>
            <wp:extent cx="685800" cy="779145"/>
            <wp:effectExtent l="0" t="0" r="0" b="8255"/>
            <wp:wrapNone/>
            <wp:docPr id="549" name="Image 549"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1857A60" w14:textId="77777777" w:rsidR="0092643C" w:rsidRDefault="0092643C"/>
    <w:p w14:paraId="08B49F5A" w14:textId="1938937D" w:rsidR="0092643C" w:rsidRDefault="0092643C" w:rsidP="0092643C">
      <w:r>
        <w:t xml:space="preserve">Scénario 2 - </w:t>
      </w:r>
      <w:r w:rsidRPr="006A10DD">
        <w:rPr>
          <w:color w:val="FF0000"/>
        </w:rPr>
        <w:t>Jean Faucher</w:t>
      </w:r>
      <w:r>
        <w:t xml:space="preserve"> investit </w:t>
      </w:r>
      <w:r w:rsidRPr="0092643C">
        <w:rPr>
          <w:u w:val="single"/>
        </w:rPr>
        <w:t xml:space="preserve">moins </w:t>
      </w:r>
      <w:r>
        <w:t xml:space="preserve">que </w:t>
      </w:r>
      <w:r w:rsidRPr="006A10DD">
        <w:rPr>
          <w:color w:val="008000"/>
        </w:rPr>
        <w:t>Marie Richer</w:t>
      </w:r>
      <w:r>
        <w:t xml:space="preserve"> et se retrouve avec un capital de retraite...</w:t>
      </w:r>
      <w:r w:rsidRPr="0092643C">
        <w:rPr>
          <w:u w:val="single"/>
        </w:rPr>
        <w:t>moins</w:t>
      </w:r>
      <w:r>
        <w:t xml:space="preserve"> élevé.</w:t>
      </w:r>
    </w:p>
    <w:tbl>
      <w:tblPr>
        <w:tblStyle w:val="Grille"/>
        <w:tblpPr w:leftFromText="141" w:rightFromText="141" w:vertAnchor="text" w:horzAnchor="page" w:tblpX="1526" w:tblpY="396"/>
        <w:tblW w:w="0" w:type="auto"/>
        <w:tblLook w:val="04A0" w:firstRow="1" w:lastRow="0" w:firstColumn="1" w:lastColumn="0" w:noHBand="0" w:noVBand="1"/>
      </w:tblPr>
      <w:tblGrid>
        <w:gridCol w:w="5778"/>
      </w:tblGrid>
      <w:tr w:rsidR="00BB339F" w14:paraId="0B75C3B3" w14:textId="77777777" w:rsidTr="00BB339F">
        <w:tc>
          <w:tcPr>
            <w:tcW w:w="5778" w:type="dxa"/>
            <w:shd w:val="clear" w:color="auto" w:fill="E16B6F"/>
          </w:tcPr>
          <w:p w14:paraId="2B2A290E" w14:textId="77777777" w:rsidR="00BB339F" w:rsidRDefault="00BB339F" w:rsidP="00BB339F">
            <w:pPr>
              <w:jc w:val="center"/>
            </w:pPr>
            <w:r>
              <w:t>Jean Faucher</w:t>
            </w:r>
          </w:p>
        </w:tc>
      </w:tr>
    </w:tbl>
    <w:p w14:paraId="1451F772" w14:textId="76EDC195" w:rsidR="0092643C" w:rsidRDefault="0092643C" w:rsidP="0092643C"/>
    <w:tbl>
      <w:tblPr>
        <w:tblStyle w:val="Grille"/>
        <w:tblpPr w:leftFromText="141" w:rightFromText="141" w:vertAnchor="text" w:horzAnchor="page" w:tblpX="8186" w:tblpY="86"/>
        <w:tblW w:w="0" w:type="auto"/>
        <w:tblLook w:val="04A0" w:firstRow="1" w:lastRow="0" w:firstColumn="1" w:lastColumn="0" w:noHBand="0" w:noVBand="1"/>
      </w:tblPr>
      <w:tblGrid>
        <w:gridCol w:w="5920"/>
      </w:tblGrid>
      <w:tr w:rsidR="003E5B91" w14:paraId="434C2FAB" w14:textId="77777777" w:rsidTr="00BB339F">
        <w:tc>
          <w:tcPr>
            <w:tcW w:w="5920" w:type="dxa"/>
            <w:shd w:val="clear" w:color="auto" w:fill="BCE1D2"/>
          </w:tcPr>
          <w:p w14:paraId="62752653" w14:textId="77777777" w:rsidR="003E5B91" w:rsidRDefault="003E5B91" w:rsidP="003E5B91">
            <w:pPr>
              <w:jc w:val="center"/>
            </w:pPr>
            <w:r>
              <w:t>Marie Richer</w:t>
            </w:r>
          </w:p>
        </w:tc>
      </w:tr>
    </w:tbl>
    <w:p w14:paraId="3DF539FB" w14:textId="77777777" w:rsidR="0092643C" w:rsidRDefault="0092643C" w:rsidP="0092643C"/>
    <w:p w14:paraId="03BE25BC" w14:textId="77777777" w:rsidR="0092643C" w:rsidRDefault="0092643C" w:rsidP="0092643C"/>
    <w:p w14:paraId="278E8949" w14:textId="77777777" w:rsidR="0092643C" w:rsidRDefault="0092643C" w:rsidP="003E5B91">
      <w:pPr>
        <w:jc w:val="center"/>
      </w:pPr>
    </w:p>
    <w:tbl>
      <w:tblPr>
        <w:tblStyle w:val="Grille"/>
        <w:tblpPr w:leftFromText="141" w:rightFromText="141" w:vertAnchor="text" w:horzAnchor="page" w:tblpX="1526" w:tblpY="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1701"/>
      </w:tblGrid>
      <w:tr w:rsidR="003B12AC" w14:paraId="4CBF6D34" w14:textId="77777777" w:rsidTr="00BB339F">
        <w:tc>
          <w:tcPr>
            <w:tcW w:w="4077" w:type="dxa"/>
            <w:shd w:val="clear" w:color="auto" w:fill="ECE1D6" w:themeFill="accent5" w:themeFillTint="33"/>
          </w:tcPr>
          <w:p w14:paraId="14CAB8FE" w14:textId="77777777" w:rsidR="003B12AC" w:rsidRDefault="003B12AC" w:rsidP="003B12AC">
            <w:r>
              <w:t>Âge, aujourd'hui</w:t>
            </w:r>
          </w:p>
        </w:tc>
        <w:tc>
          <w:tcPr>
            <w:tcW w:w="1701" w:type="dxa"/>
            <w:shd w:val="clear" w:color="auto" w:fill="E16B6F"/>
          </w:tcPr>
          <w:p w14:paraId="4027AA5C" w14:textId="77777777" w:rsidR="003B12AC" w:rsidRDefault="003B12AC" w:rsidP="003B12AC">
            <w:r>
              <w:t>55 ans</w:t>
            </w:r>
          </w:p>
        </w:tc>
      </w:tr>
      <w:tr w:rsidR="003B12AC" w14:paraId="54D8C367" w14:textId="77777777" w:rsidTr="00BB339F">
        <w:tc>
          <w:tcPr>
            <w:tcW w:w="4077" w:type="dxa"/>
            <w:shd w:val="clear" w:color="auto" w:fill="ECE1D6" w:themeFill="accent5" w:themeFillTint="33"/>
          </w:tcPr>
          <w:p w14:paraId="66CD3F4D" w14:textId="77777777" w:rsidR="003B12AC" w:rsidRDefault="003B12AC" w:rsidP="003B12AC">
            <w:r>
              <w:t>Âge, début épargne</w:t>
            </w:r>
          </w:p>
        </w:tc>
        <w:tc>
          <w:tcPr>
            <w:tcW w:w="1701" w:type="dxa"/>
            <w:shd w:val="clear" w:color="auto" w:fill="E16B6F"/>
          </w:tcPr>
          <w:p w14:paraId="6B025DE3" w14:textId="77777777" w:rsidR="003B12AC" w:rsidRDefault="003B12AC" w:rsidP="003B12AC">
            <w:r>
              <w:t>20 ans</w:t>
            </w:r>
          </w:p>
        </w:tc>
      </w:tr>
      <w:tr w:rsidR="003B12AC" w14:paraId="7FBDBFF0" w14:textId="77777777" w:rsidTr="00BB339F">
        <w:tc>
          <w:tcPr>
            <w:tcW w:w="4077" w:type="dxa"/>
            <w:shd w:val="clear" w:color="auto" w:fill="ECE1D6" w:themeFill="accent5" w:themeFillTint="33"/>
          </w:tcPr>
          <w:p w14:paraId="1ACD1CAA" w14:textId="77777777" w:rsidR="003B12AC" w:rsidRDefault="003B12AC" w:rsidP="003B12AC">
            <w:r>
              <w:t>Montant annuel épargné</w:t>
            </w:r>
          </w:p>
        </w:tc>
        <w:tc>
          <w:tcPr>
            <w:tcW w:w="1701" w:type="dxa"/>
            <w:shd w:val="clear" w:color="auto" w:fill="E16B6F"/>
          </w:tcPr>
          <w:p w14:paraId="49D15BDB" w14:textId="77777777" w:rsidR="003B12AC" w:rsidRDefault="003B12AC" w:rsidP="003B12AC">
            <w:r>
              <w:t>3 000 $</w:t>
            </w:r>
          </w:p>
        </w:tc>
      </w:tr>
      <w:tr w:rsidR="003B12AC" w14:paraId="6CA2BE98" w14:textId="77777777" w:rsidTr="00BB339F">
        <w:tc>
          <w:tcPr>
            <w:tcW w:w="4077" w:type="dxa"/>
            <w:shd w:val="clear" w:color="auto" w:fill="ECE1D6" w:themeFill="accent5" w:themeFillTint="33"/>
          </w:tcPr>
          <w:p w14:paraId="2D796328" w14:textId="77777777" w:rsidR="003B12AC" w:rsidRPr="00BB339F" w:rsidRDefault="003B12AC" w:rsidP="003B12AC">
            <w:r w:rsidRPr="00BB339F">
              <w:t>Montant total épargné</w:t>
            </w:r>
          </w:p>
        </w:tc>
        <w:tc>
          <w:tcPr>
            <w:tcW w:w="1701" w:type="dxa"/>
            <w:shd w:val="clear" w:color="auto" w:fill="E16B6F"/>
          </w:tcPr>
          <w:p w14:paraId="24DDD0DF" w14:textId="77777777" w:rsidR="003B12AC" w:rsidRPr="00BB339F" w:rsidRDefault="003B12AC" w:rsidP="003B12AC">
            <w:pPr>
              <w:rPr>
                <w:sz w:val="32"/>
                <w:szCs w:val="32"/>
              </w:rPr>
            </w:pPr>
            <w:r w:rsidRPr="00BB339F">
              <w:rPr>
                <w:sz w:val="32"/>
                <w:szCs w:val="32"/>
              </w:rPr>
              <w:t>105 000 $</w:t>
            </w:r>
          </w:p>
        </w:tc>
      </w:tr>
      <w:tr w:rsidR="003B12AC" w14:paraId="7FCD8781" w14:textId="77777777" w:rsidTr="00BB339F">
        <w:tc>
          <w:tcPr>
            <w:tcW w:w="4077" w:type="dxa"/>
            <w:shd w:val="clear" w:color="auto" w:fill="ECE1D6" w:themeFill="accent5" w:themeFillTint="33"/>
          </w:tcPr>
          <w:p w14:paraId="3A76C747" w14:textId="77777777" w:rsidR="003B12AC" w:rsidRDefault="003B12AC" w:rsidP="003B12AC">
            <w:r>
              <w:t>Rendement</w:t>
            </w:r>
          </w:p>
        </w:tc>
        <w:tc>
          <w:tcPr>
            <w:tcW w:w="1701" w:type="dxa"/>
            <w:shd w:val="clear" w:color="auto" w:fill="E16B6F"/>
          </w:tcPr>
          <w:p w14:paraId="79C7C495" w14:textId="2D568F4D" w:rsidR="003B12AC" w:rsidRDefault="00776AFC" w:rsidP="00776AFC">
            <w:r>
              <w:t xml:space="preserve">2 </w:t>
            </w:r>
            <w:r w:rsidR="003B12AC">
              <w:t>%</w:t>
            </w:r>
          </w:p>
        </w:tc>
      </w:tr>
      <w:tr w:rsidR="003B12AC" w14:paraId="1D7DBAE7" w14:textId="77777777" w:rsidTr="00BB339F">
        <w:tc>
          <w:tcPr>
            <w:tcW w:w="4077" w:type="dxa"/>
            <w:shd w:val="clear" w:color="auto" w:fill="ECE1D6" w:themeFill="accent5" w:themeFillTint="33"/>
          </w:tcPr>
          <w:p w14:paraId="2A6C1457" w14:textId="77777777" w:rsidR="00443BE2" w:rsidRDefault="00443BE2" w:rsidP="003B12AC"/>
          <w:p w14:paraId="0AD457FA" w14:textId="77777777" w:rsidR="003B12AC" w:rsidRDefault="003B12AC" w:rsidP="003B12AC">
            <w:r w:rsidRPr="00BB339F">
              <w:rPr>
                <w:sz w:val="32"/>
                <w:szCs w:val="32"/>
              </w:rPr>
              <w:t>Valeur de l'actif</w:t>
            </w:r>
            <w:r>
              <w:t>, aujourd'hui</w:t>
            </w:r>
          </w:p>
        </w:tc>
        <w:tc>
          <w:tcPr>
            <w:tcW w:w="1701" w:type="dxa"/>
            <w:shd w:val="clear" w:color="auto" w:fill="E16B6F"/>
          </w:tcPr>
          <w:p w14:paraId="0F5506B4" w14:textId="77777777" w:rsidR="00443BE2" w:rsidRDefault="00443BE2" w:rsidP="00776AFC"/>
          <w:p w14:paraId="0F3FCBE5" w14:textId="453C6406" w:rsidR="003B12AC" w:rsidRPr="00BB339F" w:rsidRDefault="00776AFC" w:rsidP="00776AFC">
            <w:pPr>
              <w:rPr>
                <w:sz w:val="32"/>
                <w:szCs w:val="32"/>
              </w:rPr>
            </w:pPr>
            <w:r w:rsidRPr="00BB339F">
              <w:rPr>
                <w:sz w:val="32"/>
                <w:szCs w:val="32"/>
              </w:rPr>
              <w:t>152 983</w:t>
            </w:r>
            <w:r w:rsidR="003B12AC" w:rsidRPr="00BB339F">
              <w:rPr>
                <w:sz w:val="32"/>
                <w:szCs w:val="32"/>
              </w:rPr>
              <w:t xml:space="preserve"> $</w:t>
            </w:r>
          </w:p>
        </w:tc>
      </w:tr>
    </w:tbl>
    <w:tbl>
      <w:tblPr>
        <w:tblStyle w:val="Grille"/>
        <w:tblpPr w:leftFromText="141" w:rightFromText="141" w:vertAnchor="text" w:horzAnchor="page" w:tblpX="8186" w:tblpY="-6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1"/>
        <w:gridCol w:w="1701"/>
      </w:tblGrid>
      <w:tr w:rsidR="00BB339F" w14:paraId="5C66F90C" w14:textId="77777777" w:rsidTr="00BB339F">
        <w:tc>
          <w:tcPr>
            <w:tcW w:w="4251" w:type="dxa"/>
            <w:shd w:val="clear" w:color="auto" w:fill="ECE1D6" w:themeFill="accent5" w:themeFillTint="33"/>
          </w:tcPr>
          <w:p w14:paraId="6BD7BCBF" w14:textId="77777777" w:rsidR="00BB339F" w:rsidRDefault="00BB339F" w:rsidP="00BB339F">
            <w:r>
              <w:t>Âge, aujourd'hui</w:t>
            </w:r>
          </w:p>
        </w:tc>
        <w:tc>
          <w:tcPr>
            <w:tcW w:w="1701" w:type="dxa"/>
            <w:shd w:val="clear" w:color="auto" w:fill="BCE1D2"/>
          </w:tcPr>
          <w:p w14:paraId="4E70E751" w14:textId="77777777" w:rsidR="00BB339F" w:rsidRDefault="00BB339F" w:rsidP="00BB339F">
            <w:r>
              <w:t>55 ans</w:t>
            </w:r>
          </w:p>
        </w:tc>
      </w:tr>
      <w:tr w:rsidR="00BB339F" w14:paraId="0C77126D" w14:textId="77777777" w:rsidTr="00BB339F">
        <w:tc>
          <w:tcPr>
            <w:tcW w:w="4251" w:type="dxa"/>
            <w:shd w:val="clear" w:color="auto" w:fill="ECE1D6" w:themeFill="accent5" w:themeFillTint="33"/>
          </w:tcPr>
          <w:p w14:paraId="756D2D67" w14:textId="77777777" w:rsidR="00BB339F" w:rsidRDefault="00BB339F" w:rsidP="00BB339F">
            <w:r>
              <w:t>Âge, début épargne</w:t>
            </w:r>
          </w:p>
        </w:tc>
        <w:tc>
          <w:tcPr>
            <w:tcW w:w="1701" w:type="dxa"/>
            <w:shd w:val="clear" w:color="auto" w:fill="BCE1D2"/>
          </w:tcPr>
          <w:p w14:paraId="7873C5C5" w14:textId="77777777" w:rsidR="00BB339F" w:rsidRDefault="00BB339F" w:rsidP="00BB339F">
            <w:r>
              <w:t>40 ans</w:t>
            </w:r>
          </w:p>
        </w:tc>
      </w:tr>
      <w:tr w:rsidR="00BB339F" w14:paraId="4DA5D394" w14:textId="77777777" w:rsidTr="00BB339F">
        <w:tc>
          <w:tcPr>
            <w:tcW w:w="4251" w:type="dxa"/>
            <w:shd w:val="clear" w:color="auto" w:fill="ECE1D6" w:themeFill="accent5" w:themeFillTint="33"/>
          </w:tcPr>
          <w:p w14:paraId="4F0A9CD0" w14:textId="77777777" w:rsidR="00BB339F" w:rsidRDefault="00BB339F" w:rsidP="00BB339F">
            <w:r>
              <w:t>Montant annuel épargné</w:t>
            </w:r>
          </w:p>
        </w:tc>
        <w:tc>
          <w:tcPr>
            <w:tcW w:w="1701" w:type="dxa"/>
            <w:shd w:val="clear" w:color="auto" w:fill="BCE1D2"/>
          </w:tcPr>
          <w:p w14:paraId="652EC0C3" w14:textId="77777777" w:rsidR="00BB339F" w:rsidRDefault="00BB339F" w:rsidP="00BB339F">
            <w:r>
              <w:t>10 000 $</w:t>
            </w:r>
          </w:p>
        </w:tc>
      </w:tr>
      <w:tr w:rsidR="00BB339F" w14:paraId="5C000B81" w14:textId="77777777" w:rsidTr="00BB339F">
        <w:tc>
          <w:tcPr>
            <w:tcW w:w="4251" w:type="dxa"/>
            <w:shd w:val="clear" w:color="auto" w:fill="ECE1D6" w:themeFill="accent5" w:themeFillTint="33"/>
          </w:tcPr>
          <w:p w14:paraId="6DB2AD54" w14:textId="77777777" w:rsidR="00BB339F" w:rsidRDefault="00BB339F" w:rsidP="00BB339F">
            <w:r>
              <w:t>Montant total épargné</w:t>
            </w:r>
          </w:p>
        </w:tc>
        <w:tc>
          <w:tcPr>
            <w:tcW w:w="1701" w:type="dxa"/>
            <w:shd w:val="clear" w:color="auto" w:fill="BCE1D2"/>
          </w:tcPr>
          <w:p w14:paraId="7AB0642D" w14:textId="77777777" w:rsidR="00BB339F" w:rsidRPr="002479C0" w:rsidRDefault="00BB339F" w:rsidP="00BB339F">
            <w:pPr>
              <w:rPr>
                <w:sz w:val="32"/>
                <w:szCs w:val="32"/>
              </w:rPr>
            </w:pPr>
            <w:r w:rsidRPr="002479C0">
              <w:rPr>
                <w:sz w:val="32"/>
                <w:szCs w:val="32"/>
              </w:rPr>
              <w:t>150 000 $</w:t>
            </w:r>
          </w:p>
        </w:tc>
      </w:tr>
      <w:tr w:rsidR="00BB339F" w14:paraId="4F23B72F" w14:textId="77777777" w:rsidTr="00BB339F">
        <w:tc>
          <w:tcPr>
            <w:tcW w:w="4251" w:type="dxa"/>
            <w:shd w:val="clear" w:color="auto" w:fill="ECE1D6" w:themeFill="accent5" w:themeFillTint="33"/>
          </w:tcPr>
          <w:p w14:paraId="08C64921" w14:textId="77777777" w:rsidR="00BB339F" w:rsidRDefault="00BB339F" w:rsidP="00BB339F">
            <w:r>
              <w:t>Rendement</w:t>
            </w:r>
          </w:p>
        </w:tc>
        <w:tc>
          <w:tcPr>
            <w:tcW w:w="1701" w:type="dxa"/>
            <w:shd w:val="clear" w:color="auto" w:fill="BCE1D2"/>
          </w:tcPr>
          <w:p w14:paraId="39F034BB" w14:textId="77777777" w:rsidR="00BB339F" w:rsidRDefault="00BB339F" w:rsidP="00BB339F">
            <w:r>
              <w:t>2 %</w:t>
            </w:r>
          </w:p>
        </w:tc>
      </w:tr>
      <w:tr w:rsidR="00BB339F" w14:paraId="38B5B307" w14:textId="77777777" w:rsidTr="00BB339F">
        <w:tc>
          <w:tcPr>
            <w:tcW w:w="4251" w:type="dxa"/>
            <w:shd w:val="clear" w:color="auto" w:fill="ECE1D6" w:themeFill="accent5" w:themeFillTint="33"/>
          </w:tcPr>
          <w:p w14:paraId="28376A54" w14:textId="77777777" w:rsidR="00BB339F" w:rsidRDefault="00BB339F" w:rsidP="00BB339F"/>
          <w:p w14:paraId="70F6F3B3" w14:textId="77777777" w:rsidR="00BB339F" w:rsidRDefault="00BB339F" w:rsidP="00BB339F">
            <w:r w:rsidRPr="00BB339F">
              <w:rPr>
                <w:sz w:val="32"/>
                <w:szCs w:val="32"/>
              </w:rPr>
              <w:t>Valeur de l'actif</w:t>
            </w:r>
            <w:r>
              <w:t>, aujourd'hui</w:t>
            </w:r>
          </w:p>
        </w:tc>
        <w:tc>
          <w:tcPr>
            <w:tcW w:w="1701" w:type="dxa"/>
            <w:shd w:val="clear" w:color="auto" w:fill="BCE1D2"/>
          </w:tcPr>
          <w:p w14:paraId="4CF01C67" w14:textId="77777777" w:rsidR="00BB339F" w:rsidRDefault="00BB339F" w:rsidP="00BB339F"/>
          <w:p w14:paraId="327E775B" w14:textId="77777777" w:rsidR="00BB339F" w:rsidRPr="002479C0" w:rsidRDefault="00BB339F" w:rsidP="00BB339F">
            <w:pPr>
              <w:rPr>
                <w:sz w:val="32"/>
                <w:szCs w:val="32"/>
              </w:rPr>
            </w:pPr>
            <w:r w:rsidRPr="002479C0">
              <w:rPr>
                <w:sz w:val="32"/>
                <w:szCs w:val="32"/>
              </w:rPr>
              <w:t>176 392 $</w:t>
            </w:r>
          </w:p>
        </w:tc>
      </w:tr>
    </w:tbl>
    <w:p w14:paraId="0AE2505A" w14:textId="77777777" w:rsidR="0092643C" w:rsidRDefault="0092643C" w:rsidP="0092643C">
      <w:r>
        <w:tab/>
      </w:r>
      <w:r>
        <w:tab/>
      </w:r>
      <w:r>
        <w:tab/>
      </w:r>
      <w:r>
        <w:tab/>
      </w:r>
    </w:p>
    <w:p w14:paraId="56D8C468" w14:textId="77777777" w:rsidR="0092643C" w:rsidRDefault="0092643C" w:rsidP="0092643C"/>
    <w:p w14:paraId="54F3B5D4" w14:textId="5FCD2FB1" w:rsidR="0092643C" w:rsidRDefault="00A81A03" w:rsidP="0092643C">
      <w:r>
        <w:rPr>
          <w:noProof/>
          <w:lang w:eastAsia="fr-FR"/>
        </w:rPr>
        <mc:AlternateContent>
          <mc:Choice Requires="wps">
            <w:drawing>
              <wp:anchor distT="0" distB="0" distL="114300" distR="114300" simplePos="0" relativeHeight="252724224" behindDoc="0" locked="0" layoutInCell="1" allowOverlap="1" wp14:anchorId="488FEF3D" wp14:editId="6922F823">
                <wp:simplePos x="0" y="0"/>
                <wp:positionH relativeFrom="column">
                  <wp:posOffset>4118610</wp:posOffset>
                </wp:positionH>
                <wp:positionV relativeFrom="paragraph">
                  <wp:posOffset>59690</wp:posOffset>
                </wp:positionV>
                <wp:extent cx="342900" cy="342900"/>
                <wp:effectExtent l="76200" t="76200" r="38100" b="63500"/>
                <wp:wrapNone/>
                <wp:docPr id="553" name="Étoile à 5 branches 553"/>
                <wp:cNvGraphicFramePr/>
                <a:graphic xmlns:a="http://schemas.openxmlformats.org/drawingml/2006/main">
                  <a:graphicData uri="http://schemas.microsoft.com/office/word/2010/wordprocessingShape">
                    <wps:wsp>
                      <wps:cNvSpPr/>
                      <wps:spPr>
                        <a:xfrm>
                          <a:off x="0" y="0"/>
                          <a:ext cx="342900" cy="342900"/>
                        </a:xfrm>
                        <a:prstGeom prst="star5">
                          <a:avLst/>
                        </a:prstGeom>
                        <a:solidFill>
                          <a:schemeClr val="accent4">
                            <a:lumMod val="75000"/>
                          </a:schemeClr>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337C182" w14:textId="77777777" w:rsidR="00573C95" w:rsidRDefault="00573C95" w:rsidP="00A81A03">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Étoile à 5 branches 553" o:spid="_x0000_s1360" style="position:absolute;margin-left:324.3pt;margin-top:4.7pt;width:27pt;height:27pt;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2900,342900"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" adj="-11796480,,5400" path="m0,130976l130977,130977,171450,,211923,130977,342900,130976,236937,211923,277412,342899,171450,261950,65488,342899,105963,211923,,130976xe" fillcolor="#6b6e4b [2407]" strokecolor="black [3213]">
                <v:stroke joinstyle="miter"/>
                <v:formulas/>
                <v:path arrowok="t" o:connecttype="custom" o:connectlocs="0,130976;130977,130977;171450,0;211923,130977;342900,130976;236937,211923;277412,342899;171450,261950;65488,342899;105963,211923;0,130976" o:connectangles="0,0,0,0,0,0,0,0,0,0,0" textboxrect="0,0,342900,342900"/>
                <v:textbox>
                  <w:txbxContent>
                    <w:p w14:paraId="3337C182" w14:textId="77777777" w:rsidR="001501D6" w:rsidRDefault="001501D6" w:rsidP="00A81A03">
                      <w:pPr>
                        <w:jc w:val="center"/>
                      </w:pPr>
                    </w:p>
                  </w:txbxContent>
                </v:textbox>
              </v:shape>
            </w:pict>
          </mc:Fallback>
        </mc:AlternateContent>
      </w:r>
    </w:p>
    <w:p w14:paraId="72AC4C74" w14:textId="78549460" w:rsidR="006A10DD" w:rsidRDefault="006A10DD">
      <w:r>
        <w:br w:type="page"/>
      </w:r>
    </w:p>
    <w:p w14:paraId="4B324666" w14:textId="445DD2C3" w:rsidR="00851E7D" w:rsidRDefault="00D44867" w:rsidP="00D44867">
      <w:pPr>
        <w:jc w:val="both"/>
      </w:pPr>
      <w:r>
        <w:lastRenderedPageBreak/>
        <w:t>Pauvre, pauvre</w:t>
      </w:r>
      <w:r w:rsidR="00A07F17">
        <w:t>,</w:t>
      </w:r>
      <w:r>
        <w:t xml:space="preserve"> Jean Faucher, dans le premier scénario, il se fait damer le pion par Marie Richer malgré des investissements plus élevés (+45 000 $). Bien sûr</w:t>
      </w:r>
      <w:r w:rsidR="00581F3F">
        <w:t xml:space="preserve">, </w:t>
      </w:r>
      <w:r>
        <w:t xml:space="preserve">c'est son assiduité à l'épargne dès l'âge de 20 ans qui a fait la différence en faveur de Marie (+57 935 $). </w:t>
      </w:r>
    </w:p>
    <w:p w14:paraId="2925D6BA" w14:textId="77777777" w:rsidR="00D44867" w:rsidRDefault="00D44867" w:rsidP="00D44867">
      <w:pPr>
        <w:jc w:val="both"/>
      </w:pPr>
    </w:p>
    <w:p w14:paraId="2BAB783C" w14:textId="5792F399" w:rsidR="00D44867" w:rsidRDefault="00D44867" w:rsidP="00D44867">
      <w:pPr>
        <w:jc w:val="both"/>
      </w:pPr>
      <w:r>
        <w:t xml:space="preserve">Jurant avoir appris </w:t>
      </w:r>
      <w:r w:rsidR="0086093D">
        <w:t>sa</w:t>
      </w:r>
      <w:r>
        <w:t xml:space="preserve"> leçon, Jean Faucher, dans le deuxième scénario, décide d'appliquer exactement les mêmes </w:t>
      </w:r>
      <w:r w:rsidR="00581F3F">
        <w:t>principes,</w:t>
      </w:r>
      <w:r>
        <w:t xml:space="preserve"> qui avaient été si bienfaiteur</w:t>
      </w:r>
      <w:r w:rsidR="0086093D">
        <w:t>s</w:t>
      </w:r>
      <w:r>
        <w:t xml:space="preserve"> pour Marie. À son plus grand désespoir, Jean a encore perdu la joute financière, et </w:t>
      </w:r>
      <w:proofErr w:type="gramStart"/>
      <w:r w:rsidR="0086093D">
        <w:t>ce</w:t>
      </w:r>
      <w:proofErr w:type="gramEnd"/>
      <w:r>
        <w:t xml:space="preserve"> malgré qu'il ait commencé à épargner à l'âge de 20 ans. Que </w:t>
      </w:r>
      <w:r w:rsidR="0086093D">
        <w:t>s'est-il passé</w:t>
      </w:r>
      <w:r w:rsidR="0086093D" w:rsidRPr="0086093D">
        <w:rPr>
          <w:rFonts w:ascii="Avenir Book" w:hAnsi="Avenir Book"/>
        </w:rPr>
        <w:t>?</w:t>
      </w:r>
    </w:p>
    <w:p w14:paraId="055AF0CA" w14:textId="77777777" w:rsidR="00D44867" w:rsidRDefault="00D44867" w:rsidP="00D44867">
      <w:pPr>
        <w:jc w:val="both"/>
      </w:pPr>
    </w:p>
    <w:p w14:paraId="0FD8D6C6" w14:textId="6E5EE085" w:rsidR="0086093D" w:rsidRDefault="0086093D" w:rsidP="00D44867">
      <w:pPr>
        <w:jc w:val="both"/>
      </w:pPr>
      <w:r>
        <w:t xml:space="preserve">Jean a appris sa leçon "par coeur", comme une forme de recette, il n'a pas compris le fonctionnement et l'effet des rendements composés. Dit autrement, dans l'équation financière, pour que le facteur temps réussisse à combler un déficit de capital investi, il lui faut un certain rendement. Or, dans le deuxième scénario, le </w:t>
      </w:r>
      <w:r w:rsidRPr="0086093D">
        <w:rPr>
          <w:color w:val="FF6700" w:themeColor="accent3"/>
        </w:rPr>
        <w:t>RENDEMENT DE 2 %</w:t>
      </w:r>
      <w:r>
        <w:t xml:space="preserve"> n'était pas assez élevé pour combler le déficit d'investissement de 45 000 $ de Jean, malgré qu'il </w:t>
      </w:r>
      <w:r w:rsidR="00A07F17">
        <w:t xml:space="preserve">ait </w:t>
      </w:r>
      <w:r>
        <w:t xml:space="preserve">commencé à investir 20 années avant Marie.  </w:t>
      </w:r>
    </w:p>
    <w:p w14:paraId="1B1B8240" w14:textId="77777777" w:rsidR="005E4C37" w:rsidRDefault="005E4C37" w:rsidP="00B8499C"/>
    <w:p w14:paraId="7C332D20" w14:textId="2D76F17A" w:rsidR="00D969E8" w:rsidRDefault="00D969E8" w:rsidP="006C34CF">
      <w:pPr>
        <w:pStyle w:val="Titre4"/>
        <w:numPr>
          <w:ilvl w:val="3"/>
          <w:numId w:val="69"/>
        </w:numPr>
      </w:pPr>
      <w:bookmarkStart w:id="124" w:name="_Toc314397869"/>
      <w:bookmarkStart w:id="125" w:name="_Toc443569413"/>
      <w:r>
        <w:t>La priorisation des véhicules d'épargne</w:t>
      </w:r>
      <w:bookmarkEnd w:id="124"/>
      <w:bookmarkEnd w:id="125"/>
    </w:p>
    <w:p w14:paraId="270B6BCC" w14:textId="77777777" w:rsidR="00D969E8" w:rsidRDefault="00D969E8" w:rsidP="00B8499C"/>
    <w:p w14:paraId="1AC325DB" w14:textId="54D566BD" w:rsidR="00190891" w:rsidRDefault="00475CB2" w:rsidP="00221443">
      <w:pPr>
        <w:jc w:val="both"/>
      </w:pPr>
      <w:r>
        <w:t>Nous établirons les priorités à donner</w:t>
      </w:r>
      <w:r w:rsidR="0043513E">
        <w:t xml:space="preserve"> aux différents véhicules d’épargne,</w:t>
      </w:r>
      <w:r>
        <w:t xml:space="preserve"> </w:t>
      </w:r>
      <w:r w:rsidR="0043513E">
        <w:t xml:space="preserve">avec l’optique que nous avons </w:t>
      </w:r>
      <w:r w:rsidR="00581F3F">
        <w:t>devant nous</w:t>
      </w:r>
      <w:r w:rsidR="0043513E">
        <w:t xml:space="preserve"> des individus rationnels, sans grandes failles comportementales, faisant preuve d’un réel engagement durable envers l’épargne.</w:t>
      </w:r>
      <w:r>
        <w:t xml:space="preserve"> </w:t>
      </w:r>
      <w:r w:rsidR="0043513E">
        <w:t>Sans grande surprise, voici notre classement</w:t>
      </w:r>
      <w:r w:rsidR="00BF5FC4">
        <w:t xml:space="preserve"> (qui est finalement, une fois toutes les complexités démêlées, assez simple)</w:t>
      </w:r>
      <w:r w:rsidR="0043513E">
        <w:t> :</w:t>
      </w:r>
    </w:p>
    <w:p w14:paraId="182D5872" w14:textId="4A5598DC" w:rsidR="0043513E" w:rsidRDefault="00F93341" w:rsidP="00B8499C">
      <w:r>
        <w:rPr>
          <w:noProof/>
          <w:lang w:eastAsia="fr-FR"/>
        </w:rPr>
        <mc:AlternateContent>
          <mc:Choice Requires="wps">
            <w:drawing>
              <wp:anchor distT="0" distB="0" distL="114300" distR="114300" simplePos="0" relativeHeight="252726272" behindDoc="0" locked="0" layoutInCell="1" allowOverlap="1" wp14:anchorId="1CC69A25" wp14:editId="04079DD3">
                <wp:simplePos x="0" y="0"/>
                <wp:positionH relativeFrom="column">
                  <wp:posOffset>-228600</wp:posOffset>
                </wp:positionH>
                <wp:positionV relativeFrom="paragraph">
                  <wp:posOffset>114300</wp:posOffset>
                </wp:positionV>
                <wp:extent cx="571500" cy="571500"/>
                <wp:effectExtent l="25400" t="25400" r="38100" b="38100"/>
                <wp:wrapNone/>
                <wp:docPr id="548" name="Ellipse 548"/>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5DF93E82" w14:textId="2A5123C8" w:rsidR="00573C95" w:rsidRPr="00BF5FC4" w:rsidRDefault="00573C95" w:rsidP="00BF5FC4">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48" o:spid="_x0000_s1361" style="position:absolute;margin-left:-17.95pt;margin-top:9pt;width:45pt;height:45pt;z-index:2527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" fillcolor="green" strokecolor="black [3213]" strokeweight="3pt">
                <v:textbox>
                  <w:txbxContent>
                    <w:p w14:paraId="5DF93E82" w14:textId="2A5123C8" w:rsidR="001501D6" w:rsidRPr="00BF5FC4" w:rsidRDefault="001501D6" w:rsidP="00BF5FC4">
                      <w:pPr>
                        <w:jc w:val="center"/>
                        <w:rPr>
                          <w:color w:val="FFFFFF" w:themeColor="background1"/>
                        </w:rPr>
                      </w:pPr>
                      <w:r w:rsidRPr="00BF5FC4">
                        <w:rPr>
                          <w:color w:val="FFFFFF" w:themeColor="background1"/>
                        </w:rPr>
                        <w:t xml:space="preserve">1 </w:t>
                      </w:r>
                    </w:p>
                  </w:txbxContent>
                </v:textbox>
              </v:oval>
            </w:pict>
          </mc:Fallback>
        </mc:AlternateContent>
      </w:r>
    </w:p>
    <w:p w14:paraId="1EA6C457" w14:textId="0959657F" w:rsidR="0043513E" w:rsidRDefault="00BF5FC4" w:rsidP="00BF5FC4">
      <w:pPr>
        <w:ind w:left="700"/>
        <w:jc w:val="both"/>
      </w:pPr>
      <w:r>
        <w:t xml:space="preserve">Le </w:t>
      </w:r>
      <w:r w:rsidRPr="00F93341">
        <w:rPr>
          <w:color w:val="FF6700" w:themeColor="accent3"/>
        </w:rPr>
        <w:t>REÉÉ</w:t>
      </w:r>
      <w:r w:rsidR="004605FA">
        <w:t xml:space="preserve">, jusqu’à concurrence de 2 </w:t>
      </w:r>
      <w:r>
        <w:t>500 $/année/enfant (5 000 $/année/enfant lorsqu’il y a un « rattrapage » d’années permis)</w:t>
      </w:r>
      <w:r w:rsidR="00EC0A4D">
        <w:t>.</w:t>
      </w:r>
    </w:p>
    <w:p w14:paraId="65E8F232" w14:textId="77777777" w:rsidR="00EC0A4D" w:rsidRDefault="00EC0A4D" w:rsidP="00BF5FC4">
      <w:pPr>
        <w:ind w:left="700"/>
        <w:jc w:val="both"/>
      </w:pPr>
    </w:p>
    <w:p w14:paraId="0330909E" w14:textId="1F59D64F" w:rsidR="00EC0A4D" w:rsidRDefault="00F93341" w:rsidP="00BF5FC4">
      <w:pPr>
        <w:ind w:left="700"/>
        <w:jc w:val="both"/>
      </w:pPr>
      <w:r>
        <w:rPr>
          <w:noProof/>
          <w:lang w:eastAsia="fr-FR"/>
        </w:rPr>
        <mc:AlternateContent>
          <mc:Choice Requires="wps">
            <w:drawing>
              <wp:anchor distT="0" distB="0" distL="114300" distR="114300" simplePos="0" relativeHeight="252728320" behindDoc="0" locked="0" layoutInCell="1" allowOverlap="1" wp14:anchorId="28725FB0" wp14:editId="5918D215">
                <wp:simplePos x="0" y="0"/>
                <wp:positionH relativeFrom="column">
                  <wp:posOffset>-228600</wp:posOffset>
                </wp:positionH>
                <wp:positionV relativeFrom="paragraph">
                  <wp:posOffset>52705</wp:posOffset>
                </wp:positionV>
                <wp:extent cx="571500" cy="571500"/>
                <wp:effectExtent l="25400" t="25400" r="38100" b="38100"/>
                <wp:wrapNone/>
                <wp:docPr id="550" name="Ellipse 550"/>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3CE55C43" w14:textId="47D3354C" w:rsidR="00573C95" w:rsidRPr="00BF5FC4" w:rsidRDefault="00573C95" w:rsidP="00F93341">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50" o:spid="_x0000_s1362" style="position:absolute;left:0;text-align:left;margin-left:-17.95pt;margin-top:4.15pt;width:45pt;height:45pt;z-index:25272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" fillcolor="green" strokecolor="black [3213]" strokeweight="3pt">
                <v:textbox>
                  <w:txbxContent>
                    <w:p w14:paraId="3CE55C43" w14:textId="47D3354C" w:rsidR="001501D6" w:rsidRPr="00BF5FC4" w:rsidRDefault="001501D6" w:rsidP="00F93341">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p>
    <w:p w14:paraId="70B179D5" w14:textId="60774B9B" w:rsidR="00F93341" w:rsidRDefault="00F93341" w:rsidP="00F93341">
      <w:pPr>
        <w:ind w:left="700"/>
      </w:pPr>
      <w:r>
        <w:t xml:space="preserve">Par la suite, le </w:t>
      </w:r>
      <w:r w:rsidRPr="00F93341">
        <w:rPr>
          <w:color w:val="FF6700" w:themeColor="accent3"/>
        </w:rPr>
        <w:t>REÉR</w:t>
      </w:r>
      <w:r>
        <w:t xml:space="preserve">, lorsque le Taux d'impôt marginal cotisation &gt; Taux d'impôt marginal anticipé au retrait </w:t>
      </w:r>
      <w:r w:rsidRPr="00F93341">
        <w:rPr>
          <w:color w:val="FF6700" w:themeColor="accent3"/>
        </w:rPr>
        <w:t>OU</w:t>
      </w:r>
      <w:r>
        <w:t xml:space="preserve"> le </w:t>
      </w:r>
      <w:r w:rsidRPr="00F93341">
        <w:rPr>
          <w:color w:val="FF6700" w:themeColor="accent3"/>
        </w:rPr>
        <w:t>CÉLI</w:t>
      </w:r>
      <w:r>
        <w:t>, lorsque Taux d'impôt marginal cotisation &lt; Taux d'impôt marginal anticipé au retrait.</w:t>
      </w:r>
    </w:p>
    <w:p w14:paraId="10875FCA" w14:textId="10E307DE" w:rsidR="00F93341" w:rsidRDefault="00F93341" w:rsidP="00F93341">
      <w:pPr>
        <w:ind w:firstLine="700"/>
      </w:pPr>
    </w:p>
    <w:p w14:paraId="1EB73C36" w14:textId="77777777" w:rsidR="004E2008" w:rsidRDefault="004E2008" w:rsidP="00F93341">
      <w:pPr>
        <w:ind w:firstLine="700"/>
      </w:pPr>
    </w:p>
    <w:p w14:paraId="7928A974" w14:textId="470F4A4B" w:rsidR="00EC0A4D" w:rsidRDefault="00831CDC" w:rsidP="00022EEF">
      <w:pPr>
        <w:jc w:val="both"/>
      </w:pPr>
      <w:r>
        <w:lastRenderedPageBreak/>
        <w:t xml:space="preserve">Nous avons déjà présenté la supériorité du REÉÉ sur le CÉLI, en </w:t>
      </w:r>
      <w:r w:rsidR="00581F3F">
        <w:t>démontrant</w:t>
      </w:r>
      <w:r>
        <w:t xml:space="preserve"> qu’</w:t>
      </w:r>
      <w:r w:rsidR="00581F3F">
        <w:t>à toutes fins utiles</w:t>
      </w:r>
      <w:r>
        <w:t>, les deux régimes étaient complètement défiscalisés, laissant alors l</w:t>
      </w:r>
      <w:r w:rsidR="004E2008">
        <w:t>a subvention propre au REÉÉ devenir l</w:t>
      </w:r>
      <w:r>
        <w:t>e facteur départageant les deux régime</w:t>
      </w:r>
      <w:r w:rsidR="004E2008">
        <w:t>s.</w:t>
      </w:r>
    </w:p>
    <w:p w14:paraId="768DA34E" w14:textId="77777777" w:rsidR="004E2008" w:rsidRDefault="004E2008" w:rsidP="00022EEF">
      <w:pPr>
        <w:jc w:val="both"/>
      </w:pPr>
    </w:p>
    <w:p w14:paraId="27926C04" w14:textId="7C65FA59" w:rsidR="004E2008" w:rsidRDefault="004E2008" w:rsidP="00022EEF">
      <w:pPr>
        <w:jc w:val="both"/>
      </w:pPr>
      <w:r>
        <w:t>Quant à l’avantage du REÉÉ sur le REÉR (lorsque celui-ci a l’avantage sur le CÉLI), il s’explique essentiellement par le fait que le contribuable aura toujours l'occasion d'effectuer un rattrapage de cotisations au REÉR, alors que tout sera terminé dans l'année où l'enfant célèbrera son 15</w:t>
      </w:r>
      <w:r w:rsidRPr="00FF4120">
        <w:rPr>
          <w:vertAlign w:val="superscript"/>
        </w:rPr>
        <w:t>e</w:t>
      </w:r>
      <w:r>
        <w:t xml:space="preserve"> anniversaire dans le cas du REÉÉ (lorsqu’il n’y pas eu un minimum de cotisation de 2 000 $ à cette date). Il faut alors saisir l’opportunité lorsqu’elle se présente.</w:t>
      </w:r>
    </w:p>
    <w:p w14:paraId="32BED050" w14:textId="62262A1A" w:rsidR="004E2008" w:rsidRDefault="004E2008" w:rsidP="00022EEF">
      <w:pPr>
        <w:jc w:val="both"/>
      </w:pPr>
    </w:p>
    <w:p w14:paraId="002C50E1" w14:textId="338BC4B2" w:rsidR="00476CDC" w:rsidRDefault="00476CDC" w:rsidP="00022EEF">
      <w:pPr>
        <w:jc w:val="both"/>
      </w:pPr>
      <w:r>
        <w:t>Finalement</w:t>
      </w:r>
      <w:r w:rsidR="00D328F7">
        <w:t>, à notre avis, le pire des scénarios («</w:t>
      </w:r>
      <w:r w:rsidR="005173A9">
        <w:t>w</w:t>
      </w:r>
      <w:r w:rsidR="00D328F7">
        <w:t xml:space="preserve">orst case scenario» ou le risque ultime), dans le cas du REÉÉ (l’enfant n’entreprend pas d’études post-secondaire), ne comporte pas un résultat qui saurait faire contrepoids aux avantages marqués du régime. </w:t>
      </w:r>
    </w:p>
    <w:p w14:paraId="50A0DF23" w14:textId="77777777" w:rsidR="00BF5FC4" w:rsidRDefault="00BF5FC4" w:rsidP="00B8499C"/>
    <w:p w14:paraId="6212865A" w14:textId="431632F7" w:rsidR="00B8499C" w:rsidRDefault="00275B4C" w:rsidP="006C34CF">
      <w:pPr>
        <w:pStyle w:val="Titre3"/>
        <w:numPr>
          <w:ilvl w:val="2"/>
          <w:numId w:val="68"/>
        </w:numPr>
      </w:pPr>
      <w:bookmarkStart w:id="126" w:name="_Toc314397870"/>
      <w:bookmarkStart w:id="127" w:name="_Toc443569414"/>
      <w:r>
        <w:t>Les régimes selon les types de revenus de placement</w:t>
      </w:r>
      <w:bookmarkEnd w:id="126"/>
      <w:bookmarkEnd w:id="127"/>
      <w:r>
        <w:t xml:space="preserve"> </w:t>
      </w:r>
    </w:p>
    <w:p w14:paraId="73446C44" w14:textId="77777777" w:rsidR="00B8499C" w:rsidRDefault="00B8499C" w:rsidP="00B8499C"/>
    <w:p w14:paraId="23E1D809" w14:textId="427FB042" w:rsidR="00AD5F38" w:rsidRDefault="00E66DBD" w:rsidP="007D0E55">
      <w:pPr>
        <w:jc w:val="both"/>
      </w:pPr>
      <w:r>
        <w:t xml:space="preserve">Le régime fiscal canadien </w:t>
      </w:r>
      <w:r w:rsidR="006F3EDF">
        <w:t xml:space="preserve">ne traite pas tous les revenus de placement de la même façon. </w:t>
      </w:r>
      <w:r w:rsidR="00DF2AB1">
        <w:t xml:space="preserve">En matière de politique fiscale, </w:t>
      </w:r>
      <w:r w:rsidR="00AD5F38">
        <w:t>« </w:t>
      </w:r>
      <w:r w:rsidR="006F3EDF">
        <w:t>Un dollar gagné n’est pas un dollar gagné</w:t>
      </w:r>
      <w:r w:rsidR="00AD5F38">
        <w:t> »</w:t>
      </w:r>
      <w:r w:rsidR="006F3EDF">
        <w:t xml:space="preserve"> comme le proposait, en 1966, la commission Carter sur la fiscalité. Les revenus de placement s’imposent selon trois catégories</w:t>
      </w:r>
      <w:r w:rsidR="00AD5F38">
        <w:t xml:space="preserve"> distinctes : l</w:t>
      </w:r>
      <w:r w:rsidR="006F3EDF">
        <w:t>e revenu d’intérêts (TMI d’environ 50 %)</w:t>
      </w:r>
      <w:r w:rsidR="00AD5F38">
        <w:t xml:space="preserve">, le revenu de dividendes (TMI entre environ 35 % et 39 %, selon qu’ils sont « déterminés » ou « ordinaires ») et le gain en capital (TMI d’environ 25 %). Ces variations de taux d’imposition </w:t>
      </w:r>
      <w:r w:rsidR="00DF2AB1">
        <w:t>nécessitent l’ajout d’</w:t>
      </w:r>
      <w:r w:rsidR="00AD5F38">
        <w:t>une lorgnette à l’étude de l’optimisation des différents véhicules de placements.</w:t>
      </w:r>
    </w:p>
    <w:p w14:paraId="0BB50FF2" w14:textId="77777777" w:rsidR="0063676A" w:rsidRDefault="0063676A" w:rsidP="007D0E55">
      <w:pPr>
        <w:jc w:val="both"/>
      </w:pPr>
    </w:p>
    <w:p w14:paraId="4A590899" w14:textId="4BE8219E" w:rsidR="00C57C9E" w:rsidRDefault="00C57C9E" w:rsidP="006C34CF">
      <w:pPr>
        <w:pStyle w:val="Paragraphedeliste"/>
        <w:numPr>
          <w:ilvl w:val="0"/>
          <w:numId w:val="71"/>
        </w:numPr>
        <w:jc w:val="both"/>
      </w:pPr>
      <w:r>
        <w:rPr>
          <w:color w:val="FF6700" w:themeColor="accent3"/>
        </w:rPr>
        <w:t xml:space="preserve">Dans le cas où l’espace des abris fiscaux </w:t>
      </w:r>
      <w:r w:rsidR="00581F3F">
        <w:rPr>
          <w:color w:val="FF6700" w:themeColor="accent3"/>
        </w:rPr>
        <w:t>n’est</w:t>
      </w:r>
      <w:r>
        <w:rPr>
          <w:color w:val="FF6700" w:themeColor="accent3"/>
        </w:rPr>
        <w:t xml:space="preserve"> pas </w:t>
      </w:r>
      <w:r w:rsidR="00581F3F">
        <w:rPr>
          <w:color w:val="FF6700" w:themeColor="accent3"/>
        </w:rPr>
        <w:t>tout</w:t>
      </w:r>
      <w:r>
        <w:rPr>
          <w:color w:val="FF6700" w:themeColor="accent3"/>
        </w:rPr>
        <w:t xml:space="preserve"> </w:t>
      </w:r>
      <w:r w:rsidR="00581F3F">
        <w:rPr>
          <w:color w:val="FF6700" w:themeColor="accent3"/>
        </w:rPr>
        <w:t>occupé</w:t>
      </w:r>
    </w:p>
    <w:p w14:paraId="54ABB45E" w14:textId="77777777" w:rsidR="00C57C9E" w:rsidRDefault="00C57C9E" w:rsidP="007D0E55">
      <w:pPr>
        <w:jc w:val="both"/>
      </w:pPr>
    </w:p>
    <w:p w14:paraId="3C317FE5" w14:textId="7E17B1E7" w:rsidR="0063676A" w:rsidRDefault="00D9254E" w:rsidP="007D0E55">
      <w:pPr>
        <w:jc w:val="both"/>
      </w:pPr>
      <w:r>
        <w:t>Précision d’emblée</w:t>
      </w:r>
      <w:r w:rsidR="0053601A">
        <w:t>,</w:t>
      </w:r>
      <w:r>
        <w:t xml:space="preserve"> un point essentiel, peu importe le type de revenus de placements, il sera</w:t>
      </w:r>
      <w:r w:rsidR="00B323C6">
        <w:t xml:space="preserve"> </w:t>
      </w:r>
      <w:r w:rsidR="00B323C6" w:rsidRPr="00B323C6">
        <w:rPr>
          <w:color w:val="FF6700" w:themeColor="accent3"/>
        </w:rPr>
        <w:t>PRESQUE</w:t>
      </w:r>
      <w:r>
        <w:t xml:space="preserve"> toujours préférable de le générer à l’abri de l’impôt </w:t>
      </w:r>
      <w:r w:rsidR="00F866C6">
        <w:t xml:space="preserve">plutôt </w:t>
      </w:r>
      <w:r>
        <w:t xml:space="preserve">qu’à l’extérieur de celui-ci. </w:t>
      </w:r>
      <w:r w:rsidR="00B323C6">
        <w:t xml:space="preserve">Pour </w:t>
      </w:r>
      <w:r w:rsidR="00581F3F">
        <w:t xml:space="preserve">nous </w:t>
      </w:r>
      <w:r w:rsidR="00B323C6">
        <w:t>en convaincre nous allons étudier un cas extrême, où les a</w:t>
      </w:r>
      <w:r w:rsidR="00F866C6">
        <w:t xml:space="preserve">uteurs ont presque tout tenté pour que le placement à l’extérieur de l’abri fiscal soit plus favorable au même placement dans un REÉR. Nous remarquerons que dans le cas du CÉLI, il n’y aucune nuance à porter, à savoir qu’il est </w:t>
      </w:r>
      <w:r w:rsidR="00F866C6" w:rsidRPr="00F866C6">
        <w:rPr>
          <w:color w:val="FF6700" w:themeColor="accent3"/>
        </w:rPr>
        <w:t>TOUJOURS</w:t>
      </w:r>
      <w:r w:rsidR="00F866C6">
        <w:t xml:space="preserve"> préférable de faire fructifier un placement dans celui-ci plutôt qu’à l’extérieur de l’abri fiscal. </w:t>
      </w:r>
    </w:p>
    <w:p w14:paraId="518C6989" w14:textId="77777777" w:rsidR="00D9254E" w:rsidRDefault="00D9254E" w:rsidP="007D0E55">
      <w:pPr>
        <w:jc w:val="both"/>
      </w:pPr>
    </w:p>
    <w:p w14:paraId="2B502D06" w14:textId="1EFC7523" w:rsidR="00715063" w:rsidRDefault="00715063" w:rsidP="007D0E55">
      <w:pPr>
        <w:jc w:val="both"/>
      </w:pPr>
      <w:r w:rsidRPr="00715063">
        <w:rPr>
          <w:color w:val="FF6700" w:themeColor="accent3"/>
        </w:rPr>
        <w:lastRenderedPageBreak/>
        <w:t>CAS EXTRÊME</w:t>
      </w:r>
      <w:r>
        <w:t xml:space="preserve">, </w:t>
      </w:r>
      <w:r w:rsidRPr="00715063">
        <w:rPr>
          <w:i/>
        </w:rPr>
        <w:t xml:space="preserve">où les auteurs ont presque tout </w:t>
      </w:r>
      <w:proofErr w:type="gramStart"/>
      <w:r w:rsidRPr="00715063">
        <w:rPr>
          <w:i/>
        </w:rPr>
        <w:t>tenté</w:t>
      </w:r>
      <w:proofErr w:type="gramEnd"/>
      <w:r>
        <w:rPr>
          <w:i/>
        </w:rPr>
        <w:t xml:space="preserve"> (sans réussir)</w:t>
      </w:r>
      <w:r w:rsidRPr="00715063">
        <w:rPr>
          <w:i/>
        </w:rPr>
        <w:t xml:space="preserve"> pour que le placement à l’extérieur de l’abri fiscal soit plus favorable au même placement dans un REÉR</w:t>
      </w:r>
    </w:p>
    <w:p w14:paraId="3DDC0DB4" w14:textId="77777777" w:rsidR="00715063" w:rsidRDefault="00715063" w:rsidP="007D0E55">
      <w:pPr>
        <w:jc w:val="both"/>
      </w:pPr>
    </w:p>
    <w:tbl>
      <w:tblPr>
        <w:tblStyle w:val="Grille"/>
        <w:tblW w:w="13575" w:type="dxa"/>
        <w:tblLayout w:type="fixed"/>
        <w:tblLook w:val="04A0" w:firstRow="1" w:lastRow="0" w:firstColumn="1" w:lastColumn="0" w:noHBand="0" w:noVBand="1"/>
      </w:tblPr>
      <w:tblGrid>
        <w:gridCol w:w="4928"/>
        <w:gridCol w:w="2977"/>
        <w:gridCol w:w="2835"/>
        <w:gridCol w:w="2835"/>
      </w:tblGrid>
      <w:tr w:rsidR="00AB4BD9" w14:paraId="7C53E8C9" w14:textId="77777777" w:rsidTr="00417C8F">
        <w:tc>
          <w:tcPr>
            <w:tcW w:w="4928" w:type="dxa"/>
            <w:shd w:val="clear" w:color="auto" w:fill="CAF278" w:themeFill="background2"/>
          </w:tcPr>
          <w:p w14:paraId="0132A046" w14:textId="6EE16754" w:rsidR="00664F99" w:rsidRDefault="00831A0F" w:rsidP="00D675D7">
            <w:pPr>
              <w:jc w:val="center"/>
            </w:pPr>
            <w:r>
              <w:t>Les hypothèses</w:t>
            </w:r>
          </w:p>
        </w:tc>
        <w:tc>
          <w:tcPr>
            <w:tcW w:w="2977" w:type="dxa"/>
            <w:shd w:val="clear" w:color="auto" w:fill="DDDCD0" w:themeFill="text2" w:themeFillTint="33"/>
          </w:tcPr>
          <w:p w14:paraId="0E3B497E" w14:textId="002C2484" w:rsidR="00664F99" w:rsidRDefault="00664F99" w:rsidP="00D675D7">
            <w:pPr>
              <w:jc w:val="center"/>
            </w:pPr>
            <w:r>
              <w:t>REER</w:t>
            </w:r>
          </w:p>
        </w:tc>
        <w:tc>
          <w:tcPr>
            <w:tcW w:w="2835" w:type="dxa"/>
            <w:shd w:val="clear" w:color="auto" w:fill="FFC299" w:themeFill="accent3" w:themeFillTint="66"/>
          </w:tcPr>
          <w:p w14:paraId="137F12C3" w14:textId="388192F4" w:rsidR="00664F99" w:rsidRDefault="00664F99" w:rsidP="00D675D7">
            <w:pPr>
              <w:jc w:val="center"/>
            </w:pPr>
            <w:r>
              <w:t>CELI</w:t>
            </w:r>
          </w:p>
        </w:tc>
        <w:tc>
          <w:tcPr>
            <w:tcW w:w="2835" w:type="dxa"/>
            <w:shd w:val="clear" w:color="auto" w:fill="90C4FF"/>
          </w:tcPr>
          <w:p w14:paraId="0CFF735C" w14:textId="5DEF5A8E" w:rsidR="00664F99" w:rsidRDefault="00664F99" w:rsidP="00D675D7">
            <w:pPr>
              <w:jc w:val="center"/>
            </w:pPr>
            <w:r>
              <w:t>Hors-abri fiscal</w:t>
            </w:r>
          </w:p>
        </w:tc>
      </w:tr>
      <w:tr w:rsidR="00AB4BD9" w14:paraId="3E6A9DA3" w14:textId="77777777" w:rsidTr="00417C8F">
        <w:tc>
          <w:tcPr>
            <w:tcW w:w="4928" w:type="dxa"/>
            <w:shd w:val="clear" w:color="auto" w:fill="CAF278" w:themeFill="background2"/>
          </w:tcPr>
          <w:p w14:paraId="3A167323" w14:textId="77777777" w:rsidR="00664F99" w:rsidRDefault="00664F99"/>
        </w:tc>
        <w:tc>
          <w:tcPr>
            <w:tcW w:w="2977" w:type="dxa"/>
            <w:shd w:val="clear" w:color="auto" w:fill="DDDCD0" w:themeFill="text2" w:themeFillTint="33"/>
          </w:tcPr>
          <w:p w14:paraId="0A4BD2F8" w14:textId="77777777" w:rsidR="00664F99" w:rsidRDefault="00664F99" w:rsidP="00D675D7">
            <w:pPr>
              <w:jc w:val="center"/>
            </w:pPr>
          </w:p>
        </w:tc>
        <w:tc>
          <w:tcPr>
            <w:tcW w:w="2835" w:type="dxa"/>
            <w:shd w:val="clear" w:color="auto" w:fill="FFC299" w:themeFill="accent3" w:themeFillTint="66"/>
          </w:tcPr>
          <w:p w14:paraId="19E931FD" w14:textId="77777777" w:rsidR="00664F99" w:rsidRDefault="00664F99" w:rsidP="00D675D7">
            <w:pPr>
              <w:jc w:val="center"/>
            </w:pPr>
          </w:p>
        </w:tc>
        <w:tc>
          <w:tcPr>
            <w:tcW w:w="2835" w:type="dxa"/>
            <w:shd w:val="clear" w:color="auto" w:fill="90C4FF"/>
          </w:tcPr>
          <w:p w14:paraId="222F6BBD" w14:textId="77777777" w:rsidR="00664F99" w:rsidRDefault="00664F99" w:rsidP="00D675D7">
            <w:pPr>
              <w:jc w:val="center"/>
            </w:pPr>
          </w:p>
        </w:tc>
      </w:tr>
      <w:tr w:rsidR="00AB4BD9" w14:paraId="1F935D0D" w14:textId="77777777" w:rsidTr="00417C8F">
        <w:tc>
          <w:tcPr>
            <w:tcW w:w="4928" w:type="dxa"/>
            <w:shd w:val="clear" w:color="auto" w:fill="CAF278" w:themeFill="background2"/>
          </w:tcPr>
          <w:p w14:paraId="1B2E4B30" w14:textId="4271DF7D" w:rsidR="00664F99" w:rsidRDefault="00664F99">
            <w:r>
              <w:t>Cotisation</w:t>
            </w:r>
          </w:p>
        </w:tc>
        <w:tc>
          <w:tcPr>
            <w:tcW w:w="2977" w:type="dxa"/>
            <w:shd w:val="clear" w:color="auto" w:fill="DDDCD0" w:themeFill="text2" w:themeFillTint="33"/>
          </w:tcPr>
          <w:p w14:paraId="5A07232A" w14:textId="25979973" w:rsidR="00664F99" w:rsidRDefault="00664F99" w:rsidP="00D675D7">
            <w:pPr>
              <w:jc w:val="center"/>
            </w:pPr>
            <w:r>
              <w:t>10 000 $</w:t>
            </w:r>
          </w:p>
        </w:tc>
        <w:tc>
          <w:tcPr>
            <w:tcW w:w="2835" w:type="dxa"/>
            <w:shd w:val="clear" w:color="auto" w:fill="FFC299" w:themeFill="accent3" w:themeFillTint="66"/>
          </w:tcPr>
          <w:p w14:paraId="5EDCDAF9" w14:textId="43E69EDA" w:rsidR="00664F99" w:rsidRDefault="00664F99" w:rsidP="00D675D7">
            <w:pPr>
              <w:jc w:val="center"/>
            </w:pPr>
            <w:r>
              <w:t>10 000 $</w:t>
            </w:r>
          </w:p>
        </w:tc>
        <w:tc>
          <w:tcPr>
            <w:tcW w:w="2835" w:type="dxa"/>
            <w:shd w:val="clear" w:color="auto" w:fill="90C4FF"/>
          </w:tcPr>
          <w:p w14:paraId="59C95EB1" w14:textId="0168F561" w:rsidR="00664F99" w:rsidRDefault="00664F99" w:rsidP="00D675D7">
            <w:pPr>
              <w:jc w:val="center"/>
            </w:pPr>
            <w:r>
              <w:t>10 000 $</w:t>
            </w:r>
          </w:p>
        </w:tc>
      </w:tr>
      <w:tr w:rsidR="00AB4BD9" w14:paraId="24E8B9C6" w14:textId="77777777" w:rsidTr="00417C8F">
        <w:tc>
          <w:tcPr>
            <w:tcW w:w="4928" w:type="dxa"/>
            <w:shd w:val="clear" w:color="auto" w:fill="CAF278" w:themeFill="background2"/>
          </w:tcPr>
          <w:p w14:paraId="73656F92" w14:textId="329A3818" w:rsidR="00664F99" w:rsidRDefault="00664F99">
            <w:r>
              <w:t>TMI, à la cotisation</w:t>
            </w:r>
          </w:p>
        </w:tc>
        <w:tc>
          <w:tcPr>
            <w:tcW w:w="2977" w:type="dxa"/>
            <w:shd w:val="clear" w:color="auto" w:fill="DDDCD0" w:themeFill="text2" w:themeFillTint="33"/>
          </w:tcPr>
          <w:p w14:paraId="1576288E" w14:textId="66DD4263" w:rsidR="00664F99" w:rsidRDefault="00963303" w:rsidP="00D675D7">
            <w:pPr>
              <w:jc w:val="center"/>
            </w:pPr>
            <w:r>
              <w:t>30</w:t>
            </w:r>
            <w:r w:rsidR="006E2BE2">
              <w:t xml:space="preserve"> %</w:t>
            </w:r>
          </w:p>
        </w:tc>
        <w:tc>
          <w:tcPr>
            <w:tcW w:w="2835" w:type="dxa"/>
            <w:shd w:val="clear" w:color="auto" w:fill="FFC299" w:themeFill="accent3" w:themeFillTint="66"/>
          </w:tcPr>
          <w:p w14:paraId="70FE9471" w14:textId="7A0EB0BA" w:rsidR="00664F99" w:rsidRDefault="006E2BE2" w:rsidP="00D675D7">
            <w:pPr>
              <w:jc w:val="center"/>
            </w:pPr>
            <w:r>
              <w:t>s/o</w:t>
            </w:r>
          </w:p>
        </w:tc>
        <w:tc>
          <w:tcPr>
            <w:tcW w:w="2835" w:type="dxa"/>
            <w:shd w:val="clear" w:color="auto" w:fill="90C4FF"/>
          </w:tcPr>
          <w:p w14:paraId="7191B07A" w14:textId="209EC9B5" w:rsidR="00664F99" w:rsidRDefault="006E2BE2" w:rsidP="00D675D7">
            <w:pPr>
              <w:jc w:val="center"/>
            </w:pPr>
            <w:r>
              <w:t>s/o</w:t>
            </w:r>
          </w:p>
        </w:tc>
      </w:tr>
      <w:tr w:rsidR="00AB4BD9" w14:paraId="4EB17EB1" w14:textId="77777777" w:rsidTr="00417C8F">
        <w:tc>
          <w:tcPr>
            <w:tcW w:w="4928" w:type="dxa"/>
            <w:shd w:val="clear" w:color="auto" w:fill="CAF278" w:themeFill="background2"/>
          </w:tcPr>
          <w:p w14:paraId="0F2BA019" w14:textId="7EB3B1B0" w:rsidR="00664F99" w:rsidRDefault="00664F99" w:rsidP="005425C3">
            <w:r>
              <w:t xml:space="preserve">TMI, </w:t>
            </w:r>
            <w:r w:rsidR="005425C3">
              <w:t>à l’encaissement</w:t>
            </w:r>
          </w:p>
        </w:tc>
        <w:tc>
          <w:tcPr>
            <w:tcW w:w="2977" w:type="dxa"/>
            <w:shd w:val="clear" w:color="auto" w:fill="DDDCD0" w:themeFill="text2" w:themeFillTint="33"/>
          </w:tcPr>
          <w:p w14:paraId="17A99748" w14:textId="263FD658" w:rsidR="00664F99" w:rsidRDefault="006E2BE2" w:rsidP="00D675D7">
            <w:pPr>
              <w:jc w:val="center"/>
            </w:pPr>
            <w:r>
              <w:t>50 %</w:t>
            </w:r>
          </w:p>
        </w:tc>
        <w:tc>
          <w:tcPr>
            <w:tcW w:w="2835" w:type="dxa"/>
            <w:shd w:val="clear" w:color="auto" w:fill="FFC299" w:themeFill="accent3" w:themeFillTint="66"/>
          </w:tcPr>
          <w:p w14:paraId="601D6179" w14:textId="06ACDB3B" w:rsidR="00664F99" w:rsidRDefault="006E2BE2" w:rsidP="00D675D7">
            <w:pPr>
              <w:jc w:val="center"/>
            </w:pPr>
            <w:r>
              <w:t>s/o</w:t>
            </w:r>
          </w:p>
        </w:tc>
        <w:tc>
          <w:tcPr>
            <w:tcW w:w="2835" w:type="dxa"/>
            <w:shd w:val="clear" w:color="auto" w:fill="90C4FF"/>
          </w:tcPr>
          <w:p w14:paraId="62314143" w14:textId="685DAA18" w:rsidR="00664F99" w:rsidRDefault="006E2BE2" w:rsidP="00D675D7">
            <w:pPr>
              <w:jc w:val="center"/>
            </w:pPr>
            <w:r>
              <w:t>25 %</w:t>
            </w:r>
            <w:r w:rsidR="00715063">
              <w:rPr>
                <w:rStyle w:val="Marquenotebasdepage"/>
              </w:rPr>
              <w:footnoteReference w:customMarkFollows="1" w:id="73"/>
              <w:t>70</w:t>
            </w:r>
          </w:p>
        </w:tc>
      </w:tr>
      <w:tr w:rsidR="00AB4BD9" w14:paraId="6AD90BE0" w14:textId="77777777" w:rsidTr="00417C8F">
        <w:tc>
          <w:tcPr>
            <w:tcW w:w="4928" w:type="dxa"/>
            <w:shd w:val="clear" w:color="auto" w:fill="CAF278" w:themeFill="background2"/>
          </w:tcPr>
          <w:p w14:paraId="0A561E80" w14:textId="678D47B4" w:rsidR="00664F99" w:rsidRDefault="00664F99">
            <w:r>
              <w:t>Nature du revenu</w:t>
            </w:r>
          </w:p>
        </w:tc>
        <w:tc>
          <w:tcPr>
            <w:tcW w:w="2977" w:type="dxa"/>
            <w:shd w:val="clear" w:color="auto" w:fill="DDDCD0" w:themeFill="text2" w:themeFillTint="33"/>
          </w:tcPr>
          <w:p w14:paraId="24DCD1F1" w14:textId="3204C39F" w:rsidR="00664F99" w:rsidRDefault="00664F99" w:rsidP="00D675D7">
            <w:pPr>
              <w:jc w:val="center"/>
            </w:pPr>
            <w:r>
              <w:t>100 % gain en capital</w:t>
            </w:r>
          </w:p>
        </w:tc>
        <w:tc>
          <w:tcPr>
            <w:tcW w:w="2835" w:type="dxa"/>
            <w:shd w:val="clear" w:color="auto" w:fill="FFC299" w:themeFill="accent3" w:themeFillTint="66"/>
          </w:tcPr>
          <w:p w14:paraId="466EE24B" w14:textId="70EFF914" w:rsidR="00664F99" w:rsidRDefault="00664F99" w:rsidP="00D675D7">
            <w:pPr>
              <w:jc w:val="center"/>
            </w:pPr>
            <w:r>
              <w:t>100 % gain en capital</w:t>
            </w:r>
          </w:p>
        </w:tc>
        <w:tc>
          <w:tcPr>
            <w:tcW w:w="2835" w:type="dxa"/>
            <w:shd w:val="clear" w:color="auto" w:fill="90C4FF"/>
          </w:tcPr>
          <w:p w14:paraId="26EC259F" w14:textId="41336DE0" w:rsidR="00664F99" w:rsidRDefault="00664F99" w:rsidP="00D675D7">
            <w:pPr>
              <w:jc w:val="center"/>
            </w:pPr>
            <w:r>
              <w:t>100 % gain en capital</w:t>
            </w:r>
          </w:p>
        </w:tc>
      </w:tr>
      <w:tr w:rsidR="00AB4BD9" w14:paraId="63C1B38F" w14:textId="77777777" w:rsidTr="00417C8F">
        <w:tc>
          <w:tcPr>
            <w:tcW w:w="4928" w:type="dxa"/>
            <w:shd w:val="clear" w:color="auto" w:fill="CAF278" w:themeFill="background2"/>
          </w:tcPr>
          <w:p w14:paraId="23A97202" w14:textId="4433659E" w:rsidR="00664F99" w:rsidRDefault="006E2BE2">
            <w:r>
              <w:t>Durée de la détention</w:t>
            </w:r>
          </w:p>
        </w:tc>
        <w:tc>
          <w:tcPr>
            <w:tcW w:w="2977" w:type="dxa"/>
            <w:shd w:val="clear" w:color="auto" w:fill="DDDCD0" w:themeFill="text2" w:themeFillTint="33"/>
          </w:tcPr>
          <w:p w14:paraId="36878447" w14:textId="02CE3ACA" w:rsidR="00664F99" w:rsidRDefault="006E2BE2" w:rsidP="00D675D7">
            <w:pPr>
              <w:jc w:val="center"/>
            </w:pPr>
            <w:r>
              <w:t>10 années</w:t>
            </w:r>
          </w:p>
        </w:tc>
        <w:tc>
          <w:tcPr>
            <w:tcW w:w="2835" w:type="dxa"/>
            <w:shd w:val="clear" w:color="auto" w:fill="FFC299" w:themeFill="accent3" w:themeFillTint="66"/>
          </w:tcPr>
          <w:p w14:paraId="07EA7190" w14:textId="3CB2096F" w:rsidR="00664F99" w:rsidRDefault="006E2BE2" w:rsidP="00D675D7">
            <w:pPr>
              <w:jc w:val="center"/>
            </w:pPr>
            <w:r>
              <w:t>10 années</w:t>
            </w:r>
          </w:p>
        </w:tc>
        <w:tc>
          <w:tcPr>
            <w:tcW w:w="2835" w:type="dxa"/>
            <w:shd w:val="clear" w:color="auto" w:fill="90C4FF"/>
          </w:tcPr>
          <w:p w14:paraId="481345A7" w14:textId="1520CE0E" w:rsidR="00664F99" w:rsidRDefault="006E2BE2" w:rsidP="00D675D7">
            <w:pPr>
              <w:jc w:val="center"/>
            </w:pPr>
            <w:r>
              <w:t>10 années</w:t>
            </w:r>
          </w:p>
        </w:tc>
      </w:tr>
      <w:tr w:rsidR="00AB4BD9" w14:paraId="48AA344D" w14:textId="77777777" w:rsidTr="00417C8F">
        <w:tc>
          <w:tcPr>
            <w:tcW w:w="4928" w:type="dxa"/>
            <w:shd w:val="clear" w:color="auto" w:fill="CAF278" w:themeFill="background2"/>
          </w:tcPr>
          <w:p w14:paraId="19126A97" w14:textId="0982F063" w:rsidR="00664F99" w:rsidRDefault="006E2BE2">
            <w:r>
              <w:t>Rotation du placement</w:t>
            </w:r>
          </w:p>
        </w:tc>
        <w:tc>
          <w:tcPr>
            <w:tcW w:w="2977" w:type="dxa"/>
            <w:shd w:val="clear" w:color="auto" w:fill="DDDCD0" w:themeFill="text2" w:themeFillTint="33"/>
          </w:tcPr>
          <w:p w14:paraId="728FDD12" w14:textId="7F4CBAB6" w:rsidR="00664F99" w:rsidRDefault="006E2BE2" w:rsidP="00D675D7">
            <w:pPr>
              <w:jc w:val="center"/>
            </w:pPr>
            <w:r>
              <w:t>s/o</w:t>
            </w:r>
          </w:p>
        </w:tc>
        <w:tc>
          <w:tcPr>
            <w:tcW w:w="2835" w:type="dxa"/>
            <w:shd w:val="clear" w:color="auto" w:fill="FFC299" w:themeFill="accent3" w:themeFillTint="66"/>
          </w:tcPr>
          <w:p w14:paraId="142100EA" w14:textId="3DA3D386" w:rsidR="00664F99" w:rsidRDefault="006E2BE2" w:rsidP="00D675D7">
            <w:pPr>
              <w:jc w:val="center"/>
            </w:pPr>
            <w:r>
              <w:t>s/o</w:t>
            </w:r>
          </w:p>
        </w:tc>
        <w:tc>
          <w:tcPr>
            <w:tcW w:w="2835" w:type="dxa"/>
            <w:shd w:val="clear" w:color="auto" w:fill="90C4FF"/>
          </w:tcPr>
          <w:p w14:paraId="512CD0C5" w14:textId="1D77603C" w:rsidR="00664F99" w:rsidRDefault="006E2BE2" w:rsidP="00D675D7">
            <w:pPr>
              <w:jc w:val="center"/>
            </w:pPr>
            <w:r>
              <w:t>Après 10 années</w:t>
            </w:r>
          </w:p>
        </w:tc>
      </w:tr>
      <w:tr w:rsidR="00AB4BD9" w14:paraId="2F9A2D41" w14:textId="77777777" w:rsidTr="00417C8F">
        <w:tc>
          <w:tcPr>
            <w:tcW w:w="4928" w:type="dxa"/>
            <w:shd w:val="clear" w:color="auto" w:fill="CAF278" w:themeFill="background2"/>
          </w:tcPr>
          <w:p w14:paraId="44A55347" w14:textId="184805B9" w:rsidR="00664F99" w:rsidRDefault="00963303">
            <w:r>
              <w:t>Rendement</w:t>
            </w:r>
          </w:p>
        </w:tc>
        <w:tc>
          <w:tcPr>
            <w:tcW w:w="2977" w:type="dxa"/>
            <w:shd w:val="clear" w:color="auto" w:fill="DDDCD0" w:themeFill="text2" w:themeFillTint="33"/>
          </w:tcPr>
          <w:p w14:paraId="15789473" w14:textId="1E1039B7" w:rsidR="00664F99" w:rsidRDefault="00963303" w:rsidP="00D675D7">
            <w:pPr>
              <w:jc w:val="center"/>
            </w:pPr>
            <w:r>
              <w:t>7 %</w:t>
            </w:r>
          </w:p>
        </w:tc>
        <w:tc>
          <w:tcPr>
            <w:tcW w:w="2835" w:type="dxa"/>
            <w:shd w:val="clear" w:color="auto" w:fill="FFC299" w:themeFill="accent3" w:themeFillTint="66"/>
          </w:tcPr>
          <w:p w14:paraId="4DE3C875" w14:textId="0A1C4213" w:rsidR="00664F99" w:rsidRDefault="00963303" w:rsidP="00D675D7">
            <w:pPr>
              <w:jc w:val="center"/>
            </w:pPr>
            <w:r>
              <w:t>7 %</w:t>
            </w:r>
          </w:p>
        </w:tc>
        <w:tc>
          <w:tcPr>
            <w:tcW w:w="2835" w:type="dxa"/>
            <w:shd w:val="clear" w:color="auto" w:fill="90C4FF"/>
          </w:tcPr>
          <w:p w14:paraId="368E11B0" w14:textId="791F8D45" w:rsidR="00664F99" w:rsidRDefault="00963303" w:rsidP="00D675D7">
            <w:pPr>
              <w:jc w:val="center"/>
            </w:pPr>
            <w:r>
              <w:t>7 %</w:t>
            </w:r>
          </w:p>
        </w:tc>
      </w:tr>
    </w:tbl>
    <w:p w14:paraId="18D3D2E5" w14:textId="77777777" w:rsidR="00D42063" w:rsidRDefault="00D42063"/>
    <w:p w14:paraId="6A7A53CA" w14:textId="77777777" w:rsidR="00D42063" w:rsidRDefault="00D42063"/>
    <w:tbl>
      <w:tblPr>
        <w:tblStyle w:val="Grille"/>
        <w:tblW w:w="13575" w:type="dxa"/>
        <w:tblLook w:val="04A0" w:firstRow="1" w:lastRow="0" w:firstColumn="1" w:lastColumn="0" w:noHBand="0" w:noVBand="1"/>
      </w:tblPr>
      <w:tblGrid>
        <w:gridCol w:w="4928"/>
        <w:gridCol w:w="2977"/>
        <w:gridCol w:w="2835"/>
        <w:gridCol w:w="2835"/>
      </w:tblGrid>
      <w:tr w:rsidR="00AB4BD9" w14:paraId="5AF92172" w14:textId="77777777" w:rsidTr="00715063">
        <w:tc>
          <w:tcPr>
            <w:tcW w:w="4928" w:type="dxa"/>
            <w:shd w:val="clear" w:color="auto" w:fill="CAF278" w:themeFill="background2"/>
          </w:tcPr>
          <w:p w14:paraId="114E612D" w14:textId="3A3DE141" w:rsidR="00D42063" w:rsidRDefault="00D42063" w:rsidP="00D675D7">
            <w:pPr>
              <w:jc w:val="center"/>
            </w:pPr>
            <w:r>
              <w:t>Les résultats</w:t>
            </w:r>
          </w:p>
        </w:tc>
        <w:tc>
          <w:tcPr>
            <w:tcW w:w="2977" w:type="dxa"/>
            <w:shd w:val="clear" w:color="auto" w:fill="DDDCD0" w:themeFill="text2" w:themeFillTint="33"/>
          </w:tcPr>
          <w:p w14:paraId="06F2C7DA" w14:textId="77777777" w:rsidR="00D42063" w:rsidRDefault="00D42063" w:rsidP="00D675D7">
            <w:pPr>
              <w:jc w:val="center"/>
            </w:pPr>
            <w:r>
              <w:t>REER</w:t>
            </w:r>
          </w:p>
        </w:tc>
        <w:tc>
          <w:tcPr>
            <w:tcW w:w="2835" w:type="dxa"/>
            <w:shd w:val="clear" w:color="auto" w:fill="FFC299" w:themeFill="accent3" w:themeFillTint="66"/>
          </w:tcPr>
          <w:p w14:paraId="2AE9BB22" w14:textId="77777777" w:rsidR="00D42063" w:rsidRDefault="00D42063" w:rsidP="00D675D7">
            <w:pPr>
              <w:jc w:val="center"/>
            </w:pPr>
            <w:r>
              <w:t>CELI</w:t>
            </w:r>
          </w:p>
        </w:tc>
        <w:tc>
          <w:tcPr>
            <w:tcW w:w="2835" w:type="dxa"/>
            <w:shd w:val="clear" w:color="auto" w:fill="90C4FF"/>
          </w:tcPr>
          <w:p w14:paraId="63BCBF05" w14:textId="77777777" w:rsidR="00D42063" w:rsidRDefault="00D42063" w:rsidP="00D675D7">
            <w:pPr>
              <w:jc w:val="center"/>
            </w:pPr>
            <w:r>
              <w:t>Hors-abri fiscal</w:t>
            </w:r>
          </w:p>
        </w:tc>
      </w:tr>
      <w:tr w:rsidR="00AB4BD9" w14:paraId="2DBB8F9A" w14:textId="77777777" w:rsidTr="00715063">
        <w:tc>
          <w:tcPr>
            <w:tcW w:w="4928" w:type="dxa"/>
            <w:shd w:val="clear" w:color="auto" w:fill="CAF278" w:themeFill="background2"/>
          </w:tcPr>
          <w:p w14:paraId="2284EB35" w14:textId="77777777" w:rsidR="00D42063" w:rsidRDefault="00D42063" w:rsidP="00D42063"/>
        </w:tc>
        <w:tc>
          <w:tcPr>
            <w:tcW w:w="2977" w:type="dxa"/>
            <w:shd w:val="clear" w:color="auto" w:fill="DDDCD0" w:themeFill="text2" w:themeFillTint="33"/>
          </w:tcPr>
          <w:p w14:paraId="60400D18" w14:textId="77777777" w:rsidR="00D42063" w:rsidRDefault="00D42063" w:rsidP="00D675D7">
            <w:pPr>
              <w:jc w:val="center"/>
            </w:pPr>
          </w:p>
        </w:tc>
        <w:tc>
          <w:tcPr>
            <w:tcW w:w="2835" w:type="dxa"/>
            <w:shd w:val="clear" w:color="auto" w:fill="FFC299" w:themeFill="accent3" w:themeFillTint="66"/>
          </w:tcPr>
          <w:p w14:paraId="14433E71" w14:textId="77777777" w:rsidR="00D42063" w:rsidRDefault="00D42063" w:rsidP="00D675D7">
            <w:pPr>
              <w:jc w:val="center"/>
            </w:pPr>
          </w:p>
        </w:tc>
        <w:tc>
          <w:tcPr>
            <w:tcW w:w="2835" w:type="dxa"/>
            <w:shd w:val="clear" w:color="auto" w:fill="90C4FF"/>
          </w:tcPr>
          <w:p w14:paraId="72BF3E07" w14:textId="77777777" w:rsidR="00D42063" w:rsidRDefault="00D42063" w:rsidP="00D675D7">
            <w:pPr>
              <w:jc w:val="center"/>
            </w:pPr>
          </w:p>
        </w:tc>
      </w:tr>
      <w:tr w:rsidR="00AB4BD9" w14:paraId="5672F120" w14:textId="77777777" w:rsidTr="00715063">
        <w:tc>
          <w:tcPr>
            <w:tcW w:w="4928" w:type="dxa"/>
            <w:shd w:val="clear" w:color="auto" w:fill="CAF278" w:themeFill="background2"/>
          </w:tcPr>
          <w:p w14:paraId="0F80C092" w14:textId="3862AFC4" w:rsidR="00D42063" w:rsidRDefault="00D42063" w:rsidP="00D42063">
            <w:r>
              <w:t>Remboursement impôt</w:t>
            </w:r>
          </w:p>
        </w:tc>
        <w:tc>
          <w:tcPr>
            <w:tcW w:w="2977" w:type="dxa"/>
            <w:shd w:val="clear" w:color="auto" w:fill="DDDCD0" w:themeFill="text2" w:themeFillTint="33"/>
          </w:tcPr>
          <w:p w14:paraId="5968484D" w14:textId="68EC7F27" w:rsidR="00D42063" w:rsidRDefault="00963303" w:rsidP="00D675D7">
            <w:pPr>
              <w:jc w:val="center"/>
            </w:pPr>
            <w:r>
              <w:t>3 0</w:t>
            </w:r>
            <w:r w:rsidR="00D42063">
              <w:t>00 $</w:t>
            </w:r>
          </w:p>
        </w:tc>
        <w:tc>
          <w:tcPr>
            <w:tcW w:w="2835" w:type="dxa"/>
            <w:shd w:val="clear" w:color="auto" w:fill="FFC299" w:themeFill="accent3" w:themeFillTint="66"/>
          </w:tcPr>
          <w:p w14:paraId="10AA92B5" w14:textId="4235E91F" w:rsidR="00D42063" w:rsidRDefault="00D42063" w:rsidP="00D675D7">
            <w:pPr>
              <w:jc w:val="center"/>
            </w:pPr>
            <w:r>
              <w:t>s/o</w:t>
            </w:r>
          </w:p>
        </w:tc>
        <w:tc>
          <w:tcPr>
            <w:tcW w:w="2835" w:type="dxa"/>
            <w:shd w:val="clear" w:color="auto" w:fill="90C4FF"/>
          </w:tcPr>
          <w:p w14:paraId="7ACAF055" w14:textId="19DD1644" w:rsidR="00D42063" w:rsidRDefault="00D42063" w:rsidP="00D675D7">
            <w:pPr>
              <w:jc w:val="center"/>
            </w:pPr>
            <w:r>
              <w:t>s/o</w:t>
            </w:r>
          </w:p>
        </w:tc>
      </w:tr>
      <w:tr w:rsidR="00AB4BD9" w14:paraId="1155D1C4" w14:textId="77777777" w:rsidTr="00715063">
        <w:tc>
          <w:tcPr>
            <w:tcW w:w="4928" w:type="dxa"/>
            <w:shd w:val="clear" w:color="auto" w:fill="CAF278" w:themeFill="background2"/>
          </w:tcPr>
          <w:p w14:paraId="12994965" w14:textId="3686492C" w:rsidR="00D42063" w:rsidRDefault="00AB4BD9" w:rsidP="00AB4BD9">
            <w:r>
              <w:t>Valeur du remboursement, dans 10 ans</w:t>
            </w:r>
          </w:p>
        </w:tc>
        <w:tc>
          <w:tcPr>
            <w:tcW w:w="2977" w:type="dxa"/>
            <w:shd w:val="clear" w:color="auto" w:fill="DDDCD0" w:themeFill="text2" w:themeFillTint="33"/>
          </w:tcPr>
          <w:p w14:paraId="1DA16955" w14:textId="3E7A3CA9" w:rsidR="00D42063" w:rsidRDefault="00D675D7" w:rsidP="00D675D7">
            <w:pPr>
              <w:jc w:val="center"/>
            </w:pPr>
            <w:r>
              <w:t>5 901</w:t>
            </w:r>
            <w:r w:rsidR="00963303">
              <w:t xml:space="preserve"> $</w:t>
            </w:r>
            <w:r w:rsidR="005425C3">
              <w:rPr>
                <w:rStyle w:val="Marquenotebasdepage"/>
              </w:rPr>
              <w:footnoteReference w:customMarkFollows="1" w:id="74"/>
              <w:t>71</w:t>
            </w:r>
          </w:p>
        </w:tc>
        <w:tc>
          <w:tcPr>
            <w:tcW w:w="2835" w:type="dxa"/>
            <w:shd w:val="clear" w:color="auto" w:fill="FFC299" w:themeFill="accent3" w:themeFillTint="66"/>
          </w:tcPr>
          <w:p w14:paraId="545299D9" w14:textId="236FEF9C" w:rsidR="00D42063" w:rsidRDefault="00963303" w:rsidP="00D675D7">
            <w:pPr>
              <w:jc w:val="center"/>
            </w:pPr>
            <w:r>
              <w:t>s/o</w:t>
            </w:r>
          </w:p>
        </w:tc>
        <w:tc>
          <w:tcPr>
            <w:tcW w:w="2835" w:type="dxa"/>
            <w:shd w:val="clear" w:color="auto" w:fill="90C4FF"/>
          </w:tcPr>
          <w:p w14:paraId="7FE50DF8" w14:textId="77777777" w:rsidR="00D42063" w:rsidRDefault="00D42063" w:rsidP="00D675D7">
            <w:pPr>
              <w:jc w:val="center"/>
            </w:pPr>
            <w:r>
              <w:t>s/o</w:t>
            </w:r>
          </w:p>
        </w:tc>
      </w:tr>
      <w:tr w:rsidR="00AB4BD9" w14:paraId="1F9AE1A1" w14:textId="77777777" w:rsidTr="00715063">
        <w:tc>
          <w:tcPr>
            <w:tcW w:w="4928" w:type="dxa"/>
            <w:shd w:val="clear" w:color="auto" w:fill="CAF278" w:themeFill="background2"/>
          </w:tcPr>
          <w:p w14:paraId="245D0A9F" w14:textId="522C35E4" w:rsidR="00D42063" w:rsidRDefault="00963303" w:rsidP="00D42063">
            <w:r>
              <w:t>Valeur du placement, dans 10 ans</w:t>
            </w:r>
          </w:p>
        </w:tc>
        <w:tc>
          <w:tcPr>
            <w:tcW w:w="2977" w:type="dxa"/>
            <w:shd w:val="clear" w:color="auto" w:fill="DDDCD0" w:themeFill="text2" w:themeFillTint="33"/>
          </w:tcPr>
          <w:p w14:paraId="206D3501" w14:textId="6FC6E3DF" w:rsidR="00D42063" w:rsidRDefault="00963303" w:rsidP="00D675D7">
            <w:pPr>
              <w:jc w:val="center"/>
            </w:pPr>
            <w:r>
              <w:t>19 671 $</w:t>
            </w:r>
          </w:p>
        </w:tc>
        <w:tc>
          <w:tcPr>
            <w:tcW w:w="2835" w:type="dxa"/>
            <w:shd w:val="clear" w:color="auto" w:fill="FFC299" w:themeFill="accent3" w:themeFillTint="66"/>
          </w:tcPr>
          <w:p w14:paraId="18972688" w14:textId="550EC43D" w:rsidR="00D42063" w:rsidRDefault="00963303" w:rsidP="00D675D7">
            <w:pPr>
              <w:jc w:val="center"/>
            </w:pPr>
            <w:r>
              <w:t>19 671 $</w:t>
            </w:r>
          </w:p>
        </w:tc>
        <w:tc>
          <w:tcPr>
            <w:tcW w:w="2835" w:type="dxa"/>
            <w:shd w:val="clear" w:color="auto" w:fill="90C4FF"/>
          </w:tcPr>
          <w:p w14:paraId="79ADE799" w14:textId="253FEB2D" w:rsidR="00D42063" w:rsidRDefault="00963303" w:rsidP="00D675D7">
            <w:pPr>
              <w:jc w:val="center"/>
            </w:pPr>
            <w:r>
              <w:t>19 671 $</w:t>
            </w:r>
          </w:p>
        </w:tc>
      </w:tr>
      <w:tr w:rsidR="00AB4BD9" w14:paraId="1E4ED15D" w14:textId="77777777" w:rsidTr="00715063">
        <w:tc>
          <w:tcPr>
            <w:tcW w:w="4928" w:type="dxa"/>
            <w:shd w:val="clear" w:color="auto" w:fill="CAF278" w:themeFill="background2"/>
          </w:tcPr>
          <w:p w14:paraId="13CE9982" w14:textId="6ABD40EB" w:rsidR="00D42063" w:rsidRDefault="00963303" w:rsidP="00D42063">
            <w:r>
              <w:t>Impôt</w:t>
            </w:r>
          </w:p>
        </w:tc>
        <w:tc>
          <w:tcPr>
            <w:tcW w:w="2977" w:type="dxa"/>
            <w:shd w:val="clear" w:color="auto" w:fill="DDDCD0" w:themeFill="text2" w:themeFillTint="33"/>
          </w:tcPr>
          <w:p w14:paraId="77E3D6A8" w14:textId="67BF9591" w:rsidR="00D42063" w:rsidRDefault="00963303" w:rsidP="00D675D7">
            <w:pPr>
              <w:jc w:val="center"/>
            </w:pPr>
            <w:r>
              <w:t>9 836 $</w:t>
            </w:r>
          </w:p>
        </w:tc>
        <w:tc>
          <w:tcPr>
            <w:tcW w:w="2835" w:type="dxa"/>
            <w:shd w:val="clear" w:color="auto" w:fill="FFC299" w:themeFill="accent3" w:themeFillTint="66"/>
          </w:tcPr>
          <w:p w14:paraId="7AAEE157" w14:textId="2EC124D4" w:rsidR="00D42063" w:rsidRDefault="00963303" w:rsidP="00D675D7">
            <w:pPr>
              <w:jc w:val="center"/>
            </w:pPr>
            <w:r>
              <w:t>s/o</w:t>
            </w:r>
          </w:p>
        </w:tc>
        <w:tc>
          <w:tcPr>
            <w:tcW w:w="2835" w:type="dxa"/>
            <w:shd w:val="clear" w:color="auto" w:fill="90C4FF"/>
          </w:tcPr>
          <w:p w14:paraId="2207BF9E" w14:textId="3F0B3B88" w:rsidR="00D42063" w:rsidRDefault="00963303" w:rsidP="00D675D7">
            <w:pPr>
              <w:jc w:val="center"/>
            </w:pPr>
            <w:r>
              <w:t>4 918 $</w:t>
            </w:r>
          </w:p>
        </w:tc>
      </w:tr>
      <w:tr w:rsidR="00AB4BD9" w14:paraId="2E46D68A" w14:textId="77777777" w:rsidTr="00715063">
        <w:tc>
          <w:tcPr>
            <w:tcW w:w="4928" w:type="dxa"/>
            <w:shd w:val="clear" w:color="auto" w:fill="CAF278" w:themeFill="background2"/>
          </w:tcPr>
          <w:p w14:paraId="24A9E865" w14:textId="77777777" w:rsidR="00715063" w:rsidRDefault="00715063" w:rsidP="00D42063"/>
          <w:p w14:paraId="50C2A2C4" w14:textId="2C8BB7E0" w:rsidR="00D42063" w:rsidRDefault="00D675D7" w:rsidP="00D42063">
            <w:r>
              <w:t>Valeur totale nette</w:t>
            </w:r>
          </w:p>
        </w:tc>
        <w:tc>
          <w:tcPr>
            <w:tcW w:w="2977" w:type="dxa"/>
            <w:shd w:val="clear" w:color="auto" w:fill="DDDCD0" w:themeFill="text2" w:themeFillTint="33"/>
          </w:tcPr>
          <w:p w14:paraId="254536BF" w14:textId="77777777" w:rsidR="00715063" w:rsidRDefault="00715063" w:rsidP="00D675D7">
            <w:pPr>
              <w:jc w:val="center"/>
            </w:pPr>
          </w:p>
          <w:p w14:paraId="55EB2C11" w14:textId="0462E308" w:rsidR="00D42063" w:rsidRPr="00715063" w:rsidRDefault="00D675D7" w:rsidP="00D675D7">
            <w:pPr>
              <w:jc w:val="center"/>
              <w:rPr>
                <w:sz w:val="40"/>
                <w:szCs w:val="40"/>
              </w:rPr>
            </w:pPr>
            <w:r w:rsidRPr="00715063">
              <w:rPr>
                <w:sz w:val="40"/>
                <w:szCs w:val="40"/>
              </w:rPr>
              <w:t>15 736 $</w:t>
            </w:r>
          </w:p>
        </w:tc>
        <w:tc>
          <w:tcPr>
            <w:tcW w:w="2835" w:type="dxa"/>
            <w:shd w:val="clear" w:color="auto" w:fill="FFC299" w:themeFill="accent3" w:themeFillTint="66"/>
          </w:tcPr>
          <w:p w14:paraId="6B51FEDF" w14:textId="77777777" w:rsidR="00715063" w:rsidRDefault="00715063" w:rsidP="00D675D7">
            <w:pPr>
              <w:jc w:val="center"/>
            </w:pPr>
          </w:p>
          <w:p w14:paraId="3A067379" w14:textId="4FB82813" w:rsidR="00D42063" w:rsidRPr="00715063" w:rsidRDefault="00D675D7" w:rsidP="00D675D7">
            <w:pPr>
              <w:jc w:val="center"/>
              <w:rPr>
                <w:sz w:val="40"/>
                <w:szCs w:val="40"/>
              </w:rPr>
            </w:pPr>
            <w:r w:rsidRPr="00715063">
              <w:rPr>
                <w:sz w:val="40"/>
                <w:szCs w:val="40"/>
              </w:rPr>
              <w:t>19 671 $</w:t>
            </w:r>
          </w:p>
        </w:tc>
        <w:tc>
          <w:tcPr>
            <w:tcW w:w="2835" w:type="dxa"/>
            <w:shd w:val="clear" w:color="auto" w:fill="90C4FF"/>
          </w:tcPr>
          <w:p w14:paraId="43ABA7C6" w14:textId="77777777" w:rsidR="00715063" w:rsidRDefault="00715063" w:rsidP="00D675D7">
            <w:pPr>
              <w:jc w:val="center"/>
            </w:pPr>
          </w:p>
          <w:p w14:paraId="2488C6FE" w14:textId="1C7971B3" w:rsidR="00D42063" w:rsidRPr="00715063" w:rsidRDefault="00D675D7" w:rsidP="00D675D7">
            <w:pPr>
              <w:jc w:val="center"/>
              <w:rPr>
                <w:sz w:val="40"/>
                <w:szCs w:val="40"/>
              </w:rPr>
            </w:pPr>
            <w:r w:rsidRPr="00715063">
              <w:rPr>
                <w:sz w:val="40"/>
                <w:szCs w:val="40"/>
              </w:rPr>
              <w:t>14 753 $</w:t>
            </w:r>
          </w:p>
        </w:tc>
      </w:tr>
    </w:tbl>
    <w:p w14:paraId="236076C2" w14:textId="4EB49949" w:rsidR="00D9254E" w:rsidRDefault="00D9254E"/>
    <w:p w14:paraId="4A70387F" w14:textId="77777777" w:rsidR="00BF4207" w:rsidRDefault="00BF4207"/>
    <w:p w14:paraId="4E344464" w14:textId="77777777" w:rsidR="00BF4207" w:rsidRDefault="00BF4207"/>
    <w:p w14:paraId="0169522D" w14:textId="1AC26E75" w:rsidR="005425C3" w:rsidRDefault="005425C3">
      <w:r>
        <w:lastRenderedPageBreak/>
        <w:t xml:space="preserve">Lorsque nous </w:t>
      </w:r>
      <w:r w:rsidR="00BF4207">
        <w:t>faisons allusion à nos efforts de rendre le présent exercice favorable à l’investissement qui se situe à l’extérieur de l’abri fiscal comparativement au REÉR</w:t>
      </w:r>
      <w:r w:rsidR="0051013C">
        <w:t xml:space="preserve"> (pour des fins </w:t>
      </w:r>
      <w:r w:rsidR="00581F3F">
        <w:t>pédagogiques</w:t>
      </w:r>
      <w:r w:rsidR="0051013C">
        <w:t xml:space="preserve"> seulement, n’essayez pas ça à la maison !)</w:t>
      </w:r>
      <w:r w:rsidR="00BF4207">
        <w:t>, c’est que le présent cas a opté pour les hypothèses suivantes :</w:t>
      </w:r>
      <w:r w:rsidR="00BF4207">
        <w:br/>
      </w:r>
    </w:p>
    <w:p w14:paraId="59C2CC24" w14:textId="7E1E11E2" w:rsidR="00D9254E" w:rsidRDefault="00BF4207" w:rsidP="006C34CF">
      <w:pPr>
        <w:pStyle w:val="Paragraphedeliste"/>
        <w:numPr>
          <w:ilvl w:val="0"/>
          <w:numId w:val="70"/>
        </w:numPr>
        <w:jc w:val="both"/>
      </w:pPr>
      <w:r>
        <w:t>Le rendement est exclusivement attribuable à du gain en capital</w:t>
      </w:r>
      <w:r w:rsidR="002C2EE3">
        <w:t>.</w:t>
      </w:r>
    </w:p>
    <w:p w14:paraId="0D77135C" w14:textId="77777777" w:rsidR="000007B6" w:rsidRDefault="000007B6" w:rsidP="000007B6">
      <w:pPr>
        <w:jc w:val="both"/>
      </w:pPr>
    </w:p>
    <w:p w14:paraId="7371925C" w14:textId="09F0ECA6" w:rsidR="000007B6" w:rsidRDefault="000007B6" w:rsidP="006C34CF">
      <w:pPr>
        <w:pStyle w:val="Paragraphedeliste"/>
        <w:numPr>
          <w:ilvl w:val="0"/>
          <w:numId w:val="70"/>
        </w:numPr>
        <w:jc w:val="both"/>
      </w:pPr>
      <w:r>
        <w:t>Le placement qui est à l’extérieur de l’abri fiscal ne sera pas disposé avant 10 années (</w:t>
      </w:r>
      <w:r w:rsidR="002C2EE3">
        <w:t xml:space="preserve">afin </w:t>
      </w:r>
      <w:r>
        <w:t>de ne pas déclencher hâtivement de l’impôt). En réalité, la rotation des placements, afin de permettre un meilleur potentiel de gain financier, est plus fréquente.</w:t>
      </w:r>
    </w:p>
    <w:p w14:paraId="015AB556" w14:textId="77777777" w:rsidR="000007B6" w:rsidRDefault="000007B6" w:rsidP="000007B6">
      <w:pPr>
        <w:jc w:val="both"/>
      </w:pPr>
    </w:p>
    <w:p w14:paraId="6041E146" w14:textId="7AB3449D" w:rsidR="000007B6" w:rsidRDefault="000007B6" w:rsidP="006C34CF">
      <w:pPr>
        <w:pStyle w:val="Paragraphedeliste"/>
        <w:numPr>
          <w:ilvl w:val="0"/>
          <w:numId w:val="70"/>
        </w:numPr>
        <w:jc w:val="both"/>
      </w:pPr>
      <w:r>
        <w:t xml:space="preserve">L’écart de TMI entre le moment de la cotisation et du retrait du REÉR est à son plus défavorable (30 % – 50 % = </w:t>
      </w:r>
      <w:r w:rsidR="002C2EE3">
        <w:t xml:space="preserve">- </w:t>
      </w:r>
      <w:r>
        <w:t>20 %). En réalité, avec un tel profil fiscal, l’épargnant aurait opté pour le CÉLI.</w:t>
      </w:r>
    </w:p>
    <w:p w14:paraId="61498F5C" w14:textId="77777777" w:rsidR="00913DA2" w:rsidRDefault="00913DA2" w:rsidP="007D0E55">
      <w:pPr>
        <w:jc w:val="both"/>
      </w:pPr>
    </w:p>
    <w:p w14:paraId="46B8A8AC" w14:textId="58EBDC43" w:rsidR="00D9254E" w:rsidRDefault="00913DA2" w:rsidP="007D0E55">
      <w:pPr>
        <w:jc w:val="both"/>
      </w:pPr>
      <w:r>
        <w:t>Malgré tout</w:t>
      </w:r>
      <w:r w:rsidR="00106AE7">
        <w:t>,</w:t>
      </w:r>
      <w:r>
        <w:t xml:space="preserve"> le REÉR demeure avantageux comparativement à une épargne hors abri fiscal. Ultimement, le seul scénario, hautement improbable, qui militerait pour un investissement à l’extérieur de l’abri fiscal plutôt que dans un REÉR, serait de considérer le comportement </w:t>
      </w:r>
      <w:r w:rsidR="00106AE7">
        <w:t>erratique d’un investisseur qui dépenserait le remboursement d’impôt que lui procure la cotisation REÉR</w:t>
      </w:r>
      <w:r w:rsidR="002C2EE3">
        <w:t>,</w:t>
      </w:r>
      <w:r w:rsidR="00106AE7">
        <w:t xml:space="preserve"> alors qu’il ne se soumettrait pas à cette même tentation</w:t>
      </w:r>
      <w:r w:rsidR="000F109D">
        <w:t xml:space="preserve">, en attendant bien sagement pendant les 10 années de détention, dans l’optique </w:t>
      </w:r>
      <w:r w:rsidR="002C2EE3">
        <w:t>où le p</w:t>
      </w:r>
      <w:r w:rsidR="00106AE7">
        <w:t>lacement</w:t>
      </w:r>
      <w:r w:rsidR="000F109D">
        <w:t xml:space="preserve"> serait plutôt à l’extérieur d’un abri fiscal.</w:t>
      </w:r>
    </w:p>
    <w:p w14:paraId="2076A805" w14:textId="77777777" w:rsidR="00913DA2" w:rsidRDefault="00913DA2" w:rsidP="007D0E55">
      <w:pPr>
        <w:jc w:val="both"/>
      </w:pPr>
    </w:p>
    <w:p w14:paraId="3F04EC6A" w14:textId="2B8EA5A1" w:rsidR="00C57C9E" w:rsidRDefault="00C57C9E" w:rsidP="006C34CF">
      <w:pPr>
        <w:pStyle w:val="Paragraphedeliste"/>
        <w:numPr>
          <w:ilvl w:val="0"/>
          <w:numId w:val="71"/>
        </w:numPr>
        <w:jc w:val="both"/>
      </w:pPr>
      <w:r>
        <w:rPr>
          <w:color w:val="FF6700" w:themeColor="accent3"/>
        </w:rPr>
        <w:t xml:space="preserve">Dans le cas où l’espace des abris fiscaux </w:t>
      </w:r>
      <w:r w:rsidR="00581F3F">
        <w:rPr>
          <w:color w:val="FF6700" w:themeColor="accent3"/>
        </w:rPr>
        <w:t>est</w:t>
      </w:r>
      <w:r>
        <w:rPr>
          <w:color w:val="FF6700" w:themeColor="accent3"/>
        </w:rPr>
        <w:t xml:space="preserve"> </w:t>
      </w:r>
      <w:r w:rsidR="00581F3F">
        <w:rPr>
          <w:color w:val="FF6700" w:themeColor="accent3"/>
        </w:rPr>
        <w:t>tout</w:t>
      </w:r>
      <w:r>
        <w:rPr>
          <w:color w:val="FF6700" w:themeColor="accent3"/>
        </w:rPr>
        <w:t xml:space="preserve"> </w:t>
      </w:r>
      <w:r w:rsidR="00581F3F">
        <w:rPr>
          <w:color w:val="FF6700" w:themeColor="accent3"/>
        </w:rPr>
        <w:t>occupé</w:t>
      </w:r>
    </w:p>
    <w:p w14:paraId="352BB12A" w14:textId="77777777" w:rsidR="00D9254E" w:rsidRDefault="00D9254E" w:rsidP="007D0E55">
      <w:pPr>
        <w:jc w:val="both"/>
      </w:pPr>
    </w:p>
    <w:p w14:paraId="14EC52AB" w14:textId="1AC52AA0" w:rsidR="00C57C9E" w:rsidRDefault="008513C0" w:rsidP="007D0E55">
      <w:pPr>
        <w:jc w:val="both"/>
      </w:pPr>
      <w:r>
        <w:t>Cette dernière discussion portant sur la priorisation et l’optimisation de nos placements s’appuiera sur la situation fort enviable où un individu aurait réussi à épargner d’une manière à voir les soldes de ces abris fiscaux complètement utilisés. Dans ces cas, où</w:t>
      </w:r>
      <w:r w:rsidR="00AA1655">
        <w:t xml:space="preserve"> </w:t>
      </w:r>
      <w:r>
        <w:t>l’épargne résiduel</w:t>
      </w:r>
      <w:r w:rsidR="00AA1655">
        <w:t xml:space="preserve">le </w:t>
      </w:r>
      <w:r>
        <w:t xml:space="preserve"> se retrouvera à l’extérieur d’un abri fiscal</w:t>
      </w:r>
      <w:r w:rsidR="00AA1655">
        <w:t>,</w:t>
      </w:r>
      <w:r w:rsidR="00C232A8">
        <w:t xml:space="preserve"> </w:t>
      </w:r>
      <w:proofErr w:type="gramStart"/>
      <w:r w:rsidR="00AA1655">
        <w:t>quel</w:t>
      </w:r>
      <w:r w:rsidR="00C232A8">
        <w:t>le</w:t>
      </w:r>
      <w:r w:rsidR="00AA1655">
        <w:t>s</w:t>
      </w:r>
      <w:proofErr w:type="gramEnd"/>
      <w:r w:rsidR="00AA1655">
        <w:t xml:space="preserve"> sont les règles d’optimisation à respecter dans la ventilation des placements selon les types de revenus qu’ils génèrent et le véhicule de placement à privilégier.</w:t>
      </w:r>
    </w:p>
    <w:p w14:paraId="01C989E2" w14:textId="77777777" w:rsidR="00C232A8" w:rsidRDefault="00C232A8" w:rsidP="007D0E55">
      <w:pPr>
        <w:jc w:val="both"/>
      </w:pPr>
    </w:p>
    <w:p w14:paraId="2BBB6198" w14:textId="5EE3A778" w:rsidR="00C232A8" w:rsidRDefault="00581F3F" w:rsidP="007D0E55">
      <w:pPr>
        <w:jc w:val="both"/>
      </w:pPr>
      <w:r>
        <w:t>Comprenons</w:t>
      </w:r>
      <w:r w:rsidR="00C070E7">
        <w:t xml:space="preserve"> que l’objectif premier de l’investisseur est de détenir un portefeuille de placements diversifiés, pondéré en catégorie de placements, selon le profil de l’investisseur, ce qui </w:t>
      </w:r>
      <w:r>
        <w:t>inclut</w:t>
      </w:r>
      <w:r w:rsidR="00C070E7">
        <w:t xml:space="preserve"> la relation au risque, l’âge et les objectifs de placement. Normalement, les individus auront des placements qui généreront les trois types de </w:t>
      </w:r>
      <w:r w:rsidR="00C070E7">
        <w:lastRenderedPageBreak/>
        <w:t xml:space="preserve">revenus (intérêts, dividendes, gain en capital). Si c’est le cas, la question est de savoir quel véhicule de placements </w:t>
      </w:r>
      <w:r w:rsidR="00236DA7">
        <w:t xml:space="preserve">est </w:t>
      </w:r>
      <w:r w:rsidR="00C070E7">
        <w:t>à privilégier en fonction des types de revenus.</w:t>
      </w:r>
      <w:r w:rsidR="00C3638B">
        <w:t xml:space="preserve"> </w:t>
      </w:r>
    </w:p>
    <w:p w14:paraId="0649B326" w14:textId="77777777" w:rsidR="00C3638B" w:rsidRDefault="00C3638B" w:rsidP="007D0E55">
      <w:pPr>
        <w:jc w:val="both"/>
      </w:pPr>
    </w:p>
    <w:p w14:paraId="128F2EE8" w14:textId="1B46AAFF" w:rsidR="00C3638B" w:rsidRDefault="00683644" w:rsidP="007D0E55">
      <w:pPr>
        <w:jc w:val="both"/>
      </w:pPr>
      <w:r>
        <w:t>Ordre à prioriser</w:t>
      </w:r>
    </w:p>
    <w:p w14:paraId="264A6A93" w14:textId="77777777" w:rsidR="00C070E7" w:rsidRDefault="00C070E7" w:rsidP="007D0E55">
      <w:pPr>
        <w:jc w:val="both"/>
      </w:pPr>
    </w:p>
    <w:p w14:paraId="369966AF" w14:textId="77777777" w:rsidR="00B62B3C" w:rsidRDefault="00B62B3C" w:rsidP="007D0E55">
      <w:pPr>
        <w:jc w:val="both"/>
      </w:pPr>
    </w:p>
    <w:tbl>
      <w:tblPr>
        <w:tblStyle w:val="Grille"/>
        <w:tblW w:w="13149" w:type="dxa"/>
        <w:tblLook w:val="04A0" w:firstRow="1" w:lastRow="0" w:firstColumn="1" w:lastColumn="0" w:noHBand="0" w:noVBand="1"/>
      </w:tblPr>
      <w:tblGrid>
        <w:gridCol w:w="2617"/>
        <w:gridCol w:w="3587"/>
        <w:gridCol w:w="3685"/>
        <w:gridCol w:w="3260"/>
      </w:tblGrid>
      <w:tr w:rsidR="001F6D40" w14:paraId="2A2CA5B4" w14:textId="0DBF27D4" w:rsidTr="001B18AA">
        <w:tc>
          <w:tcPr>
            <w:tcW w:w="2617" w:type="dxa"/>
            <w:tcBorders>
              <w:top w:val="nil"/>
              <w:left w:val="nil"/>
              <w:bottom w:val="nil"/>
              <w:right w:val="nil"/>
            </w:tcBorders>
            <w:shd w:val="clear" w:color="auto" w:fill="7F7F7F" w:themeFill="text1" w:themeFillTint="80"/>
          </w:tcPr>
          <w:p w14:paraId="11BE74B3" w14:textId="68F03C54" w:rsidR="0067084E" w:rsidRDefault="001F6D40" w:rsidP="001F6D40">
            <w:pPr>
              <w:jc w:val="center"/>
            </w:pPr>
            <w:r>
              <w:t>Type de revenus</w:t>
            </w:r>
          </w:p>
        </w:tc>
        <w:tc>
          <w:tcPr>
            <w:tcW w:w="3587" w:type="dxa"/>
            <w:tcBorders>
              <w:top w:val="nil"/>
              <w:left w:val="nil"/>
              <w:bottom w:val="nil"/>
              <w:right w:val="nil"/>
            </w:tcBorders>
            <w:shd w:val="clear" w:color="auto" w:fill="7F7F7F" w:themeFill="text1" w:themeFillTint="80"/>
          </w:tcPr>
          <w:p w14:paraId="528FA089" w14:textId="0D22B271" w:rsidR="0067084E" w:rsidRDefault="0067084E" w:rsidP="00130FC9">
            <w:pPr>
              <w:jc w:val="center"/>
            </w:pPr>
            <w:r>
              <w:t>REÉR</w:t>
            </w:r>
          </w:p>
        </w:tc>
        <w:tc>
          <w:tcPr>
            <w:tcW w:w="3685" w:type="dxa"/>
            <w:tcBorders>
              <w:top w:val="nil"/>
              <w:left w:val="nil"/>
              <w:bottom w:val="nil"/>
              <w:right w:val="nil"/>
            </w:tcBorders>
            <w:shd w:val="clear" w:color="auto" w:fill="7F7F7F" w:themeFill="text1" w:themeFillTint="80"/>
          </w:tcPr>
          <w:p w14:paraId="6B0E99BC" w14:textId="6EE39BE0" w:rsidR="0067084E" w:rsidRDefault="0067084E" w:rsidP="00886ACC">
            <w:pPr>
              <w:jc w:val="center"/>
            </w:pPr>
            <w:r>
              <w:t>CÉLI</w:t>
            </w:r>
          </w:p>
        </w:tc>
        <w:tc>
          <w:tcPr>
            <w:tcW w:w="3260" w:type="dxa"/>
            <w:tcBorders>
              <w:top w:val="nil"/>
              <w:left w:val="nil"/>
              <w:bottom w:val="nil"/>
              <w:right w:val="nil"/>
            </w:tcBorders>
            <w:shd w:val="clear" w:color="auto" w:fill="7F7F7F" w:themeFill="text1" w:themeFillTint="80"/>
          </w:tcPr>
          <w:p w14:paraId="7967A6EF" w14:textId="299495A7" w:rsidR="0067084E" w:rsidRDefault="0067084E" w:rsidP="00886ACC">
            <w:pPr>
              <w:jc w:val="center"/>
            </w:pPr>
            <w:r>
              <w:t>Hors abri</w:t>
            </w:r>
          </w:p>
        </w:tc>
      </w:tr>
      <w:tr w:rsidR="001F6D40" w14:paraId="4FD77471" w14:textId="187C2480" w:rsidTr="001B18AA">
        <w:tc>
          <w:tcPr>
            <w:tcW w:w="2617" w:type="dxa"/>
            <w:tcBorders>
              <w:top w:val="nil"/>
              <w:left w:val="nil"/>
              <w:bottom w:val="nil"/>
              <w:right w:val="nil"/>
            </w:tcBorders>
            <w:shd w:val="clear" w:color="auto" w:fill="7F7F7F" w:themeFill="text1" w:themeFillTint="80"/>
          </w:tcPr>
          <w:p w14:paraId="0DDDAD28" w14:textId="77777777" w:rsidR="0067084E" w:rsidRDefault="0067084E" w:rsidP="001F6D40">
            <w:pPr>
              <w:jc w:val="center"/>
            </w:pPr>
          </w:p>
          <w:p w14:paraId="0C4884F1" w14:textId="2BABAD1E" w:rsidR="0067084E" w:rsidRDefault="001F6D40" w:rsidP="001F6D40">
            <w:pPr>
              <w:jc w:val="center"/>
            </w:pPr>
            <w:r>
              <w:t>I</w:t>
            </w:r>
            <w:r w:rsidR="0067084E">
              <w:t>ntérêts</w:t>
            </w:r>
          </w:p>
          <w:p w14:paraId="551CA323" w14:textId="77777777" w:rsidR="0067084E" w:rsidRDefault="0067084E" w:rsidP="001F6D40">
            <w:pPr>
              <w:jc w:val="center"/>
            </w:pPr>
          </w:p>
          <w:p w14:paraId="5520C7DF" w14:textId="77777777" w:rsidR="0067084E" w:rsidRDefault="0067084E" w:rsidP="001F6D40">
            <w:pPr>
              <w:jc w:val="center"/>
            </w:pPr>
          </w:p>
        </w:tc>
        <w:tc>
          <w:tcPr>
            <w:tcW w:w="3587" w:type="dxa"/>
            <w:tcBorders>
              <w:top w:val="nil"/>
              <w:left w:val="nil"/>
              <w:bottom w:val="nil"/>
              <w:right w:val="nil"/>
            </w:tcBorders>
            <w:shd w:val="clear" w:color="auto" w:fill="CCFFCC"/>
          </w:tcPr>
          <w:p w14:paraId="65A0AA4C" w14:textId="284DB3B1" w:rsidR="0067084E" w:rsidRDefault="001B18AA" w:rsidP="00130FC9">
            <w:pPr>
              <w:jc w:val="both"/>
            </w:pPr>
            <w:r>
              <w:rPr>
                <w:noProof/>
                <w:lang w:eastAsia="fr-FR"/>
              </w:rPr>
              <mc:AlternateContent>
                <mc:Choice Requires="wps">
                  <w:drawing>
                    <wp:anchor distT="0" distB="0" distL="114300" distR="114300" simplePos="0" relativeHeight="252733440" behindDoc="0" locked="0" layoutInCell="1" allowOverlap="1" wp14:anchorId="5201AEAD" wp14:editId="48A8FD65">
                      <wp:simplePos x="0" y="0"/>
                      <wp:positionH relativeFrom="column">
                        <wp:posOffset>852805</wp:posOffset>
                      </wp:positionH>
                      <wp:positionV relativeFrom="paragraph">
                        <wp:posOffset>676910</wp:posOffset>
                      </wp:positionV>
                      <wp:extent cx="457200" cy="457200"/>
                      <wp:effectExtent l="0" t="0" r="25400" b="25400"/>
                      <wp:wrapNone/>
                      <wp:docPr id="572" name="Ellipse 572"/>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3"/>
                              </a:fillRef>
                              <a:effectRef idx="1">
                                <a:schemeClr val="accent3"/>
                              </a:effectRef>
                              <a:fontRef idx="minor">
                                <a:schemeClr val="lt1"/>
                              </a:fontRef>
                            </wps:style>
                            <wps:txbx>
                              <w:txbxContent>
                                <w:p w14:paraId="6ED14D81" w14:textId="486D7D17" w:rsidR="00573C95" w:rsidRPr="00BF5FC4" w:rsidRDefault="00573C95" w:rsidP="001F6D40">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72" o:spid="_x0000_s1363" style="position:absolute;left:0;text-align:left;margin-left:67.15pt;margin-top:53.3pt;width:36pt;height:36pt;z-index:2527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" fillcolor="#ff6700 [3206]" strokecolor="white [3201]" strokeweight="1.75pt">
                      <v:textbox>
                        <w:txbxContent>
                          <w:p w14:paraId="6ED14D81" w14:textId="486D7D17" w:rsidR="001501D6" w:rsidRPr="00BF5FC4" w:rsidRDefault="001501D6" w:rsidP="001F6D40">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2731392" behindDoc="0" locked="0" layoutInCell="1" allowOverlap="1" wp14:anchorId="5D277865" wp14:editId="6EB47E48">
                      <wp:simplePos x="0" y="0"/>
                      <wp:positionH relativeFrom="column">
                        <wp:posOffset>852805</wp:posOffset>
                      </wp:positionH>
                      <wp:positionV relativeFrom="paragraph">
                        <wp:posOffset>105410</wp:posOffset>
                      </wp:positionV>
                      <wp:extent cx="457200" cy="457200"/>
                      <wp:effectExtent l="0" t="0" r="25400" b="25400"/>
                      <wp:wrapNone/>
                      <wp:docPr id="571" name="Ellipse 571"/>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BCF2056" w14:textId="77777777" w:rsidR="00573C95" w:rsidRPr="00BF5FC4" w:rsidRDefault="00573C95" w:rsidP="001F6D40">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71" o:spid="_x0000_s1364" style="position:absolute;left:0;text-align:left;margin-left:67.15pt;margin-top:8.3pt;width:36pt;height:36pt;z-index:25273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" fillcolor="black [3200]" strokecolor="white [3201]" strokeweight="1.75pt">
                      <v:textbox>
                        <w:txbxContent>
                          <w:p w14:paraId="2BCF2056" w14:textId="77777777" w:rsidR="001501D6" w:rsidRPr="00BF5FC4" w:rsidRDefault="001501D6" w:rsidP="001F6D40">
                            <w:pPr>
                              <w:jc w:val="center"/>
                              <w:rPr>
                                <w:color w:val="FFFFFF" w:themeColor="background1"/>
                              </w:rPr>
                            </w:pPr>
                            <w:r w:rsidRPr="00BF5FC4">
                              <w:rPr>
                                <w:color w:val="FFFFFF" w:themeColor="background1"/>
                              </w:rPr>
                              <w:t xml:space="preserve">1 </w:t>
                            </w:r>
                          </w:p>
                        </w:txbxContent>
                      </v:textbox>
                    </v:oval>
                  </w:pict>
                </mc:Fallback>
              </mc:AlternateContent>
            </w:r>
          </w:p>
        </w:tc>
        <w:tc>
          <w:tcPr>
            <w:tcW w:w="3685" w:type="dxa"/>
            <w:tcBorders>
              <w:top w:val="nil"/>
              <w:left w:val="nil"/>
              <w:bottom w:val="nil"/>
              <w:right w:val="nil"/>
            </w:tcBorders>
            <w:shd w:val="clear" w:color="auto" w:fill="5DDEDB"/>
          </w:tcPr>
          <w:p w14:paraId="5FB22237" w14:textId="70E75186" w:rsidR="0067084E" w:rsidRDefault="001B18AA" w:rsidP="00130FC9">
            <w:pPr>
              <w:jc w:val="both"/>
            </w:pPr>
            <w:r>
              <w:rPr>
                <w:noProof/>
                <w:lang w:eastAsia="fr-FR"/>
              </w:rPr>
              <mc:AlternateContent>
                <mc:Choice Requires="wps">
                  <w:drawing>
                    <wp:anchor distT="0" distB="0" distL="114300" distR="114300" simplePos="0" relativeHeight="252745728" behindDoc="0" locked="0" layoutInCell="1" allowOverlap="1" wp14:anchorId="018928E0" wp14:editId="2E8A3FD0">
                      <wp:simplePos x="0" y="0"/>
                      <wp:positionH relativeFrom="column">
                        <wp:posOffset>861060</wp:posOffset>
                      </wp:positionH>
                      <wp:positionV relativeFrom="paragraph">
                        <wp:posOffset>676910</wp:posOffset>
                      </wp:positionV>
                      <wp:extent cx="457200" cy="457200"/>
                      <wp:effectExtent l="0" t="0" r="25400" b="25400"/>
                      <wp:wrapNone/>
                      <wp:docPr id="578" name="Ellipse 578"/>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3"/>
                              </a:fillRef>
                              <a:effectRef idx="1">
                                <a:schemeClr val="accent3"/>
                              </a:effectRef>
                              <a:fontRef idx="minor">
                                <a:schemeClr val="lt1"/>
                              </a:fontRef>
                            </wps:style>
                            <wps:txbx>
                              <w:txbxContent>
                                <w:p w14:paraId="696CA03C" w14:textId="77777777" w:rsidR="00573C95" w:rsidRPr="00BF5FC4" w:rsidRDefault="00573C95" w:rsidP="0075573E">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78" o:spid="_x0000_s1365" style="position:absolute;left:0;text-align:left;margin-left:67.8pt;margin-top:53.3pt;width:36pt;height:36pt;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" fillcolor="#ff6700 [3206]" strokecolor="white [3201]" strokeweight="1.75pt">
                      <v:textbox>
                        <w:txbxContent>
                          <w:p w14:paraId="696CA03C" w14:textId="77777777" w:rsidR="001501D6" w:rsidRPr="00BF5FC4" w:rsidRDefault="001501D6" w:rsidP="0075573E">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sidR="0075573E">
              <w:rPr>
                <w:noProof/>
                <w:lang w:eastAsia="fr-FR"/>
              </w:rPr>
              <mc:AlternateContent>
                <mc:Choice Requires="wps">
                  <w:drawing>
                    <wp:anchor distT="0" distB="0" distL="114300" distR="114300" simplePos="0" relativeHeight="252747776" behindDoc="0" locked="0" layoutInCell="1" allowOverlap="1" wp14:anchorId="277CC7E5" wp14:editId="11CEB53A">
                      <wp:simplePos x="0" y="0"/>
                      <wp:positionH relativeFrom="column">
                        <wp:posOffset>861060</wp:posOffset>
                      </wp:positionH>
                      <wp:positionV relativeFrom="paragraph">
                        <wp:posOffset>105410</wp:posOffset>
                      </wp:positionV>
                      <wp:extent cx="457200" cy="457200"/>
                      <wp:effectExtent l="0" t="0" r="25400" b="25400"/>
                      <wp:wrapNone/>
                      <wp:docPr id="579" name="Ellipse 579"/>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3"/>
                              </a:fillRef>
                              <a:effectRef idx="1">
                                <a:schemeClr val="accent3"/>
                              </a:effectRef>
                              <a:fontRef idx="minor">
                                <a:schemeClr val="lt1"/>
                              </a:fontRef>
                            </wps:style>
                            <wps:txbx>
                              <w:txbxContent>
                                <w:p w14:paraId="009CD91A" w14:textId="77777777" w:rsidR="00573C95" w:rsidRPr="00BF5FC4" w:rsidRDefault="00573C95" w:rsidP="0075573E">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79" o:spid="_x0000_s1366" style="position:absolute;left:0;text-align:left;margin-left:67.8pt;margin-top:8.3pt;width:36pt;height:36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" fillcolor="#ff6700 [3206]" strokecolor="white [3201]" strokeweight="1.75pt">
                      <v:textbox>
                        <w:txbxContent>
                          <w:p w14:paraId="009CD91A" w14:textId="77777777" w:rsidR="001501D6" w:rsidRPr="00BF5FC4" w:rsidRDefault="001501D6" w:rsidP="0075573E">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p>
        </w:tc>
        <w:tc>
          <w:tcPr>
            <w:tcW w:w="3260" w:type="dxa"/>
            <w:tcBorders>
              <w:top w:val="nil"/>
              <w:left w:val="nil"/>
              <w:bottom w:val="nil"/>
              <w:right w:val="nil"/>
            </w:tcBorders>
            <w:shd w:val="clear" w:color="auto" w:fill="DFFF82" w:themeFill="accent1" w:themeFillTint="66"/>
          </w:tcPr>
          <w:p w14:paraId="6D90F7C6" w14:textId="396A1849" w:rsidR="0067084E" w:rsidRDefault="001F6D40" w:rsidP="00130FC9">
            <w:pPr>
              <w:jc w:val="both"/>
            </w:pPr>
            <w:r>
              <w:rPr>
                <w:noProof/>
                <w:lang w:eastAsia="fr-FR"/>
              </w:rPr>
              <mc:AlternateContent>
                <mc:Choice Requires="wps">
                  <w:drawing>
                    <wp:anchor distT="0" distB="0" distL="114300" distR="114300" simplePos="0" relativeHeight="252737536" behindDoc="0" locked="0" layoutInCell="1" allowOverlap="1" wp14:anchorId="0AA41AB0" wp14:editId="79C50D2B">
                      <wp:simplePos x="0" y="0"/>
                      <wp:positionH relativeFrom="column">
                        <wp:posOffset>692785</wp:posOffset>
                      </wp:positionH>
                      <wp:positionV relativeFrom="paragraph">
                        <wp:posOffset>105410</wp:posOffset>
                      </wp:positionV>
                      <wp:extent cx="457200" cy="457200"/>
                      <wp:effectExtent l="0" t="0" r="25400" b="25400"/>
                      <wp:wrapNone/>
                      <wp:docPr id="574" name="Ellipse 574"/>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4"/>
                              </a:fillRef>
                              <a:effectRef idx="1">
                                <a:schemeClr val="accent4"/>
                              </a:effectRef>
                              <a:fontRef idx="minor">
                                <a:schemeClr val="lt1"/>
                              </a:fontRef>
                            </wps:style>
                            <wps:txbx>
                              <w:txbxContent>
                                <w:p w14:paraId="2BBDFB2D" w14:textId="77777777" w:rsidR="00573C95" w:rsidRPr="00BF5FC4" w:rsidRDefault="00573C95" w:rsidP="001F6D40">
                                  <w:pPr>
                                    <w:jc w:val="cente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74" o:spid="_x0000_s1367" style="position:absolute;left:0;text-align:left;margin-left:54.55pt;margin-top:8.3pt;width:36pt;height:36pt;z-index:2527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" fillcolor="#909465 [3207]" strokecolor="white [3201]" strokeweight="1.75pt">
                      <v:textbox>
                        <w:txbxContent>
                          <w:p w14:paraId="2BBDFB2D" w14:textId="77777777" w:rsidR="001501D6" w:rsidRPr="00BF5FC4" w:rsidRDefault="001501D6" w:rsidP="001F6D40">
                            <w:pPr>
                              <w:jc w:val="center"/>
                              <w:rPr>
                                <w:color w:val="FFFFFF" w:themeColor="background1"/>
                              </w:rPr>
                            </w:pPr>
                            <w:r>
                              <w:rPr>
                                <w:color w:val="FFFFFF" w:themeColor="background1"/>
                              </w:rPr>
                              <w:t>3</w:t>
                            </w:r>
                          </w:p>
                        </w:txbxContent>
                      </v:textbox>
                    </v:oval>
                  </w:pict>
                </mc:Fallback>
              </mc:AlternateContent>
            </w:r>
          </w:p>
          <w:p w14:paraId="4BE167DC" w14:textId="1C89519F" w:rsidR="0067084E" w:rsidRPr="0067084E" w:rsidRDefault="001F6D40" w:rsidP="0067084E">
            <w:pPr>
              <w:tabs>
                <w:tab w:val="left" w:pos="2477"/>
              </w:tabs>
            </w:pPr>
            <w:r>
              <w:rPr>
                <w:noProof/>
                <w:lang w:eastAsia="fr-FR"/>
              </w:rPr>
              <mc:AlternateContent>
                <mc:Choice Requires="wps">
                  <w:drawing>
                    <wp:anchor distT="0" distB="0" distL="114300" distR="114300" simplePos="0" relativeHeight="252739584" behindDoc="0" locked="0" layoutInCell="1" allowOverlap="1" wp14:anchorId="1FEF0E90" wp14:editId="1BB34DF3">
                      <wp:simplePos x="0" y="0"/>
                      <wp:positionH relativeFrom="column">
                        <wp:posOffset>692785</wp:posOffset>
                      </wp:positionH>
                      <wp:positionV relativeFrom="paragraph">
                        <wp:posOffset>490220</wp:posOffset>
                      </wp:positionV>
                      <wp:extent cx="457200" cy="457200"/>
                      <wp:effectExtent l="0" t="0" r="25400" b="25400"/>
                      <wp:wrapNone/>
                      <wp:docPr id="575" name="Ellipse 575"/>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3"/>
                              </a:fillRef>
                              <a:effectRef idx="1">
                                <a:schemeClr val="accent3"/>
                              </a:effectRef>
                              <a:fontRef idx="minor">
                                <a:schemeClr val="lt1"/>
                              </a:fontRef>
                            </wps:style>
                            <wps:txbx>
                              <w:txbxContent>
                                <w:p w14:paraId="59D19901" w14:textId="77777777" w:rsidR="00573C95" w:rsidRPr="00BF5FC4" w:rsidRDefault="00573C95" w:rsidP="001F6D40">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75" o:spid="_x0000_s1368" style="position:absolute;margin-left:54.55pt;margin-top:38.6pt;width:36pt;height:36pt;z-index:25273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" fillcolor="#ff6700 [3206]" strokecolor="white [3201]" strokeweight="1.75pt">
                      <v:textbox>
                        <w:txbxContent>
                          <w:p w14:paraId="59D19901" w14:textId="77777777" w:rsidR="001501D6" w:rsidRPr="00BF5FC4" w:rsidRDefault="001501D6" w:rsidP="001F6D40">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sidR="0067084E">
              <w:tab/>
            </w:r>
          </w:p>
        </w:tc>
      </w:tr>
      <w:tr w:rsidR="001F6D40" w14:paraId="141DB226" w14:textId="6D7E4663" w:rsidTr="001B18AA">
        <w:tc>
          <w:tcPr>
            <w:tcW w:w="2617" w:type="dxa"/>
            <w:tcBorders>
              <w:top w:val="nil"/>
              <w:left w:val="nil"/>
              <w:bottom w:val="nil"/>
              <w:right w:val="nil"/>
            </w:tcBorders>
            <w:shd w:val="clear" w:color="auto" w:fill="7F7F7F" w:themeFill="text1" w:themeFillTint="80"/>
          </w:tcPr>
          <w:p w14:paraId="179AF270" w14:textId="24495FEC" w:rsidR="0067084E" w:rsidRDefault="001F6D40" w:rsidP="001F6D40">
            <w:pPr>
              <w:jc w:val="center"/>
            </w:pPr>
            <w:r>
              <w:t>Dividendes</w:t>
            </w:r>
          </w:p>
          <w:p w14:paraId="416A48E8" w14:textId="77777777" w:rsidR="0067084E" w:rsidRDefault="0067084E" w:rsidP="001F6D40">
            <w:pPr>
              <w:jc w:val="center"/>
            </w:pPr>
          </w:p>
          <w:p w14:paraId="2E536EEE" w14:textId="77777777" w:rsidR="0067084E" w:rsidRDefault="0067084E" w:rsidP="001F6D40">
            <w:pPr>
              <w:jc w:val="center"/>
            </w:pPr>
          </w:p>
        </w:tc>
        <w:tc>
          <w:tcPr>
            <w:tcW w:w="3587" w:type="dxa"/>
            <w:tcBorders>
              <w:top w:val="nil"/>
              <w:left w:val="nil"/>
              <w:bottom w:val="nil"/>
              <w:right w:val="nil"/>
            </w:tcBorders>
            <w:shd w:val="clear" w:color="auto" w:fill="CCFFCC"/>
          </w:tcPr>
          <w:p w14:paraId="51D37BCC" w14:textId="0D99C2E3" w:rsidR="0067084E" w:rsidRDefault="001F6D40" w:rsidP="00130FC9">
            <w:pPr>
              <w:jc w:val="both"/>
            </w:pPr>
            <w:r>
              <w:rPr>
                <w:noProof/>
                <w:lang w:eastAsia="fr-FR"/>
              </w:rPr>
              <mc:AlternateContent>
                <mc:Choice Requires="wps">
                  <w:drawing>
                    <wp:anchor distT="0" distB="0" distL="114300" distR="114300" simplePos="0" relativeHeight="252735488" behindDoc="0" locked="0" layoutInCell="1" allowOverlap="1" wp14:anchorId="1F156291" wp14:editId="44F4AE07">
                      <wp:simplePos x="0" y="0"/>
                      <wp:positionH relativeFrom="column">
                        <wp:posOffset>852805</wp:posOffset>
                      </wp:positionH>
                      <wp:positionV relativeFrom="paragraph">
                        <wp:posOffset>501015</wp:posOffset>
                      </wp:positionV>
                      <wp:extent cx="457200" cy="457200"/>
                      <wp:effectExtent l="0" t="0" r="25400" b="25400"/>
                      <wp:wrapNone/>
                      <wp:docPr id="573" name="Ellipse 573"/>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accent4"/>
                              </a:fillRef>
                              <a:effectRef idx="1">
                                <a:schemeClr val="accent4"/>
                              </a:effectRef>
                              <a:fontRef idx="minor">
                                <a:schemeClr val="lt1"/>
                              </a:fontRef>
                            </wps:style>
                            <wps:txbx>
                              <w:txbxContent>
                                <w:p w14:paraId="6F64EDC7" w14:textId="3D3436ED" w:rsidR="00573C95" w:rsidRPr="00BF5FC4" w:rsidRDefault="00573C95" w:rsidP="001F6D40">
                                  <w:pPr>
                                    <w:jc w:val="cente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73" o:spid="_x0000_s1369" style="position:absolute;left:0;text-align:left;margin-left:67.15pt;margin-top:39.45pt;width:36pt;height:36pt;z-index:2527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" fillcolor="#909465 [3207]" strokecolor="white [3201]" strokeweight="1.75pt">
                      <v:textbox>
                        <w:txbxContent>
                          <w:p w14:paraId="6F64EDC7" w14:textId="3D3436ED" w:rsidR="001501D6" w:rsidRPr="00BF5FC4" w:rsidRDefault="001501D6" w:rsidP="001F6D40">
                            <w:pPr>
                              <w:jc w:val="center"/>
                              <w:rPr>
                                <w:color w:val="FFFFFF" w:themeColor="background1"/>
                              </w:rPr>
                            </w:pPr>
                            <w:r>
                              <w:rPr>
                                <w:color w:val="FFFFFF" w:themeColor="background1"/>
                              </w:rPr>
                              <w:t>3</w:t>
                            </w:r>
                          </w:p>
                        </w:txbxContent>
                      </v:textbox>
                    </v:oval>
                  </w:pict>
                </mc:Fallback>
              </mc:AlternateContent>
            </w:r>
          </w:p>
        </w:tc>
        <w:tc>
          <w:tcPr>
            <w:tcW w:w="3685" w:type="dxa"/>
            <w:tcBorders>
              <w:top w:val="nil"/>
              <w:left w:val="nil"/>
              <w:bottom w:val="nil"/>
              <w:right w:val="nil"/>
            </w:tcBorders>
            <w:shd w:val="clear" w:color="auto" w:fill="5DDEDB"/>
          </w:tcPr>
          <w:p w14:paraId="39412B0F" w14:textId="0BC177CC" w:rsidR="0067084E" w:rsidRDefault="0075573E" w:rsidP="00130FC9">
            <w:pPr>
              <w:jc w:val="both"/>
            </w:pPr>
            <w:r>
              <w:rPr>
                <w:noProof/>
                <w:lang w:eastAsia="fr-FR"/>
              </w:rPr>
              <mc:AlternateContent>
                <mc:Choice Requires="wps">
                  <w:drawing>
                    <wp:anchor distT="0" distB="0" distL="114300" distR="114300" simplePos="0" relativeHeight="252743680" behindDoc="0" locked="0" layoutInCell="1" allowOverlap="1" wp14:anchorId="76BBD2FE" wp14:editId="1D5D83C6">
                      <wp:simplePos x="0" y="0"/>
                      <wp:positionH relativeFrom="column">
                        <wp:posOffset>861060</wp:posOffset>
                      </wp:positionH>
                      <wp:positionV relativeFrom="paragraph">
                        <wp:posOffset>501015</wp:posOffset>
                      </wp:positionV>
                      <wp:extent cx="457200" cy="457200"/>
                      <wp:effectExtent l="0" t="0" r="25400" b="25400"/>
                      <wp:wrapNone/>
                      <wp:docPr id="577" name="Ellipse 577"/>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1150392" w14:textId="77777777" w:rsidR="00573C95" w:rsidRPr="00BF5FC4" w:rsidRDefault="00573C95" w:rsidP="0075573E">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77" o:spid="_x0000_s1370" style="position:absolute;left:0;text-align:left;margin-left:67.8pt;margin-top:39.45pt;width:36pt;height:36pt;z-index:2527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" fillcolor="black [3200]" strokecolor="white [3201]" strokeweight="1.75pt">
                      <v:textbox>
                        <w:txbxContent>
                          <w:p w14:paraId="21150392" w14:textId="77777777" w:rsidR="001501D6" w:rsidRPr="00BF5FC4" w:rsidRDefault="001501D6" w:rsidP="0075573E">
                            <w:pPr>
                              <w:jc w:val="center"/>
                              <w:rPr>
                                <w:color w:val="FFFFFF" w:themeColor="background1"/>
                              </w:rPr>
                            </w:pPr>
                            <w:r w:rsidRPr="00BF5FC4">
                              <w:rPr>
                                <w:color w:val="FFFFFF" w:themeColor="background1"/>
                              </w:rPr>
                              <w:t xml:space="preserve">1 </w:t>
                            </w:r>
                          </w:p>
                        </w:txbxContent>
                      </v:textbox>
                    </v:oval>
                  </w:pict>
                </mc:Fallback>
              </mc:AlternateContent>
            </w:r>
          </w:p>
        </w:tc>
        <w:tc>
          <w:tcPr>
            <w:tcW w:w="3260" w:type="dxa"/>
            <w:tcBorders>
              <w:top w:val="nil"/>
              <w:left w:val="nil"/>
              <w:bottom w:val="nil"/>
              <w:right w:val="nil"/>
            </w:tcBorders>
            <w:shd w:val="clear" w:color="auto" w:fill="DFFF82" w:themeFill="accent1" w:themeFillTint="66"/>
          </w:tcPr>
          <w:p w14:paraId="205F2DB1" w14:textId="30AB7949" w:rsidR="0067084E" w:rsidRDefault="001F6D40" w:rsidP="00130FC9">
            <w:pPr>
              <w:jc w:val="both"/>
            </w:pPr>
            <w:r>
              <w:rPr>
                <w:noProof/>
                <w:lang w:eastAsia="fr-FR"/>
              </w:rPr>
              <mc:AlternateContent>
                <mc:Choice Requires="wps">
                  <w:drawing>
                    <wp:anchor distT="0" distB="0" distL="114300" distR="114300" simplePos="0" relativeHeight="252741632" behindDoc="0" locked="0" layoutInCell="1" allowOverlap="1" wp14:anchorId="7C610BCB" wp14:editId="279500E6">
                      <wp:simplePos x="0" y="0"/>
                      <wp:positionH relativeFrom="column">
                        <wp:posOffset>692785</wp:posOffset>
                      </wp:positionH>
                      <wp:positionV relativeFrom="paragraph">
                        <wp:posOffset>501015</wp:posOffset>
                      </wp:positionV>
                      <wp:extent cx="457200" cy="457200"/>
                      <wp:effectExtent l="0" t="0" r="25400" b="25400"/>
                      <wp:wrapNone/>
                      <wp:docPr id="576" name="Ellipse 576"/>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95C043A" w14:textId="77777777" w:rsidR="00573C95" w:rsidRPr="00BF5FC4" w:rsidRDefault="00573C95" w:rsidP="001F6D40">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76" o:spid="_x0000_s1371" style="position:absolute;left:0;text-align:left;margin-left:54.55pt;margin-top:39.45pt;width:36pt;height:36pt;z-index:2527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" fillcolor="black [3200]" strokecolor="white [3201]" strokeweight="1.75pt">
                      <v:textbox>
                        <w:txbxContent>
                          <w:p w14:paraId="395C043A" w14:textId="77777777" w:rsidR="001501D6" w:rsidRPr="00BF5FC4" w:rsidRDefault="001501D6" w:rsidP="001F6D40">
                            <w:pPr>
                              <w:jc w:val="center"/>
                              <w:rPr>
                                <w:color w:val="FFFFFF" w:themeColor="background1"/>
                              </w:rPr>
                            </w:pPr>
                            <w:r w:rsidRPr="00BF5FC4">
                              <w:rPr>
                                <w:color w:val="FFFFFF" w:themeColor="background1"/>
                              </w:rPr>
                              <w:t xml:space="preserve">1 </w:t>
                            </w:r>
                          </w:p>
                        </w:txbxContent>
                      </v:textbox>
                    </v:oval>
                  </w:pict>
                </mc:Fallback>
              </mc:AlternateContent>
            </w:r>
          </w:p>
        </w:tc>
      </w:tr>
      <w:tr w:rsidR="001F6D40" w14:paraId="2BC07B30" w14:textId="7E689E2A" w:rsidTr="001B18AA">
        <w:tc>
          <w:tcPr>
            <w:tcW w:w="2617" w:type="dxa"/>
            <w:tcBorders>
              <w:top w:val="nil"/>
              <w:left w:val="nil"/>
              <w:bottom w:val="nil"/>
              <w:right w:val="nil"/>
            </w:tcBorders>
            <w:shd w:val="clear" w:color="auto" w:fill="7F7F7F" w:themeFill="text1" w:themeFillTint="80"/>
          </w:tcPr>
          <w:p w14:paraId="52480B29" w14:textId="6AF06224" w:rsidR="0067084E" w:rsidRDefault="0067084E" w:rsidP="001F6D40">
            <w:pPr>
              <w:jc w:val="center"/>
            </w:pPr>
            <w:r>
              <w:t>Gain en capital</w:t>
            </w:r>
          </w:p>
          <w:p w14:paraId="22F1F40B" w14:textId="77777777" w:rsidR="0067084E" w:rsidRDefault="0067084E" w:rsidP="001F6D40">
            <w:pPr>
              <w:jc w:val="center"/>
            </w:pPr>
          </w:p>
          <w:p w14:paraId="30E0F5F1" w14:textId="77777777" w:rsidR="0067084E" w:rsidRDefault="0067084E" w:rsidP="001F6D40">
            <w:pPr>
              <w:jc w:val="center"/>
            </w:pPr>
          </w:p>
        </w:tc>
        <w:tc>
          <w:tcPr>
            <w:tcW w:w="3587" w:type="dxa"/>
            <w:tcBorders>
              <w:top w:val="nil"/>
              <w:left w:val="nil"/>
              <w:bottom w:val="nil"/>
              <w:right w:val="nil"/>
            </w:tcBorders>
            <w:shd w:val="clear" w:color="auto" w:fill="CCFFCC"/>
          </w:tcPr>
          <w:p w14:paraId="4147F46B" w14:textId="4B601813" w:rsidR="0067084E" w:rsidRDefault="0067084E" w:rsidP="00130FC9">
            <w:pPr>
              <w:jc w:val="both"/>
            </w:pPr>
          </w:p>
        </w:tc>
        <w:tc>
          <w:tcPr>
            <w:tcW w:w="3685" w:type="dxa"/>
            <w:tcBorders>
              <w:top w:val="nil"/>
              <w:left w:val="nil"/>
              <w:bottom w:val="nil"/>
              <w:right w:val="nil"/>
            </w:tcBorders>
            <w:shd w:val="clear" w:color="auto" w:fill="5DDEDB"/>
          </w:tcPr>
          <w:p w14:paraId="00788CDC" w14:textId="13659057" w:rsidR="0067084E" w:rsidRDefault="0067084E" w:rsidP="00130FC9">
            <w:pPr>
              <w:jc w:val="both"/>
            </w:pPr>
          </w:p>
        </w:tc>
        <w:tc>
          <w:tcPr>
            <w:tcW w:w="3260" w:type="dxa"/>
            <w:tcBorders>
              <w:top w:val="nil"/>
              <w:left w:val="nil"/>
              <w:bottom w:val="nil"/>
              <w:right w:val="nil"/>
            </w:tcBorders>
            <w:shd w:val="clear" w:color="auto" w:fill="DFFF82" w:themeFill="accent1" w:themeFillTint="66"/>
          </w:tcPr>
          <w:p w14:paraId="0E889A50" w14:textId="3126983F" w:rsidR="0067084E" w:rsidRDefault="0067084E" w:rsidP="00130FC9">
            <w:pPr>
              <w:jc w:val="both"/>
            </w:pPr>
          </w:p>
        </w:tc>
      </w:tr>
    </w:tbl>
    <w:p w14:paraId="39CBBF39" w14:textId="77777777" w:rsidR="00C070E7" w:rsidRDefault="00C070E7" w:rsidP="007D0E55">
      <w:pPr>
        <w:jc w:val="both"/>
      </w:pPr>
    </w:p>
    <w:p w14:paraId="5873C6B8" w14:textId="693B0DFA" w:rsidR="00C070E7" w:rsidRDefault="00130FC9" w:rsidP="007D0E55">
      <w:pPr>
        <w:jc w:val="both"/>
      </w:pPr>
      <w:r>
        <w:t xml:space="preserve">Reprenons une dernière fois l’objectif de ce dernier tableau. En aucun temps, </w:t>
      </w:r>
      <w:r w:rsidR="00581F3F">
        <w:t>ne faut</w:t>
      </w:r>
      <w:r>
        <w:t>-il prendre ce tableau pour justifier une pondération d’intérêts parce que le contribuable souhaite effectuer</w:t>
      </w:r>
      <w:r w:rsidR="00117C7B">
        <w:t xml:space="preserve"> des placements dans son REÉR. Le raisonnement est plutôt le suivant : si le contribuable a déjà fait usage de tous ses abris fiscaux et que la pondération de son portefeuille de placements fait en sorte qu’une portion de revenus se</w:t>
      </w:r>
      <w:r w:rsidR="00E67E55">
        <w:t>ra</w:t>
      </w:r>
      <w:r w:rsidR="00117C7B">
        <w:t xml:space="preserve"> de la nature d’un intérêt, ce dernier </w:t>
      </w:r>
      <w:r w:rsidR="00E67E55">
        <w:t xml:space="preserve">revenu </w:t>
      </w:r>
      <w:r w:rsidR="00117C7B">
        <w:t>devrait se retrouver en priorité dans le REÉR, plutôt qu’à l’extérieur d’un abri fiscal.</w:t>
      </w:r>
    </w:p>
    <w:p w14:paraId="24C38C6E" w14:textId="77777777" w:rsidR="007D0E55" w:rsidRDefault="007D0E55" w:rsidP="00B8499C"/>
    <w:p w14:paraId="22FA657D" w14:textId="6795675D" w:rsidR="00B8499C" w:rsidRPr="00B8499C" w:rsidRDefault="00275B4C" w:rsidP="006C34CF">
      <w:pPr>
        <w:pStyle w:val="Titre3"/>
        <w:numPr>
          <w:ilvl w:val="2"/>
          <w:numId w:val="68"/>
        </w:numPr>
      </w:pPr>
      <w:bookmarkStart w:id="128" w:name="_Toc314397871"/>
      <w:bookmarkStart w:id="129" w:name="_Toc443569415"/>
      <w:r>
        <w:t>L</w:t>
      </w:r>
      <w:r w:rsidR="00150978">
        <w:t>'imprévisible</w:t>
      </w:r>
      <w:r>
        <w:t xml:space="preserve"> comportement des humains</w:t>
      </w:r>
      <w:bookmarkEnd w:id="128"/>
      <w:bookmarkEnd w:id="129"/>
    </w:p>
    <w:p w14:paraId="14FD2313" w14:textId="77777777" w:rsidR="00BD543B" w:rsidRDefault="00BD543B" w:rsidP="00BD543B"/>
    <w:p w14:paraId="6D66BD14" w14:textId="7EC3CA2B" w:rsidR="00950845" w:rsidRDefault="00821466" w:rsidP="00821466">
      <w:pPr>
        <w:jc w:val="both"/>
      </w:pPr>
      <w:r>
        <w:t xml:space="preserve">L'étude de l'épargne et de ses nombreux véhicules de placement, nous a permis d'identifier fondamentalement </w:t>
      </w:r>
      <w:r w:rsidR="00950845" w:rsidRPr="00950845">
        <w:rPr>
          <w:color w:val="FF6700" w:themeColor="accent3"/>
        </w:rPr>
        <w:t>DEUX FAÇONS</w:t>
      </w:r>
      <w:r>
        <w:t xml:space="preserve"> d'accumuler des montants afin de constituer un capital </w:t>
      </w:r>
      <w:r w:rsidR="00781A7F">
        <w:t>qui sera dédié à satisfaire les besoins des futurs retraités.</w:t>
      </w:r>
      <w:r>
        <w:t xml:space="preserve"> </w:t>
      </w:r>
    </w:p>
    <w:p w14:paraId="0B4C0EB9" w14:textId="6F4ECD65" w:rsidR="007D0E55" w:rsidRDefault="00821466" w:rsidP="00821466">
      <w:pPr>
        <w:jc w:val="both"/>
      </w:pPr>
      <w:r>
        <w:lastRenderedPageBreak/>
        <w:t>L'</w:t>
      </w:r>
      <w:r w:rsidR="00581F3F">
        <w:t>une</w:t>
      </w:r>
      <w:r>
        <w:t xml:space="preserve"> s</w:t>
      </w:r>
      <w:r w:rsidR="00781A7F">
        <w:t>'organisera s</w:t>
      </w:r>
      <w:r>
        <w:t>ans</w:t>
      </w:r>
      <w:r w:rsidR="00781A7F">
        <w:t xml:space="preserve"> que l'individu ait à faire preuve de grande discipline ou à renoncer à d'insistantes convoitises</w:t>
      </w:r>
      <w:r>
        <w:t xml:space="preserve"> </w:t>
      </w:r>
      <w:r w:rsidR="00781A7F">
        <w:t>puisque l'épargne s</w:t>
      </w:r>
      <w:r w:rsidR="00950845">
        <w:t>'étalera</w:t>
      </w:r>
      <w:r w:rsidR="00781A7F">
        <w:t xml:space="preserve"> automatique</w:t>
      </w:r>
      <w:r w:rsidR="00950845">
        <w:t>ment</w:t>
      </w:r>
      <w:r w:rsidR="00781A7F">
        <w:t xml:space="preserve"> et obligatoire</w:t>
      </w:r>
      <w:r w:rsidR="00950845">
        <w:t>ment</w:t>
      </w:r>
      <w:r w:rsidR="00781A7F">
        <w:t>. Ce sera le cas</w:t>
      </w:r>
      <w:r w:rsidR="00950845">
        <w:t>, par exemple,</w:t>
      </w:r>
      <w:r w:rsidR="00781A7F">
        <w:t xml:space="preserve"> pour le régime d</w:t>
      </w:r>
      <w:r w:rsidR="000A397B">
        <w:t>e la</w:t>
      </w:r>
      <w:r w:rsidR="00781A7F">
        <w:t xml:space="preserve"> RRQ et, s'il y a droit, pour un régime privé de retraite offert par l'employeur. </w:t>
      </w:r>
    </w:p>
    <w:p w14:paraId="7FDD8B85" w14:textId="77777777" w:rsidR="007D0E55" w:rsidRDefault="007D0E55" w:rsidP="00821466">
      <w:pPr>
        <w:jc w:val="both"/>
      </w:pPr>
    </w:p>
    <w:p w14:paraId="6A8B0606" w14:textId="13169601" w:rsidR="00950845" w:rsidRDefault="00950845" w:rsidP="00950845">
      <w:pPr>
        <w:jc w:val="both"/>
      </w:pPr>
      <w:r>
        <w:t>L'</w:t>
      </w:r>
      <w:r w:rsidR="00581F3F">
        <w:t>autre</w:t>
      </w:r>
      <w:r>
        <w:t xml:space="preserve"> sera le fruit d'un effort individuel et volontaire de la part de l'épargnant. Celui-ci devra alors prendre l'initiative d'épargner dans des véhicules de placements de retraite comme le REÉR, le CÉLI ou le RÉÉÉ puisqu'il n'aura pas accès à un régime de retraite privé auprès de son employeur. </w:t>
      </w:r>
    </w:p>
    <w:p w14:paraId="4146E347" w14:textId="77777777" w:rsidR="00950845" w:rsidRDefault="00950845" w:rsidP="00950845">
      <w:pPr>
        <w:jc w:val="both"/>
      </w:pPr>
    </w:p>
    <w:p w14:paraId="2DDE462E" w14:textId="614794AC" w:rsidR="00DD2DD9" w:rsidRDefault="00950845" w:rsidP="00950845">
      <w:pPr>
        <w:jc w:val="both"/>
      </w:pPr>
      <w:r>
        <w:t xml:space="preserve">Ces deux façons d'accumuler un capital </w:t>
      </w:r>
      <w:r w:rsidR="00DD2DD9">
        <w:t>servent le même objectif d'une prise de retraite financièrement équilibrée. Malgré ce même objectif de base, il arrive souvent que ces deux parcours aboutissent, au moment de la prise de retraite, à faire</w:t>
      </w:r>
      <w:r w:rsidR="00221443">
        <w:t xml:space="preserve"> des choix</w:t>
      </w:r>
      <w:r w:rsidR="00DD2DD9">
        <w:t xml:space="preserve"> très </w:t>
      </w:r>
      <w:r w:rsidR="00581F3F">
        <w:t>différent</w:t>
      </w:r>
      <w:r w:rsidR="00221443">
        <w:t>s</w:t>
      </w:r>
      <w:r w:rsidR="00DD2DD9">
        <w:t xml:space="preserve">. </w:t>
      </w:r>
    </w:p>
    <w:p w14:paraId="33D51001" w14:textId="77777777" w:rsidR="00DD2DD9" w:rsidRDefault="00DD2DD9" w:rsidP="00950845">
      <w:pPr>
        <w:jc w:val="both"/>
      </w:pPr>
    </w:p>
    <w:p w14:paraId="1F88D5B4" w14:textId="1D865447" w:rsidR="00D90A08" w:rsidRDefault="00F7780D" w:rsidP="00950845">
      <w:pPr>
        <w:jc w:val="both"/>
      </w:pPr>
      <w:r>
        <w:t>Ceux qui bénéficieront d'un régime à prestation</w:t>
      </w:r>
      <w:r w:rsidR="00D90A08">
        <w:t>s</w:t>
      </w:r>
      <w:r>
        <w:t xml:space="preserve"> déterminée</w:t>
      </w:r>
      <w:r w:rsidR="00D90A08">
        <w:t>s</w:t>
      </w:r>
      <w:r>
        <w:t xml:space="preserve"> </w:t>
      </w:r>
      <w:r w:rsidR="00581F3F">
        <w:t>n’auront</w:t>
      </w:r>
      <w:r>
        <w:t xml:space="preserve"> à peu près aucun choix à faire</w:t>
      </w:r>
      <w:r w:rsidR="00D90A08">
        <w:t xml:space="preserve">. Ils </w:t>
      </w:r>
      <w:r>
        <w:t>pourront envisager leur retraite dans la quiétude financière d'une rente garantie</w:t>
      </w:r>
      <w:r w:rsidR="00D90A08">
        <w:t>,</w:t>
      </w:r>
      <w:r>
        <w:t xml:space="preserve"> correspondant à un pourcentage connu du revenu gagné au cours des cinq années précédentes, </w:t>
      </w:r>
      <w:r w:rsidR="00D90A08">
        <w:t xml:space="preserve">et ce </w:t>
      </w:r>
      <w:r>
        <w:t>jusqu'</w:t>
      </w:r>
      <w:r w:rsidR="00D90A08">
        <w:t xml:space="preserve">à leur dernier souffle vivant. De manière quasi unanime (autant par ceux qui ont droit à un tel régime que par ceux qui n'y ont pas droit), ce présage, sans grande surprise, constitue la position la plus enviable de toutes. </w:t>
      </w:r>
      <w:r>
        <w:t xml:space="preserve"> </w:t>
      </w:r>
      <w:r w:rsidR="00DD2DD9">
        <w:t xml:space="preserve"> </w:t>
      </w:r>
    </w:p>
    <w:p w14:paraId="133F3C3D" w14:textId="77777777" w:rsidR="00D90A08" w:rsidRDefault="00D90A08" w:rsidP="00950845">
      <w:pPr>
        <w:jc w:val="both"/>
      </w:pPr>
    </w:p>
    <w:p w14:paraId="22B5848A" w14:textId="1290C879" w:rsidR="00D5640A" w:rsidRDefault="007E620C" w:rsidP="00950845">
      <w:pPr>
        <w:jc w:val="both"/>
      </w:pPr>
      <w:r>
        <w:t>Par ailleurs, la</w:t>
      </w:r>
      <w:r w:rsidR="00D90A08">
        <w:t xml:space="preserve"> majorit</w:t>
      </w:r>
      <w:r>
        <w:t>é</w:t>
      </w:r>
      <w:r w:rsidR="00D90A08">
        <w:t xml:space="preserve"> des futurs retraités n'auront pas droit à un régime à prestations déterminées</w:t>
      </w:r>
      <w:r>
        <w:t xml:space="preserve">. Par </w:t>
      </w:r>
      <w:r w:rsidR="00D90A08">
        <w:t>conséquent</w:t>
      </w:r>
      <w:r>
        <w:t xml:space="preserve">, </w:t>
      </w:r>
      <w:r w:rsidR="002560A0">
        <w:t>ceux-ci</w:t>
      </w:r>
      <w:r w:rsidR="00D90A08">
        <w:t xml:space="preserve"> se retrouveront</w:t>
      </w:r>
      <w:r w:rsidR="00227CA1">
        <w:t>, à l'amorce de leur retraite, avec un important capital dans leur RPACD ou REÉR (mais aucune garantie de rentes)</w:t>
      </w:r>
      <w:r>
        <w:t xml:space="preserve"> et </w:t>
      </w:r>
      <w:r w:rsidR="00227CA1">
        <w:t>d'importants</w:t>
      </w:r>
      <w:r>
        <w:t xml:space="preserve"> choix à faire</w:t>
      </w:r>
      <w:r w:rsidR="00227CA1">
        <w:t>.</w:t>
      </w:r>
      <w:r w:rsidR="00D5640A">
        <w:t xml:space="preserve"> Le choix le plus important sera sans aucun doute celui de convertir l'important capital de retraite en rente viagère ou pas. Cette décision revient, ni plus, ni moins, à convertir ou pas, son régime à cotisation déterminée en régime à prestation déterminée (par l'achat d'une rente viagère).</w:t>
      </w:r>
      <w:r w:rsidR="00C556E4">
        <w:t xml:space="preserve"> La majorité des individus n'échangeront pas leur capital en échange d'une rente viagère.</w:t>
      </w:r>
    </w:p>
    <w:p w14:paraId="2A762C5D" w14:textId="77777777" w:rsidR="00C556E4" w:rsidRDefault="00C556E4" w:rsidP="00950845">
      <w:pPr>
        <w:jc w:val="both"/>
      </w:pPr>
    </w:p>
    <w:p w14:paraId="576797E2" w14:textId="5D5AC7A7" w:rsidR="00C556E4" w:rsidRDefault="00C556E4" w:rsidP="00950845">
      <w:pPr>
        <w:jc w:val="both"/>
      </w:pPr>
      <w:r>
        <w:t>Cette curieuse contradiction, où les contribuables envient les bénéficiaires de régimes de retraite à prestations déterminées sans arriver à convertir leur capital</w:t>
      </w:r>
      <w:r w:rsidR="00221443">
        <w:t>-</w:t>
      </w:r>
      <w:r>
        <w:t xml:space="preserve">retraite en rentes viagères, </w:t>
      </w:r>
      <w:r w:rsidR="00720DBC">
        <w:t>est connue sous le nom de</w:t>
      </w:r>
      <w:r>
        <w:t xml:space="preserve"> </w:t>
      </w:r>
      <w:r w:rsidR="00720DBC" w:rsidRPr="00720DBC">
        <w:rPr>
          <w:color w:val="FF6700" w:themeColor="accent3"/>
        </w:rPr>
        <w:t>"THE ANNUITY PUZZLE"</w:t>
      </w:r>
      <w:r w:rsidR="00720DBC">
        <w:t xml:space="preserve">. Ce fascinant paradoxe a fait l'objet d'une étude menée </w:t>
      </w:r>
      <w:r w:rsidR="005E2D39">
        <w:t>par Benartzy, Pr</w:t>
      </w:r>
      <w:r w:rsidR="006E3BD8">
        <w:t>e</w:t>
      </w:r>
      <w:r w:rsidR="005E2D39">
        <w:t>vitero et Thaler (2011).</w:t>
      </w:r>
      <w:r w:rsidR="006E3BD8">
        <w:t xml:space="preserve"> Nous </w:t>
      </w:r>
      <w:r w:rsidR="002F4664">
        <w:t>en présentons</w:t>
      </w:r>
      <w:r w:rsidR="006E3BD8">
        <w:t xml:space="preserve"> l'</w:t>
      </w:r>
      <w:r w:rsidR="002F4664">
        <w:t>illustration</w:t>
      </w:r>
      <w:r w:rsidR="006E3BD8">
        <w:t xml:space="preserve"> de Richard Thaler</w:t>
      </w:r>
      <w:r w:rsidR="002F4664">
        <w:t xml:space="preserve"> </w:t>
      </w:r>
      <w:r w:rsidR="004451D3">
        <w:t>publiée d</w:t>
      </w:r>
      <w:r w:rsidR="006E3BD8">
        <w:t>ans le New York Time du 4 juin 2011.</w:t>
      </w:r>
    </w:p>
    <w:p w14:paraId="2C1E6527" w14:textId="77777777" w:rsidR="00D5640A" w:rsidRDefault="00D5640A" w:rsidP="00950845">
      <w:pPr>
        <w:jc w:val="both"/>
      </w:pPr>
    </w:p>
    <w:p w14:paraId="35C4A80F" w14:textId="28AA662C" w:rsidR="00E54541" w:rsidRDefault="00E54541" w:rsidP="00950845">
      <w:pPr>
        <w:jc w:val="both"/>
      </w:pPr>
      <w:r>
        <w:br w:type="page"/>
      </w:r>
    </w:p>
    <w:p w14:paraId="012F6C3B" w14:textId="6FA45974" w:rsidR="00F221E4" w:rsidRDefault="00F221E4">
      <w:r>
        <w:rPr>
          <w:noProof/>
          <w:lang w:eastAsia="fr-FR"/>
        </w:rPr>
        <w:lastRenderedPageBreak/>
        <w:drawing>
          <wp:inline distT="0" distB="0" distL="0" distR="0" wp14:anchorId="79A1F17F" wp14:editId="202EB604">
            <wp:extent cx="5030093" cy="6666824"/>
            <wp:effectExtent l="0" t="0" r="0" b="0"/>
            <wp:docPr id="560" name="Image 560" descr="Macintosh HD:Users:marcbachand:Desktop:Capture d’écran 2015-11-03 à 12.4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rcbachand:Desktop:Capture d’écran 2015-11-03 à 12.42.43.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30093" cy="6666824"/>
                    </a:xfrm>
                    <a:prstGeom prst="rect">
                      <a:avLst/>
                    </a:prstGeom>
                    <a:noFill/>
                    <a:ln>
                      <a:noFill/>
                    </a:ln>
                  </pic:spPr>
                </pic:pic>
              </a:graphicData>
            </a:graphic>
          </wp:inline>
        </w:drawing>
      </w:r>
      <w:r>
        <w:br w:type="page"/>
      </w:r>
      <w:r>
        <w:rPr>
          <w:noProof/>
          <w:lang w:eastAsia="fr-FR"/>
        </w:rPr>
        <w:lastRenderedPageBreak/>
        <w:drawing>
          <wp:inline distT="0" distB="0" distL="0" distR="0" wp14:anchorId="1E640A6C" wp14:editId="548155CB">
            <wp:extent cx="5030093" cy="6629524"/>
            <wp:effectExtent l="0" t="0" r="0" b="0"/>
            <wp:docPr id="558" name="Image 558" descr="Macintosh HD:Users:marcbachand:Desktop:Capture d’écran 2015-11-03 à 12.3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Capture d’écran 2015-11-03 à 12.37.56.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30676" cy="6630293"/>
                    </a:xfrm>
                    <a:prstGeom prst="rect">
                      <a:avLst/>
                    </a:prstGeom>
                    <a:noFill/>
                    <a:ln>
                      <a:noFill/>
                    </a:ln>
                  </pic:spPr>
                </pic:pic>
              </a:graphicData>
            </a:graphic>
          </wp:inline>
        </w:drawing>
      </w:r>
    </w:p>
    <w:p w14:paraId="76AD977B" w14:textId="00C53653" w:rsidR="00F221E4" w:rsidRDefault="00F221E4">
      <w:r>
        <w:rPr>
          <w:noProof/>
          <w:lang w:eastAsia="fr-FR"/>
        </w:rPr>
        <w:lastRenderedPageBreak/>
        <w:drawing>
          <wp:inline distT="0" distB="0" distL="0" distR="0" wp14:anchorId="7D160BC1" wp14:editId="33A4D464">
            <wp:extent cx="5029774" cy="6630293"/>
            <wp:effectExtent l="0" t="0" r="0" b="0"/>
            <wp:docPr id="559" name="Image 559" descr="Macintosh HD:Users:marcbachand:Desktop:Capture d’écran 2015-11-03 à 12.3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cbachand:Desktop:Capture d’écran 2015-11-03 à 12.38.40.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030093" cy="6630714"/>
                    </a:xfrm>
                    <a:prstGeom prst="rect">
                      <a:avLst/>
                    </a:prstGeom>
                    <a:noFill/>
                    <a:ln>
                      <a:noFill/>
                    </a:ln>
                  </pic:spPr>
                </pic:pic>
              </a:graphicData>
            </a:graphic>
          </wp:inline>
        </w:drawing>
      </w:r>
    </w:p>
    <w:p w14:paraId="2261B724" w14:textId="7E00BEE2" w:rsidR="005A52D1" w:rsidRDefault="005A52D1" w:rsidP="006C34CF">
      <w:pPr>
        <w:pStyle w:val="Titre1"/>
        <w:numPr>
          <w:ilvl w:val="0"/>
          <w:numId w:val="55"/>
        </w:numPr>
        <w:rPr>
          <w:lang w:val="fr-CA"/>
        </w:rPr>
      </w:pPr>
      <w:bookmarkStart w:id="130" w:name="_Toc314397872"/>
      <w:bookmarkStart w:id="131" w:name="_Toc443569416"/>
      <w:r>
        <w:lastRenderedPageBreak/>
        <w:t>La gestion de  la dette</w:t>
      </w:r>
      <w:bookmarkEnd w:id="130"/>
      <w:bookmarkEnd w:id="131"/>
    </w:p>
    <w:p w14:paraId="34682AB8" w14:textId="77777777" w:rsidR="00F13F86" w:rsidRDefault="00F13F86" w:rsidP="00F13F86"/>
    <w:p w14:paraId="7C8C5CDB" w14:textId="3958AC66" w:rsidR="00E97259" w:rsidRDefault="009269E7" w:rsidP="00DB22DE">
      <w:pPr>
        <w:jc w:val="both"/>
      </w:pPr>
      <w:r>
        <w:t xml:space="preserve">Le </w:t>
      </w:r>
      <w:r w:rsidRPr="009269E7">
        <w:rPr>
          <w:color w:val="FF6700" w:themeColor="accent3"/>
        </w:rPr>
        <w:t>CRÉDIT</w:t>
      </w:r>
      <w:r>
        <w:t xml:space="preserve"> et ses nombreux tentacules </w:t>
      </w:r>
      <w:r w:rsidR="00DB22DE">
        <w:t>forment un sujet d’une telle importance, à la croisée de tant de concepts, en matière de finances personnelles, que nous aurions pu le traiter sous maints points de vue.</w:t>
      </w:r>
      <w:r w:rsidR="00F83A26">
        <w:t xml:space="preserve"> </w:t>
      </w:r>
      <w:r w:rsidR="00426E26">
        <w:t xml:space="preserve">Les angles du contrôle budgétaire, de la surconsommation ou de l’épargne peuvent être des perceptions adéquates pour y étudier le concept de la dette.  </w:t>
      </w:r>
    </w:p>
    <w:p w14:paraId="52BF1893" w14:textId="77777777" w:rsidR="00E97259" w:rsidRDefault="00E97259" w:rsidP="00DB22DE">
      <w:pPr>
        <w:jc w:val="both"/>
      </w:pPr>
    </w:p>
    <w:p w14:paraId="081E9520" w14:textId="00F75311" w:rsidR="00E97259" w:rsidRDefault="00F83A26" w:rsidP="00DB22DE">
      <w:pPr>
        <w:jc w:val="both"/>
      </w:pPr>
      <w:r>
        <w:t>Comme c’est souvent le cas, l</w:t>
      </w:r>
      <w:r w:rsidR="00DB22DE">
        <w:t xml:space="preserve">e crédit peut être </w:t>
      </w:r>
      <w:r>
        <w:t xml:space="preserve">le résultat d’une consommation matérielle trop grande en mesure des revenus que l’individu </w:t>
      </w:r>
      <w:r w:rsidR="00426E26">
        <w:t xml:space="preserve">ou le ménage </w:t>
      </w:r>
      <w:r>
        <w:t>génère.</w:t>
      </w:r>
      <w:r w:rsidR="00426E26">
        <w:t xml:space="preserve"> Sans une prise de conscience face à cette problématique et une intervention planifié</w:t>
      </w:r>
      <w:r w:rsidR="00034BDC">
        <w:t>e</w:t>
      </w:r>
      <w:r w:rsidR="00426E26">
        <w:t xml:space="preserve"> et quantifiée, de graves ennuis financiers peuvent venir miner la santé financière du ménage.</w:t>
      </w:r>
      <w:r w:rsidR="00112618">
        <w:t xml:space="preserve"> </w:t>
      </w:r>
    </w:p>
    <w:p w14:paraId="271EE492" w14:textId="77777777" w:rsidR="00E97259" w:rsidRDefault="00E97259" w:rsidP="00DB22DE">
      <w:pPr>
        <w:jc w:val="both"/>
      </w:pPr>
    </w:p>
    <w:p w14:paraId="00134312" w14:textId="6428B329" w:rsidR="009269E7" w:rsidRDefault="00F83A26" w:rsidP="00DB22DE">
      <w:pPr>
        <w:jc w:val="both"/>
      </w:pPr>
      <w:r>
        <w:t>L’usage du crédit peut être également lié à l’achat de biens dont le coût et la durée d’utilisation sont trop élevés pour en prévoir l’achat sans l</w:t>
      </w:r>
      <w:r w:rsidR="009C517D">
        <w:t>e recours à l</w:t>
      </w:r>
      <w:r>
        <w:t>’endettement. L’acquisition d’une résidence est probablement le meilleur exemple de cet usage de la dette.</w:t>
      </w:r>
      <w:r w:rsidR="00701C2F">
        <w:t xml:space="preserve"> Ce recours au financement est tout à fait normal</w:t>
      </w:r>
      <w:r w:rsidR="008E363A">
        <w:t>,</w:t>
      </w:r>
      <w:r w:rsidR="00701C2F">
        <w:t xml:space="preserve"> mais demeure sujet à des enjeux financiers très importants qui devront faire l’objet d’une analyse approfondie. À ce titre, l’étude de l’hypothèque immobilière sera étudiée au </w:t>
      </w:r>
      <w:r w:rsidR="00701C2F" w:rsidRPr="00701C2F">
        <w:rPr>
          <w:color w:val="008000"/>
        </w:rPr>
        <w:t>SUJET 8</w:t>
      </w:r>
      <w:r w:rsidR="00701C2F">
        <w:t xml:space="preserve"> </w:t>
      </w:r>
      <w:r w:rsidR="00034BDC">
        <w:t>qui portera</w:t>
      </w:r>
      <w:r w:rsidR="00701C2F">
        <w:t xml:space="preserve"> sur l’habitation.</w:t>
      </w:r>
    </w:p>
    <w:p w14:paraId="0935EF5B" w14:textId="77777777" w:rsidR="00F926BE" w:rsidRDefault="00F926BE" w:rsidP="00DB22DE">
      <w:pPr>
        <w:jc w:val="both"/>
      </w:pPr>
    </w:p>
    <w:p w14:paraId="752C3A64" w14:textId="67139CB2" w:rsidR="00F926BE" w:rsidRDefault="009C517D" w:rsidP="00DB22DE">
      <w:pPr>
        <w:jc w:val="both"/>
      </w:pPr>
      <w:r>
        <w:t xml:space="preserve">Nous avons choisi d’intégrer l’étude de la dette et du financement, en matière de finances personnelles, </w:t>
      </w:r>
      <w:r w:rsidR="004867B3">
        <w:t>selon</w:t>
      </w:r>
      <w:r w:rsidR="00A7158A">
        <w:t xml:space="preserve"> </w:t>
      </w:r>
      <w:r>
        <w:t>l</w:t>
      </w:r>
      <w:r w:rsidR="00A7158A">
        <w:t>a perspective</w:t>
      </w:r>
      <w:r>
        <w:t xml:space="preserve"> d</w:t>
      </w:r>
      <w:r w:rsidR="00A7158A">
        <w:t>e l’</w:t>
      </w:r>
      <w:r w:rsidR="00A7158A" w:rsidRPr="00A7158A">
        <w:rPr>
          <w:color w:val="FF6700" w:themeColor="accent3"/>
        </w:rPr>
        <w:t>ÉPARGNE</w:t>
      </w:r>
      <w:r>
        <w:t>.</w:t>
      </w:r>
      <w:r w:rsidR="00A7158A">
        <w:t xml:space="preserve"> À première vue, cela peut étonner puisque les concepts de l’épargne et de l’endettement peuvent être perçus très aisément comme des sens contraires.</w:t>
      </w:r>
      <w:r w:rsidR="00432943">
        <w:t xml:space="preserve"> Pourtant, il existe une dualité entre le concept de l’épargne et de la dette qui les positionne à une frontière commune. L</w:t>
      </w:r>
      <w:r w:rsidR="00257F03">
        <w:t>'</w:t>
      </w:r>
      <w:r w:rsidR="00361E6B">
        <w:t>épargne ne s’amorce-t-elle pas véritablement que lorsque les dettes</w:t>
      </w:r>
      <w:r w:rsidR="00257F03">
        <w:t xml:space="preserve"> de consommation</w:t>
      </w:r>
      <w:r w:rsidR="00361E6B">
        <w:t xml:space="preserve"> sont pleinement acquittées</w:t>
      </w:r>
      <w:r w:rsidR="00257F03">
        <w:t xml:space="preserve"> </w:t>
      </w:r>
      <w:r w:rsidR="00971946" w:rsidRPr="00361E6B">
        <w:rPr>
          <w:rFonts w:ascii="Avenir Book" w:hAnsi="Avenir Book"/>
        </w:rPr>
        <w:t>?</w:t>
      </w:r>
      <w:r w:rsidR="00971946">
        <w:rPr>
          <w:rFonts w:ascii="Avenir Book" w:hAnsi="Avenir Book"/>
        </w:rPr>
        <w:t xml:space="preserve"> </w:t>
      </w:r>
      <w:r w:rsidR="00971946" w:rsidRPr="00971946">
        <w:t>C’</w:t>
      </w:r>
      <w:r w:rsidR="00971946">
        <w:t>est de cet endroit que nous avons choisi d’étudier les dettes et le financement des ménages; à la lisière</w:t>
      </w:r>
      <w:r w:rsidR="007074DD">
        <w:t xml:space="preserve"> </w:t>
      </w:r>
      <w:r w:rsidR="00971946">
        <w:t>de l’épargne</w:t>
      </w:r>
      <w:r w:rsidR="007074DD">
        <w:t>,</w:t>
      </w:r>
      <w:r w:rsidR="00971946">
        <w:t xml:space="preserve"> où les choix sont</w:t>
      </w:r>
      <w:r w:rsidR="007074DD">
        <w:t>,</w:t>
      </w:r>
      <w:r w:rsidR="00971946">
        <w:t xml:space="preserve"> à la fois, financiers et affaire de comportements. </w:t>
      </w:r>
      <w:r w:rsidR="001F7888" w:rsidRPr="00EB01C9">
        <w:rPr>
          <w:u w:val="single"/>
        </w:rPr>
        <w:t>Nous verrons, notamment, que le remboursement anticipé d’une mauvaise dette est souvent le meilleur placement qu’un individu peut accomplir</w:t>
      </w:r>
      <w:r w:rsidR="001F7888">
        <w:t>.</w:t>
      </w:r>
      <w:r w:rsidR="00971946" w:rsidRPr="00971946">
        <w:t xml:space="preserve"> </w:t>
      </w:r>
    </w:p>
    <w:p w14:paraId="3B2A582B" w14:textId="77777777" w:rsidR="001F7888" w:rsidRDefault="001F7888" w:rsidP="00DB22DE">
      <w:pPr>
        <w:jc w:val="both"/>
      </w:pPr>
    </w:p>
    <w:p w14:paraId="2E7D70C5" w14:textId="7FC03604" w:rsidR="00F926BE" w:rsidRDefault="00F926BE" w:rsidP="00DB22DE">
      <w:pPr>
        <w:jc w:val="both"/>
      </w:pPr>
      <w:r>
        <w:t>Peu importe</w:t>
      </w:r>
      <w:r w:rsidR="00467909">
        <w:t xml:space="preserve"> le point de vue</w:t>
      </w:r>
      <w:r>
        <w:t xml:space="preserve">, </w:t>
      </w:r>
      <w:r w:rsidR="00467909">
        <w:t>la</w:t>
      </w:r>
      <w:r>
        <w:t xml:space="preserve"> gestion</w:t>
      </w:r>
      <w:r w:rsidR="00467909">
        <w:t xml:space="preserve"> et le contrôle de l’endettement personnel des ménages</w:t>
      </w:r>
      <w:r>
        <w:t xml:space="preserve"> demeure</w:t>
      </w:r>
      <w:r w:rsidR="00467909">
        <w:t>nt</w:t>
      </w:r>
      <w:r>
        <w:t xml:space="preserve"> </w:t>
      </w:r>
      <w:r w:rsidR="00467909">
        <w:t xml:space="preserve">des éléments essentiels </w:t>
      </w:r>
      <w:r w:rsidR="001A3A56">
        <w:t>à u</w:t>
      </w:r>
      <w:r>
        <w:t>ne bonne santé financière</w:t>
      </w:r>
      <w:r w:rsidR="001A3A56">
        <w:t>. I</w:t>
      </w:r>
      <w:r w:rsidR="00467909">
        <w:t>l importe d</w:t>
      </w:r>
      <w:r w:rsidR="001A3A56">
        <w:t>’y</w:t>
      </w:r>
      <w:r w:rsidR="00467909">
        <w:t xml:space="preserve"> faire preuve de </w:t>
      </w:r>
      <w:r w:rsidR="001A3A56">
        <w:t xml:space="preserve">diligence, d’attention et de </w:t>
      </w:r>
      <w:r w:rsidR="00467909">
        <w:t>savoir</w:t>
      </w:r>
      <w:r w:rsidR="006E0320">
        <w:t>-</w:t>
      </w:r>
      <w:r w:rsidR="00467909">
        <w:t>faire.</w:t>
      </w:r>
      <w:r w:rsidR="00AB0247">
        <w:t xml:space="preserve"> </w:t>
      </w:r>
    </w:p>
    <w:p w14:paraId="3264FB8D" w14:textId="267EEFFB" w:rsidR="00E97259" w:rsidRDefault="00F517F0" w:rsidP="00F517F0">
      <w:pPr>
        <w:tabs>
          <w:tab w:val="left" w:pos="1647"/>
        </w:tabs>
        <w:jc w:val="both"/>
      </w:pPr>
      <w:r>
        <w:lastRenderedPageBreak/>
        <w:tab/>
      </w:r>
    </w:p>
    <w:p w14:paraId="1B3BA4F2" w14:textId="7E66B788" w:rsidR="00F13F86" w:rsidRDefault="00F13F86" w:rsidP="006C34CF">
      <w:pPr>
        <w:pStyle w:val="Titre2"/>
        <w:numPr>
          <w:ilvl w:val="1"/>
          <w:numId w:val="72"/>
        </w:numPr>
      </w:pPr>
      <w:bookmarkStart w:id="132" w:name="_Toc314397873"/>
      <w:bookmarkStart w:id="133" w:name="_Toc443569417"/>
      <w:r>
        <w:t>Les types de dettes</w:t>
      </w:r>
      <w:bookmarkEnd w:id="132"/>
      <w:bookmarkEnd w:id="133"/>
    </w:p>
    <w:p w14:paraId="6913F02B" w14:textId="77777777" w:rsidR="00F13F86" w:rsidRDefault="00F13F86" w:rsidP="00F13F86"/>
    <w:p w14:paraId="6EC93604" w14:textId="78D8487A" w:rsidR="00F517F0" w:rsidRDefault="00F517F0" w:rsidP="004D67B7">
      <w:pPr>
        <w:jc w:val="both"/>
      </w:pPr>
      <w:r>
        <w:t>Il existe plusieurs façons de faire la classification de</w:t>
      </w:r>
      <w:r w:rsidR="004D67B7">
        <w:t xml:space="preserve">s dettes qui servent à financer toutes sortes d'opérations d'acquisition de biens ou de services. </w:t>
      </w:r>
      <w:r w:rsidR="00321CA9">
        <w:t>Par exemple, n</w:t>
      </w:r>
      <w:r w:rsidR="004D67B7">
        <w:t xml:space="preserve">ous pouvons opter pour une approche de réprimande qui vise à distinguer la "bonne dette" de la "mauvaise dette". La dette peut être également inventoriée selon les délais de remboursement qui lui sont impartis; court, moyen, long terme. </w:t>
      </w:r>
      <w:r w:rsidR="002A125C">
        <w:t xml:space="preserve">La classification peut être plutôt axée sur l'usage qui est fait de l'emprunt, par exemple, pour faire l'acquisition d'un bien durable (une résidence) ou une expérience éphémère (un voyage). </w:t>
      </w:r>
      <w:r w:rsidR="00846F21">
        <w:t>Finalement, l</w:t>
      </w:r>
      <w:r w:rsidR="002A125C">
        <w:t xml:space="preserve">'emprunt peut aussi être engagé pour faire l'acquisition d'un bien qui sera productif de revenus (immeuble locatif) ou l'achat d'un bien personnel dont la valeur se consumera dans le temps (une automobile). </w:t>
      </w:r>
    </w:p>
    <w:p w14:paraId="1F9BFCCF" w14:textId="77777777" w:rsidR="00846F21" w:rsidRDefault="00846F21" w:rsidP="004D67B7">
      <w:pPr>
        <w:jc w:val="both"/>
      </w:pPr>
    </w:p>
    <w:p w14:paraId="3E3E6771" w14:textId="766F374C" w:rsidR="00846F21" w:rsidRDefault="00846F21" w:rsidP="004D67B7">
      <w:pPr>
        <w:jc w:val="both"/>
      </w:pPr>
      <w:r>
        <w:t>Dans notre société, où bien des gens carburent à l'accumulation des biens</w:t>
      </w:r>
      <w:r w:rsidR="008F0E39">
        <w:t xml:space="preserve"> </w:t>
      </w:r>
      <w:r>
        <w:t>de manière presqu</w:t>
      </w:r>
      <w:r w:rsidR="008F0E39">
        <w:t xml:space="preserve">e </w:t>
      </w:r>
      <w:r w:rsidR="000662C7">
        <w:t>i</w:t>
      </w:r>
      <w:r>
        <w:t>nstantanée</w:t>
      </w:r>
      <w:r w:rsidR="00257F03">
        <w:t>,</w:t>
      </w:r>
      <w:r>
        <w:t xml:space="preserve"> l'offre et l'accessibilité au crédit deviennent un enjeu de compréhension et de </w:t>
      </w:r>
      <w:r w:rsidRPr="00B72F36">
        <w:rPr>
          <w:color w:val="FF6700" w:themeColor="accent3"/>
        </w:rPr>
        <w:t>LITTÉRATIE FINANCIÈRE POUR TOUS</w:t>
      </w:r>
      <w:r>
        <w:t xml:space="preserve">. Ces décisions financières qui sont prises aujourd'hui, parfois sans trop y porter l'attention et l'analyse qu'elles nécessitent, auront souvent des effets sur toute une vie. </w:t>
      </w:r>
      <w:r w:rsidR="00321CA9">
        <w:t>Dans la présente partie de l'ouvrage, n</w:t>
      </w:r>
      <w:r w:rsidR="00B72F36">
        <w:t xml:space="preserve">ous allons parcourir l'ensemble des crédits qui sont offerts à la population en général </w:t>
      </w:r>
    </w:p>
    <w:p w14:paraId="20FB8A56" w14:textId="77777777" w:rsidR="00E870A4" w:rsidRDefault="00E870A4" w:rsidP="004D67B7">
      <w:pPr>
        <w:jc w:val="both"/>
      </w:pPr>
    </w:p>
    <w:p w14:paraId="496AED1C" w14:textId="77777777" w:rsidR="000644B3" w:rsidRDefault="000644B3" w:rsidP="006C34CF">
      <w:pPr>
        <w:pStyle w:val="Titre3"/>
        <w:numPr>
          <w:ilvl w:val="2"/>
          <w:numId w:val="75"/>
        </w:numPr>
      </w:pPr>
      <w:bookmarkStart w:id="134" w:name="_Toc314397874"/>
      <w:bookmarkStart w:id="135" w:name="_Toc443569418"/>
      <w:r>
        <w:t>Les dettes</w:t>
      </w:r>
      <w:bookmarkEnd w:id="134"/>
      <w:bookmarkEnd w:id="135"/>
    </w:p>
    <w:p w14:paraId="26172011" w14:textId="77777777" w:rsidR="000644B3" w:rsidRDefault="000644B3" w:rsidP="000644B3"/>
    <w:p w14:paraId="6035FE4C" w14:textId="77777777" w:rsidR="000644B3" w:rsidRDefault="000644B3" w:rsidP="000644B3">
      <w:pPr>
        <w:jc w:val="both"/>
      </w:pPr>
      <w:r>
        <w:t xml:space="preserve">Une dette représente une </w:t>
      </w:r>
      <w:r w:rsidRPr="00C57EEB">
        <w:rPr>
          <w:color w:val="FF6700" w:themeColor="accent3"/>
        </w:rPr>
        <w:t>ENTENTE CONTRACTUELLE</w:t>
      </w:r>
      <w:r>
        <w:t xml:space="preserve"> entre deux parties où l'objet est de rendre disponible immédiatement par le créancier un bien ou une somme d'argent </w:t>
      </w:r>
      <w:r>
        <w:rPr>
          <w:color w:val="FF6700" w:themeColor="accent3"/>
        </w:rPr>
        <w:t>(L'EMPRUNT)</w:t>
      </w:r>
      <w:r w:rsidRPr="00643BF0">
        <w:rPr>
          <w:color w:val="FF6700" w:themeColor="accent3"/>
        </w:rPr>
        <w:t xml:space="preserve"> </w:t>
      </w:r>
      <w:r>
        <w:t xml:space="preserve">en échange d'une promesse du débiteur d'en faire le remboursement futur. Cette opération vise l'acquisition d'un bien ou d'un service, le remboursement d'une autre dette ou à effectuer un transfert de fonds. L'emprunt est assorti d'un </w:t>
      </w:r>
      <w:r w:rsidRPr="00643BF0">
        <w:rPr>
          <w:color w:val="FF6700" w:themeColor="accent3"/>
        </w:rPr>
        <w:t>COÛT EN INTÉRÊT</w:t>
      </w:r>
      <w:r>
        <w:t xml:space="preserve"> pour le débiteur et de </w:t>
      </w:r>
      <w:r w:rsidRPr="00643BF0">
        <w:rPr>
          <w:color w:val="FF6700" w:themeColor="accent3"/>
        </w:rPr>
        <w:t>MODALITÉS DE REMBOURSEMENT</w:t>
      </w:r>
      <w:r>
        <w:t xml:space="preserve"> établies d'avance que celui-ci doit respecter. Par mesure de couverture et de gestion du risque, les prêts peuvent faire l'objet d'une </w:t>
      </w:r>
      <w:r w:rsidRPr="00643BF0">
        <w:rPr>
          <w:color w:val="FF6700" w:themeColor="accent3"/>
        </w:rPr>
        <w:t>GARANTIE</w:t>
      </w:r>
      <w:r>
        <w:t xml:space="preserve"> de la part du débiteur en faveur du créancier, et ce, jusqu'à parfait paiement de l'emprunt.</w:t>
      </w:r>
    </w:p>
    <w:p w14:paraId="7617CF22" w14:textId="77777777" w:rsidR="00115C47" w:rsidRDefault="00115C47" w:rsidP="000644B3">
      <w:pPr>
        <w:jc w:val="both"/>
      </w:pPr>
    </w:p>
    <w:p w14:paraId="0A724796" w14:textId="77777777" w:rsidR="00115C47" w:rsidRDefault="00115C47" w:rsidP="000644B3">
      <w:pPr>
        <w:jc w:val="both"/>
      </w:pPr>
    </w:p>
    <w:p w14:paraId="5D30FF43" w14:textId="77777777" w:rsidR="00115C47" w:rsidRDefault="00115C47" w:rsidP="000644B3">
      <w:pPr>
        <w:jc w:val="both"/>
      </w:pPr>
    </w:p>
    <w:p w14:paraId="75579F46" w14:textId="77777777" w:rsidR="000644B3" w:rsidRDefault="000644B3" w:rsidP="006C34CF">
      <w:pPr>
        <w:pStyle w:val="Paragraphedeliste"/>
        <w:numPr>
          <w:ilvl w:val="0"/>
          <w:numId w:val="79"/>
        </w:numPr>
        <w:jc w:val="both"/>
        <w:rPr>
          <w:color w:val="FF6700" w:themeColor="accent3"/>
        </w:rPr>
      </w:pPr>
      <w:r w:rsidRPr="00643BF0">
        <w:rPr>
          <w:color w:val="FF6700" w:themeColor="accent3"/>
        </w:rPr>
        <w:lastRenderedPageBreak/>
        <w:t>Entente contractuelle</w:t>
      </w:r>
    </w:p>
    <w:p w14:paraId="3D8634CB" w14:textId="77777777" w:rsidR="000644B3" w:rsidRDefault="000644B3" w:rsidP="000644B3">
      <w:pPr>
        <w:jc w:val="both"/>
        <w:rPr>
          <w:color w:val="FF6700" w:themeColor="accent3"/>
        </w:rPr>
      </w:pPr>
    </w:p>
    <w:p w14:paraId="60A42D08" w14:textId="77777777" w:rsidR="000644B3" w:rsidRDefault="000644B3" w:rsidP="000644B3">
      <w:pPr>
        <w:jc w:val="both"/>
      </w:pPr>
      <w:r>
        <w:t>Tel qu'il est prévu dans le Code civil du Québec, le prêt constitue en soi une entente contractuelle liant le débiteur et son créancier. Cette entente peut être juridiquement formalisée par un contrat écrit (il vaut mieux!) ou faire l'objet d'une promesse verbale (pas recommandé du tout). Le contrat visera à identifier:</w:t>
      </w:r>
    </w:p>
    <w:p w14:paraId="15606B38" w14:textId="77777777" w:rsidR="000644B3" w:rsidRDefault="000644B3" w:rsidP="000644B3">
      <w:pPr>
        <w:jc w:val="both"/>
      </w:pPr>
    </w:p>
    <w:p w14:paraId="2EFDF89E" w14:textId="77777777" w:rsidR="000644B3" w:rsidRDefault="000644B3" w:rsidP="006C34CF">
      <w:pPr>
        <w:pStyle w:val="Paragraphedeliste"/>
        <w:numPr>
          <w:ilvl w:val="0"/>
          <w:numId w:val="79"/>
        </w:numPr>
        <w:jc w:val="both"/>
      </w:pPr>
      <w:r>
        <w:t>Les parties impliquées</w:t>
      </w:r>
    </w:p>
    <w:p w14:paraId="6037A4DB" w14:textId="77777777" w:rsidR="000644B3" w:rsidRDefault="000644B3" w:rsidP="000644B3">
      <w:pPr>
        <w:jc w:val="both"/>
      </w:pPr>
    </w:p>
    <w:p w14:paraId="51BC4F22" w14:textId="77777777" w:rsidR="000644B3" w:rsidRDefault="000644B3" w:rsidP="006C34CF">
      <w:pPr>
        <w:pStyle w:val="Paragraphedeliste"/>
        <w:numPr>
          <w:ilvl w:val="0"/>
          <w:numId w:val="79"/>
        </w:numPr>
        <w:jc w:val="both"/>
      </w:pPr>
      <w:r>
        <w:t>La valeur de l'emprunt (le capital à rembourser)</w:t>
      </w:r>
    </w:p>
    <w:p w14:paraId="4034A292" w14:textId="77777777" w:rsidR="000644B3" w:rsidRDefault="000644B3" w:rsidP="000644B3">
      <w:pPr>
        <w:jc w:val="both"/>
      </w:pPr>
    </w:p>
    <w:p w14:paraId="3E4D7F00" w14:textId="77777777" w:rsidR="000644B3" w:rsidRDefault="000644B3" w:rsidP="006C34CF">
      <w:pPr>
        <w:pStyle w:val="Paragraphedeliste"/>
        <w:numPr>
          <w:ilvl w:val="0"/>
          <w:numId w:val="79"/>
        </w:numPr>
        <w:jc w:val="both"/>
      </w:pPr>
      <w:r>
        <w:t>Le coût de l'intérêt</w:t>
      </w:r>
    </w:p>
    <w:p w14:paraId="3E0DF32C" w14:textId="77777777" w:rsidR="000644B3" w:rsidRDefault="000644B3" w:rsidP="000644B3">
      <w:pPr>
        <w:jc w:val="both"/>
      </w:pPr>
    </w:p>
    <w:p w14:paraId="3836C676" w14:textId="77777777" w:rsidR="000644B3" w:rsidRDefault="000644B3" w:rsidP="006C34CF">
      <w:pPr>
        <w:pStyle w:val="Paragraphedeliste"/>
        <w:numPr>
          <w:ilvl w:val="0"/>
          <w:numId w:val="79"/>
        </w:numPr>
        <w:jc w:val="both"/>
      </w:pPr>
      <w:r>
        <w:t>Les modalités de remboursement en intérêts et capital</w:t>
      </w:r>
    </w:p>
    <w:p w14:paraId="286870CA" w14:textId="77777777" w:rsidR="000644B3" w:rsidRDefault="000644B3" w:rsidP="000644B3">
      <w:pPr>
        <w:jc w:val="both"/>
      </w:pPr>
    </w:p>
    <w:p w14:paraId="49BBB9A4" w14:textId="77777777" w:rsidR="000644B3" w:rsidRDefault="000644B3" w:rsidP="006C34CF">
      <w:pPr>
        <w:pStyle w:val="Paragraphedeliste"/>
        <w:numPr>
          <w:ilvl w:val="0"/>
          <w:numId w:val="79"/>
        </w:numPr>
        <w:jc w:val="both"/>
      </w:pPr>
      <w:r>
        <w:t>Les modalités en cas de défaut de paiements</w:t>
      </w:r>
    </w:p>
    <w:p w14:paraId="41CDB4A0" w14:textId="77777777" w:rsidR="000644B3" w:rsidRDefault="000644B3" w:rsidP="000644B3">
      <w:pPr>
        <w:jc w:val="both"/>
      </w:pPr>
    </w:p>
    <w:p w14:paraId="0B97351F" w14:textId="77777777" w:rsidR="000644B3" w:rsidRDefault="000644B3" w:rsidP="006C34CF">
      <w:pPr>
        <w:pStyle w:val="Paragraphedeliste"/>
        <w:numPr>
          <w:ilvl w:val="0"/>
          <w:numId w:val="79"/>
        </w:numPr>
        <w:jc w:val="both"/>
      </w:pPr>
      <w:r>
        <w:t>Les garanties du débiteur, s'il y a lieu</w:t>
      </w:r>
    </w:p>
    <w:p w14:paraId="42DD9551" w14:textId="77777777" w:rsidR="000644B3" w:rsidRDefault="000644B3" w:rsidP="000644B3">
      <w:pPr>
        <w:jc w:val="both"/>
      </w:pPr>
    </w:p>
    <w:p w14:paraId="49B620F6" w14:textId="77777777" w:rsidR="000644B3" w:rsidRDefault="000644B3" w:rsidP="006C34CF">
      <w:pPr>
        <w:pStyle w:val="Paragraphedeliste"/>
        <w:numPr>
          <w:ilvl w:val="0"/>
          <w:numId w:val="79"/>
        </w:numPr>
        <w:jc w:val="both"/>
      </w:pPr>
      <w:r>
        <w:t>Le cautionnement d'une tierce personne, s'il y a lieu</w:t>
      </w:r>
    </w:p>
    <w:p w14:paraId="6B1B63B8" w14:textId="77777777" w:rsidR="000644B3" w:rsidRDefault="000644B3" w:rsidP="000644B3">
      <w:pPr>
        <w:jc w:val="both"/>
      </w:pPr>
    </w:p>
    <w:p w14:paraId="14CD6855" w14:textId="77777777" w:rsidR="000644B3" w:rsidRPr="006E51BD" w:rsidRDefault="000644B3" w:rsidP="006C34CF">
      <w:pPr>
        <w:pStyle w:val="Paragraphedeliste"/>
        <w:numPr>
          <w:ilvl w:val="0"/>
          <w:numId w:val="79"/>
        </w:numPr>
        <w:jc w:val="both"/>
      </w:pPr>
      <w:r>
        <w:t>Toutes autres clauses pertinentes</w:t>
      </w:r>
    </w:p>
    <w:p w14:paraId="27283A4E" w14:textId="77777777" w:rsidR="000644B3" w:rsidRDefault="000644B3" w:rsidP="000644B3">
      <w:pPr>
        <w:jc w:val="both"/>
        <w:rPr>
          <w:color w:val="FF6700" w:themeColor="accent3"/>
        </w:rPr>
      </w:pPr>
    </w:p>
    <w:p w14:paraId="4D51895E" w14:textId="75D3EC10" w:rsidR="000644B3" w:rsidRPr="00C33ABA" w:rsidRDefault="000644B3" w:rsidP="000644B3">
      <w:pPr>
        <w:jc w:val="both"/>
      </w:pPr>
      <w:r>
        <w:t>Dans la vie courante, les prêts sont effectués par toutes sortes d'acteurs financiers ou pas. Il peut s'agir d'un prêt familial, entre amis, de commerçants ou d'institutions financières. Dans le cas des prêts de nature privée, entre membres d'une même famille ou entre amis, il convient de formaliser et de détailler la nature de l'entente. Cette précaution pourra éviter bien des malentendus et des conflits futurs. Bien sûr, comme en témoigne</w:t>
      </w:r>
      <w:r w:rsidR="008F0E39">
        <w:t>nt</w:t>
      </w:r>
      <w:r>
        <w:t xml:space="preserve"> les nombreuses clauses incluses </w:t>
      </w:r>
      <w:r w:rsidR="00321CA9">
        <w:t xml:space="preserve">dans les </w:t>
      </w:r>
      <w:r>
        <w:t>contrats d'emprunt auprès d</w:t>
      </w:r>
      <w:r w:rsidR="00321CA9">
        <w:t>'i</w:t>
      </w:r>
      <w:r>
        <w:t>nstitution</w:t>
      </w:r>
      <w:r w:rsidR="00321CA9">
        <w:t>s</w:t>
      </w:r>
      <w:r>
        <w:t xml:space="preserve"> financière</w:t>
      </w:r>
      <w:r w:rsidR="00321CA9">
        <w:t>s</w:t>
      </w:r>
      <w:r>
        <w:t xml:space="preserve">, </w:t>
      </w:r>
      <w:r w:rsidR="00321CA9">
        <w:t xml:space="preserve">les gens n'ont </w:t>
      </w:r>
      <w:r>
        <w:t xml:space="preserve">pas à </w:t>
      </w:r>
      <w:r w:rsidR="00321CA9">
        <w:t>s'</w:t>
      </w:r>
      <w:r>
        <w:t>inquiéter de la formalisation juridique de</w:t>
      </w:r>
      <w:r w:rsidR="00321CA9">
        <w:t xml:space="preserve">s </w:t>
      </w:r>
      <w:r>
        <w:t>entente</w:t>
      </w:r>
      <w:r w:rsidR="00321CA9">
        <w:t>s</w:t>
      </w:r>
      <w:r>
        <w:t xml:space="preserve"> contractuelle</w:t>
      </w:r>
      <w:r w:rsidR="00321CA9">
        <w:t>s pour ce type de prêt</w:t>
      </w:r>
      <w:r>
        <w:t xml:space="preserve">. Par ailleurs, il est important d'en étudier la teneur et de demander les explications nécessaires à </w:t>
      </w:r>
      <w:r w:rsidR="00321CA9">
        <w:t>la</w:t>
      </w:r>
      <w:r>
        <w:t xml:space="preserve"> compréhension de l'entente. </w:t>
      </w:r>
    </w:p>
    <w:p w14:paraId="4C0FBC7B" w14:textId="77777777" w:rsidR="000644B3" w:rsidRDefault="000644B3" w:rsidP="000644B3">
      <w:pPr>
        <w:jc w:val="both"/>
        <w:rPr>
          <w:color w:val="FF6700" w:themeColor="accent3"/>
        </w:rPr>
      </w:pPr>
    </w:p>
    <w:p w14:paraId="61D59A6A" w14:textId="77777777" w:rsidR="00321CA9" w:rsidRDefault="00321CA9" w:rsidP="000644B3">
      <w:pPr>
        <w:jc w:val="both"/>
        <w:rPr>
          <w:color w:val="FF6700" w:themeColor="accent3"/>
        </w:rPr>
      </w:pPr>
    </w:p>
    <w:p w14:paraId="1C071EB2" w14:textId="77777777" w:rsidR="00660299" w:rsidRDefault="00660299" w:rsidP="000644B3">
      <w:pPr>
        <w:jc w:val="both"/>
        <w:rPr>
          <w:color w:val="FF6700" w:themeColor="accent3"/>
        </w:rPr>
      </w:pPr>
    </w:p>
    <w:p w14:paraId="583162C3" w14:textId="77777777" w:rsidR="00660299" w:rsidRPr="00643BF0" w:rsidRDefault="00660299" w:rsidP="000644B3">
      <w:pPr>
        <w:jc w:val="both"/>
        <w:rPr>
          <w:color w:val="FF6700" w:themeColor="accent3"/>
        </w:rPr>
      </w:pPr>
    </w:p>
    <w:p w14:paraId="12BE92A7" w14:textId="77777777" w:rsidR="000644B3" w:rsidRDefault="000644B3" w:rsidP="006C34CF">
      <w:pPr>
        <w:pStyle w:val="Paragraphedeliste"/>
        <w:numPr>
          <w:ilvl w:val="0"/>
          <w:numId w:val="79"/>
        </w:numPr>
        <w:jc w:val="both"/>
        <w:rPr>
          <w:color w:val="FF6700" w:themeColor="accent3"/>
        </w:rPr>
      </w:pPr>
      <w:r>
        <w:rPr>
          <w:color w:val="FF6700" w:themeColor="accent3"/>
        </w:rPr>
        <w:t>L'emprunt</w:t>
      </w:r>
    </w:p>
    <w:p w14:paraId="340CCD96" w14:textId="77777777" w:rsidR="000644B3" w:rsidRPr="00277681" w:rsidRDefault="000644B3" w:rsidP="000644B3">
      <w:pPr>
        <w:jc w:val="both"/>
        <w:rPr>
          <w:color w:val="FF6700" w:themeColor="accent3"/>
        </w:rPr>
      </w:pPr>
    </w:p>
    <w:p w14:paraId="6A37C0D1" w14:textId="77777777" w:rsidR="000644B3" w:rsidRDefault="000644B3" w:rsidP="000644B3">
      <w:pPr>
        <w:jc w:val="both"/>
      </w:pPr>
      <w:r>
        <w:t>Selon le type d'emprunt, celui-ci pourra prendre la forme d'un montant d'argent (la plupart du temps) ou la mise à la disposition d'un bien qui se consomme dans le temps (par exemple, la location à long terme d'une voiture). Lorsqu'il s'agit d'une somme d'argent qui est mise à la disposition du débiteur, les emprunts peuvent faire l'objet d'une classification selon deux grands pôles:</w:t>
      </w:r>
    </w:p>
    <w:p w14:paraId="77ECFD25" w14:textId="77777777" w:rsidR="000644B3" w:rsidRDefault="000644B3" w:rsidP="000644B3">
      <w:pPr>
        <w:jc w:val="both"/>
      </w:pPr>
    </w:p>
    <w:p w14:paraId="59B871DF" w14:textId="6A5B37A8" w:rsidR="000644B3" w:rsidRDefault="000644B3" w:rsidP="006C34CF">
      <w:pPr>
        <w:pStyle w:val="Paragraphedeliste"/>
        <w:numPr>
          <w:ilvl w:val="0"/>
          <w:numId w:val="80"/>
        </w:numPr>
        <w:jc w:val="both"/>
      </w:pPr>
      <w:r>
        <w:t>L'emprunt peut être fixe et déboursé immédiatement pour faire l'acquisition d'un bien préci</w:t>
      </w:r>
      <w:r w:rsidR="008F0E39">
        <w:t>s</w:t>
      </w:r>
      <w:r>
        <w:t xml:space="preserve"> et identifiable. Normalement, dans ces cas, le taux d'intérêt est également fixe pour la durée de l'emprunt (ce n'est pas le cas pour un emprunt hypothécaire). Le paiement du capital emprunté et les intérêts qui en découlent sont habituellement égaux, de fréquences régulières jusqu'à l'échéance de la dette. </w:t>
      </w:r>
    </w:p>
    <w:p w14:paraId="13F5548D" w14:textId="77777777" w:rsidR="000644B3" w:rsidRDefault="000644B3" w:rsidP="000644B3">
      <w:pPr>
        <w:jc w:val="both"/>
      </w:pPr>
    </w:p>
    <w:p w14:paraId="45B96536" w14:textId="77777777" w:rsidR="000644B3" w:rsidRDefault="000644B3" w:rsidP="006C34CF">
      <w:pPr>
        <w:pStyle w:val="Paragraphedeliste"/>
        <w:numPr>
          <w:ilvl w:val="0"/>
          <w:numId w:val="80"/>
        </w:numPr>
        <w:jc w:val="both"/>
      </w:pPr>
      <w:r>
        <w:t xml:space="preserve">L'emprunt peut être variable (assujetti à un montant maximum) et déboursé au rythme des besoins du débiteur qui souhaite faire l'acquisition de divers biens et services. Normalement, dans ces cas, le taux d'intérêt est variable pour la durée de l'emprunt. Le solde ainsi emprunté et les intérêts qui en découlent ne font habituellement pas l'objet de versements périodiques obligatoires. </w:t>
      </w:r>
    </w:p>
    <w:p w14:paraId="746CA719" w14:textId="77777777" w:rsidR="000644B3" w:rsidRDefault="000644B3" w:rsidP="000644B3">
      <w:pPr>
        <w:jc w:val="both"/>
      </w:pPr>
    </w:p>
    <w:p w14:paraId="07536C29" w14:textId="414AD496" w:rsidR="000644B3" w:rsidRDefault="000644B3" w:rsidP="000644B3">
      <w:pPr>
        <w:jc w:val="both"/>
      </w:pPr>
      <w:r>
        <w:t xml:space="preserve">Il faut noter que la présente classification se veut une généralisation des caractéristiques rattachées à différents types d'emprunt. En réalité, les emprunts peuvent prendre toutes les formes, </w:t>
      </w:r>
      <w:r w:rsidR="00321CA9">
        <w:t xml:space="preserve">les </w:t>
      </w:r>
      <w:r>
        <w:t xml:space="preserve">variables et </w:t>
      </w:r>
      <w:r w:rsidR="00321CA9">
        <w:t xml:space="preserve">les </w:t>
      </w:r>
      <w:r>
        <w:t>clauses que les parties prenantes veulent bien y donner. C'est d'ailleurs cette grande variété associée au crédit qui en fait un concept complexe qui exige que l'on y consacre temps et diligence pour en faire la meilleure gestion possible.</w:t>
      </w:r>
    </w:p>
    <w:p w14:paraId="266920F6" w14:textId="77777777" w:rsidR="000644B3" w:rsidRPr="00B44CCD" w:rsidRDefault="000644B3" w:rsidP="000644B3">
      <w:pPr>
        <w:jc w:val="both"/>
        <w:rPr>
          <w:color w:val="FF6700" w:themeColor="accent3"/>
        </w:rPr>
      </w:pPr>
    </w:p>
    <w:p w14:paraId="2A223C75" w14:textId="77777777" w:rsidR="000644B3" w:rsidRDefault="000644B3" w:rsidP="006C34CF">
      <w:pPr>
        <w:pStyle w:val="Paragraphedeliste"/>
        <w:numPr>
          <w:ilvl w:val="0"/>
          <w:numId w:val="79"/>
        </w:numPr>
        <w:jc w:val="both"/>
        <w:rPr>
          <w:color w:val="FF6700" w:themeColor="accent3"/>
        </w:rPr>
      </w:pPr>
      <w:r w:rsidRPr="00B1398C">
        <w:rPr>
          <w:color w:val="FF6700" w:themeColor="accent3"/>
        </w:rPr>
        <w:t>Coût en intérêt</w:t>
      </w:r>
    </w:p>
    <w:p w14:paraId="7E762C17" w14:textId="77777777" w:rsidR="000644B3" w:rsidRPr="00577D2D" w:rsidRDefault="000644B3" w:rsidP="000644B3">
      <w:pPr>
        <w:jc w:val="both"/>
        <w:rPr>
          <w:color w:val="FF6700" w:themeColor="accent3"/>
        </w:rPr>
      </w:pPr>
    </w:p>
    <w:p w14:paraId="16867B86" w14:textId="23A94843" w:rsidR="000644B3" w:rsidRDefault="000644B3" w:rsidP="000644B3">
      <w:pPr>
        <w:jc w:val="both"/>
      </w:pPr>
      <w:r>
        <w:t xml:space="preserve">Pour l'emprunteur, le coût qu'il devra assumer en intérêt constitue le premier élément qu'il souhaitera prendre en compte dans l'analyse de l'offre du crédit qui lui est offerte. Cette attitude est normale puisqu'elle constitue une dépense que le consommateur  vise à réduire. Nous verrons un peu plus loin que cette variable, bien qu'importante, ne sera pas la seule à considérer dans l'analyse de l'offre du crédit. Par ailleurs, l'intérêt peut être variable ou fixe, élevé ou faible, capitalisé selon des périodes différentes et déductible d'impôt ou pas. </w:t>
      </w:r>
    </w:p>
    <w:p w14:paraId="403D7F3F" w14:textId="77777777" w:rsidR="000644B3" w:rsidRDefault="000644B3" w:rsidP="000644B3">
      <w:pPr>
        <w:jc w:val="both"/>
      </w:pPr>
    </w:p>
    <w:p w14:paraId="12477D3D" w14:textId="77777777" w:rsidR="000644B3" w:rsidRDefault="000644B3" w:rsidP="000644B3">
      <w:pPr>
        <w:jc w:val="both"/>
      </w:pPr>
      <w:r>
        <w:t>Le point de départ de la détermination du taux d'intérêt qui s'appliquera à un prêt sera le coût du crédit dans sa nature macro-économique, c'est-à-dire le taux directeur qui est fixé par la Banque du Canada. Ce taux aura, par la suite, un déterminant direct sur le taux préférentiel utilisé par les institutions financières. Le taux préférentiel se veut le taux d'intérêt exigé par l'institution financière à ses meilleurs clients. Ultimement, le taux qui sera exigé par le créancier à son débiteur dépendra du risque qui est associé au prêt. Le taux d'intérêt sera donc fonction de la situation financière et du dossier de crédit du débiteur, de la réputation de celui-ci et de la présence ou pas de garanties ou des cautionnements à l'égard du prêt.</w:t>
      </w:r>
    </w:p>
    <w:p w14:paraId="5B9C4F78" w14:textId="77777777" w:rsidR="000644B3" w:rsidRDefault="000644B3" w:rsidP="000644B3">
      <w:pPr>
        <w:jc w:val="both"/>
      </w:pPr>
    </w:p>
    <w:p w14:paraId="16A1A548" w14:textId="2C579E47" w:rsidR="000644B3" w:rsidRDefault="000644B3" w:rsidP="000644B3">
      <w:pPr>
        <w:jc w:val="both"/>
      </w:pPr>
      <w:r>
        <w:t xml:space="preserve">Soyons clair, sauf pour des cas de prêts entre membres d'une même famille ou de grandes amitiés (qui incidemment peuvent être mises à l'épreuve par le crédit), les </w:t>
      </w:r>
      <w:r w:rsidRPr="002953A1">
        <w:rPr>
          <w:color w:val="FF6700" w:themeColor="accent3"/>
        </w:rPr>
        <w:t>PRÊTS SANS INTÉRÊTS</w:t>
      </w:r>
      <w:r>
        <w:t xml:space="preserve"> </w:t>
      </w:r>
      <w:r w:rsidRPr="002953A1">
        <w:rPr>
          <w:u w:val="single"/>
        </w:rPr>
        <w:t>n'existent pas</w:t>
      </w:r>
      <w:r>
        <w:t xml:space="preserve">. Le loyer de l'argent a un coût et le prêteur ne vous en fera pas cadeau. Pour ajouter à l'idée, si </w:t>
      </w:r>
      <w:r w:rsidR="00C96609">
        <w:t>un individu</w:t>
      </w:r>
      <w:r>
        <w:t xml:space="preserve"> pay</w:t>
      </w:r>
      <w:r w:rsidR="00C96609">
        <w:t>e</w:t>
      </w:r>
      <w:r>
        <w:t xml:space="preserve"> plus tard pour l'usage d'un bien aujourd'hui, il y a une forme de coût qu</w:t>
      </w:r>
      <w:r w:rsidR="00C96609">
        <w:t>i</w:t>
      </w:r>
      <w:r>
        <w:t xml:space="preserve"> devr</w:t>
      </w:r>
      <w:r w:rsidR="00C96609">
        <w:t>a être</w:t>
      </w:r>
      <w:r>
        <w:t xml:space="preserve"> assum</w:t>
      </w:r>
      <w:r w:rsidR="00C96609">
        <w:t>é</w:t>
      </w:r>
      <w:r>
        <w:t>e</w:t>
      </w:r>
      <w:r w:rsidR="00C96609">
        <w:t>,</w:t>
      </w:r>
      <w:r>
        <w:t xml:space="preserve"> et</w:t>
      </w:r>
      <w:r w:rsidR="00C96609">
        <w:t xml:space="preserve"> ce,</w:t>
      </w:r>
      <w:r>
        <w:t xml:space="preserve"> même si le marchand</w:t>
      </w:r>
      <w:r w:rsidR="00C96609">
        <w:t xml:space="preserve"> </w:t>
      </w:r>
      <w:r>
        <w:t xml:space="preserve">assure le contraire, ce coût </w:t>
      </w:r>
      <w:r w:rsidR="00C96609">
        <w:t>sera</w:t>
      </w:r>
      <w:r>
        <w:t xml:space="preserve"> en substance un intérêt. Pour </w:t>
      </w:r>
      <w:r w:rsidR="00C96609">
        <w:t>s'</w:t>
      </w:r>
      <w:r>
        <w:t>en convaincre offr</w:t>
      </w:r>
      <w:r w:rsidR="00C96609">
        <w:t>ons</w:t>
      </w:r>
      <w:r>
        <w:t xml:space="preserve"> au marchand (dont l'offre de promotion est de payer </w:t>
      </w:r>
      <w:r w:rsidR="00C96609">
        <w:t xml:space="preserve">un </w:t>
      </w:r>
      <w:r>
        <w:t>achat sur une période 36 mois, sans intérêts) de payer immédiatement au comptant</w:t>
      </w:r>
      <w:r w:rsidR="00C96609">
        <w:t>. Dans un tel cas, c</w:t>
      </w:r>
      <w:r>
        <w:t xml:space="preserve">elui-ci ou un compétiteur, offrira un rabais. </w:t>
      </w:r>
      <w:r w:rsidR="00C96609">
        <w:t xml:space="preserve">Dans les faits,  ce </w:t>
      </w:r>
      <w:r>
        <w:t xml:space="preserve">rabais n'est rien d'autre que l'intérêt que </w:t>
      </w:r>
      <w:r w:rsidR="00C96609">
        <w:t xml:space="preserve">nous devrions </w:t>
      </w:r>
      <w:r>
        <w:t xml:space="preserve">débourser si </w:t>
      </w:r>
      <w:r w:rsidR="00C96609">
        <w:t>nous avions</w:t>
      </w:r>
      <w:r>
        <w:t xml:space="preserve"> opt</w:t>
      </w:r>
      <w:r w:rsidR="00C96609">
        <w:t>é</w:t>
      </w:r>
      <w:r>
        <w:t xml:space="preserve"> pour la modalité des 36 paiements "faciles", sans intérêts (sic). Nous reviendrons sur ce concept à la </w:t>
      </w:r>
      <w:r w:rsidRPr="00912EE0">
        <w:rPr>
          <w:color w:val="008000"/>
        </w:rPr>
        <w:t>SECTION 5.2</w:t>
      </w:r>
      <w:r>
        <w:t xml:space="preserve"> portant sur la gestion des dettes.</w:t>
      </w:r>
    </w:p>
    <w:p w14:paraId="524E8A34" w14:textId="77777777" w:rsidR="000644B3" w:rsidRPr="00592162" w:rsidRDefault="000644B3" w:rsidP="000644B3">
      <w:pPr>
        <w:jc w:val="both"/>
      </w:pPr>
    </w:p>
    <w:p w14:paraId="2A18DEEF" w14:textId="77777777" w:rsidR="000644B3" w:rsidRDefault="000644B3" w:rsidP="006C34CF">
      <w:pPr>
        <w:pStyle w:val="Paragraphedeliste"/>
        <w:numPr>
          <w:ilvl w:val="0"/>
          <w:numId w:val="79"/>
        </w:numPr>
        <w:jc w:val="both"/>
        <w:rPr>
          <w:color w:val="FF6700" w:themeColor="accent3"/>
        </w:rPr>
      </w:pPr>
      <w:r w:rsidRPr="00B1398C">
        <w:rPr>
          <w:color w:val="FF6700" w:themeColor="accent3"/>
        </w:rPr>
        <w:t>Modalités de remboursement</w:t>
      </w:r>
    </w:p>
    <w:p w14:paraId="172D3BD6" w14:textId="77777777" w:rsidR="000644B3" w:rsidRDefault="000644B3" w:rsidP="000644B3">
      <w:pPr>
        <w:jc w:val="both"/>
        <w:rPr>
          <w:color w:val="FF6700" w:themeColor="accent3"/>
        </w:rPr>
      </w:pPr>
    </w:p>
    <w:p w14:paraId="3D5D3F62" w14:textId="11311287" w:rsidR="000644B3" w:rsidRDefault="000644B3" w:rsidP="000644B3">
      <w:pPr>
        <w:jc w:val="both"/>
      </w:pPr>
      <w:r>
        <w:t>Techniquement</w:t>
      </w:r>
      <w:r w:rsidR="008F0E39">
        <w:t>,</w:t>
      </w:r>
      <w:r>
        <w:t xml:space="preserve"> les modalités de remboursement visent à identifier la fréquence et les dates qui seront associées à l'obligation d'effectuer les paiements pour, à la fois, assumer le coût en intérêt, et réduire le capital qui a fait l'objet de l'emprunt, et ce jusqu'à l'extinction de la dette. Pourtant, sous des airs compatissants, porté</w:t>
      </w:r>
      <w:r w:rsidR="005A6304">
        <w:t>s</w:t>
      </w:r>
      <w:r>
        <w:t xml:space="preserve"> à alléger le fardeau financier de l'emprunteur, se retrouve l'un des plus formidable</w:t>
      </w:r>
      <w:r w:rsidR="005A6304">
        <w:t>s</w:t>
      </w:r>
      <w:r>
        <w:t xml:space="preserve"> piège</w:t>
      </w:r>
      <w:r w:rsidR="005A6304">
        <w:t>s</w:t>
      </w:r>
      <w:r>
        <w:t xml:space="preserve"> associé</w:t>
      </w:r>
      <w:r w:rsidR="005A6304">
        <w:t>s</w:t>
      </w:r>
      <w:r>
        <w:t xml:space="preserve"> aux finances personnelles. Tout est mis en oeuvre par notre société matérielle pour que les modalités de remboursement ne soient pas contraignantes et qu'elles permettent à tous de consommer bien au-delà de ce que constituent les besoins (mesure subjective) et la capacité financière (mesure objective) des gens. Les modalités de remboursement sont donc très variables selon les différentes offres de crédit qui peuvent être soumises aux consommateurs. Par exemple, le remboursement de la dette peut-être effectué au quotidien, </w:t>
      </w:r>
      <w:r>
        <w:lastRenderedPageBreak/>
        <w:t xml:space="preserve">bimensuellement, mensuellement, entièrement payable à une date d'échéance précise, remboursable au gré du créancier. Nous reviendrons sur ce concept à la </w:t>
      </w:r>
      <w:r w:rsidRPr="00912EE0">
        <w:rPr>
          <w:color w:val="008000"/>
        </w:rPr>
        <w:t>SECTION 5.2</w:t>
      </w:r>
      <w:r>
        <w:t xml:space="preserve"> portant sur la gestion des dettes.</w:t>
      </w:r>
    </w:p>
    <w:p w14:paraId="385FC42A" w14:textId="77777777" w:rsidR="00C96609" w:rsidRDefault="00C96609" w:rsidP="000644B3">
      <w:pPr>
        <w:jc w:val="both"/>
      </w:pPr>
    </w:p>
    <w:p w14:paraId="3045EA50" w14:textId="77777777" w:rsidR="00257F03" w:rsidRDefault="00257F03" w:rsidP="000644B3">
      <w:pPr>
        <w:jc w:val="both"/>
      </w:pPr>
    </w:p>
    <w:p w14:paraId="1053868E" w14:textId="77777777" w:rsidR="000644B3" w:rsidRPr="00B1398C" w:rsidRDefault="000644B3" w:rsidP="006C34CF">
      <w:pPr>
        <w:pStyle w:val="Paragraphedeliste"/>
        <w:numPr>
          <w:ilvl w:val="0"/>
          <w:numId w:val="79"/>
        </w:numPr>
        <w:jc w:val="both"/>
        <w:rPr>
          <w:color w:val="FF6700" w:themeColor="accent3"/>
        </w:rPr>
      </w:pPr>
      <w:r w:rsidRPr="00B1398C">
        <w:rPr>
          <w:color w:val="FF6700" w:themeColor="accent3"/>
        </w:rPr>
        <w:t>Garantie</w:t>
      </w:r>
    </w:p>
    <w:p w14:paraId="6F5DAEE7" w14:textId="780BD265" w:rsidR="000644B3" w:rsidRDefault="000644B3" w:rsidP="000644B3"/>
    <w:p w14:paraId="65D89FDE" w14:textId="3376ADCA" w:rsidR="002D58E8" w:rsidRDefault="00834D60" w:rsidP="004D67B7">
      <w:pPr>
        <w:jc w:val="both"/>
      </w:pPr>
      <w:r>
        <w:t>Une dernière caractéristique associée à l'emprunt est la présence ou non d'une garantie offerte du débiteur en faveur de son créancier. Cette particularité est facultative, son objectif est de réduire le niveau de risque qui est assumé par le créancier. Le fonctionnement est assez simple, il consiste à identifier un bien (la garantie), appartenant au débiteur, qui sera remis au créancier, à titre de dédommagement, dans le cas où le prêt est mis en défaut (le débiteur cesse de payer ou s'il est en situation d'insolvabilité)</w:t>
      </w:r>
      <w:r w:rsidR="002D58E8">
        <w:t xml:space="preserve">. Le type de garantie peut être classé selon </w:t>
      </w:r>
      <w:r w:rsidR="003E449A">
        <w:t>quatre</w:t>
      </w:r>
      <w:r w:rsidR="002D58E8">
        <w:t xml:space="preserve"> grandes familles:</w:t>
      </w:r>
    </w:p>
    <w:p w14:paraId="5DBD112D" w14:textId="77777777" w:rsidR="002D58E8" w:rsidRDefault="002D58E8" w:rsidP="004D67B7">
      <w:pPr>
        <w:jc w:val="both"/>
      </w:pPr>
    </w:p>
    <w:p w14:paraId="4D5B7A2D" w14:textId="16F23979" w:rsidR="000644B3" w:rsidRDefault="00F57731" w:rsidP="006C34CF">
      <w:pPr>
        <w:pStyle w:val="Paragraphedeliste"/>
        <w:numPr>
          <w:ilvl w:val="0"/>
          <w:numId w:val="79"/>
        </w:numPr>
        <w:jc w:val="both"/>
      </w:pPr>
      <w:r>
        <w:t>Par un b</w:t>
      </w:r>
      <w:r w:rsidR="002D58E8">
        <w:t xml:space="preserve">ien </w:t>
      </w:r>
      <w:r w:rsidR="003E449A">
        <w:t xml:space="preserve">immobilisé </w:t>
      </w:r>
      <w:r w:rsidR="002D58E8">
        <w:t>(Hypothèque immobilière)</w:t>
      </w:r>
    </w:p>
    <w:p w14:paraId="58F1EB54" w14:textId="02366CBE" w:rsidR="002D58E8" w:rsidRDefault="00F57731" w:rsidP="006C34CF">
      <w:pPr>
        <w:pStyle w:val="Paragraphedeliste"/>
        <w:numPr>
          <w:ilvl w:val="0"/>
          <w:numId w:val="79"/>
        </w:numPr>
        <w:jc w:val="both"/>
      </w:pPr>
      <w:r>
        <w:t>Par un b</w:t>
      </w:r>
      <w:r w:rsidR="003E449A">
        <w:t>ien non</w:t>
      </w:r>
      <w:r w:rsidR="005A6304">
        <w:t xml:space="preserve"> </w:t>
      </w:r>
      <w:r w:rsidR="003E449A">
        <w:t xml:space="preserve">immobilisé </w:t>
      </w:r>
      <w:r w:rsidR="002D58E8">
        <w:t>(Hypothèque mobilière)</w:t>
      </w:r>
    </w:p>
    <w:p w14:paraId="7ECA8ED7" w14:textId="2B145153" w:rsidR="002D58E8" w:rsidRDefault="00F57731" w:rsidP="006C34CF">
      <w:pPr>
        <w:pStyle w:val="Paragraphedeliste"/>
        <w:numPr>
          <w:ilvl w:val="0"/>
          <w:numId w:val="79"/>
        </w:numPr>
        <w:jc w:val="both"/>
      </w:pPr>
      <w:r>
        <w:t>Par une p</w:t>
      </w:r>
      <w:r w:rsidR="002D58E8">
        <w:t>ersonne (Cautionnement)</w:t>
      </w:r>
    </w:p>
    <w:p w14:paraId="203D67B8" w14:textId="4580ADA0" w:rsidR="003E449A" w:rsidRDefault="00F57731" w:rsidP="006C34CF">
      <w:pPr>
        <w:pStyle w:val="Paragraphedeliste"/>
        <w:numPr>
          <w:ilvl w:val="0"/>
          <w:numId w:val="79"/>
        </w:numPr>
        <w:jc w:val="both"/>
      </w:pPr>
      <w:r>
        <w:t>Par un organisme (Gouvernement, SCHL, Investissement Québec, etc.)</w:t>
      </w:r>
    </w:p>
    <w:p w14:paraId="645D6FA6" w14:textId="77777777" w:rsidR="002D58E8" w:rsidRDefault="002D58E8" w:rsidP="002D58E8">
      <w:pPr>
        <w:ind w:left="360"/>
        <w:jc w:val="both"/>
      </w:pPr>
    </w:p>
    <w:p w14:paraId="7491B01C" w14:textId="449F5498" w:rsidR="00F57731" w:rsidRDefault="00F57731" w:rsidP="00F57731">
      <w:pPr>
        <w:jc w:val="both"/>
      </w:pPr>
      <w:r>
        <w:t xml:space="preserve">Pour le débiteur, la garantie peut lui permettre d'obtenir un prêt qui ne lui serait pas autrement accessible. La garantie peut également contribuer à réduire le coût en intérêt exigé sur l'emprunt. Cependant, la capacité de financement future du débiteur sera réduite par la mise en garantie de plusieurs de ses actifs. </w:t>
      </w:r>
    </w:p>
    <w:p w14:paraId="670FC03A" w14:textId="77777777" w:rsidR="00BF66BC" w:rsidRDefault="00BF66BC" w:rsidP="00F57731">
      <w:pPr>
        <w:jc w:val="both"/>
      </w:pPr>
    </w:p>
    <w:p w14:paraId="624E5194" w14:textId="793D2D64" w:rsidR="00BF66BC" w:rsidRDefault="00BF66BC" w:rsidP="00F57731">
      <w:pPr>
        <w:jc w:val="both"/>
      </w:pPr>
      <w:r>
        <w:t>Dans le cas d'un cautionnement par une tierce personne (normalement un membre de la famille proche), le prêteur protège sa créance en ajoutant une deuxième personne qui sera responsable de rembourser le prêt advenant le défaut de</w:t>
      </w:r>
      <w:r w:rsidR="00C55616">
        <w:t xml:space="preserve"> paiement du débiteur. Le geste de cautionnement doit être consenti après mûre réflexion et pleine connaissance de ce que comporte un tel engagement.</w:t>
      </w:r>
      <w:r>
        <w:t xml:space="preserve"> </w:t>
      </w:r>
    </w:p>
    <w:p w14:paraId="6F9111DD" w14:textId="77777777" w:rsidR="002D58E8" w:rsidRDefault="002D58E8" w:rsidP="002D58E8">
      <w:pPr>
        <w:ind w:left="360"/>
        <w:jc w:val="both"/>
      </w:pPr>
    </w:p>
    <w:p w14:paraId="6CF6CC7F" w14:textId="53101A5F" w:rsidR="00E870A4" w:rsidRDefault="00E870A4" w:rsidP="006C34CF">
      <w:pPr>
        <w:pStyle w:val="Titre3"/>
        <w:numPr>
          <w:ilvl w:val="2"/>
          <w:numId w:val="75"/>
        </w:numPr>
      </w:pPr>
      <w:bookmarkStart w:id="136" w:name="_Toc314397875"/>
      <w:bookmarkStart w:id="137" w:name="_Toc443569419"/>
      <w:r>
        <w:t>Classification de la dette selon l'usage</w:t>
      </w:r>
      <w:bookmarkEnd w:id="136"/>
      <w:bookmarkEnd w:id="137"/>
    </w:p>
    <w:p w14:paraId="125A7815" w14:textId="77777777" w:rsidR="003A53B3" w:rsidRDefault="003A53B3" w:rsidP="003A53B3"/>
    <w:p w14:paraId="49FC83FF" w14:textId="54BB20DC" w:rsidR="003A53B3" w:rsidRDefault="00211BFC" w:rsidP="005E3175">
      <w:pPr>
        <w:jc w:val="both"/>
        <w:rPr>
          <w:rFonts w:ascii="Avenir Book" w:hAnsi="Avenir Book"/>
        </w:rPr>
      </w:pPr>
      <w:r>
        <w:t xml:space="preserve">L'objectif, ici, ne sera pas tant technique que de proposer la forme de classification de la dette qui invitera, par la suite, à réfléchir à la saine gestion de celle-ci. </w:t>
      </w:r>
      <w:r w:rsidR="005E3175">
        <w:t xml:space="preserve">À notre avis, la classification qui nous permettra la plus grande </w:t>
      </w:r>
      <w:r w:rsidR="005E3175">
        <w:lastRenderedPageBreak/>
        <w:t xml:space="preserve">intégration aux divers enjeux des finances personnelles est celle qui vise à présenter l'objectif du financement qui est sollicité. Par ce questionnement, nous parviendrons davantage à qualifier la dette. À savoir, est-elle bonne </w:t>
      </w:r>
      <w:r w:rsidR="005E3175" w:rsidRPr="005E3175">
        <w:rPr>
          <w:rFonts w:ascii="Avenir Book" w:hAnsi="Avenir Book"/>
        </w:rPr>
        <w:t>?</w:t>
      </w:r>
      <w:r w:rsidR="005E3175">
        <w:t xml:space="preserve"> Est-elle déductible d'impôts </w:t>
      </w:r>
      <w:r w:rsidR="005E3175" w:rsidRPr="005E3175">
        <w:rPr>
          <w:rFonts w:ascii="Avenir Book" w:hAnsi="Avenir Book"/>
        </w:rPr>
        <w:t>?</w:t>
      </w:r>
      <w:r w:rsidR="005E3175">
        <w:t xml:space="preserve"> Est-elle trop élevée </w:t>
      </w:r>
      <w:r w:rsidR="005E3175" w:rsidRPr="005E3175">
        <w:rPr>
          <w:rFonts w:ascii="Avenir Book" w:hAnsi="Avenir Book"/>
        </w:rPr>
        <w:t>?</w:t>
      </w:r>
      <w:r w:rsidR="005E3175">
        <w:t xml:space="preserve"> Est-elle trop coûteuse </w:t>
      </w:r>
      <w:r w:rsidR="005E3175" w:rsidRPr="005E3175">
        <w:rPr>
          <w:rFonts w:ascii="Avenir Book" w:hAnsi="Avenir Book"/>
        </w:rPr>
        <w:t>?</w:t>
      </w:r>
    </w:p>
    <w:p w14:paraId="08A4C35D" w14:textId="77777777" w:rsidR="00C55616" w:rsidRDefault="00C55616" w:rsidP="005E3175">
      <w:pPr>
        <w:jc w:val="both"/>
        <w:rPr>
          <w:color w:val="FF6700" w:themeColor="accent3"/>
        </w:rPr>
      </w:pPr>
    </w:p>
    <w:p w14:paraId="5EEAE235" w14:textId="485EF873" w:rsidR="00612610" w:rsidRDefault="00612610" w:rsidP="005E3175">
      <w:pPr>
        <w:jc w:val="both"/>
        <w:rPr>
          <w:rFonts w:ascii="Avenir Book" w:hAnsi="Avenir Book"/>
        </w:rPr>
      </w:pPr>
      <w:r>
        <w:rPr>
          <w:color w:val="FF6700" w:themeColor="accent3"/>
        </w:rPr>
        <w:t xml:space="preserve">IMAGE 7-14 </w:t>
      </w:r>
      <w:r w:rsidR="000747F3">
        <w:rPr>
          <w:color w:val="FF6700" w:themeColor="accent3"/>
        </w:rPr>
        <w:t>Classification de la dette selon les types d'acquisition</w:t>
      </w:r>
    </w:p>
    <w:p w14:paraId="73F4F7F9" w14:textId="3105853B" w:rsidR="00612610" w:rsidRDefault="00F41DE3" w:rsidP="005E3175">
      <w:pPr>
        <w:jc w:val="both"/>
        <w:rPr>
          <w:rFonts w:ascii="Avenir Book" w:hAnsi="Avenir Book"/>
        </w:rPr>
      </w:pPr>
      <w:r>
        <w:rPr>
          <w:noProof/>
          <w:lang w:eastAsia="fr-FR"/>
        </w:rPr>
        <mc:AlternateContent>
          <mc:Choice Requires="wps">
            <w:drawing>
              <wp:anchor distT="0" distB="0" distL="114300" distR="114300" simplePos="0" relativeHeight="252760064" behindDoc="1" locked="0" layoutInCell="1" allowOverlap="1" wp14:anchorId="33A64532" wp14:editId="72B44C68">
                <wp:simplePos x="0" y="0"/>
                <wp:positionH relativeFrom="column">
                  <wp:posOffset>-457200</wp:posOffset>
                </wp:positionH>
                <wp:positionV relativeFrom="paragraph">
                  <wp:posOffset>156210</wp:posOffset>
                </wp:positionV>
                <wp:extent cx="9486900" cy="2857500"/>
                <wp:effectExtent l="76200" t="76200" r="63500" b="63500"/>
                <wp:wrapNone/>
                <wp:docPr id="562" name="Rectangle à coins arrondis 562"/>
                <wp:cNvGraphicFramePr/>
                <a:graphic xmlns:a="http://schemas.openxmlformats.org/drawingml/2006/main">
                  <a:graphicData uri="http://schemas.microsoft.com/office/word/2010/wordprocessingShape">
                    <wps:wsp>
                      <wps:cNvSpPr/>
                      <wps:spPr>
                        <a:xfrm>
                          <a:off x="0" y="0"/>
                          <a:ext cx="9486900" cy="2857500"/>
                        </a:xfrm>
                        <a:prstGeom prst="roundRect">
                          <a:avLst/>
                        </a:prstGeom>
                        <a:solidFill>
                          <a:schemeClr val="tx2">
                            <a:lumMod val="60000"/>
                            <a:lumOff val="40000"/>
                          </a:schemeClr>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id="Rectangle à coins arrondis 562" o:spid="_x0000_s1026" style="position:absolute;margin-left:-35.95pt;margin-top:12.3pt;width:747pt;height:225pt;z-index:-2505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" fillcolor="#999772 [1951]"/>
            </w:pict>
          </mc:Fallback>
        </mc:AlternateContent>
      </w:r>
    </w:p>
    <w:p w14:paraId="13D26280" w14:textId="77777777" w:rsidR="00C80FF0" w:rsidRPr="005E3175" w:rsidRDefault="00C80FF0" w:rsidP="005E3175">
      <w:pPr>
        <w:jc w:val="both"/>
        <w:rPr>
          <w:rFonts w:ascii="Avenir Book" w:hAnsi="Avenir Book"/>
        </w:rPr>
      </w:pPr>
    </w:p>
    <w:p w14:paraId="7760B3C3" w14:textId="77777777" w:rsidR="003A53B3" w:rsidRDefault="003A53B3" w:rsidP="003A53B3"/>
    <w:p w14:paraId="53DD2FC8" w14:textId="365D95F2" w:rsidR="003A53B3" w:rsidRDefault="00EF72AA" w:rsidP="003A53B3">
      <w:r>
        <w:rPr>
          <w:noProof/>
          <w:lang w:eastAsia="fr-FR"/>
        </w:rPr>
        <mc:AlternateContent>
          <mc:Choice Requires="wps">
            <w:drawing>
              <wp:anchor distT="0" distB="0" distL="114300" distR="114300" simplePos="0" relativeHeight="252830720" behindDoc="0" locked="0" layoutInCell="1" allowOverlap="1" wp14:anchorId="48AB4CE2" wp14:editId="3616231B">
                <wp:simplePos x="0" y="0"/>
                <wp:positionH relativeFrom="column">
                  <wp:posOffset>8001000</wp:posOffset>
                </wp:positionH>
                <wp:positionV relativeFrom="paragraph">
                  <wp:posOffset>124460</wp:posOffset>
                </wp:positionV>
                <wp:extent cx="457200" cy="457200"/>
                <wp:effectExtent l="0" t="0" r="25400" b="25400"/>
                <wp:wrapNone/>
                <wp:docPr id="610" name="Ellipse 610"/>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B3E7D7A" w14:textId="5D1AEE03" w:rsidR="00573C95" w:rsidRPr="00BF5FC4" w:rsidRDefault="00573C95" w:rsidP="00EF72AA">
                            <w:pPr>
                              <w:jc w:val="center"/>
                              <w:rPr>
                                <w:color w:val="FFFFFF" w:themeColor="background1"/>
                              </w:rPr>
                            </w:pPr>
                            <w:r>
                              <w:rPr>
                                <w:color w:val="FFFFFF" w:themeColor="background1"/>
                              </w:rPr>
                              <w:t>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10" o:spid="_x0000_s1372" style="position:absolute;margin-left:630pt;margin-top:9.8pt;width:36pt;height:36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" fillcolor="black [3200]" strokecolor="white [3201]" strokeweight="1.75pt">
                <v:textbox>
                  <w:txbxContent>
                    <w:p w14:paraId="5B3E7D7A" w14:textId="5D1AEE03" w:rsidR="001501D6" w:rsidRPr="00BF5FC4" w:rsidRDefault="001501D6" w:rsidP="00EF72AA">
                      <w:pPr>
                        <w:jc w:val="center"/>
                        <w:rPr>
                          <w:color w:val="FFFFFF" w:themeColor="background1"/>
                        </w:rPr>
                      </w:pPr>
                      <w:r>
                        <w:rPr>
                          <w:color w:val="FFFFFF" w:themeColor="background1"/>
                        </w:rPr>
                        <w:t>4</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2828672" behindDoc="0" locked="0" layoutInCell="1" allowOverlap="1" wp14:anchorId="4C284118" wp14:editId="3E095EE7">
                <wp:simplePos x="0" y="0"/>
                <wp:positionH relativeFrom="column">
                  <wp:posOffset>5600700</wp:posOffset>
                </wp:positionH>
                <wp:positionV relativeFrom="paragraph">
                  <wp:posOffset>124460</wp:posOffset>
                </wp:positionV>
                <wp:extent cx="457200" cy="457200"/>
                <wp:effectExtent l="0" t="0" r="25400" b="25400"/>
                <wp:wrapNone/>
                <wp:docPr id="609" name="Ellipse 609"/>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3B203C4" w14:textId="4571B413" w:rsidR="00573C95" w:rsidRPr="00BF5FC4" w:rsidRDefault="00573C95" w:rsidP="00EF72AA">
                            <w:pPr>
                              <w:jc w:val="center"/>
                              <w:rPr>
                                <w:color w:val="FFFFFF" w:themeColor="background1"/>
                              </w:rPr>
                            </w:pPr>
                            <w:r>
                              <w:rPr>
                                <w:color w:val="FFFFFF" w:themeColor="background1"/>
                              </w:rPr>
                              <w:t>3</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09" o:spid="_x0000_s1373" style="position:absolute;margin-left:441pt;margin-top:9.8pt;width:36pt;height:36pt;z-index:2528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" fillcolor="black [3200]" strokecolor="white [3201]" strokeweight="1.75pt">
                <v:textbox>
                  <w:txbxContent>
                    <w:p w14:paraId="33B203C4" w14:textId="4571B413" w:rsidR="001501D6" w:rsidRPr="00BF5FC4" w:rsidRDefault="001501D6" w:rsidP="00EF72AA">
                      <w:pPr>
                        <w:jc w:val="center"/>
                        <w:rPr>
                          <w:color w:val="FFFFFF" w:themeColor="background1"/>
                        </w:rPr>
                      </w:pPr>
                      <w:r>
                        <w:rPr>
                          <w:color w:val="FFFFFF" w:themeColor="background1"/>
                        </w:rPr>
                        <w:t>3</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2826624" behindDoc="0" locked="0" layoutInCell="1" allowOverlap="1" wp14:anchorId="7D6148BC" wp14:editId="42BFB4BA">
                <wp:simplePos x="0" y="0"/>
                <wp:positionH relativeFrom="column">
                  <wp:posOffset>3314700</wp:posOffset>
                </wp:positionH>
                <wp:positionV relativeFrom="paragraph">
                  <wp:posOffset>124460</wp:posOffset>
                </wp:positionV>
                <wp:extent cx="457200" cy="457200"/>
                <wp:effectExtent l="0" t="0" r="25400" b="25400"/>
                <wp:wrapNone/>
                <wp:docPr id="608" name="Ellipse 608"/>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70C3A8EF" w14:textId="3E257514" w:rsidR="00573C95" w:rsidRPr="00BF5FC4" w:rsidRDefault="00573C95" w:rsidP="00EF72AA">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08" o:spid="_x0000_s1374" style="position:absolute;margin-left:261pt;margin-top:9.8pt;width:36pt;height:36pt;z-index:25282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" fillcolor="black [3200]" strokecolor="white [3201]" strokeweight="1.75pt">
                <v:textbox>
                  <w:txbxContent>
                    <w:p w14:paraId="70C3A8EF" w14:textId="3E257514" w:rsidR="001501D6" w:rsidRPr="00BF5FC4" w:rsidRDefault="001501D6" w:rsidP="00EF72AA">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2824576" behindDoc="0" locked="0" layoutInCell="1" allowOverlap="1" wp14:anchorId="4D6D3EA8" wp14:editId="41D70410">
                <wp:simplePos x="0" y="0"/>
                <wp:positionH relativeFrom="column">
                  <wp:posOffset>800100</wp:posOffset>
                </wp:positionH>
                <wp:positionV relativeFrom="paragraph">
                  <wp:posOffset>124460</wp:posOffset>
                </wp:positionV>
                <wp:extent cx="457200" cy="457200"/>
                <wp:effectExtent l="0" t="0" r="25400" b="25400"/>
                <wp:wrapNone/>
                <wp:docPr id="607" name="Ellipse 607"/>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396C35F" w14:textId="77777777" w:rsidR="00573C95" w:rsidRPr="00BF5FC4" w:rsidRDefault="00573C95" w:rsidP="00EF72AA">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07" o:spid="_x0000_s1375" style="position:absolute;margin-left:63pt;margin-top:9.8pt;width:36pt;height:36pt;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" fillcolor="black [3200]" strokecolor="white [3201]" strokeweight="1.75pt">
                <v:textbox>
                  <w:txbxContent>
                    <w:p w14:paraId="3396C35F" w14:textId="77777777" w:rsidR="001501D6" w:rsidRPr="00BF5FC4" w:rsidRDefault="001501D6" w:rsidP="00EF72AA">
                      <w:pPr>
                        <w:jc w:val="center"/>
                        <w:rPr>
                          <w:color w:val="FFFFFF" w:themeColor="background1"/>
                        </w:rPr>
                      </w:pPr>
                      <w:r w:rsidRPr="00BF5FC4">
                        <w:rPr>
                          <w:color w:val="FFFFFF" w:themeColor="background1"/>
                        </w:rPr>
                        <w:t xml:space="preserve">1 </w:t>
                      </w:r>
                    </w:p>
                  </w:txbxContent>
                </v:textbox>
              </v:oval>
            </w:pict>
          </mc:Fallback>
        </mc:AlternateContent>
      </w:r>
      <w:r w:rsidR="00C80FF0">
        <w:rPr>
          <w:noProof/>
          <w:lang w:eastAsia="fr-FR"/>
        </w:rPr>
        <mc:AlternateContent>
          <mc:Choice Requires="wps">
            <w:drawing>
              <wp:anchor distT="0" distB="0" distL="114300" distR="114300" simplePos="0" relativeHeight="252751872" behindDoc="0" locked="0" layoutInCell="1" allowOverlap="1" wp14:anchorId="67B3D6CE" wp14:editId="4C481384">
                <wp:simplePos x="0" y="0"/>
                <wp:positionH relativeFrom="column">
                  <wp:posOffset>-342900</wp:posOffset>
                </wp:positionH>
                <wp:positionV relativeFrom="paragraph">
                  <wp:posOffset>176530</wp:posOffset>
                </wp:positionV>
                <wp:extent cx="1943100" cy="1943100"/>
                <wp:effectExtent l="76200" t="76200" r="63500" b="63500"/>
                <wp:wrapNone/>
                <wp:docPr id="554" name="Ellipse 554"/>
                <wp:cNvGraphicFramePr/>
                <a:graphic xmlns:a="http://schemas.openxmlformats.org/drawingml/2006/main">
                  <a:graphicData uri="http://schemas.microsoft.com/office/word/2010/wordprocessingShape">
                    <wps:wsp>
                      <wps:cNvSpPr/>
                      <wps:spPr>
                        <a:xfrm>
                          <a:off x="0" y="0"/>
                          <a:ext cx="1943100" cy="1943100"/>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7A15B34" w14:textId="479D3F0D" w:rsidR="00573C95" w:rsidRPr="002113F4" w:rsidRDefault="00573C95" w:rsidP="00357AAC">
                            <w:pPr>
                              <w:jc w:val="center"/>
                              <w:rPr>
                                <w:color w:val="000000"/>
                              </w:rPr>
                            </w:pPr>
                            <w:r w:rsidRPr="002113F4">
                              <w:rPr>
                                <w:color w:val="000000"/>
                              </w:rPr>
                              <w:t>Au quotidien</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554" o:spid="_x0000_s1376" style="position:absolute;margin-left:-26.95pt;margin-top:13.9pt;width:153pt;height:153pt;z-index:2527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" fillcolor="#94c600 [3204]">
                <v:fill color2="#84b100 [2884]" rotate="t" focus="100%" type="gradient">
                  <o:fill v:ext="view" type="gradientUnscaled"/>
                </v:fill>
                <v:textbox>
                  <w:txbxContent>
                    <w:p w14:paraId="47A15B34" w14:textId="479D3F0D" w:rsidR="001501D6" w:rsidRPr="002113F4" w:rsidRDefault="001501D6" w:rsidP="00357AAC">
                      <w:pPr>
                        <w:jc w:val="center"/>
                        <w:rPr>
                          <w:color w:val="000000"/>
                        </w:rPr>
                      </w:pPr>
                      <w:r w:rsidRPr="002113F4">
                        <w:rPr>
                          <w:color w:val="000000"/>
                        </w:rPr>
                        <w:t>Au quotidien</w:t>
                      </w:r>
                    </w:p>
                  </w:txbxContent>
                </v:textbox>
              </v:oval>
            </w:pict>
          </mc:Fallback>
        </mc:AlternateContent>
      </w:r>
    </w:p>
    <w:p w14:paraId="7C49059C" w14:textId="0652ED13" w:rsidR="005E3175" w:rsidRDefault="00F41DE3">
      <w:r>
        <w:rPr>
          <w:noProof/>
          <w:lang w:eastAsia="fr-FR"/>
        </w:rPr>
        <mc:AlternateContent>
          <mc:Choice Requires="wps">
            <w:drawing>
              <wp:anchor distT="0" distB="0" distL="114300" distR="114300" simplePos="0" relativeHeight="252782592" behindDoc="0" locked="0" layoutInCell="1" allowOverlap="1" wp14:anchorId="668496A8" wp14:editId="27E6BF6F">
                <wp:simplePos x="0" y="0"/>
                <wp:positionH relativeFrom="column">
                  <wp:posOffset>8001000</wp:posOffset>
                </wp:positionH>
                <wp:positionV relativeFrom="paragraph">
                  <wp:posOffset>1880870</wp:posOffset>
                </wp:positionV>
                <wp:extent cx="0" cy="914400"/>
                <wp:effectExtent l="50800" t="0" r="101600" b="76200"/>
                <wp:wrapNone/>
                <wp:docPr id="567" name="Connecteur droit 567"/>
                <wp:cNvGraphicFramePr/>
                <a:graphic xmlns:a="http://schemas.openxmlformats.org/drawingml/2006/main">
                  <a:graphicData uri="http://schemas.microsoft.com/office/word/2010/wordprocessingShape">
                    <wps:wsp>
                      <wps:cNvCnPr/>
                      <wps:spPr>
                        <a:xfrm>
                          <a:off x="0" y="0"/>
                          <a:ext cx="0" cy="914400"/>
                        </a:xfrm>
                        <a:prstGeom prst="line">
                          <a:avLst/>
                        </a:prstGeom>
                        <a:ln w="28575" cmpd="sng">
                          <a:tailEnd type="triangle" w="lg"/>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567" o:spid="_x0000_s1026" style="position:absolute;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0pt,148.1pt" to="630pt,220.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" strokecolor="black [3200]" strokeweight="2.25pt">
                <v:stroke endarrow="block" endarrowwidth="wide"/>
              </v:line>
            </w:pict>
          </mc:Fallback>
        </mc:AlternateContent>
      </w:r>
      <w:r>
        <w:rPr>
          <w:noProof/>
          <w:lang w:eastAsia="fr-FR"/>
        </w:rPr>
        <mc:AlternateContent>
          <mc:Choice Requires="wps">
            <w:drawing>
              <wp:anchor distT="0" distB="0" distL="114300" distR="114300" simplePos="0" relativeHeight="252768256" behindDoc="0" locked="0" layoutInCell="1" allowOverlap="1" wp14:anchorId="128E784E" wp14:editId="28A168DC">
                <wp:simplePos x="0" y="0"/>
                <wp:positionH relativeFrom="column">
                  <wp:posOffset>571500</wp:posOffset>
                </wp:positionH>
                <wp:positionV relativeFrom="paragraph">
                  <wp:posOffset>2338070</wp:posOffset>
                </wp:positionV>
                <wp:extent cx="7200900" cy="914400"/>
                <wp:effectExtent l="0" t="0" r="0" b="0"/>
                <wp:wrapSquare wrapText="bothSides"/>
                <wp:docPr id="584" name="Zone de texte 584"/>
                <wp:cNvGraphicFramePr/>
                <a:graphic xmlns:a="http://schemas.openxmlformats.org/drawingml/2006/main">
                  <a:graphicData uri="http://schemas.microsoft.com/office/word/2010/wordprocessingShape">
                    <wps:wsp>
                      <wps:cNvSpPr txBox="1"/>
                      <wps:spPr>
                        <a:xfrm>
                          <a:off x="0" y="0"/>
                          <a:ext cx="7200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E077A2" w14:textId="11BA4FAC" w:rsidR="00573C95" w:rsidRPr="00313FE1" w:rsidRDefault="00573C95" w:rsidP="00D34E8A">
                            <w:pPr>
                              <w:jc w:val="center"/>
                              <w:rPr>
                                <w:sz w:val="32"/>
                                <w:szCs w:val="32"/>
                              </w:rPr>
                            </w:pPr>
                            <w:r w:rsidRPr="00313FE1">
                              <w:rPr>
                                <w:sz w:val="32"/>
                                <w:szCs w:val="32"/>
                              </w:rPr>
                              <w:t>LE</w:t>
                            </w:r>
                            <w:r>
                              <w:rPr>
                                <w:sz w:val="32"/>
                                <w:szCs w:val="32"/>
                              </w:rPr>
                              <w:t>S MODALITÉS DISPONIBLES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584" o:spid="_x0000_s1377" type="#_x0000_t202" style="position:absolute;margin-left:45pt;margin-top:184.1pt;width:567pt;height:1in;z-index:25276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" filled="f" stroked="f">
                <v:textbox>
                  <w:txbxContent>
                    <w:p w14:paraId="52E077A2" w14:textId="11BA4FAC" w:rsidR="001501D6" w:rsidRPr="00313FE1" w:rsidRDefault="001501D6" w:rsidP="00D34E8A">
                      <w:pPr>
                        <w:jc w:val="center"/>
                        <w:rPr>
                          <w:sz w:val="32"/>
                          <w:szCs w:val="32"/>
                        </w:rPr>
                      </w:pPr>
                      <w:r w:rsidRPr="00313FE1">
                        <w:rPr>
                          <w:sz w:val="32"/>
                          <w:szCs w:val="32"/>
                        </w:rPr>
                        <w:t>LE</w:t>
                      </w:r>
                      <w:r>
                        <w:rPr>
                          <w:sz w:val="32"/>
                          <w:szCs w:val="32"/>
                        </w:rPr>
                        <w:t>S MODALITÉS DISPONIBLES</w:t>
                      </w:r>
                    </w:p>
                  </w:txbxContent>
                </v:textbox>
                <w10:wrap type="square"/>
              </v:shape>
            </w:pict>
          </mc:Fallback>
        </mc:AlternateContent>
      </w:r>
      <w:r>
        <w:rPr>
          <w:noProof/>
          <w:lang w:eastAsia="fr-FR"/>
        </w:rPr>
        <mc:AlternateContent>
          <mc:Choice Requires="wps">
            <w:drawing>
              <wp:anchor distT="0" distB="0" distL="114300" distR="114300" simplePos="0" relativeHeight="252780544" behindDoc="0" locked="0" layoutInCell="1" allowOverlap="1" wp14:anchorId="79A09BA2" wp14:editId="6B79D202">
                <wp:simplePos x="0" y="0"/>
                <wp:positionH relativeFrom="column">
                  <wp:posOffset>5715000</wp:posOffset>
                </wp:positionH>
                <wp:positionV relativeFrom="paragraph">
                  <wp:posOffset>1880870</wp:posOffset>
                </wp:positionV>
                <wp:extent cx="0" cy="914400"/>
                <wp:effectExtent l="50800" t="0" r="101600" b="76200"/>
                <wp:wrapNone/>
                <wp:docPr id="566" name="Connecteur droit 566"/>
                <wp:cNvGraphicFramePr/>
                <a:graphic xmlns:a="http://schemas.openxmlformats.org/drawingml/2006/main">
                  <a:graphicData uri="http://schemas.microsoft.com/office/word/2010/wordprocessingShape">
                    <wps:wsp>
                      <wps:cNvCnPr/>
                      <wps:spPr>
                        <a:xfrm>
                          <a:off x="0" y="0"/>
                          <a:ext cx="0" cy="914400"/>
                        </a:xfrm>
                        <a:prstGeom prst="line">
                          <a:avLst/>
                        </a:prstGeom>
                        <a:ln w="28575" cmpd="sng">
                          <a:tailEnd type="triangle" w="lg"/>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566" o:spid="_x0000_s1026" style="position:absolute;z-index:2527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0pt,148.1pt" to="450pt,220.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" strokecolor="black [3200]" strokeweight="2.25pt">
                <v:stroke endarrow="block" endarrowwidth="wide"/>
              </v:line>
            </w:pict>
          </mc:Fallback>
        </mc:AlternateContent>
      </w:r>
      <w:r>
        <w:rPr>
          <w:noProof/>
          <w:lang w:eastAsia="fr-FR"/>
        </w:rPr>
        <mc:AlternateContent>
          <mc:Choice Requires="wps">
            <w:drawing>
              <wp:anchor distT="0" distB="0" distL="114300" distR="114300" simplePos="0" relativeHeight="252778496" behindDoc="0" locked="0" layoutInCell="1" allowOverlap="1" wp14:anchorId="637AD99C" wp14:editId="3007743E">
                <wp:simplePos x="0" y="0"/>
                <wp:positionH relativeFrom="column">
                  <wp:posOffset>2628900</wp:posOffset>
                </wp:positionH>
                <wp:positionV relativeFrom="paragraph">
                  <wp:posOffset>1880870</wp:posOffset>
                </wp:positionV>
                <wp:extent cx="0" cy="914400"/>
                <wp:effectExtent l="50800" t="0" r="101600" b="76200"/>
                <wp:wrapNone/>
                <wp:docPr id="565" name="Connecteur droit 565"/>
                <wp:cNvGraphicFramePr/>
                <a:graphic xmlns:a="http://schemas.openxmlformats.org/drawingml/2006/main">
                  <a:graphicData uri="http://schemas.microsoft.com/office/word/2010/wordprocessingShape">
                    <wps:wsp>
                      <wps:cNvCnPr/>
                      <wps:spPr>
                        <a:xfrm>
                          <a:off x="0" y="0"/>
                          <a:ext cx="0" cy="914400"/>
                        </a:xfrm>
                        <a:prstGeom prst="line">
                          <a:avLst/>
                        </a:prstGeom>
                        <a:ln w="28575" cmpd="sng">
                          <a:tailEnd type="triangle" w="lg"/>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565" o:spid="_x0000_s1026" style="position:absolute;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pt,148.1pt" to="207pt,220.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" strokecolor="black [3200]" strokeweight="2.25pt">
                <v:stroke endarrow="block" endarrowwidth="wide"/>
              </v:line>
            </w:pict>
          </mc:Fallback>
        </mc:AlternateContent>
      </w:r>
      <w:r>
        <w:rPr>
          <w:noProof/>
          <w:lang w:eastAsia="fr-FR"/>
        </w:rPr>
        <mc:AlternateContent>
          <mc:Choice Requires="wps">
            <w:drawing>
              <wp:anchor distT="0" distB="0" distL="114300" distR="114300" simplePos="0" relativeHeight="252776448" behindDoc="0" locked="0" layoutInCell="1" allowOverlap="1" wp14:anchorId="4EE9BA95" wp14:editId="02BD0147">
                <wp:simplePos x="0" y="0"/>
                <wp:positionH relativeFrom="column">
                  <wp:posOffset>342900</wp:posOffset>
                </wp:positionH>
                <wp:positionV relativeFrom="paragraph">
                  <wp:posOffset>1880870</wp:posOffset>
                </wp:positionV>
                <wp:extent cx="0" cy="914400"/>
                <wp:effectExtent l="50800" t="0" r="101600" b="76200"/>
                <wp:wrapNone/>
                <wp:docPr id="564" name="Connecteur droit 564"/>
                <wp:cNvGraphicFramePr/>
                <a:graphic xmlns:a="http://schemas.openxmlformats.org/drawingml/2006/main">
                  <a:graphicData uri="http://schemas.microsoft.com/office/word/2010/wordprocessingShape">
                    <wps:wsp>
                      <wps:cNvCnPr/>
                      <wps:spPr>
                        <a:xfrm>
                          <a:off x="0" y="0"/>
                          <a:ext cx="0" cy="914400"/>
                        </a:xfrm>
                        <a:prstGeom prst="line">
                          <a:avLst/>
                        </a:prstGeom>
                        <a:ln w="28575" cmpd="sng">
                          <a:tailEnd type="triangle" w="lg"/>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564" o:spid="_x0000_s1026" style="position:absolute;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148.1pt" to="27pt,220.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" strokecolor="black [3200]" strokeweight="2.25pt">
                <v:stroke endarrow="block" endarrowwidth="wide"/>
              </v:line>
            </w:pict>
          </mc:Fallback>
        </mc:AlternateContent>
      </w:r>
      <w:r w:rsidR="00F5492A">
        <w:rPr>
          <w:noProof/>
          <w:lang w:eastAsia="fr-FR"/>
        </w:rPr>
        <mc:AlternateContent>
          <mc:Choice Requires="wps">
            <w:drawing>
              <wp:anchor distT="0" distB="0" distL="114300" distR="114300" simplePos="0" relativeHeight="252767232" behindDoc="1" locked="0" layoutInCell="1" allowOverlap="1" wp14:anchorId="26EBAAD9" wp14:editId="109EB4A9">
                <wp:simplePos x="0" y="0"/>
                <wp:positionH relativeFrom="column">
                  <wp:posOffset>-571500</wp:posOffset>
                </wp:positionH>
                <wp:positionV relativeFrom="paragraph">
                  <wp:posOffset>2338070</wp:posOffset>
                </wp:positionV>
                <wp:extent cx="9486900" cy="2857500"/>
                <wp:effectExtent l="76200" t="76200" r="63500" b="63500"/>
                <wp:wrapNone/>
                <wp:docPr id="583" name="Rectangle à coins arrondis 583"/>
                <wp:cNvGraphicFramePr/>
                <a:graphic xmlns:a="http://schemas.openxmlformats.org/drawingml/2006/main">
                  <a:graphicData uri="http://schemas.microsoft.com/office/word/2010/wordprocessingShape">
                    <wps:wsp>
                      <wps:cNvSpPr/>
                      <wps:spPr>
                        <a:xfrm>
                          <a:off x="0" y="0"/>
                          <a:ext cx="9486900" cy="2857500"/>
                        </a:xfrm>
                        <a:prstGeom prst="roundRect">
                          <a:avLst/>
                        </a:prstGeom>
                        <a:solidFill>
                          <a:schemeClr val="bg1">
                            <a:lumMod val="75000"/>
                          </a:schemeClr>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id="Rectangle à coins arrondis 583" o:spid="_x0000_s1026" style="position:absolute;margin-left:-44.95pt;margin-top:184.1pt;width:747pt;height:225pt;z-index:-2505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" fillcolor="#bfbfbf [2412]"/>
            </w:pict>
          </mc:Fallback>
        </mc:AlternateContent>
      </w:r>
      <w:r w:rsidR="00F5492A">
        <w:rPr>
          <w:noProof/>
          <w:lang w:eastAsia="fr-FR"/>
        </w:rPr>
        <mc:AlternateContent>
          <mc:Choice Requires="wps">
            <w:drawing>
              <wp:anchor distT="0" distB="0" distL="114300" distR="114300" simplePos="0" relativeHeight="252749824" behindDoc="0" locked="0" layoutInCell="1" allowOverlap="1" wp14:anchorId="007D882F" wp14:editId="3B75BBCB">
                <wp:simplePos x="0" y="0"/>
                <wp:positionH relativeFrom="column">
                  <wp:posOffset>-342900</wp:posOffset>
                </wp:positionH>
                <wp:positionV relativeFrom="paragraph">
                  <wp:posOffset>2795270</wp:posOffset>
                </wp:positionV>
                <wp:extent cx="1943100" cy="1943100"/>
                <wp:effectExtent l="76200" t="76200" r="63500" b="63500"/>
                <wp:wrapNone/>
                <wp:docPr id="551" name="Rectangle à coins arrondis 551"/>
                <wp:cNvGraphicFramePr/>
                <a:graphic xmlns:a="http://schemas.openxmlformats.org/drawingml/2006/main">
                  <a:graphicData uri="http://schemas.microsoft.com/office/word/2010/wordprocessingShape">
                    <wps:wsp>
                      <wps:cNvSpPr/>
                      <wps:spPr>
                        <a:xfrm>
                          <a:off x="0" y="0"/>
                          <a:ext cx="1943100" cy="1943100"/>
                        </a:xfrm>
                        <a:prstGeom prst="roundRect">
                          <a:avLst/>
                        </a:prstGeom>
                        <a:solidFill>
                          <a:schemeClr val="accent3"/>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FC3FABD" w14:textId="3DBF6FAF" w:rsidR="00573C95" w:rsidRPr="00B92E9D" w:rsidRDefault="00573C95" w:rsidP="006C34CF">
                            <w:pPr>
                              <w:pStyle w:val="Paragraphedeliste"/>
                              <w:numPr>
                                <w:ilvl w:val="0"/>
                                <w:numId w:val="76"/>
                              </w:numPr>
                              <w:rPr>
                                <w:color w:val="000000"/>
                              </w:rPr>
                            </w:pPr>
                            <w:r w:rsidRPr="00B92E9D">
                              <w:rPr>
                                <w:color w:val="000000"/>
                              </w:rPr>
                              <w:t>Payé comptant</w:t>
                            </w:r>
                          </w:p>
                          <w:p w14:paraId="6B33D000" w14:textId="66228506" w:rsidR="00573C95" w:rsidRPr="00B92E9D" w:rsidRDefault="00573C95" w:rsidP="006C34CF">
                            <w:pPr>
                              <w:pStyle w:val="Paragraphedeliste"/>
                              <w:numPr>
                                <w:ilvl w:val="0"/>
                                <w:numId w:val="76"/>
                              </w:numPr>
                              <w:rPr>
                                <w:color w:val="000000"/>
                              </w:rPr>
                            </w:pPr>
                            <w:r w:rsidRPr="00B92E9D">
                              <w:rPr>
                                <w:color w:val="000000"/>
                              </w:rPr>
                              <w:t>Carte débit</w:t>
                            </w:r>
                          </w:p>
                          <w:p w14:paraId="742C64C3" w14:textId="63DD2735" w:rsidR="00573C95" w:rsidRPr="00B92E9D" w:rsidRDefault="00573C95" w:rsidP="006C34CF">
                            <w:pPr>
                              <w:pStyle w:val="Paragraphedeliste"/>
                              <w:numPr>
                                <w:ilvl w:val="0"/>
                                <w:numId w:val="76"/>
                              </w:numPr>
                              <w:rPr>
                                <w:color w:val="000000"/>
                              </w:rPr>
                            </w:pPr>
                            <w:r w:rsidRPr="00B92E9D">
                              <w:rPr>
                                <w:color w:val="000000"/>
                              </w:rPr>
                              <w:t>Cartes de crédit</w:t>
                            </w:r>
                          </w:p>
                          <w:p w14:paraId="55561E81" w14:textId="52EEDD32" w:rsidR="00573C95" w:rsidRPr="00B92E9D" w:rsidRDefault="00573C95" w:rsidP="006C34CF">
                            <w:pPr>
                              <w:pStyle w:val="Paragraphedeliste"/>
                              <w:numPr>
                                <w:ilvl w:val="0"/>
                                <w:numId w:val="76"/>
                              </w:numPr>
                              <w:rPr>
                                <w:color w:val="000000"/>
                              </w:rPr>
                            </w:pPr>
                            <w:r w:rsidRPr="00B92E9D">
                              <w:rPr>
                                <w:color w:val="000000"/>
                              </w:rPr>
                              <w:t>Marge de crédit</w:t>
                            </w:r>
                          </w:p>
                          <w:p w14:paraId="36360F1F" w14:textId="4D3EDD89" w:rsidR="00573C95" w:rsidRPr="00B92E9D" w:rsidRDefault="00573C95" w:rsidP="006C34CF">
                            <w:pPr>
                              <w:pStyle w:val="Paragraphedeliste"/>
                              <w:numPr>
                                <w:ilvl w:val="0"/>
                                <w:numId w:val="76"/>
                              </w:numPr>
                              <w:rPr>
                                <w:color w:val="000000"/>
                              </w:rPr>
                            </w:pPr>
                            <w:r w:rsidRPr="00B92E9D">
                              <w:rPr>
                                <w:color w:val="000000"/>
                              </w:rPr>
                              <w:t>Prêt personnel</w:t>
                            </w:r>
                          </w:p>
                        </w:txbxContent>
                      </wps:txbx>
                      <wps:bodyPr anchor="t" anchorCtr="0"/>
                    </wps:wsp>
                  </a:graphicData>
                </a:graphic>
                <wp14:sizeRelH relativeFrom="margin">
                  <wp14:pctWidth>0</wp14:pctWidth>
                </wp14:sizeRelH>
                <wp14:sizeRelV relativeFrom="margin">
                  <wp14:pctHeight>0</wp14:pctHeight>
                </wp14:sizeRelV>
              </wp:anchor>
            </w:drawing>
          </mc:Choice>
          <mc:Fallback>
            <w:pict>
              <v:roundrect id="Rectangle à coins arrondis 551" o:spid="_x0000_s1378" style="position:absolute;margin-left:-26.95pt;margin-top:220.1pt;width:153pt;height:153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" fillcolor="#ff6700 [3206]" strokecolor="black [3213]">
                <v:textbox>
                  <w:txbxContent>
                    <w:p w14:paraId="4FC3FABD" w14:textId="3DBF6FAF" w:rsidR="001501D6" w:rsidRPr="00B92E9D" w:rsidRDefault="001501D6" w:rsidP="006C34CF">
                      <w:pPr>
                        <w:pStyle w:val="Paragraphedeliste"/>
                        <w:numPr>
                          <w:ilvl w:val="0"/>
                          <w:numId w:val="76"/>
                        </w:numPr>
                        <w:rPr>
                          <w:color w:val="000000"/>
                        </w:rPr>
                      </w:pPr>
                      <w:r w:rsidRPr="00B92E9D">
                        <w:rPr>
                          <w:color w:val="000000"/>
                        </w:rPr>
                        <w:t>Payé comptant</w:t>
                      </w:r>
                    </w:p>
                    <w:p w14:paraId="6B33D000" w14:textId="66228506" w:rsidR="001501D6" w:rsidRPr="00B92E9D" w:rsidRDefault="001501D6" w:rsidP="006C34CF">
                      <w:pPr>
                        <w:pStyle w:val="Paragraphedeliste"/>
                        <w:numPr>
                          <w:ilvl w:val="0"/>
                          <w:numId w:val="76"/>
                        </w:numPr>
                        <w:rPr>
                          <w:color w:val="000000"/>
                        </w:rPr>
                      </w:pPr>
                      <w:r w:rsidRPr="00B92E9D">
                        <w:rPr>
                          <w:color w:val="000000"/>
                        </w:rPr>
                        <w:t>Carte débit</w:t>
                      </w:r>
                    </w:p>
                    <w:p w14:paraId="742C64C3" w14:textId="63DD2735" w:rsidR="001501D6" w:rsidRPr="00B92E9D" w:rsidRDefault="001501D6" w:rsidP="006C34CF">
                      <w:pPr>
                        <w:pStyle w:val="Paragraphedeliste"/>
                        <w:numPr>
                          <w:ilvl w:val="0"/>
                          <w:numId w:val="76"/>
                        </w:numPr>
                        <w:rPr>
                          <w:color w:val="000000"/>
                        </w:rPr>
                      </w:pPr>
                      <w:r w:rsidRPr="00B92E9D">
                        <w:rPr>
                          <w:color w:val="000000"/>
                        </w:rPr>
                        <w:t>Cartes de crédit</w:t>
                      </w:r>
                    </w:p>
                    <w:p w14:paraId="55561E81" w14:textId="52EEDD32" w:rsidR="001501D6" w:rsidRPr="00B92E9D" w:rsidRDefault="001501D6" w:rsidP="006C34CF">
                      <w:pPr>
                        <w:pStyle w:val="Paragraphedeliste"/>
                        <w:numPr>
                          <w:ilvl w:val="0"/>
                          <w:numId w:val="76"/>
                        </w:numPr>
                        <w:rPr>
                          <w:color w:val="000000"/>
                        </w:rPr>
                      </w:pPr>
                      <w:r w:rsidRPr="00B92E9D">
                        <w:rPr>
                          <w:color w:val="000000"/>
                        </w:rPr>
                        <w:t>Marge de crédit</w:t>
                      </w:r>
                    </w:p>
                    <w:p w14:paraId="36360F1F" w14:textId="4D3EDD89" w:rsidR="001501D6" w:rsidRPr="00B92E9D" w:rsidRDefault="001501D6" w:rsidP="006C34CF">
                      <w:pPr>
                        <w:pStyle w:val="Paragraphedeliste"/>
                        <w:numPr>
                          <w:ilvl w:val="0"/>
                          <w:numId w:val="76"/>
                        </w:numPr>
                        <w:rPr>
                          <w:color w:val="000000"/>
                        </w:rPr>
                      </w:pPr>
                      <w:r w:rsidRPr="00B92E9D">
                        <w:rPr>
                          <w:color w:val="000000"/>
                        </w:rPr>
                        <w:t>Prêt personnel</w:t>
                      </w:r>
                    </w:p>
                  </w:txbxContent>
                </v:textbox>
              </v:roundrect>
            </w:pict>
          </mc:Fallback>
        </mc:AlternateContent>
      </w:r>
      <w:r w:rsidR="00F5492A">
        <w:rPr>
          <w:noProof/>
          <w:lang w:eastAsia="fr-FR"/>
        </w:rPr>
        <mc:AlternateContent>
          <mc:Choice Requires="wps">
            <w:drawing>
              <wp:anchor distT="0" distB="0" distL="114300" distR="114300" simplePos="0" relativeHeight="252774400" behindDoc="0" locked="0" layoutInCell="1" allowOverlap="1" wp14:anchorId="4682B6CB" wp14:editId="4312989E">
                <wp:simplePos x="0" y="0"/>
                <wp:positionH relativeFrom="column">
                  <wp:posOffset>6629400</wp:posOffset>
                </wp:positionH>
                <wp:positionV relativeFrom="paragraph">
                  <wp:posOffset>2795270</wp:posOffset>
                </wp:positionV>
                <wp:extent cx="1943100" cy="1943100"/>
                <wp:effectExtent l="76200" t="76200" r="63500" b="63500"/>
                <wp:wrapNone/>
                <wp:docPr id="587" name="Rectangle à coins arrondis 587"/>
                <wp:cNvGraphicFramePr/>
                <a:graphic xmlns:a="http://schemas.openxmlformats.org/drawingml/2006/main">
                  <a:graphicData uri="http://schemas.microsoft.com/office/word/2010/wordprocessingShape">
                    <wps:wsp>
                      <wps:cNvSpPr/>
                      <wps:spPr>
                        <a:xfrm>
                          <a:off x="0" y="0"/>
                          <a:ext cx="1943100" cy="1943100"/>
                        </a:xfrm>
                        <a:prstGeom prst="roundRect">
                          <a:avLst/>
                        </a:prstGeom>
                        <a:solidFill>
                          <a:srgbClr val="FF67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20A7674" w14:textId="17EC77ED" w:rsidR="00573C95" w:rsidRPr="0010682E" w:rsidRDefault="00573C95" w:rsidP="006C34CF">
                            <w:pPr>
                              <w:pStyle w:val="Paragraphedeliste"/>
                              <w:numPr>
                                <w:ilvl w:val="0"/>
                                <w:numId w:val="77"/>
                              </w:numPr>
                              <w:rPr>
                                <w:color w:val="000000"/>
                              </w:rPr>
                            </w:pPr>
                            <w:r w:rsidRPr="0010682E">
                              <w:rPr>
                                <w:color w:val="000000"/>
                              </w:rPr>
                              <w:t>Épargne</w:t>
                            </w:r>
                          </w:p>
                          <w:p w14:paraId="59E44E10" w14:textId="269394D4" w:rsidR="00573C95" w:rsidRPr="0010682E" w:rsidRDefault="00573C95" w:rsidP="006C34CF">
                            <w:pPr>
                              <w:pStyle w:val="Paragraphedeliste"/>
                              <w:numPr>
                                <w:ilvl w:val="0"/>
                                <w:numId w:val="77"/>
                              </w:numPr>
                              <w:rPr>
                                <w:color w:val="000000"/>
                              </w:rPr>
                            </w:pPr>
                            <w:r w:rsidRPr="0010682E">
                              <w:rPr>
                                <w:color w:val="000000"/>
                              </w:rPr>
                              <w:t>Découvert</w:t>
                            </w:r>
                          </w:p>
                          <w:p w14:paraId="22E21A37" w14:textId="289C4F51" w:rsidR="00573C95" w:rsidRDefault="00573C95" w:rsidP="006C34CF">
                            <w:pPr>
                              <w:pStyle w:val="Paragraphedeliste"/>
                              <w:numPr>
                                <w:ilvl w:val="0"/>
                                <w:numId w:val="77"/>
                              </w:numPr>
                              <w:rPr>
                                <w:color w:val="000000"/>
                              </w:rPr>
                            </w:pPr>
                            <w:r w:rsidRPr="0010682E">
                              <w:rPr>
                                <w:color w:val="000000"/>
                              </w:rPr>
                              <w:t>Marge de crédit</w:t>
                            </w:r>
                          </w:p>
                          <w:p w14:paraId="34705235" w14:textId="25460A45" w:rsidR="00573C95" w:rsidRDefault="00573C95" w:rsidP="006C34CF">
                            <w:pPr>
                              <w:pStyle w:val="Paragraphedeliste"/>
                              <w:numPr>
                                <w:ilvl w:val="0"/>
                                <w:numId w:val="77"/>
                              </w:numPr>
                              <w:rPr>
                                <w:color w:val="000000"/>
                              </w:rPr>
                            </w:pPr>
                            <w:r>
                              <w:rPr>
                                <w:color w:val="000000"/>
                              </w:rPr>
                              <w:t>Prêt hypothécaire</w:t>
                            </w:r>
                          </w:p>
                          <w:p w14:paraId="627E606C" w14:textId="62596ACC" w:rsidR="00573C95" w:rsidRDefault="00573C95" w:rsidP="006C34CF">
                            <w:pPr>
                              <w:pStyle w:val="Paragraphedeliste"/>
                              <w:numPr>
                                <w:ilvl w:val="0"/>
                                <w:numId w:val="77"/>
                              </w:numPr>
                              <w:rPr>
                                <w:color w:val="000000"/>
                              </w:rPr>
                            </w:pPr>
                            <w:r>
                              <w:rPr>
                                <w:color w:val="000000"/>
                              </w:rPr>
                              <w:t>Prêt personnel</w:t>
                            </w:r>
                          </w:p>
                          <w:p w14:paraId="3DE4C81F" w14:textId="19E9E209" w:rsidR="00573C95" w:rsidRPr="0010682E" w:rsidRDefault="00573C95" w:rsidP="006C34CF">
                            <w:pPr>
                              <w:pStyle w:val="Paragraphedeliste"/>
                              <w:numPr>
                                <w:ilvl w:val="0"/>
                                <w:numId w:val="77"/>
                              </w:numPr>
                              <w:rPr>
                                <w:color w:val="000000"/>
                              </w:rPr>
                            </w:pPr>
                            <w:r>
                              <w:rPr>
                                <w:color w:val="000000"/>
                              </w:rPr>
                              <w:t>Prêt étudiant</w:t>
                            </w:r>
                          </w:p>
                        </w:txbxContent>
                      </wps:txbx>
                      <wps:bodyPr anchor="t" anchorCtr="0"/>
                    </wps:wsp>
                  </a:graphicData>
                </a:graphic>
                <wp14:sizeRelH relativeFrom="margin">
                  <wp14:pctWidth>0</wp14:pctWidth>
                </wp14:sizeRelH>
                <wp14:sizeRelV relativeFrom="margin">
                  <wp14:pctHeight>0</wp14:pctHeight>
                </wp14:sizeRelV>
              </wp:anchor>
            </w:drawing>
          </mc:Choice>
          <mc:Fallback>
            <w:pict>
              <v:roundrect id="Rectangle à coins arrondis 587" o:spid="_x0000_s1379" style="position:absolute;margin-left:522pt;margin-top:220.1pt;width:153pt;height:153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" fillcolor="#ff6700">
                <v:textbox>
                  <w:txbxContent>
                    <w:p w14:paraId="520A7674" w14:textId="17EC77ED" w:rsidR="001501D6" w:rsidRPr="0010682E" w:rsidRDefault="001501D6" w:rsidP="006C34CF">
                      <w:pPr>
                        <w:pStyle w:val="Paragraphedeliste"/>
                        <w:numPr>
                          <w:ilvl w:val="0"/>
                          <w:numId w:val="77"/>
                        </w:numPr>
                        <w:rPr>
                          <w:color w:val="000000"/>
                        </w:rPr>
                      </w:pPr>
                      <w:r w:rsidRPr="0010682E">
                        <w:rPr>
                          <w:color w:val="000000"/>
                        </w:rPr>
                        <w:t>Épargne</w:t>
                      </w:r>
                    </w:p>
                    <w:p w14:paraId="59E44E10" w14:textId="269394D4" w:rsidR="001501D6" w:rsidRPr="0010682E" w:rsidRDefault="001501D6" w:rsidP="006C34CF">
                      <w:pPr>
                        <w:pStyle w:val="Paragraphedeliste"/>
                        <w:numPr>
                          <w:ilvl w:val="0"/>
                          <w:numId w:val="77"/>
                        </w:numPr>
                        <w:rPr>
                          <w:color w:val="000000"/>
                        </w:rPr>
                      </w:pPr>
                      <w:r w:rsidRPr="0010682E">
                        <w:rPr>
                          <w:color w:val="000000"/>
                        </w:rPr>
                        <w:t>Découvert</w:t>
                      </w:r>
                    </w:p>
                    <w:p w14:paraId="22E21A37" w14:textId="289C4F51" w:rsidR="001501D6" w:rsidRDefault="001501D6" w:rsidP="006C34CF">
                      <w:pPr>
                        <w:pStyle w:val="Paragraphedeliste"/>
                        <w:numPr>
                          <w:ilvl w:val="0"/>
                          <w:numId w:val="77"/>
                        </w:numPr>
                        <w:rPr>
                          <w:color w:val="000000"/>
                        </w:rPr>
                      </w:pPr>
                      <w:r w:rsidRPr="0010682E">
                        <w:rPr>
                          <w:color w:val="000000"/>
                        </w:rPr>
                        <w:t>Marge de crédit</w:t>
                      </w:r>
                    </w:p>
                    <w:p w14:paraId="34705235" w14:textId="25460A45" w:rsidR="001501D6" w:rsidRDefault="001501D6" w:rsidP="006C34CF">
                      <w:pPr>
                        <w:pStyle w:val="Paragraphedeliste"/>
                        <w:numPr>
                          <w:ilvl w:val="0"/>
                          <w:numId w:val="77"/>
                        </w:numPr>
                        <w:rPr>
                          <w:color w:val="000000"/>
                        </w:rPr>
                      </w:pPr>
                      <w:r>
                        <w:rPr>
                          <w:color w:val="000000"/>
                        </w:rPr>
                        <w:t>Prêt hypothécaire</w:t>
                      </w:r>
                    </w:p>
                    <w:p w14:paraId="627E606C" w14:textId="62596ACC" w:rsidR="001501D6" w:rsidRDefault="001501D6" w:rsidP="006C34CF">
                      <w:pPr>
                        <w:pStyle w:val="Paragraphedeliste"/>
                        <w:numPr>
                          <w:ilvl w:val="0"/>
                          <w:numId w:val="77"/>
                        </w:numPr>
                        <w:rPr>
                          <w:color w:val="000000"/>
                        </w:rPr>
                      </w:pPr>
                      <w:r>
                        <w:rPr>
                          <w:color w:val="000000"/>
                        </w:rPr>
                        <w:t>Prêt personnel</w:t>
                      </w:r>
                    </w:p>
                    <w:p w14:paraId="3DE4C81F" w14:textId="19E9E209" w:rsidR="001501D6" w:rsidRPr="0010682E" w:rsidRDefault="001501D6" w:rsidP="006C34CF">
                      <w:pPr>
                        <w:pStyle w:val="Paragraphedeliste"/>
                        <w:numPr>
                          <w:ilvl w:val="0"/>
                          <w:numId w:val="77"/>
                        </w:numPr>
                        <w:rPr>
                          <w:color w:val="000000"/>
                        </w:rPr>
                      </w:pPr>
                      <w:r>
                        <w:rPr>
                          <w:color w:val="000000"/>
                        </w:rPr>
                        <w:t>Prêt étudiant</w:t>
                      </w:r>
                    </w:p>
                  </w:txbxContent>
                </v:textbox>
              </v:roundrect>
            </w:pict>
          </mc:Fallback>
        </mc:AlternateContent>
      </w:r>
      <w:r w:rsidR="00F5492A">
        <w:rPr>
          <w:noProof/>
          <w:lang w:eastAsia="fr-FR"/>
        </w:rPr>
        <mc:AlternateContent>
          <mc:Choice Requires="wps">
            <w:drawing>
              <wp:anchor distT="0" distB="0" distL="114300" distR="114300" simplePos="0" relativeHeight="252770304" behindDoc="0" locked="0" layoutInCell="1" allowOverlap="1" wp14:anchorId="5F4C0847" wp14:editId="1C6AAA43">
                <wp:simplePos x="0" y="0"/>
                <wp:positionH relativeFrom="column">
                  <wp:posOffset>2057400</wp:posOffset>
                </wp:positionH>
                <wp:positionV relativeFrom="paragraph">
                  <wp:posOffset>2795270</wp:posOffset>
                </wp:positionV>
                <wp:extent cx="1943100" cy="1943100"/>
                <wp:effectExtent l="76200" t="76200" r="63500" b="63500"/>
                <wp:wrapNone/>
                <wp:docPr id="585" name="Rectangle à coins arrondis 585"/>
                <wp:cNvGraphicFramePr/>
                <a:graphic xmlns:a="http://schemas.openxmlformats.org/drawingml/2006/main">
                  <a:graphicData uri="http://schemas.microsoft.com/office/word/2010/wordprocessingShape">
                    <wps:wsp>
                      <wps:cNvSpPr/>
                      <wps:spPr>
                        <a:xfrm>
                          <a:off x="0" y="0"/>
                          <a:ext cx="1943100" cy="1943100"/>
                        </a:xfrm>
                        <a:prstGeom prst="roundRect">
                          <a:avLst/>
                        </a:prstGeom>
                        <a:solidFill>
                          <a:srgbClr val="FF67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B5C4E49" w14:textId="77777777" w:rsidR="00573C95" w:rsidRPr="0010682E" w:rsidRDefault="00573C95" w:rsidP="006C34CF">
                            <w:pPr>
                              <w:pStyle w:val="Paragraphedeliste"/>
                              <w:numPr>
                                <w:ilvl w:val="0"/>
                                <w:numId w:val="77"/>
                              </w:numPr>
                              <w:rPr>
                                <w:color w:val="000000"/>
                              </w:rPr>
                            </w:pPr>
                            <w:r w:rsidRPr="0010682E">
                              <w:rPr>
                                <w:color w:val="000000"/>
                              </w:rPr>
                              <w:t>Payé comptant</w:t>
                            </w:r>
                          </w:p>
                          <w:p w14:paraId="5D486409" w14:textId="71D43887" w:rsidR="00573C95" w:rsidRPr="0010682E" w:rsidRDefault="00573C95" w:rsidP="006C34CF">
                            <w:pPr>
                              <w:pStyle w:val="Paragraphedeliste"/>
                              <w:numPr>
                                <w:ilvl w:val="0"/>
                                <w:numId w:val="77"/>
                              </w:numPr>
                              <w:rPr>
                                <w:color w:val="000000"/>
                              </w:rPr>
                            </w:pPr>
                            <w:r w:rsidRPr="0010682E">
                              <w:rPr>
                                <w:color w:val="000000"/>
                              </w:rPr>
                              <w:t>Financement du fournisseur</w:t>
                            </w:r>
                          </w:p>
                          <w:p w14:paraId="010335FB" w14:textId="77777777" w:rsidR="00573C95" w:rsidRPr="0010682E" w:rsidRDefault="00573C95" w:rsidP="006C34CF">
                            <w:pPr>
                              <w:pStyle w:val="Paragraphedeliste"/>
                              <w:numPr>
                                <w:ilvl w:val="0"/>
                                <w:numId w:val="77"/>
                              </w:numPr>
                              <w:rPr>
                                <w:color w:val="000000"/>
                              </w:rPr>
                            </w:pPr>
                            <w:r w:rsidRPr="0010682E">
                              <w:rPr>
                                <w:color w:val="000000"/>
                              </w:rPr>
                              <w:t>Cartes de crédit</w:t>
                            </w:r>
                          </w:p>
                          <w:p w14:paraId="733A97BA" w14:textId="77777777" w:rsidR="00573C95" w:rsidRPr="0010682E" w:rsidRDefault="00573C95" w:rsidP="006C34CF">
                            <w:pPr>
                              <w:pStyle w:val="Paragraphedeliste"/>
                              <w:numPr>
                                <w:ilvl w:val="0"/>
                                <w:numId w:val="77"/>
                              </w:numPr>
                              <w:rPr>
                                <w:color w:val="000000"/>
                              </w:rPr>
                            </w:pPr>
                            <w:r w:rsidRPr="0010682E">
                              <w:rPr>
                                <w:color w:val="000000"/>
                              </w:rPr>
                              <w:t>Marge de crédit</w:t>
                            </w:r>
                          </w:p>
                          <w:p w14:paraId="29DBA798" w14:textId="77777777" w:rsidR="00573C95" w:rsidRDefault="00573C95" w:rsidP="006C34CF">
                            <w:pPr>
                              <w:pStyle w:val="Paragraphedeliste"/>
                              <w:numPr>
                                <w:ilvl w:val="0"/>
                                <w:numId w:val="77"/>
                              </w:numPr>
                              <w:rPr>
                                <w:color w:val="000000"/>
                              </w:rPr>
                            </w:pPr>
                            <w:r w:rsidRPr="0010682E">
                              <w:rPr>
                                <w:color w:val="000000"/>
                              </w:rPr>
                              <w:t>Prêt personnel</w:t>
                            </w:r>
                          </w:p>
                          <w:p w14:paraId="3B23E87E" w14:textId="6B9B0FAC" w:rsidR="00573C95" w:rsidRPr="0010682E" w:rsidRDefault="00573C95" w:rsidP="006C34CF">
                            <w:pPr>
                              <w:pStyle w:val="Paragraphedeliste"/>
                              <w:numPr>
                                <w:ilvl w:val="0"/>
                                <w:numId w:val="77"/>
                              </w:numPr>
                              <w:rPr>
                                <w:color w:val="000000"/>
                              </w:rPr>
                            </w:pPr>
                            <w:r>
                              <w:rPr>
                                <w:color w:val="000000"/>
                              </w:rPr>
                              <w:t>Crédit bail</w:t>
                            </w:r>
                          </w:p>
                        </w:txbxContent>
                      </wps:txbx>
                      <wps:bodyPr anchor="t" anchorCtr="0"/>
                    </wps:wsp>
                  </a:graphicData>
                </a:graphic>
                <wp14:sizeRelH relativeFrom="margin">
                  <wp14:pctWidth>0</wp14:pctWidth>
                </wp14:sizeRelH>
                <wp14:sizeRelV relativeFrom="margin">
                  <wp14:pctHeight>0</wp14:pctHeight>
                </wp14:sizeRelV>
              </wp:anchor>
            </w:drawing>
          </mc:Choice>
          <mc:Fallback>
            <w:pict>
              <v:roundrect id="Rectangle à coins arrondis 585" o:spid="_x0000_s1380" style="position:absolute;margin-left:162pt;margin-top:220.1pt;width:153pt;height:153pt;z-index:2527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" fillcolor="#ff6700">
                <v:textbox>
                  <w:txbxContent>
                    <w:p w14:paraId="4B5C4E49" w14:textId="77777777" w:rsidR="001501D6" w:rsidRPr="0010682E" w:rsidRDefault="001501D6" w:rsidP="006C34CF">
                      <w:pPr>
                        <w:pStyle w:val="Paragraphedeliste"/>
                        <w:numPr>
                          <w:ilvl w:val="0"/>
                          <w:numId w:val="77"/>
                        </w:numPr>
                        <w:rPr>
                          <w:color w:val="000000"/>
                        </w:rPr>
                      </w:pPr>
                      <w:r w:rsidRPr="0010682E">
                        <w:rPr>
                          <w:color w:val="000000"/>
                        </w:rPr>
                        <w:t>Payé comptant</w:t>
                      </w:r>
                    </w:p>
                    <w:p w14:paraId="5D486409" w14:textId="71D43887" w:rsidR="001501D6" w:rsidRPr="0010682E" w:rsidRDefault="001501D6" w:rsidP="006C34CF">
                      <w:pPr>
                        <w:pStyle w:val="Paragraphedeliste"/>
                        <w:numPr>
                          <w:ilvl w:val="0"/>
                          <w:numId w:val="77"/>
                        </w:numPr>
                        <w:rPr>
                          <w:color w:val="000000"/>
                        </w:rPr>
                      </w:pPr>
                      <w:r w:rsidRPr="0010682E">
                        <w:rPr>
                          <w:color w:val="000000"/>
                        </w:rPr>
                        <w:t>Financement du fournisseur</w:t>
                      </w:r>
                    </w:p>
                    <w:p w14:paraId="010335FB" w14:textId="77777777" w:rsidR="001501D6" w:rsidRPr="0010682E" w:rsidRDefault="001501D6" w:rsidP="006C34CF">
                      <w:pPr>
                        <w:pStyle w:val="Paragraphedeliste"/>
                        <w:numPr>
                          <w:ilvl w:val="0"/>
                          <w:numId w:val="77"/>
                        </w:numPr>
                        <w:rPr>
                          <w:color w:val="000000"/>
                        </w:rPr>
                      </w:pPr>
                      <w:r w:rsidRPr="0010682E">
                        <w:rPr>
                          <w:color w:val="000000"/>
                        </w:rPr>
                        <w:t>Cartes de crédit</w:t>
                      </w:r>
                    </w:p>
                    <w:p w14:paraId="733A97BA" w14:textId="77777777" w:rsidR="001501D6" w:rsidRPr="0010682E" w:rsidRDefault="001501D6" w:rsidP="006C34CF">
                      <w:pPr>
                        <w:pStyle w:val="Paragraphedeliste"/>
                        <w:numPr>
                          <w:ilvl w:val="0"/>
                          <w:numId w:val="77"/>
                        </w:numPr>
                        <w:rPr>
                          <w:color w:val="000000"/>
                        </w:rPr>
                      </w:pPr>
                      <w:r w:rsidRPr="0010682E">
                        <w:rPr>
                          <w:color w:val="000000"/>
                        </w:rPr>
                        <w:t>Marge de crédit</w:t>
                      </w:r>
                    </w:p>
                    <w:p w14:paraId="29DBA798" w14:textId="77777777" w:rsidR="001501D6" w:rsidRDefault="001501D6" w:rsidP="006C34CF">
                      <w:pPr>
                        <w:pStyle w:val="Paragraphedeliste"/>
                        <w:numPr>
                          <w:ilvl w:val="0"/>
                          <w:numId w:val="77"/>
                        </w:numPr>
                        <w:rPr>
                          <w:color w:val="000000"/>
                        </w:rPr>
                      </w:pPr>
                      <w:r w:rsidRPr="0010682E">
                        <w:rPr>
                          <w:color w:val="000000"/>
                        </w:rPr>
                        <w:t>Prêt personnel</w:t>
                      </w:r>
                    </w:p>
                    <w:p w14:paraId="3B23E87E" w14:textId="6B9B0FAC" w:rsidR="001501D6" w:rsidRPr="0010682E" w:rsidRDefault="001501D6" w:rsidP="006C34CF">
                      <w:pPr>
                        <w:pStyle w:val="Paragraphedeliste"/>
                        <w:numPr>
                          <w:ilvl w:val="0"/>
                          <w:numId w:val="77"/>
                        </w:numPr>
                        <w:rPr>
                          <w:color w:val="000000"/>
                        </w:rPr>
                      </w:pPr>
                      <w:r>
                        <w:rPr>
                          <w:color w:val="000000"/>
                        </w:rPr>
                        <w:t>Crédit bail</w:t>
                      </w:r>
                    </w:p>
                  </w:txbxContent>
                </v:textbox>
              </v:roundrect>
            </w:pict>
          </mc:Fallback>
        </mc:AlternateContent>
      </w:r>
      <w:r w:rsidR="008F7BEA">
        <w:rPr>
          <w:noProof/>
          <w:lang w:eastAsia="fr-FR"/>
        </w:rPr>
        <mc:AlternateContent>
          <mc:Choice Requires="wps">
            <w:drawing>
              <wp:anchor distT="0" distB="0" distL="114300" distR="114300" simplePos="0" relativeHeight="252772352" behindDoc="0" locked="0" layoutInCell="1" allowOverlap="1" wp14:anchorId="36E8A119" wp14:editId="1AD5F026">
                <wp:simplePos x="0" y="0"/>
                <wp:positionH relativeFrom="column">
                  <wp:posOffset>4343400</wp:posOffset>
                </wp:positionH>
                <wp:positionV relativeFrom="paragraph">
                  <wp:posOffset>2795270</wp:posOffset>
                </wp:positionV>
                <wp:extent cx="1943100" cy="1943100"/>
                <wp:effectExtent l="76200" t="76200" r="63500" b="63500"/>
                <wp:wrapNone/>
                <wp:docPr id="586" name="Rectangle à coins arrondis 586"/>
                <wp:cNvGraphicFramePr/>
                <a:graphic xmlns:a="http://schemas.openxmlformats.org/drawingml/2006/main">
                  <a:graphicData uri="http://schemas.microsoft.com/office/word/2010/wordprocessingShape">
                    <wps:wsp>
                      <wps:cNvSpPr/>
                      <wps:spPr>
                        <a:xfrm>
                          <a:off x="0" y="0"/>
                          <a:ext cx="1943100" cy="1943100"/>
                        </a:xfrm>
                        <a:prstGeom prst="roundRect">
                          <a:avLst/>
                        </a:prstGeom>
                        <a:solidFill>
                          <a:srgbClr val="FF67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0A71235" w14:textId="77777777" w:rsidR="00573C95" w:rsidRPr="0010682E" w:rsidRDefault="00573C95" w:rsidP="006C34CF">
                            <w:pPr>
                              <w:pStyle w:val="Paragraphedeliste"/>
                              <w:numPr>
                                <w:ilvl w:val="0"/>
                                <w:numId w:val="77"/>
                              </w:numPr>
                              <w:rPr>
                                <w:color w:val="000000"/>
                              </w:rPr>
                            </w:pPr>
                            <w:r w:rsidRPr="0010682E">
                              <w:rPr>
                                <w:color w:val="000000"/>
                              </w:rPr>
                              <w:t>Payé comptant</w:t>
                            </w:r>
                          </w:p>
                          <w:p w14:paraId="74722B21" w14:textId="672C2666" w:rsidR="00573C95" w:rsidRPr="0010682E" w:rsidRDefault="00573C95" w:rsidP="006C34CF">
                            <w:pPr>
                              <w:pStyle w:val="Paragraphedeliste"/>
                              <w:numPr>
                                <w:ilvl w:val="0"/>
                                <w:numId w:val="77"/>
                              </w:numPr>
                              <w:rPr>
                                <w:color w:val="000000"/>
                              </w:rPr>
                            </w:pPr>
                            <w:r w:rsidRPr="0010682E">
                              <w:rPr>
                                <w:color w:val="000000"/>
                              </w:rPr>
                              <w:t>RAP</w:t>
                            </w:r>
                          </w:p>
                          <w:p w14:paraId="7AC1F342" w14:textId="085588A6" w:rsidR="00573C95" w:rsidRPr="0010682E" w:rsidRDefault="00573C95" w:rsidP="006C34CF">
                            <w:pPr>
                              <w:pStyle w:val="Paragraphedeliste"/>
                              <w:numPr>
                                <w:ilvl w:val="0"/>
                                <w:numId w:val="77"/>
                              </w:numPr>
                              <w:rPr>
                                <w:color w:val="000000"/>
                              </w:rPr>
                            </w:pPr>
                            <w:r w:rsidRPr="0010682E">
                              <w:rPr>
                                <w:color w:val="000000"/>
                              </w:rPr>
                              <w:t>Prêt hypothécaire</w:t>
                            </w:r>
                          </w:p>
                        </w:txbxContent>
                      </wps:txbx>
                      <wps:bodyPr anchor="t" anchorCtr="0"/>
                    </wps:wsp>
                  </a:graphicData>
                </a:graphic>
                <wp14:sizeRelH relativeFrom="margin">
                  <wp14:pctWidth>0</wp14:pctWidth>
                </wp14:sizeRelH>
                <wp14:sizeRelV relativeFrom="margin">
                  <wp14:pctHeight>0</wp14:pctHeight>
                </wp14:sizeRelV>
              </wp:anchor>
            </w:drawing>
          </mc:Choice>
          <mc:Fallback>
            <w:pict>
              <v:roundrect id="Rectangle à coins arrondis 586" o:spid="_x0000_s1381" style="position:absolute;margin-left:342pt;margin-top:220.1pt;width:153pt;height:153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" fillcolor="#ff6700">
                <v:textbox>
                  <w:txbxContent>
                    <w:p w14:paraId="10A71235" w14:textId="77777777" w:rsidR="001501D6" w:rsidRPr="0010682E" w:rsidRDefault="001501D6" w:rsidP="006C34CF">
                      <w:pPr>
                        <w:pStyle w:val="Paragraphedeliste"/>
                        <w:numPr>
                          <w:ilvl w:val="0"/>
                          <w:numId w:val="77"/>
                        </w:numPr>
                        <w:rPr>
                          <w:color w:val="000000"/>
                        </w:rPr>
                      </w:pPr>
                      <w:r w:rsidRPr="0010682E">
                        <w:rPr>
                          <w:color w:val="000000"/>
                        </w:rPr>
                        <w:t>Payé comptant</w:t>
                      </w:r>
                    </w:p>
                    <w:p w14:paraId="74722B21" w14:textId="672C2666" w:rsidR="001501D6" w:rsidRPr="0010682E" w:rsidRDefault="001501D6" w:rsidP="006C34CF">
                      <w:pPr>
                        <w:pStyle w:val="Paragraphedeliste"/>
                        <w:numPr>
                          <w:ilvl w:val="0"/>
                          <w:numId w:val="77"/>
                        </w:numPr>
                        <w:rPr>
                          <w:color w:val="000000"/>
                        </w:rPr>
                      </w:pPr>
                      <w:r w:rsidRPr="0010682E">
                        <w:rPr>
                          <w:color w:val="000000"/>
                        </w:rPr>
                        <w:t>RAP</w:t>
                      </w:r>
                    </w:p>
                    <w:p w14:paraId="7AC1F342" w14:textId="085588A6" w:rsidR="001501D6" w:rsidRPr="0010682E" w:rsidRDefault="001501D6" w:rsidP="006C34CF">
                      <w:pPr>
                        <w:pStyle w:val="Paragraphedeliste"/>
                        <w:numPr>
                          <w:ilvl w:val="0"/>
                          <w:numId w:val="77"/>
                        </w:numPr>
                        <w:rPr>
                          <w:color w:val="000000"/>
                        </w:rPr>
                      </w:pPr>
                      <w:r w:rsidRPr="0010682E">
                        <w:rPr>
                          <w:color w:val="000000"/>
                        </w:rPr>
                        <w:t>Prêt hypothécaire</w:t>
                      </w:r>
                    </w:p>
                  </w:txbxContent>
                </v:textbox>
              </v:roundrect>
            </w:pict>
          </mc:Fallback>
        </mc:AlternateContent>
      </w:r>
      <w:r w:rsidR="00D34E8A">
        <w:rPr>
          <w:noProof/>
          <w:lang w:eastAsia="fr-FR"/>
        </w:rPr>
        <mc:AlternateContent>
          <mc:Choice Requires="wps">
            <w:drawing>
              <wp:anchor distT="0" distB="0" distL="114300" distR="114300" simplePos="0" relativeHeight="252753920" behindDoc="0" locked="0" layoutInCell="1" allowOverlap="1" wp14:anchorId="54F15ECF" wp14:editId="3C591FBC">
                <wp:simplePos x="0" y="0"/>
                <wp:positionH relativeFrom="column">
                  <wp:posOffset>2057400</wp:posOffset>
                </wp:positionH>
                <wp:positionV relativeFrom="paragraph">
                  <wp:posOffset>0</wp:posOffset>
                </wp:positionV>
                <wp:extent cx="1943100" cy="1943100"/>
                <wp:effectExtent l="76200" t="76200" r="63500" b="63500"/>
                <wp:wrapNone/>
                <wp:docPr id="556" name="Ellipse 556"/>
                <wp:cNvGraphicFramePr/>
                <a:graphic xmlns:a="http://schemas.openxmlformats.org/drawingml/2006/main">
                  <a:graphicData uri="http://schemas.microsoft.com/office/word/2010/wordprocessingShape">
                    <wps:wsp>
                      <wps:cNvSpPr/>
                      <wps:spPr>
                        <a:xfrm>
                          <a:off x="0" y="0"/>
                          <a:ext cx="1943100" cy="1943100"/>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3612601" w14:textId="4D094F29" w:rsidR="00573C95" w:rsidRPr="002113F4" w:rsidRDefault="00573C95" w:rsidP="00357AAC">
                            <w:pPr>
                              <w:jc w:val="center"/>
                              <w:rPr>
                                <w:color w:val="000000"/>
                              </w:rPr>
                            </w:pPr>
                            <w:r w:rsidRPr="002113F4">
                              <w:rPr>
                                <w:color w:val="000000"/>
                              </w:rPr>
                              <w:t>Biens personnels durables</w:t>
                            </w:r>
                            <w:r>
                              <w:rPr>
                                <w:color w:val="000000"/>
                              </w:rPr>
                              <w:t xml:space="preserve"> (meubles, auto, ordinateur)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556" o:spid="_x0000_s1382" style="position:absolute;margin-left:162pt;margin-top:0;width:153pt;height:153pt;z-index:2527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" fillcolor="#94c600 [3204]">
                <v:fill color2="#84b100 [2884]" rotate="t" focus="100%" type="gradient">
                  <o:fill v:ext="view" type="gradientUnscaled"/>
                </v:fill>
                <v:textbox>
                  <w:txbxContent>
                    <w:p w14:paraId="13612601" w14:textId="4D094F29" w:rsidR="001501D6" w:rsidRPr="002113F4" w:rsidRDefault="001501D6" w:rsidP="00357AAC">
                      <w:pPr>
                        <w:jc w:val="center"/>
                        <w:rPr>
                          <w:color w:val="000000"/>
                        </w:rPr>
                      </w:pPr>
                      <w:r w:rsidRPr="002113F4">
                        <w:rPr>
                          <w:color w:val="000000"/>
                        </w:rPr>
                        <w:t>Biens personnels durables</w:t>
                      </w:r>
                      <w:r>
                        <w:rPr>
                          <w:color w:val="000000"/>
                        </w:rPr>
                        <w:t xml:space="preserve"> (meubles, auto, ordinateur)</w:t>
                      </w:r>
                    </w:p>
                  </w:txbxContent>
                </v:textbox>
              </v:oval>
            </w:pict>
          </mc:Fallback>
        </mc:AlternateContent>
      </w:r>
      <w:r w:rsidR="00D34E8A">
        <w:rPr>
          <w:noProof/>
          <w:lang w:eastAsia="fr-FR"/>
        </w:rPr>
        <mc:AlternateContent>
          <mc:Choice Requires="wps">
            <w:drawing>
              <wp:anchor distT="0" distB="0" distL="114300" distR="114300" simplePos="0" relativeHeight="252761088" behindDoc="0" locked="0" layoutInCell="1" allowOverlap="1" wp14:anchorId="556B7918" wp14:editId="37182281">
                <wp:simplePos x="0" y="0"/>
                <wp:positionH relativeFrom="column">
                  <wp:posOffset>571500</wp:posOffset>
                </wp:positionH>
                <wp:positionV relativeFrom="paragraph">
                  <wp:posOffset>-571500</wp:posOffset>
                </wp:positionV>
                <wp:extent cx="7200900" cy="914400"/>
                <wp:effectExtent l="0" t="0" r="0" b="0"/>
                <wp:wrapSquare wrapText="bothSides"/>
                <wp:docPr id="563" name="Zone de texte 563"/>
                <wp:cNvGraphicFramePr/>
                <a:graphic xmlns:a="http://schemas.openxmlformats.org/drawingml/2006/main">
                  <a:graphicData uri="http://schemas.microsoft.com/office/word/2010/wordprocessingShape">
                    <wps:wsp>
                      <wps:cNvSpPr txBox="1"/>
                      <wps:spPr>
                        <a:xfrm>
                          <a:off x="0" y="0"/>
                          <a:ext cx="7200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07C65D" w14:textId="1FE60775" w:rsidR="00573C95" w:rsidRPr="00313FE1" w:rsidRDefault="00573C95" w:rsidP="00313FE1">
                            <w:pPr>
                              <w:jc w:val="center"/>
                              <w:rPr>
                                <w:sz w:val="32"/>
                                <w:szCs w:val="32"/>
                              </w:rPr>
                            </w:pPr>
                            <w:r w:rsidRPr="00313FE1">
                              <w:rPr>
                                <w:sz w:val="32"/>
                                <w:szCs w:val="32"/>
                              </w:rPr>
                              <w:t>LES TYPES D'ACQUISITION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563" o:spid="_x0000_s1383" type="#_x0000_t202" style="position:absolute;margin-left:45pt;margin-top:-44.95pt;width:567pt;height:1in;z-index:25276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" filled="f" stroked="f">
                <v:textbox>
                  <w:txbxContent>
                    <w:p w14:paraId="6407C65D" w14:textId="1FE60775" w:rsidR="001501D6" w:rsidRPr="00313FE1" w:rsidRDefault="001501D6" w:rsidP="00313FE1">
                      <w:pPr>
                        <w:jc w:val="center"/>
                        <w:rPr>
                          <w:sz w:val="32"/>
                          <w:szCs w:val="32"/>
                        </w:rPr>
                      </w:pPr>
                      <w:r w:rsidRPr="00313FE1">
                        <w:rPr>
                          <w:sz w:val="32"/>
                          <w:szCs w:val="32"/>
                        </w:rPr>
                        <w:t>LES TYPES D'ACQUISITION</w:t>
                      </w:r>
                    </w:p>
                  </w:txbxContent>
                </v:textbox>
                <w10:wrap type="square"/>
              </v:shape>
            </w:pict>
          </mc:Fallback>
        </mc:AlternateContent>
      </w:r>
      <w:r w:rsidR="00D34E8A">
        <w:rPr>
          <w:noProof/>
          <w:lang w:eastAsia="fr-FR"/>
        </w:rPr>
        <mc:AlternateContent>
          <mc:Choice Requires="wps">
            <w:drawing>
              <wp:anchor distT="0" distB="0" distL="114300" distR="114300" simplePos="0" relativeHeight="252755968" behindDoc="0" locked="0" layoutInCell="1" allowOverlap="1" wp14:anchorId="2CA6558B" wp14:editId="3F4E268D">
                <wp:simplePos x="0" y="0"/>
                <wp:positionH relativeFrom="column">
                  <wp:posOffset>4343400</wp:posOffset>
                </wp:positionH>
                <wp:positionV relativeFrom="paragraph">
                  <wp:posOffset>0</wp:posOffset>
                </wp:positionV>
                <wp:extent cx="1943100" cy="1943100"/>
                <wp:effectExtent l="76200" t="76200" r="63500" b="63500"/>
                <wp:wrapNone/>
                <wp:docPr id="557" name="Ellipse 557"/>
                <wp:cNvGraphicFramePr/>
                <a:graphic xmlns:a="http://schemas.openxmlformats.org/drawingml/2006/main">
                  <a:graphicData uri="http://schemas.microsoft.com/office/word/2010/wordprocessingShape">
                    <wps:wsp>
                      <wps:cNvSpPr/>
                      <wps:spPr>
                        <a:xfrm>
                          <a:off x="0" y="0"/>
                          <a:ext cx="1943100" cy="1943100"/>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04CC5F" w14:textId="37E7423C" w:rsidR="00573C95" w:rsidRPr="002113F4" w:rsidRDefault="00573C95" w:rsidP="00357AAC">
                            <w:pPr>
                              <w:jc w:val="center"/>
                              <w:rPr>
                                <w:color w:val="000000"/>
                              </w:rPr>
                            </w:pPr>
                            <w:r w:rsidRPr="002113F4">
                              <w:rPr>
                                <w:color w:val="000000"/>
                              </w:rPr>
                              <w:t>Résidence</w:t>
                            </w:r>
                            <w:r>
                              <w:rPr>
                                <w:color w:val="000000"/>
                              </w:rPr>
                              <w:t>s (principale, chalet, rénovations)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557" o:spid="_x0000_s1384" style="position:absolute;margin-left:342pt;margin-top:0;width:153pt;height:153pt;z-index:25275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" fillcolor="#94c600 [3204]">
                <v:fill color2="#84b100 [2884]" rotate="t" focus="100%" type="gradient">
                  <o:fill v:ext="view" type="gradientUnscaled"/>
                </v:fill>
                <v:textbox>
                  <w:txbxContent>
                    <w:p w14:paraId="6204CC5F" w14:textId="37E7423C" w:rsidR="001501D6" w:rsidRPr="002113F4" w:rsidRDefault="001501D6" w:rsidP="00357AAC">
                      <w:pPr>
                        <w:jc w:val="center"/>
                        <w:rPr>
                          <w:color w:val="000000"/>
                        </w:rPr>
                      </w:pPr>
                      <w:r w:rsidRPr="002113F4">
                        <w:rPr>
                          <w:color w:val="000000"/>
                        </w:rPr>
                        <w:t>Résidence</w:t>
                      </w:r>
                      <w:r>
                        <w:rPr>
                          <w:color w:val="000000"/>
                        </w:rPr>
                        <w:t>s (principale, chalet, rénovations)</w:t>
                      </w:r>
                    </w:p>
                  </w:txbxContent>
                </v:textbox>
              </v:oval>
            </w:pict>
          </mc:Fallback>
        </mc:AlternateContent>
      </w:r>
      <w:r w:rsidR="00D34E8A">
        <w:rPr>
          <w:noProof/>
          <w:lang w:eastAsia="fr-FR"/>
        </w:rPr>
        <mc:AlternateContent>
          <mc:Choice Requires="wps">
            <w:drawing>
              <wp:anchor distT="0" distB="0" distL="114300" distR="114300" simplePos="0" relativeHeight="252758016" behindDoc="0" locked="0" layoutInCell="1" allowOverlap="1" wp14:anchorId="7B93A11E" wp14:editId="7F09AAFC">
                <wp:simplePos x="0" y="0"/>
                <wp:positionH relativeFrom="column">
                  <wp:posOffset>6629400</wp:posOffset>
                </wp:positionH>
                <wp:positionV relativeFrom="paragraph">
                  <wp:posOffset>0</wp:posOffset>
                </wp:positionV>
                <wp:extent cx="1943100" cy="1943100"/>
                <wp:effectExtent l="76200" t="76200" r="63500" b="63500"/>
                <wp:wrapNone/>
                <wp:docPr id="561" name="Ellipse 561"/>
                <wp:cNvGraphicFramePr/>
                <a:graphic xmlns:a="http://schemas.openxmlformats.org/drawingml/2006/main">
                  <a:graphicData uri="http://schemas.microsoft.com/office/word/2010/wordprocessingShape">
                    <wps:wsp>
                      <wps:cNvSpPr/>
                      <wps:spPr>
                        <a:xfrm>
                          <a:off x="0" y="0"/>
                          <a:ext cx="1943100" cy="1943100"/>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60F7340" w14:textId="5B984ABC" w:rsidR="00573C95" w:rsidRPr="002113F4" w:rsidRDefault="00573C95" w:rsidP="00313FE1">
                            <w:pPr>
                              <w:jc w:val="center"/>
                              <w:rPr>
                                <w:color w:val="000000"/>
                              </w:rPr>
                            </w:pPr>
                            <w:r w:rsidRPr="002113F4">
                              <w:rPr>
                                <w:color w:val="000000"/>
                              </w:rPr>
                              <w:t>Investissements</w:t>
                            </w:r>
                            <w:r>
                              <w:rPr>
                                <w:color w:val="000000"/>
                              </w:rPr>
                              <w:t xml:space="preserve"> (placements, immeubles locatifs, entreprise, études)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561" o:spid="_x0000_s1385" style="position:absolute;margin-left:522pt;margin-top:0;width:153pt;height:153pt;z-index:2527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" fillcolor="#94c600 [3204]">
                <v:fill color2="#84b100 [2884]" rotate="t" focus="100%" type="gradient">
                  <o:fill v:ext="view" type="gradientUnscaled"/>
                </v:fill>
                <v:textbox>
                  <w:txbxContent>
                    <w:p w14:paraId="660F7340" w14:textId="5B984ABC" w:rsidR="001501D6" w:rsidRPr="002113F4" w:rsidRDefault="001501D6" w:rsidP="00313FE1">
                      <w:pPr>
                        <w:jc w:val="center"/>
                        <w:rPr>
                          <w:color w:val="000000"/>
                        </w:rPr>
                      </w:pPr>
                      <w:r w:rsidRPr="002113F4">
                        <w:rPr>
                          <w:color w:val="000000"/>
                        </w:rPr>
                        <w:t>Investissements</w:t>
                      </w:r>
                      <w:r>
                        <w:rPr>
                          <w:color w:val="000000"/>
                        </w:rPr>
                        <w:t xml:space="preserve"> (placements, immeubles locatifs, entreprise, études)</w:t>
                      </w:r>
                    </w:p>
                  </w:txbxContent>
                </v:textbox>
              </v:oval>
            </w:pict>
          </mc:Fallback>
        </mc:AlternateContent>
      </w:r>
      <w:r w:rsidR="005E3175">
        <w:br w:type="page"/>
      </w:r>
    </w:p>
    <w:p w14:paraId="4D80E003" w14:textId="058FAA78" w:rsidR="00414A44" w:rsidRDefault="00EF72AA" w:rsidP="00414A44">
      <w:pPr>
        <w:jc w:val="both"/>
      </w:pPr>
      <w:r>
        <w:rPr>
          <w:noProof/>
          <w:lang w:eastAsia="fr-FR"/>
        </w:rPr>
        <w:lastRenderedPageBreak/>
        <mc:AlternateContent>
          <mc:Choice Requires="wps">
            <w:drawing>
              <wp:anchor distT="0" distB="0" distL="114300" distR="114300" simplePos="0" relativeHeight="252832768" behindDoc="0" locked="0" layoutInCell="1" allowOverlap="1" wp14:anchorId="738B7A5C" wp14:editId="2B0F19D6">
                <wp:simplePos x="0" y="0"/>
                <wp:positionH relativeFrom="column">
                  <wp:posOffset>-685800</wp:posOffset>
                </wp:positionH>
                <wp:positionV relativeFrom="paragraph">
                  <wp:posOffset>-114300</wp:posOffset>
                </wp:positionV>
                <wp:extent cx="457200" cy="457200"/>
                <wp:effectExtent l="0" t="0" r="25400" b="25400"/>
                <wp:wrapNone/>
                <wp:docPr id="611" name="Ellipse 611"/>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D29CEC4" w14:textId="77777777" w:rsidR="00573C95" w:rsidRPr="00BF5FC4" w:rsidRDefault="00573C95" w:rsidP="00EF72AA">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11" o:spid="_x0000_s1386" style="position:absolute;left:0;text-align:left;margin-left:-53.95pt;margin-top:-8.95pt;width:36pt;height:36pt;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" fillcolor="black [3200]" strokecolor="white [3201]" strokeweight="1.75pt">
                <v:textbox>
                  <w:txbxContent>
                    <w:p w14:paraId="6D29CEC4" w14:textId="77777777" w:rsidR="001501D6" w:rsidRPr="00BF5FC4" w:rsidRDefault="001501D6" w:rsidP="00EF72AA">
                      <w:pPr>
                        <w:jc w:val="center"/>
                        <w:rPr>
                          <w:color w:val="FFFFFF" w:themeColor="background1"/>
                        </w:rPr>
                      </w:pPr>
                      <w:r w:rsidRPr="00BF5FC4">
                        <w:rPr>
                          <w:color w:val="FFFFFF" w:themeColor="background1"/>
                        </w:rPr>
                        <w:t xml:space="preserve">1 </w:t>
                      </w:r>
                    </w:p>
                  </w:txbxContent>
                </v:textbox>
              </v:oval>
            </w:pict>
          </mc:Fallback>
        </mc:AlternateContent>
      </w:r>
      <w:r w:rsidR="00414A44">
        <w:t xml:space="preserve">Au </w:t>
      </w:r>
      <w:r w:rsidR="00414A44" w:rsidRPr="00414A44">
        <w:rPr>
          <w:color w:val="FF6700" w:themeColor="accent3"/>
        </w:rPr>
        <w:t>QUOTIDIEN</w:t>
      </w:r>
      <w:r w:rsidR="00414A44">
        <w:t>, tous devraient être en mesure de s'acquitter de ses dépenses au comptant</w:t>
      </w:r>
      <w:r w:rsidR="004E7398">
        <w:t xml:space="preserve"> (carte débit)</w:t>
      </w:r>
      <w:r w:rsidR="00414A44">
        <w:t xml:space="preserve"> ou en utilisant, </w:t>
      </w:r>
      <w:r w:rsidR="00414A44" w:rsidRPr="009F4E92">
        <w:rPr>
          <w:u w:val="single"/>
        </w:rPr>
        <w:t>comme outil de paiement et non de financement</w:t>
      </w:r>
      <w:r w:rsidR="00414A44">
        <w:t xml:space="preserve">, une carte de crédit. Pour citer l'ex premier ministre Jacques Parizeau, </w:t>
      </w:r>
      <w:r w:rsidR="00BF529B">
        <w:t xml:space="preserve">en parlant de l'état québécois, </w:t>
      </w:r>
      <w:r w:rsidR="004E7398">
        <w:t>si l'emprunt peut être concevable pour faire l'acquisition de biens essentiels qui ont une portée à long terme, il existe un véritable problème structurel à emprunter pour payer l'épicerie</w:t>
      </w:r>
      <w:r w:rsidR="0090358E">
        <w:t>! Les gens en ont pas toujours la conviction, mais à partir du moment où l'ensemble des soldes de cartes de crédit et des marges de crédits augmentent, année après année, sans la création d'un actif durable</w:t>
      </w:r>
      <w:r w:rsidR="004E7398">
        <w:t xml:space="preserve"> </w:t>
      </w:r>
      <w:r w:rsidR="0090358E">
        <w:t xml:space="preserve">doté d'un potentiel de croissance de sa valeur, et bien, </w:t>
      </w:r>
      <w:r w:rsidR="0090358E" w:rsidRPr="0090358E">
        <w:rPr>
          <w:color w:val="FF6700" w:themeColor="accent3"/>
        </w:rPr>
        <w:t>ON EMPRUNTE POUR PAYER L'ÉPICERIE</w:t>
      </w:r>
      <w:r w:rsidR="0090358E">
        <w:t>.</w:t>
      </w:r>
    </w:p>
    <w:p w14:paraId="1FC19513" w14:textId="77777777" w:rsidR="0090358E" w:rsidRDefault="0090358E" w:rsidP="00414A44">
      <w:pPr>
        <w:jc w:val="both"/>
      </w:pPr>
    </w:p>
    <w:p w14:paraId="6080B7DE" w14:textId="5DA4D26F" w:rsidR="0090358E" w:rsidRDefault="0090358E" w:rsidP="00414A44">
      <w:pPr>
        <w:jc w:val="both"/>
      </w:pPr>
      <w:r>
        <w:t>Nous allons parcourir les trois modes de financement les plus courant</w:t>
      </w:r>
      <w:r w:rsidR="006E7050">
        <w:t>s</w:t>
      </w:r>
      <w:r>
        <w:t xml:space="preserve"> au quotidien. </w:t>
      </w:r>
    </w:p>
    <w:p w14:paraId="1E082BDA" w14:textId="77777777" w:rsidR="009266A2" w:rsidRDefault="009266A2" w:rsidP="00414A44">
      <w:pPr>
        <w:jc w:val="both"/>
      </w:pPr>
    </w:p>
    <w:p w14:paraId="3A8709E3" w14:textId="712EDBB4" w:rsidR="009266A2" w:rsidRDefault="009266A2" w:rsidP="006C34CF">
      <w:pPr>
        <w:pStyle w:val="Paragraphedeliste"/>
        <w:numPr>
          <w:ilvl w:val="0"/>
          <w:numId w:val="78"/>
        </w:numPr>
        <w:jc w:val="both"/>
        <w:rPr>
          <w:color w:val="FF6700" w:themeColor="accent3"/>
        </w:rPr>
      </w:pPr>
      <w:r>
        <w:rPr>
          <w:color w:val="FF6700" w:themeColor="accent3"/>
        </w:rPr>
        <w:t>Cartes de crédit</w:t>
      </w:r>
    </w:p>
    <w:p w14:paraId="36AD6394" w14:textId="77777777" w:rsidR="007976C8" w:rsidRPr="007976C8" w:rsidRDefault="007976C8" w:rsidP="007976C8">
      <w:pPr>
        <w:ind w:left="360"/>
        <w:jc w:val="both"/>
        <w:rPr>
          <w:color w:val="FF6700" w:themeColor="accent3"/>
        </w:rPr>
      </w:pPr>
    </w:p>
    <w:p w14:paraId="11CF62B0" w14:textId="0E3EF9CF" w:rsidR="00D817D6" w:rsidRDefault="007976C8" w:rsidP="007976C8">
      <w:pPr>
        <w:jc w:val="both"/>
      </w:pPr>
      <w:r>
        <w:t xml:space="preserve">Les offres de cartes de crédit sont innombrables </w:t>
      </w:r>
      <w:r w:rsidR="00416107">
        <w:t>et ne sont pas de nature bienveillante pour les adhér</w:t>
      </w:r>
      <w:r w:rsidR="00C54732">
        <w:t>e</w:t>
      </w:r>
      <w:r w:rsidR="00416107">
        <w:t>nt</w:t>
      </w:r>
      <w:r w:rsidR="00C54732">
        <w:t>s</w:t>
      </w:r>
      <w:r w:rsidR="00416107">
        <w:t>.</w:t>
      </w:r>
      <w:r w:rsidR="00C54732">
        <w:t xml:space="preserve"> Les taux d'intérêt sont très élevés (au-delà de 20 % parfois). Ceux-ci s'applique</w:t>
      </w:r>
      <w:r w:rsidR="006E7050">
        <w:t>nt</w:t>
      </w:r>
      <w:r w:rsidR="00C54732">
        <w:t xml:space="preserve"> à tous les achats qui ne sont pas complètement acquittés au moment de l'échéance du solde de la carte de crédit (au 30 jours). Le calcul des intérêts est alors rétroactif à la date de l'achat (et non en fonction de l'exigibilité du solde à payer de la carte de crédit</w:t>
      </w:r>
      <w:r w:rsidR="00D817D6">
        <w:t xml:space="preserve">). L'acquittement du solde minimum exigible mensuellement initie cet onéreux cycle infernal du paiement d'intérêts sur les cartes de crédit. </w:t>
      </w:r>
      <w:r w:rsidR="00D41339">
        <w:t>Les cartes de crédit n'exige</w:t>
      </w:r>
      <w:r w:rsidR="006E7050">
        <w:t>nt</w:t>
      </w:r>
      <w:r w:rsidR="00D41339">
        <w:t xml:space="preserve"> pas de garanties de la part du détenteur.</w:t>
      </w:r>
      <w:r w:rsidR="00D817D6">
        <w:t xml:space="preserve"> </w:t>
      </w:r>
    </w:p>
    <w:p w14:paraId="7BBB9CC0" w14:textId="77777777" w:rsidR="00D817D6" w:rsidRDefault="00D817D6" w:rsidP="007976C8">
      <w:pPr>
        <w:jc w:val="both"/>
      </w:pPr>
    </w:p>
    <w:p w14:paraId="34D204C0" w14:textId="67797F36" w:rsidR="007976C8" w:rsidRDefault="00416107" w:rsidP="007976C8">
      <w:pPr>
        <w:jc w:val="both"/>
      </w:pPr>
      <w:r>
        <w:t>En réalité le mode de fonctionnement à adopter à l'égard des ces produits de crédit est extrêmement simple:</w:t>
      </w:r>
    </w:p>
    <w:p w14:paraId="37E3C9E8" w14:textId="77777777" w:rsidR="00416107" w:rsidRDefault="00416107" w:rsidP="007976C8">
      <w:pPr>
        <w:jc w:val="both"/>
      </w:pPr>
    </w:p>
    <w:p w14:paraId="100FD972" w14:textId="6C1D91D4" w:rsidR="00416107" w:rsidRDefault="00416107" w:rsidP="006C34CF">
      <w:pPr>
        <w:pStyle w:val="Paragraphedeliste"/>
        <w:numPr>
          <w:ilvl w:val="0"/>
          <w:numId w:val="81"/>
        </w:numPr>
        <w:jc w:val="both"/>
      </w:pPr>
      <w:r>
        <w:t>Utilise</w:t>
      </w:r>
      <w:r w:rsidR="00DB0930">
        <w:t>z</w:t>
      </w:r>
      <w:r>
        <w:t xml:space="preserve"> la carte de crédit comme outil de paiement et non de financement (c'est-à-dire effectuer le paiement complet chaque mois).</w:t>
      </w:r>
      <w:r w:rsidR="003D0F75">
        <w:t xml:space="preserve"> Réglez tous vos achats de cette façon afin d'en faciliter la gestion, la comptabilisation et de maximiser votre plan de bonification. </w:t>
      </w:r>
    </w:p>
    <w:p w14:paraId="7937EDBA" w14:textId="77777777" w:rsidR="00416107" w:rsidRDefault="00416107" w:rsidP="00416107">
      <w:pPr>
        <w:jc w:val="both"/>
      </w:pPr>
    </w:p>
    <w:p w14:paraId="4E0B857B" w14:textId="00ECD924" w:rsidR="00416107" w:rsidRDefault="00416107" w:rsidP="006C34CF">
      <w:pPr>
        <w:pStyle w:val="Paragraphedeliste"/>
        <w:numPr>
          <w:ilvl w:val="0"/>
          <w:numId w:val="81"/>
        </w:numPr>
        <w:jc w:val="both"/>
      </w:pPr>
      <w:r>
        <w:t>Posséde</w:t>
      </w:r>
      <w:r w:rsidR="00DB0930">
        <w:t>z</w:t>
      </w:r>
      <w:r>
        <w:t xml:space="preserve"> une seule carte de crédit (l'objectif est de payer, de comptabiliser à un seul endroit les opérations et non d'augmenter les sources de financement et affecter le dossier de crédit).</w:t>
      </w:r>
    </w:p>
    <w:p w14:paraId="1F0868BB" w14:textId="77777777" w:rsidR="00416107" w:rsidRDefault="00416107" w:rsidP="00416107">
      <w:pPr>
        <w:jc w:val="both"/>
      </w:pPr>
    </w:p>
    <w:p w14:paraId="6F2CAB16" w14:textId="5E5B33F0" w:rsidR="00416107" w:rsidRDefault="00416107" w:rsidP="006C34CF">
      <w:pPr>
        <w:pStyle w:val="Paragraphedeliste"/>
        <w:numPr>
          <w:ilvl w:val="0"/>
          <w:numId w:val="81"/>
        </w:numPr>
        <w:jc w:val="both"/>
      </w:pPr>
      <w:r>
        <w:lastRenderedPageBreak/>
        <w:t xml:space="preserve"> Utilise</w:t>
      </w:r>
      <w:r w:rsidR="00DB0930">
        <w:t>z</w:t>
      </w:r>
      <w:r>
        <w:t xml:space="preserve"> une carte de crédit sans frais (vous n'avez pas besoin d'une carte de crédit avec des frais et dont les intérêts sont moins élevés puisque vous ne payez pas d'intérêts, puisque vous assume</w:t>
      </w:r>
      <w:r w:rsidR="006E7050">
        <w:t>z</w:t>
      </w:r>
      <w:r>
        <w:t xml:space="preserve"> pleinement vos soldes chaque mois).</w:t>
      </w:r>
    </w:p>
    <w:p w14:paraId="2FFEA3F0" w14:textId="77777777" w:rsidR="00416107" w:rsidRDefault="00416107" w:rsidP="00416107">
      <w:pPr>
        <w:jc w:val="both"/>
      </w:pPr>
    </w:p>
    <w:p w14:paraId="55C00180" w14:textId="6BE4709A" w:rsidR="00416107" w:rsidRDefault="00416107" w:rsidP="006C34CF">
      <w:pPr>
        <w:pStyle w:val="Paragraphedeliste"/>
        <w:numPr>
          <w:ilvl w:val="0"/>
          <w:numId w:val="81"/>
        </w:numPr>
        <w:jc w:val="both"/>
      </w:pPr>
      <w:r>
        <w:t xml:space="preserve"> Évalue</w:t>
      </w:r>
      <w:r w:rsidR="00DB0930">
        <w:t>z</w:t>
      </w:r>
      <w:r>
        <w:t xml:space="preserve"> et choisissez la carte offrant la meilleur</w:t>
      </w:r>
      <w:r w:rsidR="006E7050">
        <w:t>e</w:t>
      </w:r>
      <w:r>
        <w:t xml:space="preserve"> offre de programme boni (Air miles, </w:t>
      </w:r>
      <w:r w:rsidR="004F5112">
        <w:t>Aéropl</w:t>
      </w:r>
      <w:r>
        <w:t>an,</w:t>
      </w:r>
      <w:r w:rsidR="004F5112">
        <w:t xml:space="preserve"> etc.) et utiliser cette bonification comme de l'argent liquide pour payer des biens essentiels (essence, épicerie) et non pour se créer de nouveaux besoins en se disant que c'est gratuit (rien n'est gratuit).</w:t>
      </w:r>
      <w:r>
        <w:t xml:space="preserve"> </w:t>
      </w:r>
    </w:p>
    <w:p w14:paraId="19F789B5" w14:textId="5EF3BADA" w:rsidR="0054625C" w:rsidRDefault="0054625C" w:rsidP="00D817D6">
      <w:pPr>
        <w:jc w:val="both"/>
      </w:pPr>
      <w:r>
        <w:rPr>
          <w:noProof/>
          <w:lang w:eastAsia="fr-FR"/>
        </w:rPr>
        <w:drawing>
          <wp:anchor distT="0" distB="0" distL="114300" distR="114300" simplePos="0" relativeHeight="252784640" behindDoc="0" locked="0" layoutInCell="1" allowOverlap="1" wp14:anchorId="64924EA8" wp14:editId="42F0229E">
            <wp:simplePos x="0" y="0"/>
            <wp:positionH relativeFrom="column">
              <wp:posOffset>3314700</wp:posOffset>
            </wp:positionH>
            <wp:positionV relativeFrom="paragraph">
              <wp:posOffset>105410</wp:posOffset>
            </wp:positionV>
            <wp:extent cx="685800" cy="681990"/>
            <wp:effectExtent l="0" t="0" r="0" b="3810"/>
            <wp:wrapNone/>
            <wp:docPr id="568" name="Image 568" descr="Macintosh HD:Users:marcbachand:Desktop:Capture d’écran 2015-06-08 à 17.04.54.png">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86AA27F" w14:textId="77777777" w:rsidR="0054625C" w:rsidRDefault="0054625C" w:rsidP="00D817D6">
      <w:pPr>
        <w:jc w:val="both"/>
      </w:pPr>
    </w:p>
    <w:p w14:paraId="40B24B11" w14:textId="5E9CFE50" w:rsidR="0054625C" w:rsidRPr="006E7050" w:rsidRDefault="00573C95" w:rsidP="00D817D6">
      <w:pPr>
        <w:jc w:val="both"/>
        <w:rPr>
          <w:color w:val="FF6700" w:themeColor="accent3"/>
        </w:rPr>
      </w:pPr>
      <w:hyperlink r:id="rId141" w:history="1">
        <w:r w:rsidR="006E7050" w:rsidRPr="006E7050">
          <w:rPr>
            <w:rStyle w:val="Lienhypertexte"/>
            <w:color w:val="FF6700" w:themeColor="accent3"/>
          </w:rPr>
          <w:t>Outil de sélection de cartes de crédit</w:t>
        </w:r>
      </w:hyperlink>
    </w:p>
    <w:p w14:paraId="3DE8AF63" w14:textId="77777777" w:rsidR="0054625C" w:rsidRDefault="0054625C" w:rsidP="00D817D6">
      <w:pPr>
        <w:jc w:val="both"/>
      </w:pPr>
    </w:p>
    <w:p w14:paraId="5688F2AA" w14:textId="77777777" w:rsidR="006E7050" w:rsidRDefault="006E7050" w:rsidP="00D817D6">
      <w:pPr>
        <w:jc w:val="both"/>
      </w:pPr>
    </w:p>
    <w:p w14:paraId="6A427456" w14:textId="3010710D" w:rsidR="00D817D6" w:rsidRDefault="004F5112" w:rsidP="00D817D6">
      <w:pPr>
        <w:jc w:val="both"/>
      </w:pPr>
      <w:r>
        <w:t>L'usage et l'analyse des cartes de crédit se corse</w:t>
      </w:r>
      <w:r w:rsidR="006E7050">
        <w:t>nt</w:t>
      </w:r>
      <w:r>
        <w:t xml:space="preserve"> pour ceux et celles qui n'ont pas été à même de respecter les principes que nous venons tout juste d'énoncer. </w:t>
      </w:r>
      <w:r w:rsidR="004C29D6">
        <w:t>Nul</w:t>
      </w:r>
      <w:r w:rsidR="006E7050">
        <w:t xml:space="preserve"> </w:t>
      </w:r>
      <w:r w:rsidR="004C29D6">
        <w:t>besoin de se mettre la tête dans le sable, ils sont nombreux à être pris dans l'engrenage du financement par la pire des solutions de crédit; les cartes de crédit.</w:t>
      </w:r>
      <w:r w:rsidR="000A3F4D">
        <w:t xml:space="preserve"> </w:t>
      </w:r>
      <w:r w:rsidR="000A3F4D">
        <w:rPr>
          <w:lang w:val="fr-CA"/>
        </w:rPr>
        <w:t>En effet</w:t>
      </w:r>
      <w:r w:rsidR="006E7050">
        <w:rPr>
          <w:lang w:val="fr-CA"/>
        </w:rPr>
        <w:t>,</w:t>
      </w:r>
      <w:r w:rsidR="000A3F4D">
        <w:rPr>
          <w:lang w:val="fr-CA"/>
        </w:rPr>
        <w:t xml:space="preserve"> </w:t>
      </w:r>
      <w:r w:rsidR="000A3F4D" w:rsidRPr="00D41339">
        <w:rPr>
          <w:color w:val="FF6700" w:themeColor="accent3"/>
          <w:lang w:val="fr-CA"/>
        </w:rPr>
        <w:t>40 %</w:t>
      </w:r>
      <w:r w:rsidR="003B1BC8">
        <w:rPr>
          <w:rStyle w:val="Marquenotebasdepage"/>
          <w:lang w:val="fr-CA"/>
        </w:rPr>
        <w:footnoteReference w:customMarkFollows="1" w:id="75"/>
        <w:t>72</w:t>
      </w:r>
      <w:r w:rsidR="000A3F4D" w:rsidRPr="000A3F4D">
        <w:rPr>
          <w:lang w:val="fr-CA"/>
        </w:rPr>
        <w:t xml:space="preserve"> des Canadiens </w:t>
      </w:r>
      <w:r w:rsidR="003B769C" w:rsidRPr="00D41339">
        <w:rPr>
          <w:u w:val="single"/>
          <w:lang w:val="fr-CA"/>
        </w:rPr>
        <w:t xml:space="preserve">ne </w:t>
      </w:r>
      <w:r w:rsidR="000A3F4D" w:rsidRPr="00D41339">
        <w:rPr>
          <w:u w:val="single"/>
          <w:lang w:val="fr-CA"/>
        </w:rPr>
        <w:t>paient</w:t>
      </w:r>
      <w:r w:rsidR="003B769C" w:rsidRPr="00D41339">
        <w:rPr>
          <w:u w:val="single"/>
          <w:lang w:val="fr-CA"/>
        </w:rPr>
        <w:t xml:space="preserve"> pas</w:t>
      </w:r>
      <w:r w:rsidR="000A3F4D" w:rsidRPr="00D41339">
        <w:rPr>
          <w:u w:val="single"/>
          <w:lang w:val="fr-CA"/>
        </w:rPr>
        <w:t xml:space="preserve"> le solde mensuel entier sur leurs cartes de crédit</w:t>
      </w:r>
      <w:r w:rsidR="000A3F4D" w:rsidRPr="000A3F4D">
        <w:rPr>
          <w:lang w:val="fr-CA"/>
        </w:rPr>
        <w:t xml:space="preserve">, </w:t>
      </w:r>
      <w:r w:rsidR="003B769C">
        <w:rPr>
          <w:lang w:val="fr-CA"/>
        </w:rPr>
        <w:t xml:space="preserve">créant </w:t>
      </w:r>
      <w:r w:rsidR="000A3F4D" w:rsidRPr="000A3F4D">
        <w:rPr>
          <w:lang w:val="fr-CA"/>
        </w:rPr>
        <w:t xml:space="preserve">ainsi </w:t>
      </w:r>
      <w:r w:rsidR="003B769C">
        <w:rPr>
          <w:lang w:val="fr-CA"/>
        </w:rPr>
        <w:t xml:space="preserve">un </w:t>
      </w:r>
      <w:r w:rsidR="000A3F4D" w:rsidRPr="000A3F4D">
        <w:rPr>
          <w:lang w:val="fr-CA"/>
        </w:rPr>
        <w:t>endette</w:t>
      </w:r>
      <w:r w:rsidR="003B769C">
        <w:rPr>
          <w:lang w:val="fr-CA"/>
        </w:rPr>
        <w:t>ment</w:t>
      </w:r>
      <w:r w:rsidR="000A3F4D" w:rsidRPr="000A3F4D">
        <w:rPr>
          <w:lang w:val="fr-CA"/>
        </w:rPr>
        <w:t xml:space="preserve"> et </w:t>
      </w:r>
      <w:r w:rsidR="003B769C">
        <w:rPr>
          <w:lang w:val="fr-CA"/>
        </w:rPr>
        <w:t xml:space="preserve">une obligation </w:t>
      </w:r>
      <w:r w:rsidR="000A3F4D" w:rsidRPr="000A3F4D">
        <w:rPr>
          <w:lang w:val="fr-CA"/>
        </w:rPr>
        <w:t xml:space="preserve">de payer des </w:t>
      </w:r>
      <w:r w:rsidR="003B769C">
        <w:rPr>
          <w:lang w:val="fr-CA"/>
        </w:rPr>
        <w:t xml:space="preserve">intérêts à des </w:t>
      </w:r>
      <w:r w:rsidR="000A3F4D" w:rsidRPr="000A3F4D">
        <w:rPr>
          <w:lang w:val="fr-CA"/>
        </w:rPr>
        <w:t>taux d’int</w:t>
      </w:r>
      <w:r w:rsidR="003B769C">
        <w:rPr>
          <w:lang w:val="fr-CA"/>
        </w:rPr>
        <w:t>é</w:t>
      </w:r>
      <w:r w:rsidR="000A3F4D" w:rsidRPr="000A3F4D">
        <w:rPr>
          <w:lang w:val="fr-CA"/>
        </w:rPr>
        <w:t>r</w:t>
      </w:r>
      <w:r w:rsidR="003B769C">
        <w:rPr>
          <w:lang w:val="fr-CA"/>
        </w:rPr>
        <w:t>ê</w:t>
      </w:r>
      <w:r w:rsidR="000A3F4D" w:rsidRPr="000A3F4D">
        <w:rPr>
          <w:lang w:val="fr-CA"/>
        </w:rPr>
        <w:t>t</w:t>
      </w:r>
      <w:r w:rsidR="003B769C">
        <w:rPr>
          <w:lang w:val="fr-CA"/>
        </w:rPr>
        <w:t xml:space="preserve"> extrêmement élevés.</w:t>
      </w:r>
      <w:r w:rsidR="000A3F4D" w:rsidRPr="000A3F4D">
        <w:rPr>
          <w:lang w:val="fr-CA"/>
        </w:rPr>
        <w:t xml:space="preserve"> </w:t>
      </w:r>
      <w:r w:rsidR="003B1BC8">
        <w:rPr>
          <w:lang w:val="fr-CA"/>
        </w:rPr>
        <w:t>Pour ces gens, le plan de redressement peut s'avérer tout autant difficile que nécessaire. En voici les principales étapes:</w:t>
      </w:r>
    </w:p>
    <w:p w14:paraId="46F4DCBE" w14:textId="319567DF" w:rsidR="000A3F4D" w:rsidRPr="000A3F4D" w:rsidRDefault="000A3F4D" w:rsidP="000A3F4D">
      <w:pPr>
        <w:jc w:val="both"/>
        <w:rPr>
          <w:lang w:val="fr-CA"/>
        </w:rPr>
      </w:pPr>
    </w:p>
    <w:p w14:paraId="7815FA20" w14:textId="371416DD" w:rsidR="000A3F4D" w:rsidRDefault="00E812D7" w:rsidP="006C34CF">
      <w:pPr>
        <w:pStyle w:val="Paragraphedeliste"/>
        <w:numPr>
          <w:ilvl w:val="0"/>
          <w:numId w:val="82"/>
        </w:numPr>
        <w:jc w:val="both"/>
      </w:pPr>
      <w:r>
        <w:t>Remett</w:t>
      </w:r>
      <w:r w:rsidR="005C7836">
        <w:t>ez vos</w:t>
      </w:r>
      <w:r>
        <w:t xml:space="preserve"> cartes de crédit aux institutions financières.</w:t>
      </w:r>
    </w:p>
    <w:p w14:paraId="5DDA6E0A" w14:textId="77777777" w:rsidR="003B1BC8" w:rsidRDefault="003B1BC8" w:rsidP="003B1BC8">
      <w:pPr>
        <w:jc w:val="both"/>
      </w:pPr>
    </w:p>
    <w:p w14:paraId="1FBC5A44" w14:textId="01CDC9C2" w:rsidR="003B1BC8" w:rsidRDefault="005C7836" w:rsidP="006C34CF">
      <w:pPr>
        <w:pStyle w:val="Paragraphedeliste"/>
        <w:numPr>
          <w:ilvl w:val="0"/>
          <w:numId w:val="82"/>
        </w:numPr>
        <w:jc w:val="both"/>
      </w:pPr>
      <w:r>
        <w:t>Consolidez ou établissez des options de financement qui pourront réduire votre coût en intérêt. Les options devraient être envisagée</w:t>
      </w:r>
      <w:r w:rsidR="006E7050">
        <w:t>s</w:t>
      </w:r>
      <w:r>
        <w:t xml:space="preserve"> selon l'ordre suivant:</w:t>
      </w:r>
    </w:p>
    <w:p w14:paraId="7FD2D786" w14:textId="77777777" w:rsidR="005C7836" w:rsidRDefault="005C7836" w:rsidP="005C7836">
      <w:pPr>
        <w:ind w:left="720"/>
        <w:jc w:val="both"/>
      </w:pPr>
    </w:p>
    <w:p w14:paraId="4E5C783E" w14:textId="4EC1B646" w:rsidR="005C7836" w:rsidRDefault="005C7836" w:rsidP="006C34CF">
      <w:pPr>
        <w:pStyle w:val="Paragraphedeliste"/>
        <w:numPr>
          <w:ilvl w:val="1"/>
          <w:numId w:val="82"/>
        </w:numPr>
        <w:jc w:val="both"/>
      </w:pPr>
      <w:r>
        <w:t>Utilisation de vos placements ou liquidités (Fond</w:t>
      </w:r>
      <w:r w:rsidR="006E7050">
        <w:t>s</w:t>
      </w:r>
      <w:r>
        <w:t xml:space="preserve"> de prévoyance, CÉLI, RÉER)</w:t>
      </w:r>
    </w:p>
    <w:p w14:paraId="7A33FCCA" w14:textId="7A898340" w:rsidR="005C7836" w:rsidRDefault="005C7836" w:rsidP="006C34CF">
      <w:pPr>
        <w:pStyle w:val="Paragraphedeliste"/>
        <w:numPr>
          <w:ilvl w:val="1"/>
          <w:numId w:val="82"/>
        </w:numPr>
        <w:jc w:val="both"/>
      </w:pPr>
      <w:r>
        <w:t>Prise en charge d'une marge de crédit hypothécaire</w:t>
      </w:r>
    </w:p>
    <w:p w14:paraId="42EDC699" w14:textId="188973B0" w:rsidR="005C7836" w:rsidRDefault="005C7836" w:rsidP="006C34CF">
      <w:pPr>
        <w:pStyle w:val="Paragraphedeliste"/>
        <w:numPr>
          <w:ilvl w:val="1"/>
          <w:numId w:val="82"/>
        </w:numPr>
        <w:jc w:val="both"/>
      </w:pPr>
      <w:r>
        <w:t>Prise en charge d'un prêt personnel</w:t>
      </w:r>
    </w:p>
    <w:p w14:paraId="3F354AF6" w14:textId="50907793" w:rsidR="005C7836" w:rsidRDefault="005C7836" w:rsidP="006C34CF">
      <w:pPr>
        <w:pStyle w:val="Paragraphedeliste"/>
        <w:numPr>
          <w:ilvl w:val="1"/>
          <w:numId w:val="82"/>
        </w:numPr>
        <w:jc w:val="both"/>
      </w:pPr>
      <w:r>
        <w:t>Utilisation d'une carte de crédit à taux réduit malgré la présence de frais</w:t>
      </w:r>
    </w:p>
    <w:p w14:paraId="3752314E" w14:textId="77777777" w:rsidR="003B1BC8" w:rsidRDefault="003B1BC8" w:rsidP="003B1BC8">
      <w:pPr>
        <w:jc w:val="both"/>
      </w:pPr>
    </w:p>
    <w:p w14:paraId="673A4E55" w14:textId="485CB35A" w:rsidR="003B1BC8" w:rsidRDefault="005C7836" w:rsidP="006C34CF">
      <w:pPr>
        <w:pStyle w:val="Paragraphedeliste"/>
        <w:numPr>
          <w:ilvl w:val="0"/>
          <w:numId w:val="82"/>
        </w:numPr>
        <w:jc w:val="both"/>
      </w:pPr>
      <w:r>
        <w:t>Préparez un budget réaliste</w:t>
      </w:r>
      <w:r w:rsidR="00D41339">
        <w:t xml:space="preserve"> que vous respecterez</w:t>
      </w:r>
      <w:r>
        <w:t xml:space="preserve"> </w:t>
      </w:r>
      <w:r w:rsidR="00D41339">
        <w:t xml:space="preserve">et </w:t>
      </w:r>
      <w:r>
        <w:t xml:space="preserve">qui vous permettra de procéder à des remboursements réguliers de vos dettes. Identifiez le moment où vous serez libérés du poids de vos dettes. L'étape 2 n'aura aucune incidence si  la présente étape n'est pas accomplie avec </w:t>
      </w:r>
      <w:r w:rsidR="00D41339">
        <w:t>diligence et détermination.</w:t>
      </w:r>
    </w:p>
    <w:p w14:paraId="122A896B" w14:textId="77777777" w:rsidR="003B1BC8" w:rsidRDefault="003B1BC8" w:rsidP="003B1BC8">
      <w:pPr>
        <w:jc w:val="both"/>
      </w:pPr>
    </w:p>
    <w:p w14:paraId="04E6822D" w14:textId="62F34A1B" w:rsidR="003B1BC8" w:rsidRDefault="00D41339" w:rsidP="006C34CF">
      <w:pPr>
        <w:pStyle w:val="Paragraphedeliste"/>
        <w:numPr>
          <w:ilvl w:val="0"/>
          <w:numId w:val="82"/>
        </w:numPr>
        <w:jc w:val="both"/>
      </w:pPr>
      <w:r>
        <w:t>Une fois</w:t>
      </w:r>
      <w:r w:rsidR="006E7050">
        <w:t>,</w:t>
      </w:r>
      <w:r>
        <w:t xml:space="preserve"> l'état de vos finances à nouveau sous contrôle, inspirez-vous des étapes de bonnes gestions de cartes de crédit que nous avons établi</w:t>
      </w:r>
      <w:r w:rsidR="006E7050">
        <w:t>es</w:t>
      </w:r>
      <w:r>
        <w:t xml:space="preserve"> au tout début. Si vous sentez une certaine fragilité quant à votre capacité de résister </w:t>
      </w:r>
      <w:r w:rsidR="00F47884">
        <w:t xml:space="preserve">aux </w:t>
      </w:r>
      <w:r>
        <w:t>achat</w:t>
      </w:r>
      <w:r w:rsidR="00F47884">
        <w:t>s</w:t>
      </w:r>
      <w:r>
        <w:t xml:space="preserve"> à crédit, contentez-vous de consommer avec votre carte débit et abandonnez l'idée d'utiliser des cartes de crédit.</w:t>
      </w:r>
    </w:p>
    <w:p w14:paraId="6362C848" w14:textId="77777777" w:rsidR="00D41339" w:rsidRDefault="00D41339" w:rsidP="00805CF9">
      <w:pPr>
        <w:jc w:val="both"/>
      </w:pPr>
    </w:p>
    <w:p w14:paraId="5FBD0F5B" w14:textId="63EC151D" w:rsidR="00802F65" w:rsidRDefault="007001E9" w:rsidP="00805CF9">
      <w:pPr>
        <w:jc w:val="both"/>
      </w:pPr>
      <w:r>
        <w:t>Plusieurs auront peine à croire que des gens finance</w:t>
      </w:r>
      <w:r w:rsidR="006E7050">
        <w:t>nt</w:t>
      </w:r>
      <w:r>
        <w:t xml:space="preserve"> une partie de leur train de vie avec des cartes de crédit. Comme nous l'avons mentionné, cette situation est bien réelle et malheureusement le lot de trop de gens. Ceux-ci intègre</w:t>
      </w:r>
      <w:r w:rsidR="006E7050">
        <w:t>nt</w:t>
      </w:r>
      <w:r>
        <w:t xml:space="preserve"> comme une normalité, une habitude mensuelle de paiement minimum du solde de cartes de crédit. Cette façon de faire </w:t>
      </w:r>
      <w:r w:rsidR="006C1982">
        <w:t xml:space="preserve">cause des </w:t>
      </w:r>
      <w:r>
        <w:t>ravage</w:t>
      </w:r>
      <w:r w:rsidR="006C1982">
        <w:t>s à</w:t>
      </w:r>
      <w:r>
        <w:t xml:space="preserve"> la santé financière des gens. Pour s'en convaincre</w:t>
      </w:r>
      <w:r w:rsidR="006E7050">
        <w:t>,</w:t>
      </w:r>
      <w:r>
        <w:t xml:space="preserve"> </w:t>
      </w:r>
      <w:r w:rsidR="003818C2">
        <w:t>effectuez des simulations avec la c</w:t>
      </w:r>
      <w:r w:rsidR="00802F65">
        <w:t xml:space="preserve">alculatrice de </w:t>
      </w:r>
      <w:r w:rsidR="003818C2">
        <w:t>paiements de</w:t>
      </w:r>
      <w:r w:rsidR="00802F65">
        <w:t xml:space="preserve"> carte de crédit</w:t>
      </w:r>
      <w:r w:rsidR="003818C2">
        <w:t xml:space="preserve">. </w:t>
      </w:r>
    </w:p>
    <w:p w14:paraId="730309D2" w14:textId="70F14B57" w:rsidR="00802F65" w:rsidRDefault="00153E2F" w:rsidP="00805CF9">
      <w:pPr>
        <w:jc w:val="both"/>
      </w:pPr>
      <w:r>
        <w:rPr>
          <w:noProof/>
          <w:lang w:eastAsia="fr-FR"/>
        </w:rPr>
        <w:drawing>
          <wp:anchor distT="0" distB="0" distL="114300" distR="114300" simplePos="0" relativeHeight="252786688" behindDoc="0" locked="0" layoutInCell="1" allowOverlap="1" wp14:anchorId="76815BAB" wp14:editId="6DD1BACF">
            <wp:simplePos x="0" y="0"/>
            <wp:positionH relativeFrom="column">
              <wp:posOffset>3886200</wp:posOffset>
            </wp:positionH>
            <wp:positionV relativeFrom="paragraph">
              <wp:posOffset>96520</wp:posOffset>
            </wp:positionV>
            <wp:extent cx="508000" cy="685800"/>
            <wp:effectExtent l="0" t="0" r="0" b="0"/>
            <wp:wrapNone/>
            <wp:docPr id="569" name="Image 569" descr="Macintosh HD:Users:marcbachand:Desktop:Capture d’écran 2015-06-08 à 17.18.41.png">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0440BE6" w14:textId="301356AF" w:rsidR="003818C2" w:rsidRDefault="003818C2" w:rsidP="00805CF9">
      <w:pPr>
        <w:jc w:val="both"/>
      </w:pPr>
    </w:p>
    <w:p w14:paraId="4C9290D7" w14:textId="4D8A539A" w:rsidR="004F5112" w:rsidRPr="003818C2" w:rsidRDefault="00573C95" w:rsidP="00805CF9">
      <w:pPr>
        <w:jc w:val="both"/>
        <w:rPr>
          <w:color w:val="FF6700" w:themeColor="accent3"/>
        </w:rPr>
      </w:pPr>
      <w:hyperlink r:id="rId143" w:history="1">
        <w:r w:rsidR="003818C2" w:rsidRPr="003818C2">
          <w:rPr>
            <w:rStyle w:val="Lienhypertexte"/>
            <w:color w:val="FF6700" w:themeColor="accent3"/>
          </w:rPr>
          <w:t>La calculatrice de paiements de carte de crédit</w:t>
        </w:r>
      </w:hyperlink>
    </w:p>
    <w:p w14:paraId="4EB60EDE" w14:textId="77777777" w:rsidR="003818C2" w:rsidRDefault="003818C2" w:rsidP="00805CF9">
      <w:pPr>
        <w:jc w:val="both"/>
      </w:pPr>
    </w:p>
    <w:p w14:paraId="65633BFB" w14:textId="77777777" w:rsidR="00153E2F" w:rsidRDefault="00153E2F"/>
    <w:p w14:paraId="664A2F36" w14:textId="77777777" w:rsidR="00A428A0" w:rsidRPr="00A428A0" w:rsidRDefault="00072AB5" w:rsidP="006C34CF">
      <w:pPr>
        <w:pStyle w:val="Paragraphedeliste"/>
        <w:numPr>
          <w:ilvl w:val="0"/>
          <w:numId w:val="83"/>
        </w:numPr>
      </w:pPr>
      <w:r w:rsidRPr="00072AB5">
        <w:rPr>
          <w:color w:val="FF6700" w:themeColor="accent3"/>
        </w:rPr>
        <w:t>EXEMPLE 7-1</w:t>
      </w:r>
      <w:r w:rsidR="00A428A0">
        <w:rPr>
          <w:color w:val="FF6700" w:themeColor="accent3"/>
        </w:rPr>
        <w:t>3</w:t>
      </w:r>
    </w:p>
    <w:p w14:paraId="380C5927" w14:textId="77777777" w:rsidR="00A428A0" w:rsidRPr="00A428A0" w:rsidRDefault="00A428A0" w:rsidP="00A428A0"/>
    <w:p w14:paraId="4CC504E9" w14:textId="30FBADA6" w:rsidR="00A428A0" w:rsidRPr="00A428A0" w:rsidRDefault="00A428A0" w:rsidP="00A32800">
      <w:pPr>
        <w:jc w:val="both"/>
      </w:pPr>
      <w:r>
        <w:t>Examinons à l'aide de la calculatrice de paiements de carte de crédit</w:t>
      </w:r>
      <w:r>
        <w:rPr>
          <w:rStyle w:val="Marquenotebasdepage"/>
        </w:rPr>
        <w:footnoteReference w:customMarkFollows="1" w:id="76"/>
        <w:t>73</w:t>
      </w:r>
      <w:r>
        <w:t xml:space="preserve">  l'impact sur le temps requis et les intérêts payés selon trois options de pai</w:t>
      </w:r>
      <w:r w:rsidR="00A32800">
        <w:t>e</w:t>
      </w:r>
      <w:r>
        <w:t>ments</w:t>
      </w:r>
      <w:r w:rsidR="00A32800">
        <w:t xml:space="preserve">. Les images utilisées sont celles provenant de la page Web de la calculatrice. </w:t>
      </w:r>
    </w:p>
    <w:p w14:paraId="21F876A9" w14:textId="4702232D" w:rsidR="00153E2F" w:rsidRDefault="00153E2F" w:rsidP="006C34CF">
      <w:pPr>
        <w:pStyle w:val="Paragraphedeliste"/>
        <w:numPr>
          <w:ilvl w:val="0"/>
          <w:numId w:val="83"/>
        </w:numPr>
      </w:pPr>
      <w:r>
        <w:br w:type="page"/>
      </w:r>
    </w:p>
    <w:p w14:paraId="44767544" w14:textId="3FF67170" w:rsidR="00153E2F" w:rsidRDefault="00077BCC">
      <w:r>
        <w:rPr>
          <w:noProof/>
          <w:lang w:eastAsia="fr-FR"/>
        </w:rPr>
        <w:lastRenderedPageBreak/>
        <w:drawing>
          <wp:anchor distT="0" distB="0" distL="114300" distR="114300" simplePos="0" relativeHeight="252787712" behindDoc="0" locked="0" layoutInCell="1" allowOverlap="1" wp14:anchorId="746716EA" wp14:editId="7564F3CD">
            <wp:simplePos x="0" y="0"/>
            <wp:positionH relativeFrom="column">
              <wp:posOffset>-800100</wp:posOffset>
            </wp:positionH>
            <wp:positionV relativeFrom="paragraph">
              <wp:posOffset>-228600</wp:posOffset>
            </wp:positionV>
            <wp:extent cx="9860938" cy="6172200"/>
            <wp:effectExtent l="0" t="0" r="0" b="0"/>
            <wp:wrapNone/>
            <wp:docPr id="570" name="Image 570" descr="Macintosh HD:Users:marcbachand:Desktop:Capture d’écran 2015-11-17 à 17.0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1-17 à 17.01.51.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860938" cy="6172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F9B56F1" w14:textId="6C6AA376" w:rsidR="00077BCC" w:rsidRDefault="00077BCC">
      <w:r>
        <w:br w:type="page"/>
      </w:r>
    </w:p>
    <w:p w14:paraId="3AAD9076" w14:textId="0340240A" w:rsidR="00077BCC" w:rsidRDefault="00077BCC">
      <w:r>
        <w:rPr>
          <w:noProof/>
          <w:lang w:eastAsia="fr-FR"/>
        </w:rPr>
        <w:lastRenderedPageBreak/>
        <w:drawing>
          <wp:anchor distT="0" distB="0" distL="114300" distR="114300" simplePos="0" relativeHeight="252788736" behindDoc="0" locked="0" layoutInCell="1" allowOverlap="1" wp14:anchorId="5FA69D36" wp14:editId="0F4F99E3">
            <wp:simplePos x="0" y="0"/>
            <wp:positionH relativeFrom="column">
              <wp:posOffset>-800100</wp:posOffset>
            </wp:positionH>
            <wp:positionV relativeFrom="paragraph">
              <wp:posOffset>0</wp:posOffset>
            </wp:positionV>
            <wp:extent cx="9714705" cy="5029200"/>
            <wp:effectExtent l="0" t="0" r="0" b="0"/>
            <wp:wrapNone/>
            <wp:docPr id="581" name="Image 581" descr="Macintosh HD:Users:marcbachand:Desktop:Capture d’écran 2015-11-17 à 17.0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11-17 à 17.02.38.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00" cy="5029612"/>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277E2DE" w14:textId="4EB35160" w:rsidR="00077BCC" w:rsidRDefault="00077BCC">
      <w:r>
        <w:br w:type="page"/>
      </w:r>
    </w:p>
    <w:p w14:paraId="50459D21" w14:textId="7003E7C9" w:rsidR="00077BCC" w:rsidRDefault="00077BCC">
      <w:r>
        <w:rPr>
          <w:noProof/>
          <w:lang w:eastAsia="fr-FR"/>
        </w:rPr>
        <w:lastRenderedPageBreak/>
        <w:drawing>
          <wp:anchor distT="0" distB="0" distL="114300" distR="114300" simplePos="0" relativeHeight="252789760" behindDoc="0" locked="0" layoutInCell="1" allowOverlap="1" wp14:anchorId="55465C4A" wp14:editId="3CA065A0">
            <wp:simplePos x="0" y="0"/>
            <wp:positionH relativeFrom="column">
              <wp:posOffset>-685800</wp:posOffset>
            </wp:positionH>
            <wp:positionV relativeFrom="paragraph">
              <wp:posOffset>-800100</wp:posOffset>
            </wp:positionV>
            <wp:extent cx="9486900" cy="7031355"/>
            <wp:effectExtent l="0" t="0" r="12700" b="4445"/>
            <wp:wrapNone/>
            <wp:docPr id="582" name="Image 582" descr="Macintosh HD:Users:marcbachand:Desktop:Capture d’écran 2015-11-17 à 17.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11-17 à 17.03.14.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486900" cy="70313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br w:type="page"/>
      </w:r>
    </w:p>
    <w:p w14:paraId="40C1F048" w14:textId="457793F8" w:rsidR="009266A2" w:rsidRDefault="00805CF9" w:rsidP="006C34CF">
      <w:pPr>
        <w:pStyle w:val="Paragraphedeliste"/>
        <w:numPr>
          <w:ilvl w:val="0"/>
          <w:numId w:val="83"/>
        </w:numPr>
        <w:jc w:val="both"/>
        <w:rPr>
          <w:color w:val="FF6700" w:themeColor="accent3"/>
        </w:rPr>
      </w:pPr>
      <w:r>
        <w:rPr>
          <w:color w:val="FF6700" w:themeColor="accent3"/>
        </w:rPr>
        <w:lastRenderedPageBreak/>
        <w:t>Marge de crédit</w:t>
      </w:r>
    </w:p>
    <w:p w14:paraId="6A452CD4" w14:textId="77777777" w:rsidR="00805CF9" w:rsidRDefault="00805CF9" w:rsidP="00805CF9">
      <w:pPr>
        <w:jc w:val="both"/>
        <w:rPr>
          <w:color w:val="FF6700" w:themeColor="accent3"/>
        </w:rPr>
      </w:pPr>
    </w:p>
    <w:p w14:paraId="6EA7B8DF" w14:textId="1729D5AD" w:rsidR="00915FA8" w:rsidRDefault="00A10650" w:rsidP="00805CF9">
      <w:pPr>
        <w:jc w:val="both"/>
      </w:pPr>
      <w:r>
        <w:t>L'utilisation de la marge de crédit est l'une des formes de financement à court terme la plus répandue</w:t>
      </w:r>
      <w:r w:rsidR="004A3BC5">
        <w:t xml:space="preserve"> auprès des ménages.</w:t>
      </w:r>
      <w:r>
        <w:t xml:space="preserve"> Cette popularité</w:t>
      </w:r>
      <w:r w:rsidR="00360014">
        <w:t xml:space="preserve"> est due à l'accessibilité accrue du produit </w:t>
      </w:r>
      <w:proofErr w:type="gramStart"/>
      <w:r w:rsidR="00360014">
        <w:t>jumelée</w:t>
      </w:r>
      <w:proofErr w:type="gramEnd"/>
      <w:r w:rsidR="00360014">
        <w:t xml:space="preserve"> à des taux d'intérêt historiquement bas. Malheureusement, cette combinaison s'avère, dans bien des cas, porteu</w:t>
      </w:r>
      <w:r w:rsidR="00F26DBE">
        <w:t>se</w:t>
      </w:r>
      <w:r w:rsidR="00360014">
        <w:t xml:space="preserve"> d'une sur</w:t>
      </w:r>
      <w:r w:rsidR="0009525C">
        <w:t>-</w:t>
      </w:r>
      <w:r w:rsidR="00360014">
        <w:t xml:space="preserve">utilisation du crédit </w:t>
      </w:r>
      <w:r w:rsidR="00915FA8">
        <w:t>qui servira à</w:t>
      </w:r>
      <w:r w:rsidR="00360014">
        <w:t xml:space="preserve"> financer un</w:t>
      </w:r>
      <w:r w:rsidR="00915FA8">
        <w:t xml:space="preserve"> train de vie où la </w:t>
      </w:r>
      <w:r w:rsidR="00360014">
        <w:t>surconsommation personnelle</w:t>
      </w:r>
      <w:r w:rsidR="00915FA8">
        <w:t xml:space="preserve"> ne fait </w:t>
      </w:r>
      <w:r w:rsidR="00F36420">
        <w:t>plus aucun</w:t>
      </w:r>
      <w:r w:rsidR="00915FA8">
        <w:t xml:space="preserve"> doute</w:t>
      </w:r>
      <w:r w:rsidR="00360014">
        <w:t xml:space="preserve">. Ce cycle infernal sera étudié plus en détail à la </w:t>
      </w:r>
      <w:r w:rsidR="00360014" w:rsidRPr="00360014">
        <w:rPr>
          <w:color w:val="008000"/>
        </w:rPr>
        <w:t>SECTION 5.2.</w:t>
      </w:r>
      <w:r w:rsidR="00360014">
        <w:t xml:space="preserve"> </w:t>
      </w:r>
      <w:proofErr w:type="gramStart"/>
      <w:r w:rsidR="00360014">
        <w:t>qui</w:t>
      </w:r>
      <w:proofErr w:type="gramEnd"/>
      <w:r w:rsidR="00360014">
        <w:t xml:space="preserve"> portera sur la gestion de</w:t>
      </w:r>
      <w:r w:rsidR="00915FA8">
        <w:t>s</w:t>
      </w:r>
      <w:r w:rsidR="00360014">
        <w:t xml:space="preserve"> dette</w:t>
      </w:r>
      <w:r w:rsidR="00915FA8">
        <w:t>s</w:t>
      </w:r>
      <w:r w:rsidR="00360014">
        <w:t>. Pour l'instant, contentons-nous de présenter les principales caractéristiques ainsi que le fonctionnement des marges de crédit.</w:t>
      </w:r>
    </w:p>
    <w:p w14:paraId="56E07A41" w14:textId="77777777" w:rsidR="00915FA8" w:rsidRDefault="00915FA8" w:rsidP="00805CF9">
      <w:pPr>
        <w:jc w:val="both"/>
      </w:pPr>
    </w:p>
    <w:p w14:paraId="5A07FF89" w14:textId="5611311F" w:rsidR="00EC4D82" w:rsidRDefault="007248F4" w:rsidP="00805CF9">
      <w:pPr>
        <w:jc w:val="both"/>
      </w:pPr>
      <w:r>
        <w:t xml:space="preserve">Il existe deux grandes familles de marge de crédit. L'une ne comporte pas habituellement de garantie (Marge de crédit </w:t>
      </w:r>
      <w:r w:rsidRPr="007248F4">
        <w:rPr>
          <w:color w:val="FF6700" w:themeColor="accent3"/>
        </w:rPr>
        <w:t>PERSONNELLE</w:t>
      </w:r>
      <w:r>
        <w:t xml:space="preserve">) et l'autre est reliée à une garantie immobilière (Marge de crédit </w:t>
      </w:r>
      <w:r w:rsidRPr="007248F4">
        <w:rPr>
          <w:color w:val="FF6700" w:themeColor="accent3"/>
        </w:rPr>
        <w:t>HYPOTHÉCAIRE</w:t>
      </w:r>
      <w:r>
        <w:t>).</w:t>
      </w:r>
      <w:r w:rsidR="00A10650">
        <w:t xml:space="preserve"> </w:t>
      </w:r>
      <w:r>
        <w:t>Ces deux formes de crédit ont dans un premier temps des caractéristiques communes, à savoir:</w:t>
      </w:r>
    </w:p>
    <w:p w14:paraId="1972A065" w14:textId="77777777" w:rsidR="00506B99" w:rsidRDefault="00506B99" w:rsidP="00805CF9">
      <w:pPr>
        <w:jc w:val="both"/>
      </w:pPr>
    </w:p>
    <w:p w14:paraId="5D7FFF3B" w14:textId="4ECBB36F" w:rsidR="00506B99" w:rsidRDefault="00506B99" w:rsidP="006C34CF">
      <w:pPr>
        <w:pStyle w:val="Paragraphedeliste"/>
        <w:numPr>
          <w:ilvl w:val="0"/>
          <w:numId w:val="93"/>
        </w:numPr>
        <w:jc w:val="both"/>
      </w:pPr>
      <w:r>
        <w:t>Le montant du crédit autorisé est disponible en tout temps et peut être utilisé pour toute forme d'achat, selon les besoins.</w:t>
      </w:r>
    </w:p>
    <w:p w14:paraId="01585A7B" w14:textId="77777777" w:rsidR="00506B99" w:rsidRDefault="00506B99" w:rsidP="00506B99">
      <w:pPr>
        <w:ind w:left="720"/>
        <w:jc w:val="both"/>
      </w:pPr>
    </w:p>
    <w:p w14:paraId="3593D5A9" w14:textId="6587249E" w:rsidR="00506B99" w:rsidRDefault="00441C4B" w:rsidP="006C34CF">
      <w:pPr>
        <w:pStyle w:val="Paragraphedeliste"/>
        <w:numPr>
          <w:ilvl w:val="0"/>
          <w:numId w:val="93"/>
        </w:numPr>
        <w:jc w:val="both"/>
      </w:pPr>
      <w:r>
        <w:t>Le calcul des intérêts ne s'effectue que sur les sommes empruntées (et non autorisées), donc en fonction du besoin identifié quotidiennement.</w:t>
      </w:r>
    </w:p>
    <w:p w14:paraId="31FA2C6D" w14:textId="77777777" w:rsidR="00441C4B" w:rsidRDefault="00441C4B" w:rsidP="00441C4B">
      <w:pPr>
        <w:ind w:left="720"/>
        <w:jc w:val="both"/>
      </w:pPr>
    </w:p>
    <w:p w14:paraId="0C94BC22" w14:textId="58713D45" w:rsidR="00441C4B" w:rsidRDefault="00441C4B" w:rsidP="006C34CF">
      <w:pPr>
        <w:pStyle w:val="Paragraphedeliste"/>
        <w:numPr>
          <w:ilvl w:val="0"/>
          <w:numId w:val="93"/>
        </w:numPr>
        <w:jc w:val="both"/>
      </w:pPr>
      <w:r>
        <w:t xml:space="preserve">Les remboursements peuvent être effectués </w:t>
      </w:r>
      <w:r w:rsidR="0027037D">
        <w:t>selon le rythme qui convient à l'emprunteur. Il n'y pas d'obligations ou de contraintes (autre que de ne pas dépasser le seuil autorisé) à l'égard des remboursements.</w:t>
      </w:r>
    </w:p>
    <w:p w14:paraId="12E43927" w14:textId="77777777" w:rsidR="0027037D" w:rsidRDefault="0027037D" w:rsidP="0027037D">
      <w:pPr>
        <w:ind w:left="720"/>
        <w:jc w:val="both"/>
      </w:pPr>
    </w:p>
    <w:p w14:paraId="0B487170" w14:textId="540282EB" w:rsidR="0027037D" w:rsidRDefault="0027037D" w:rsidP="006C34CF">
      <w:pPr>
        <w:pStyle w:val="Paragraphedeliste"/>
        <w:numPr>
          <w:ilvl w:val="0"/>
          <w:numId w:val="93"/>
        </w:numPr>
        <w:jc w:val="both"/>
      </w:pPr>
      <w:r>
        <w:t>Les taux d'intérêt sont variables</w:t>
      </w:r>
      <w:r w:rsidR="00F26DBE">
        <w:t>,</w:t>
      </w:r>
      <w:r>
        <w:t xml:space="preserve"> mais relativement bas, assurément inférieurs à ceux associés aux cartes de crédits.</w:t>
      </w:r>
    </w:p>
    <w:p w14:paraId="5F04CBF4" w14:textId="77777777" w:rsidR="007248F4" w:rsidRDefault="007248F4" w:rsidP="00805CF9">
      <w:pPr>
        <w:jc w:val="both"/>
      </w:pPr>
    </w:p>
    <w:p w14:paraId="657C8E1B" w14:textId="690A7E3D" w:rsidR="0027037D" w:rsidRDefault="0027037D" w:rsidP="00805CF9">
      <w:pPr>
        <w:jc w:val="both"/>
      </w:pPr>
      <w:r>
        <w:t>La marge de crédit hypothécaire possède quelques caractéristiques qui lui sont propres, à savoir:</w:t>
      </w:r>
    </w:p>
    <w:p w14:paraId="0852BC32" w14:textId="77777777" w:rsidR="0027037D" w:rsidRDefault="0027037D" w:rsidP="00805CF9">
      <w:pPr>
        <w:jc w:val="both"/>
      </w:pPr>
    </w:p>
    <w:p w14:paraId="5299CD37" w14:textId="7F6542BD" w:rsidR="0027037D" w:rsidRDefault="0027037D" w:rsidP="006C34CF">
      <w:pPr>
        <w:pStyle w:val="Paragraphedeliste"/>
        <w:numPr>
          <w:ilvl w:val="0"/>
          <w:numId w:val="93"/>
        </w:numPr>
        <w:jc w:val="both"/>
      </w:pPr>
      <w:r>
        <w:t xml:space="preserve">La marge fait l'objet d'une garantie hypothécaire immobilière. C'est-à-dire que la </w:t>
      </w:r>
      <w:r w:rsidR="00E519C7">
        <w:t>marge de crédit est reliée au prêt hypothécaire</w:t>
      </w:r>
      <w:r w:rsidR="00C56AB0">
        <w:t xml:space="preserve"> qui est</w:t>
      </w:r>
      <w:r w:rsidR="00E519C7">
        <w:t xml:space="preserve"> associé à la résidence de l'emprunteur. De cette façon, 80 % </w:t>
      </w:r>
      <w:r w:rsidR="00E519C7">
        <w:lastRenderedPageBreak/>
        <w:t xml:space="preserve">de la valeur de la résidence peut faire l'objet d'un financement sous forme de prêt hypothécaire conventionnel et/ou </w:t>
      </w:r>
      <w:r w:rsidR="00C56AB0">
        <w:t xml:space="preserve">de </w:t>
      </w:r>
      <w:r w:rsidR="00E519C7">
        <w:t>marge de crédit hypothécaire. En clair, chaque dollar (du 80 % de la valeur de la résidence) qui n'est pas mobilisé par le prêt hypothécaire devient disponible pour la marge de crédit hypothécaire. Par un effet de vases communicants, chaque dollar de capital remboursé au prêt hypothécaire libère la disponibilité d'un dollar dans la marge de crédit hypothécaire.</w:t>
      </w:r>
      <w:r w:rsidR="00C56AB0">
        <w:t xml:space="preserve"> Quand on y pense un peu, c'est un produit qui donne le vertige; poussé à l'extrême, c'est ni plus, ni moins, l'option de ne jamais rembourser son "hypothèque de maison".</w:t>
      </w:r>
    </w:p>
    <w:tbl>
      <w:tblPr>
        <w:tblStyle w:val="Listefonce-Accent4"/>
        <w:tblpPr w:leftFromText="141" w:rightFromText="141" w:vertAnchor="page" w:horzAnchor="page" w:tblpX="2066" w:tblpY="6278"/>
        <w:tblW w:w="0" w:type="auto"/>
        <w:shd w:val="clear" w:color="auto" w:fill="CCFFCC"/>
        <w:tblLook w:val="04A0" w:firstRow="1" w:lastRow="0" w:firstColumn="1" w:lastColumn="0" w:noHBand="0" w:noVBand="1"/>
      </w:tblPr>
      <w:tblGrid>
        <w:gridCol w:w="8046"/>
        <w:gridCol w:w="1464"/>
        <w:gridCol w:w="1464"/>
      </w:tblGrid>
      <w:tr w:rsidR="004333C2" w:rsidRPr="00293B14" w14:paraId="0B7FF50F" w14:textId="77777777" w:rsidTr="00B705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shd w:val="clear" w:color="auto" w:fill="A09DC8"/>
          </w:tcPr>
          <w:p w14:paraId="747E40C2" w14:textId="5E9DBB2C" w:rsidR="004333C2" w:rsidRPr="00B70519" w:rsidRDefault="004333C2" w:rsidP="004333C2">
            <w:pPr>
              <w:jc w:val="center"/>
            </w:pPr>
            <w:r w:rsidRPr="00B70519">
              <w:t>Usage de la marge de crédit</w:t>
            </w:r>
            <w:r w:rsidR="009F2405">
              <w:t xml:space="preserve"> (non exhaustif)</w:t>
            </w:r>
          </w:p>
        </w:tc>
        <w:tc>
          <w:tcPr>
            <w:tcW w:w="1464" w:type="dxa"/>
            <w:shd w:val="clear" w:color="auto" w:fill="A09DC8"/>
          </w:tcPr>
          <w:p w14:paraId="2A8749EA" w14:textId="18A9468B" w:rsidR="004333C2" w:rsidRPr="00B70519" w:rsidRDefault="00B70519" w:rsidP="004333C2">
            <w:pPr>
              <w:jc w:val="center"/>
              <w:cnfStyle w:val="100000000000" w:firstRow="1" w:lastRow="0" w:firstColumn="0" w:lastColumn="0" w:oddVBand="0" w:evenVBand="0" w:oddHBand="0" w:evenHBand="0" w:firstRowFirstColumn="0" w:firstRowLastColumn="0" w:lastRowFirstColumn="0" w:lastRowLastColumn="0"/>
            </w:pPr>
            <w:r>
              <w:t>OUI!!!</w:t>
            </w:r>
          </w:p>
        </w:tc>
        <w:tc>
          <w:tcPr>
            <w:tcW w:w="1464" w:type="dxa"/>
            <w:shd w:val="clear" w:color="auto" w:fill="A09DC8"/>
          </w:tcPr>
          <w:p w14:paraId="51C84806" w14:textId="7026B98D" w:rsidR="004333C2" w:rsidRPr="00B70519" w:rsidRDefault="00B70519" w:rsidP="004333C2">
            <w:pPr>
              <w:jc w:val="center"/>
              <w:cnfStyle w:val="100000000000" w:firstRow="1" w:lastRow="0" w:firstColumn="0" w:lastColumn="0" w:oddVBand="0" w:evenVBand="0" w:oddHBand="0" w:evenHBand="0" w:firstRowFirstColumn="0" w:firstRowLastColumn="0" w:lastRowFirstColumn="0" w:lastRowLastColumn="0"/>
            </w:pPr>
            <w:r>
              <w:t>NON!!!</w:t>
            </w:r>
          </w:p>
        </w:tc>
      </w:tr>
      <w:tr w:rsidR="004333C2" w:rsidRPr="00293B14" w14:paraId="768D2022" w14:textId="77777777" w:rsidTr="00B705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shd w:val="clear" w:color="auto" w:fill="FC5D9B"/>
          </w:tcPr>
          <w:p w14:paraId="46E902FC" w14:textId="4F2969C3" w:rsidR="004333C2" w:rsidRPr="00293B14" w:rsidRDefault="00E8799F" w:rsidP="00E8799F">
            <w:pPr>
              <w:rPr>
                <w:color w:val="auto"/>
              </w:rPr>
            </w:pPr>
            <w:r>
              <w:rPr>
                <w:color w:val="auto"/>
              </w:rPr>
              <w:t>Instaurer un f</w:t>
            </w:r>
            <w:r w:rsidR="004333C2">
              <w:rPr>
                <w:color w:val="auto"/>
              </w:rPr>
              <w:t>ond</w:t>
            </w:r>
            <w:r>
              <w:rPr>
                <w:color w:val="auto"/>
              </w:rPr>
              <w:t>s</w:t>
            </w:r>
            <w:r w:rsidR="004333C2">
              <w:rPr>
                <w:color w:val="auto"/>
              </w:rPr>
              <w:t xml:space="preserve"> de prévoyance (seulement en cas de nécessité</w:t>
            </w:r>
            <w:r>
              <w:rPr>
                <w:color w:val="auto"/>
              </w:rPr>
              <w:t>)</w:t>
            </w:r>
            <w:r w:rsidR="004333C2">
              <w:rPr>
                <w:color w:val="auto"/>
              </w:rPr>
              <w:t xml:space="preserve"> </w:t>
            </w:r>
          </w:p>
        </w:tc>
        <w:tc>
          <w:tcPr>
            <w:tcW w:w="1464" w:type="dxa"/>
            <w:shd w:val="clear" w:color="auto" w:fill="7F7F7F" w:themeFill="text1" w:themeFillTint="80"/>
          </w:tcPr>
          <w:p w14:paraId="742462C6" w14:textId="019E1083" w:rsidR="004333C2" w:rsidRPr="00293B14" w:rsidRDefault="004333C2" w:rsidP="004333C2">
            <w:pPr>
              <w:jc w:val="center"/>
              <w:cnfStyle w:val="000000100000" w:firstRow="0" w:lastRow="0" w:firstColumn="0" w:lastColumn="0" w:oddVBand="0" w:evenVBand="0" w:oddHBand="1" w:evenHBand="0" w:firstRowFirstColumn="0" w:firstRowLastColumn="0" w:lastRowFirstColumn="0" w:lastRowLastColumn="0"/>
              <w:rPr>
                <w:color w:val="auto"/>
              </w:rPr>
            </w:pPr>
          </w:p>
        </w:tc>
        <w:tc>
          <w:tcPr>
            <w:tcW w:w="1464" w:type="dxa"/>
            <w:shd w:val="clear" w:color="auto" w:fill="DDDCD0" w:themeFill="text2" w:themeFillTint="33"/>
          </w:tcPr>
          <w:p w14:paraId="32EE2EFB" w14:textId="6C14C093" w:rsidR="004333C2" w:rsidRPr="00293B14" w:rsidRDefault="004333C2" w:rsidP="004333C2">
            <w:pPr>
              <w:jc w:val="center"/>
              <w:cnfStyle w:val="000000100000" w:firstRow="0" w:lastRow="0" w:firstColumn="0" w:lastColumn="0" w:oddVBand="0" w:evenVBand="0" w:oddHBand="1" w:evenHBand="0" w:firstRowFirstColumn="0" w:firstRowLastColumn="0" w:lastRowFirstColumn="0" w:lastRowLastColumn="0"/>
              <w:rPr>
                <w:color w:val="auto"/>
              </w:rPr>
            </w:pPr>
          </w:p>
        </w:tc>
      </w:tr>
      <w:tr w:rsidR="004333C2" w:rsidRPr="00293B14" w14:paraId="7B9FE200" w14:textId="77777777" w:rsidTr="00B70519">
        <w:tc>
          <w:tcPr>
            <w:cnfStyle w:val="001000000000" w:firstRow="0" w:lastRow="0" w:firstColumn="1" w:lastColumn="0" w:oddVBand="0" w:evenVBand="0" w:oddHBand="0" w:evenHBand="0" w:firstRowFirstColumn="0" w:firstRowLastColumn="0" w:lastRowFirstColumn="0" w:lastRowLastColumn="0"/>
            <w:tcW w:w="8046" w:type="dxa"/>
            <w:shd w:val="clear" w:color="auto" w:fill="FC5D9B"/>
          </w:tcPr>
          <w:p w14:paraId="1F16A719" w14:textId="77777777" w:rsidR="004333C2" w:rsidRDefault="004333C2" w:rsidP="004333C2">
            <w:pPr>
              <w:rPr>
                <w:color w:val="auto"/>
              </w:rPr>
            </w:pPr>
          </w:p>
          <w:p w14:paraId="43152F8A" w14:textId="77777777" w:rsidR="004333C2" w:rsidRDefault="004333C2" w:rsidP="004333C2">
            <w:pPr>
              <w:rPr>
                <w:color w:val="auto"/>
              </w:rPr>
            </w:pPr>
          </w:p>
          <w:p w14:paraId="1ECDA996" w14:textId="5F637327" w:rsidR="004333C2" w:rsidRPr="00293B14" w:rsidRDefault="00E8799F" w:rsidP="00E8799F">
            <w:pPr>
              <w:rPr>
                <w:color w:val="auto"/>
              </w:rPr>
            </w:pPr>
            <w:r>
              <w:rPr>
                <w:color w:val="auto"/>
              </w:rPr>
              <w:t>C</w:t>
            </w:r>
            <w:r w:rsidR="004333C2">
              <w:rPr>
                <w:color w:val="auto"/>
              </w:rPr>
              <w:t>onsolider des dettes coûteuse</w:t>
            </w:r>
            <w:r>
              <w:rPr>
                <w:color w:val="auto"/>
              </w:rPr>
              <w:t>s</w:t>
            </w:r>
            <w:r w:rsidR="004333C2">
              <w:rPr>
                <w:color w:val="auto"/>
              </w:rPr>
              <w:t xml:space="preserve"> et  déjà existantes </w:t>
            </w:r>
            <w:r>
              <w:rPr>
                <w:color w:val="auto"/>
              </w:rPr>
              <w:t>(</w:t>
            </w:r>
            <w:r w:rsidRPr="00E8799F">
              <w:rPr>
                <w:color w:val="auto"/>
                <w:u w:val="single"/>
              </w:rPr>
              <w:t>avec</w:t>
            </w:r>
            <w:r>
              <w:rPr>
                <w:color w:val="auto"/>
              </w:rPr>
              <w:t xml:space="preserve"> un plan de remboursement établi)</w:t>
            </w:r>
          </w:p>
        </w:tc>
        <w:tc>
          <w:tcPr>
            <w:tcW w:w="1464" w:type="dxa"/>
            <w:shd w:val="clear" w:color="auto" w:fill="7F7F7F" w:themeFill="text1" w:themeFillTint="80"/>
          </w:tcPr>
          <w:p w14:paraId="52EF9AE9" w14:textId="205D36A0" w:rsidR="004333C2" w:rsidRPr="00293B14" w:rsidRDefault="004333C2" w:rsidP="004333C2">
            <w:pPr>
              <w:jc w:val="center"/>
              <w:cnfStyle w:val="000000000000" w:firstRow="0" w:lastRow="0" w:firstColumn="0" w:lastColumn="0" w:oddVBand="0" w:evenVBand="0" w:oddHBand="0" w:evenHBand="0" w:firstRowFirstColumn="0" w:firstRowLastColumn="0" w:lastRowFirstColumn="0" w:lastRowLastColumn="0"/>
              <w:rPr>
                <w:color w:val="auto"/>
              </w:rPr>
            </w:pPr>
          </w:p>
        </w:tc>
        <w:tc>
          <w:tcPr>
            <w:tcW w:w="1464" w:type="dxa"/>
            <w:shd w:val="clear" w:color="auto" w:fill="DDDCD0" w:themeFill="text2" w:themeFillTint="33"/>
          </w:tcPr>
          <w:p w14:paraId="4D16B80E" w14:textId="463DC527" w:rsidR="004333C2" w:rsidRPr="00293B14" w:rsidRDefault="004333C2" w:rsidP="004333C2">
            <w:pPr>
              <w:jc w:val="center"/>
              <w:cnfStyle w:val="000000000000" w:firstRow="0" w:lastRow="0" w:firstColumn="0" w:lastColumn="0" w:oddVBand="0" w:evenVBand="0" w:oddHBand="0" w:evenHBand="0" w:firstRowFirstColumn="0" w:firstRowLastColumn="0" w:lastRowFirstColumn="0" w:lastRowLastColumn="0"/>
              <w:rPr>
                <w:color w:val="auto"/>
              </w:rPr>
            </w:pPr>
          </w:p>
        </w:tc>
      </w:tr>
      <w:tr w:rsidR="004333C2" w:rsidRPr="00293B14" w14:paraId="7EAB2791" w14:textId="77777777" w:rsidTr="00B705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shd w:val="clear" w:color="auto" w:fill="FC5D9B"/>
          </w:tcPr>
          <w:p w14:paraId="3FAE0FF0" w14:textId="77777777" w:rsidR="004333C2" w:rsidRDefault="004333C2" w:rsidP="004333C2">
            <w:pPr>
              <w:rPr>
                <w:color w:val="auto"/>
              </w:rPr>
            </w:pPr>
          </w:p>
          <w:p w14:paraId="13A6406F" w14:textId="77777777" w:rsidR="004333C2" w:rsidRDefault="004333C2" w:rsidP="004333C2">
            <w:pPr>
              <w:rPr>
                <w:color w:val="auto"/>
              </w:rPr>
            </w:pPr>
          </w:p>
          <w:p w14:paraId="6C02986C" w14:textId="68D9E4DB" w:rsidR="004333C2" w:rsidRPr="00293B14" w:rsidRDefault="00E8799F" w:rsidP="00E8799F">
            <w:pPr>
              <w:rPr>
                <w:color w:val="auto"/>
              </w:rPr>
            </w:pPr>
            <w:r>
              <w:rPr>
                <w:color w:val="auto"/>
              </w:rPr>
              <w:t>Consolider des dettes coûteuses et  déjà existantes (</w:t>
            </w:r>
            <w:r w:rsidRPr="00E8799F">
              <w:rPr>
                <w:color w:val="auto"/>
                <w:u w:val="single"/>
              </w:rPr>
              <w:t>sans</w:t>
            </w:r>
            <w:r>
              <w:rPr>
                <w:color w:val="auto"/>
              </w:rPr>
              <w:t xml:space="preserve"> un plan de remboursement établi)</w:t>
            </w:r>
          </w:p>
        </w:tc>
        <w:tc>
          <w:tcPr>
            <w:tcW w:w="1464" w:type="dxa"/>
            <w:shd w:val="clear" w:color="auto" w:fill="7F7F7F" w:themeFill="text1" w:themeFillTint="80"/>
          </w:tcPr>
          <w:p w14:paraId="3A9E469E" w14:textId="7AEBE2E9" w:rsidR="004333C2" w:rsidRPr="00293B14" w:rsidRDefault="004333C2" w:rsidP="004333C2">
            <w:pPr>
              <w:jc w:val="center"/>
              <w:cnfStyle w:val="000000100000" w:firstRow="0" w:lastRow="0" w:firstColumn="0" w:lastColumn="0" w:oddVBand="0" w:evenVBand="0" w:oddHBand="1" w:evenHBand="0" w:firstRowFirstColumn="0" w:firstRowLastColumn="0" w:lastRowFirstColumn="0" w:lastRowLastColumn="0"/>
              <w:rPr>
                <w:color w:val="auto"/>
              </w:rPr>
            </w:pPr>
          </w:p>
        </w:tc>
        <w:tc>
          <w:tcPr>
            <w:tcW w:w="1464" w:type="dxa"/>
            <w:shd w:val="clear" w:color="auto" w:fill="DDDCD0" w:themeFill="text2" w:themeFillTint="33"/>
          </w:tcPr>
          <w:p w14:paraId="6507FE14" w14:textId="77777777" w:rsidR="004333C2" w:rsidRPr="00293B14" w:rsidRDefault="004333C2" w:rsidP="004333C2">
            <w:pPr>
              <w:jc w:val="center"/>
              <w:cnfStyle w:val="000000100000" w:firstRow="0" w:lastRow="0" w:firstColumn="0" w:lastColumn="0" w:oddVBand="0" w:evenVBand="0" w:oddHBand="1" w:evenHBand="0" w:firstRowFirstColumn="0" w:firstRowLastColumn="0" w:lastRowFirstColumn="0" w:lastRowLastColumn="0"/>
              <w:rPr>
                <w:color w:val="auto"/>
              </w:rPr>
            </w:pPr>
          </w:p>
        </w:tc>
      </w:tr>
      <w:tr w:rsidR="004333C2" w:rsidRPr="00293B14" w14:paraId="4B614BB7" w14:textId="77777777" w:rsidTr="00B70519">
        <w:tc>
          <w:tcPr>
            <w:cnfStyle w:val="001000000000" w:firstRow="0" w:lastRow="0" w:firstColumn="1" w:lastColumn="0" w:oddVBand="0" w:evenVBand="0" w:oddHBand="0" w:evenHBand="0" w:firstRowFirstColumn="0" w:firstRowLastColumn="0" w:lastRowFirstColumn="0" w:lastRowLastColumn="0"/>
            <w:tcW w:w="8046" w:type="dxa"/>
            <w:shd w:val="clear" w:color="auto" w:fill="FC5D9B"/>
          </w:tcPr>
          <w:p w14:paraId="0719F1DF" w14:textId="77777777" w:rsidR="004333C2" w:rsidRDefault="004333C2" w:rsidP="004333C2">
            <w:pPr>
              <w:rPr>
                <w:color w:val="auto"/>
              </w:rPr>
            </w:pPr>
          </w:p>
          <w:p w14:paraId="0960A5CC" w14:textId="77777777" w:rsidR="004333C2" w:rsidRDefault="004333C2" w:rsidP="004333C2">
            <w:pPr>
              <w:rPr>
                <w:color w:val="auto"/>
              </w:rPr>
            </w:pPr>
          </w:p>
          <w:p w14:paraId="37B20B54" w14:textId="2318BAB4" w:rsidR="004333C2" w:rsidRDefault="00E8799F" w:rsidP="004333C2">
            <w:pPr>
              <w:rPr>
                <w:color w:val="auto"/>
              </w:rPr>
            </w:pPr>
            <w:r>
              <w:rPr>
                <w:color w:val="auto"/>
              </w:rPr>
              <w:t>Profiter des faible</w:t>
            </w:r>
            <w:r w:rsidR="00F26DBE">
              <w:rPr>
                <w:color w:val="auto"/>
              </w:rPr>
              <w:t>s</w:t>
            </w:r>
            <w:r>
              <w:rPr>
                <w:color w:val="auto"/>
              </w:rPr>
              <w:t xml:space="preserve"> taux d'intérêt pour se faire plaisir</w:t>
            </w:r>
          </w:p>
          <w:p w14:paraId="33C54524" w14:textId="77777777" w:rsidR="008D5850" w:rsidRDefault="008D5850" w:rsidP="004333C2">
            <w:pPr>
              <w:rPr>
                <w:color w:val="auto"/>
              </w:rPr>
            </w:pPr>
          </w:p>
          <w:p w14:paraId="31FA42F5" w14:textId="77777777" w:rsidR="008D5850" w:rsidRDefault="008D5850" w:rsidP="004333C2">
            <w:pPr>
              <w:rPr>
                <w:color w:val="auto"/>
              </w:rPr>
            </w:pPr>
          </w:p>
          <w:p w14:paraId="68E7726A" w14:textId="31AD25B5" w:rsidR="008D5850" w:rsidRDefault="009F2405" w:rsidP="004333C2">
            <w:pPr>
              <w:rPr>
                <w:color w:val="auto"/>
              </w:rPr>
            </w:pPr>
            <w:r>
              <w:rPr>
                <w:color w:val="auto"/>
              </w:rPr>
              <w:t>Optimiser le</w:t>
            </w:r>
            <w:r w:rsidR="008D5850">
              <w:rPr>
                <w:color w:val="auto"/>
              </w:rPr>
              <w:t xml:space="preserve"> REÉÉ </w:t>
            </w:r>
            <w:r>
              <w:rPr>
                <w:color w:val="auto"/>
              </w:rPr>
              <w:t xml:space="preserve">de votre </w:t>
            </w:r>
            <w:r w:rsidR="008D5850">
              <w:rPr>
                <w:color w:val="auto"/>
              </w:rPr>
              <w:t>ado de 15 ans</w:t>
            </w:r>
            <w:r>
              <w:rPr>
                <w:color w:val="auto"/>
              </w:rPr>
              <w:t xml:space="preserve"> (voir </w:t>
            </w:r>
            <w:r w:rsidRPr="009F2405">
              <w:rPr>
                <w:color w:val="008000"/>
              </w:rPr>
              <w:t>SECTION 4.4.2.</w:t>
            </w:r>
            <w:r>
              <w:rPr>
                <w:color w:val="auto"/>
              </w:rPr>
              <w:t xml:space="preserve"> Optimisation du REÉÉ)</w:t>
            </w:r>
          </w:p>
          <w:p w14:paraId="44696DA2" w14:textId="77777777" w:rsidR="004333C2" w:rsidRPr="00293B14" w:rsidRDefault="004333C2" w:rsidP="004333C2">
            <w:pPr>
              <w:rPr>
                <w:color w:val="auto"/>
              </w:rPr>
            </w:pPr>
          </w:p>
        </w:tc>
        <w:tc>
          <w:tcPr>
            <w:tcW w:w="1464" w:type="dxa"/>
            <w:shd w:val="clear" w:color="auto" w:fill="7F7F7F" w:themeFill="text1" w:themeFillTint="80"/>
          </w:tcPr>
          <w:p w14:paraId="1B9FAAB5" w14:textId="750D3F50" w:rsidR="004333C2" w:rsidRPr="00293B14" w:rsidRDefault="004333C2" w:rsidP="004333C2">
            <w:pPr>
              <w:jc w:val="center"/>
              <w:cnfStyle w:val="000000000000" w:firstRow="0" w:lastRow="0" w:firstColumn="0" w:lastColumn="0" w:oddVBand="0" w:evenVBand="0" w:oddHBand="0" w:evenHBand="0" w:firstRowFirstColumn="0" w:firstRowLastColumn="0" w:lastRowFirstColumn="0" w:lastRowLastColumn="0"/>
              <w:rPr>
                <w:color w:val="auto"/>
              </w:rPr>
            </w:pPr>
          </w:p>
        </w:tc>
        <w:tc>
          <w:tcPr>
            <w:tcW w:w="1464" w:type="dxa"/>
            <w:shd w:val="clear" w:color="auto" w:fill="DDDCD0" w:themeFill="text2" w:themeFillTint="33"/>
          </w:tcPr>
          <w:p w14:paraId="5764A6D6" w14:textId="5420842D" w:rsidR="004333C2" w:rsidRPr="00293B14" w:rsidRDefault="004333C2" w:rsidP="004333C2">
            <w:pPr>
              <w:jc w:val="center"/>
              <w:cnfStyle w:val="000000000000" w:firstRow="0" w:lastRow="0" w:firstColumn="0" w:lastColumn="0" w:oddVBand="0" w:evenVBand="0" w:oddHBand="0" w:evenHBand="0" w:firstRowFirstColumn="0" w:firstRowLastColumn="0" w:lastRowFirstColumn="0" w:lastRowLastColumn="0"/>
              <w:rPr>
                <w:color w:val="auto"/>
              </w:rPr>
            </w:pPr>
          </w:p>
        </w:tc>
      </w:tr>
    </w:tbl>
    <w:p w14:paraId="289D0BB9" w14:textId="77777777" w:rsidR="00E519C7" w:rsidRDefault="00E519C7" w:rsidP="00E519C7">
      <w:pPr>
        <w:ind w:left="720"/>
        <w:jc w:val="both"/>
      </w:pPr>
    </w:p>
    <w:p w14:paraId="2BD7920C" w14:textId="0A58647C" w:rsidR="00E519C7" w:rsidRDefault="00F23708" w:rsidP="006C34CF">
      <w:pPr>
        <w:pStyle w:val="Paragraphedeliste"/>
        <w:numPr>
          <w:ilvl w:val="0"/>
          <w:numId w:val="93"/>
        </w:numPr>
        <w:jc w:val="both"/>
      </w:pPr>
      <w:r>
        <w:t>L'effet positif de la marge de crédit de crédit hypothécaire est de faire chuter le coût du crédit en permettant à l'emprunteur d'obtenir des taux d'intérêt qui seront en toute logique semblable à ceux des prêts hypothécaires.</w:t>
      </w:r>
    </w:p>
    <w:p w14:paraId="70A1919B" w14:textId="77777777" w:rsidR="00506B99" w:rsidRPr="00506B99" w:rsidRDefault="00506B99" w:rsidP="00506B99">
      <w:pPr>
        <w:ind w:left="720"/>
        <w:jc w:val="both"/>
        <w:rPr>
          <w:color w:val="FF6700" w:themeColor="accent3"/>
        </w:rPr>
      </w:pPr>
    </w:p>
    <w:p w14:paraId="3D2CA650" w14:textId="45CAFEC5" w:rsidR="00506B99" w:rsidRPr="007904B4" w:rsidRDefault="007904B4" w:rsidP="007904B4">
      <w:pPr>
        <w:jc w:val="both"/>
        <w:rPr>
          <w:color w:val="000000" w:themeColor="text1"/>
        </w:rPr>
      </w:pPr>
      <w:r>
        <w:rPr>
          <w:color w:val="000000" w:themeColor="text1"/>
        </w:rPr>
        <w:t>L'utilisation de la marge de crédit doit donc faire l'objet de beaucoup de précautions et</w:t>
      </w:r>
      <w:r w:rsidR="00FD54FB">
        <w:rPr>
          <w:color w:val="000000" w:themeColor="text1"/>
        </w:rPr>
        <w:t>,</w:t>
      </w:r>
      <w:r>
        <w:rPr>
          <w:color w:val="000000" w:themeColor="text1"/>
        </w:rPr>
        <w:t xml:space="preserve"> s'il y a des situations </w:t>
      </w:r>
      <w:r w:rsidR="00FD54FB">
        <w:rPr>
          <w:color w:val="000000" w:themeColor="text1"/>
        </w:rPr>
        <w:t>qui en justifient l'emploi, celle</w:t>
      </w:r>
      <w:r w:rsidR="00F47884">
        <w:rPr>
          <w:color w:val="000000" w:themeColor="text1"/>
        </w:rPr>
        <w:t>s</w:t>
      </w:r>
      <w:r w:rsidR="00FD54FB">
        <w:rPr>
          <w:color w:val="000000" w:themeColor="text1"/>
        </w:rPr>
        <w:t xml:space="preserve"> qui se rend</w:t>
      </w:r>
      <w:r w:rsidR="00F47884">
        <w:rPr>
          <w:color w:val="000000" w:themeColor="text1"/>
        </w:rPr>
        <w:t>ent</w:t>
      </w:r>
      <w:r w:rsidR="00FD54FB">
        <w:rPr>
          <w:color w:val="000000" w:themeColor="text1"/>
        </w:rPr>
        <w:t xml:space="preserve"> complice</w:t>
      </w:r>
      <w:r w:rsidR="00F47884">
        <w:rPr>
          <w:color w:val="000000" w:themeColor="text1"/>
        </w:rPr>
        <w:t>s</w:t>
      </w:r>
      <w:r w:rsidR="00FD54FB">
        <w:rPr>
          <w:color w:val="000000" w:themeColor="text1"/>
        </w:rPr>
        <w:t xml:space="preserve"> d'une excroissance du train de vie du ménage </w:t>
      </w:r>
      <w:r w:rsidR="00F47884">
        <w:rPr>
          <w:color w:val="000000" w:themeColor="text1"/>
        </w:rPr>
        <w:t>sont</w:t>
      </w:r>
      <w:r w:rsidR="00FD54FB">
        <w:rPr>
          <w:color w:val="000000" w:themeColor="text1"/>
        </w:rPr>
        <w:t xml:space="preserve"> ultimement néfaste</w:t>
      </w:r>
      <w:r w:rsidR="00F47884">
        <w:rPr>
          <w:color w:val="000000" w:themeColor="text1"/>
        </w:rPr>
        <w:t>s</w:t>
      </w:r>
      <w:r w:rsidR="00FD54FB">
        <w:rPr>
          <w:color w:val="000000" w:themeColor="text1"/>
        </w:rPr>
        <w:t xml:space="preserve"> à sa santé financière.</w:t>
      </w:r>
    </w:p>
    <w:p w14:paraId="560DFFEB" w14:textId="77777777" w:rsidR="004333C2" w:rsidRDefault="004333C2">
      <w:pPr>
        <w:rPr>
          <w:color w:val="FF6700" w:themeColor="accent3"/>
        </w:rPr>
      </w:pPr>
    </w:p>
    <w:p w14:paraId="50BB12E1" w14:textId="1842E823" w:rsidR="00506B99" w:rsidRDefault="004341E0">
      <w:pPr>
        <w:rPr>
          <w:color w:val="FF6700" w:themeColor="accent3"/>
        </w:rPr>
      </w:pPr>
      <w:r>
        <w:rPr>
          <w:noProof/>
          <w:lang w:eastAsia="fr-FR"/>
        </w:rPr>
        <w:drawing>
          <wp:anchor distT="0" distB="0" distL="114300" distR="114300" simplePos="0" relativeHeight="252800000" behindDoc="0" locked="0" layoutInCell="1" allowOverlap="1" wp14:anchorId="1555457C" wp14:editId="59D034CB">
            <wp:simplePos x="0" y="0"/>
            <wp:positionH relativeFrom="column">
              <wp:posOffset>5715000</wp:posOffset>
            </wp:positionH>
            <wp:positionV relativeFrom="paragraph">
              <wp:posOffset>2839720</wp:posOffset>
            </wp:positionV>
            <wp:extent cx="342900" cy="344805"/>
            <wp:effectExtent l="0" t="0" r="12700" b="10795"/>
            <wp:wrapNone/>
            <wp:docPr id="594" name="Image 594"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70519">
        <w:rPr>
          <w:noProof/>
          <w:lang w:eastAsia="fr-FR"/>
        </w:rPr>
        <w:drawing>
          <wp:anchor distT="0" distB="0" distL="114300" distR="114300" simplePos="0" relativeHeight="252792832" behindDoc="0" locked="0" layoutInCell="1" allowOverlap="1" wp14:anchorId="2CA14765" wp14:editId="7E19BE6D">
            <wp:simplePos x="0" y="0"/>
            <wp:positionH relativeFrom="column">
              <wp:posOffset>5715000</wp:posOffset>
            </wp:positionH>
            <wp:positionV relativeFrom="paragraph">
              <wp:posOffset>896620</wp:posOffset>
            </wp:positionV>
            <wp:extent cx="342900" cy="344805"/>
            <wp:effectExtent l="0" t="0" r="12700" b="10795"/>
            <wp:wrapNone/>
            <wp:docPr id="590" name="Image 590"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70519">
        <w:rPr>
          <w:noProof/>
          <w:lang w:eastAsia="fr-FR"/>
        </w:rPr>
        <w:drawing>
          <wp:anchor distT="0" distB="0" distL="114300" distR="114300" simplePos="0" relativeHeight="252791808" behindDoc="0" locked="0" layoutInCell="1" allowOverlap="1" wp14:anchorId="6EA27B80" wp14:editId="4A266733">
            <wp:simplePos x="0" y="0"/>
            <wp:positionH relativeFrom="column">
              <wp:posOffset>5715000</wp:posOffset>
            </wp:positionH>
            <wp:positionV relativeFrom="paragraph">
              <wp:posOffset>325120</wp:posOffset>
            </wp:positionV>
            <wp:extent cx="342900" cy="344805"/>
            <wp:effectExtent l="0" t="0" r="12700" b="10795"/>
            <wp:wrapNone/>
            <wp:docPr id="580" name="Image 580"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66DA7">
        <w:rPr>
          <w:noProof/>
          <w:lang w:eastAsia="fr-FR"/>
        </w:rPr>
        <w:drawing>
          <wp:anchor distT="0" distB="0" distL="114300" distR="114300" simplePos="0" relativeHeight="252797952" behindDoc="0" locked="0" layoutInCell="1" allowOverlap="1" wp14:anchorId="69FB9E21" wp14:editId="386E4E21">
            <wp:simplePos x="0" y="0"/>
            <wp:positionH relativeFrom="column">
              <wp:posOffset>6743700</wp:posOffset>
            </wp:positionH>
            <wp:positionV relativeFrom="paragraph">
              <wp:posOffset>2268220</wp:posOffset>
            </wp:positionV>
            <wp:extent cx="342900" cy="344805"/>
            <wp:effectExtent l="0" t="0" r="12700" b="10795"/>
            <wp:wrapNone/>
            <wp:docPr id="592" name="Image 592"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8799F">
        <w:rPr>
          <w:noProof/>
          <w:lang w:eastAsia="fr-FR"/>
        </w:rPr>
        <w:drawing>
          <wp:anchor distT="0" distB="0" distL="114300" distR="114300" simplePos="0" relativeHeight="252795904" behindDoc="0" locked="0" layoutInCell="1" allowOverlap="1" wp14:anchorId="63DF5932" wp14:editId="30D70B64">
            <wp:simplePos x="0" y="0"/>
            <wp:positionH relativeFrom="column">
              <wp:posOffset>6743700</wp:posOffset>
            </wp:positionH>
            <wp:positionV relativeFrom="paragraph">
              <wp:posOffset>1582420</wp:posOffset>
            </wp:positionV>
            <wp:extent cx="342900" cy="344805"/>
            <wp:effectExtent l="0" t="0" r="12700" b="10795"/>
            <wp:wrapNone/>
            <wp:docPr id="589" name="Image 589"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06B99">
        <w:rPr>
          <w:color w:val="FF6700" w:themeColor="accent3"/>
        </w:rPr>
        <w:br w:type="page"/>
      </w:r>
    </w:p>
    <w:p w14:paraId="080DC609" w14:textId="3644F120" w:rsidR="00953920" w:rsidRPr="00A428A0" w:rsidRDefault="00953920" w:rsidP="006C34CF">
      <w:pPr>
        <w:pStyle w:val="Paragraphedeliste"/>
        <w:numPr>
          <w:ilvl w:val="0"/>
          <w:numId w:val="83"/>
        </w:numPr>
      </w:pPr>
      <w:r w:rsidRPr="00072AB5">
        <w:rPr>
          <w:color w:val="FF6700" w:themeColor="accent3"/>
        </w:rPr>
        <w:lastRenderedPageBreak/>
        <w:t>EXEMPLE 7-1</w:t>
      </w:r>
      <w:r>
        <w:rPr>
          <w:color w:val="FF6700" w:themeColor="accent3"/>
        </w:rPr>
        <w:t>4</w:t>
      </w:r>
    </w:p>
    <w:p w14:paraId="6EEA60AC" w14:textId="77777777" w:rsidR="00953920" w:rsidRDefault="00953920">
      <w:pPr>
        <w:rPr>
          <w:color w:val="FF6700" w:themeColor="accent3"/>
        </w:rPr>
      </w:pPr>
    </w:p>
    <w:p w14:paraId="10E0C3E5" w14:textId="0DE3291A" w:rsidR="00A408C9" w:rsidRPr="00953920" w:rsidRDefault="00902C74">
      <w:r>
        <w:rPr>
          <w:noProof/>
          <w:lang w:eastAsia="fr-FR"/>
        </w:rPr>
        <mc:AlternateContent>
          <mc:Choice Requires="wps">
            <w:drawing>
              <wp:anchor distT="0" distB="0" distL="114300" distR="114300" simplePos="0" relativeHeight="252822528" behindDoc="0" locked="0" layoutInCell="1" allowOverlap="1" wp14:anchorId="3E3A6D8D" wp14:editId="063562F2">
                <wp:simplePos x="0" y="0"/>
                <wp:positionH relativeFrom="column">
                  <wp:posOffset>1831098</wp:posOffset>
                </wp:positionH>
                <wp:positionV relativeFrom="paragraph">
                  <wp:posOffset>1044920</wp:posOffset>
                </wp:positionV>
                <wp:extent cx="581025" cy="2309194"/>
                <wp:effectExtent l="533400" t="0" r="565150" b="0"/>
                <wp:wrapNone/>
                <wp:docPr id="606" name="Flèche vers le haut 606"/>
                <wp:cNvGraphicFramePr/>
                <a:graphic xmlns:a="http://schemas.openxmlformats.org/drawingml/2006/main">
                  <a:graphicData uri="http://schemas.microsoft.com/office/word/2010/wordprocessingShape">
                    <wps:wsp>
                      <wps:cNvSpPr/>
                      <wps:spPr>
                        <a:xfrm rot="2279885">
                          <a:off x="0" y="0"/>
                          <a:ext cx="581025" cy="2309194"/>
                        </a:xfrm>
                        <a:prstGeom prst="upArrow">
                          <a:avLst/>
                        </a:prstGeom>
                        <a:solidFill>
                          <a:srgbClr val="909465"/>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31F8DD4" w14:textId="3687F320" w:rsidR="00573C95" w:rsidRDefault="00573C95" w:rsidP="00351EBB">
                            <w:pPr>
                              <w:jc w:val="center"/>
                            </w:pPr>
                            <w:r>
                              <w:t>80 % JVM de la résidence</w:t>
                            </w:r>
                          </w:p>
                        </w:txbxContent>
                      </wps:txbx>
                      <wps:bodyPr vert="vert270" wrap="square" lIns="2" anchor="t" anchorCtr="0">
                        <a:spAutoFit/>
                      </wps:bodyPr>
                    </wps:wsp>
                  </a:graphicData>
                </a:graphic>
                <wp14:sizeRelH relativeFrom="margin">
                  <wp14:pctWidth>0</wp14:pctWidth>
                </wp14:sizeRelH>
                <wp14:sizeRelV relativeFrom="margin">
                  <wp14:pctHeight>0</wp14:pctHeight>
                </wp14:sizeRelV>
              </wp:anchor>
            </w:drawing>
          </mc:Choice>
          <mc:Fallback>
            <w:pict>
              <v:shapetype id="_x0000_t68" coordsize="21600,21600" o:spt="68" adj="5400,5400" path="m0@0l@1@0@1,21600@2,21600@2@0,21600@0,1080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606" o:spid="_x0000_s1387" type="#_x0000_t68" style="position:absolute;margin-left:144.2pt;margin-top:82.3pt;width:45.75pt;height:181.85pt;rotation:2490242fd;z-index:25282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" adj="2717" fillcolor="#909465">
                <v:textbox style="layout-flow:vertical;mso-layout-flow-alt:bottom-to-top;mso-fit-shape-to-text:t" inset="2emu">
                  <w:txbxContent>
                    <w:p w14:paraId="131F8DD4" w14:textId="3687F320" w:rsidR="001501D6" w:rsidRDefault="001501D6" w:rsidP="00351EBB">
                      <w:pPr>
                        <w:jc w:val="center"/>
                      </w:pPr>
                      <w:r>
                        <w:t>80 % JVM de la résidence</w:t>
                      </w:r>
                    </w:p>
                  </w:txbxContent>
                </v:textbox>
              </v:shape>
            </w:pict>
          </mc:Fallback>
        </mc:AlternateContent>
      </w:r>
      <w:r w:rsidR="00A04D00">
        <w:rPr>
          <w:noProof/>
          <w:lang w:eastAsia="fr-FR"/>
        </w:rPr>
        <mc:AlternateContent>
          <mc:Choice Requires="wps">
            <w:drawing>
              <wp:anchor distT="0" distB="0" distL="114300" distR="114300" simplePos="0" relativeHeight="252820480" behindDoc="0" locked="0" layoutInCell="1" allowOverlap="1" wp14:anchorId="2177377E" wp14:editId="37C8147B">
                <wp:simplePos x="0" y="0"/>
                <wp:positionH relativeFrom="column">
                  <wp:posOffset>1846580</wp:posOffset>
                </wp:positionH>
                <wp:positionV relativeFrom="paragraph">
                  <wp:posOffset>3656965</wp:posOffset>
                </wp:positionV>
                <wp:extent cx="581025" cy="2505075"/>
                <wp:effectExtent l="533400" t="0" r="615950" b="0"/>
                <wp:wrapThrough wrapText="bothSides">
                  <wp:wrapPolygon edited="0">
                    <wp:start x="6328" y="-100"/>
                    <wp:lineTo x="7313" y="554"/>
                    <wp:lineTo x="3209" y="5428"/>
                    <wp:lineTo x="-6572" y="7165"/>
                    <wp:lineTo x="2694" y="9942"/>
                    <wp:lineTo x="-6334" y="11545"/>
                    <wp:lineTo x="2932" y="14322"/>
                    <wp:lineTo x="-6097" y="15925"/>
                    <wp:lineTo x="2996" y="19009"/>
                    <wp:lineTo x="9425" y="22013"/>
                    <wp:lineTo x="15331" y="22346"/>
                    <wp:lineTo x="19092" y="21678"/>
                    <wp:lineTo x="18494" y="7136"/>
                    <wp:lineTo x="22771" y="1955"/>
                    <wp:lineTo x="10090" y="-768"/>
                    <wp:lineTo x="6328" y="-100"/>
                  </wp:wrapPolygon>
                </wp:wrapThrough>
                <wp:docPr id="605" name="Flèche vers le haut 605"/>
                <wp:cNvGraphicFramePr/>
                <a:graphic xmlns:a="http://schemas.openxmlformats.org/drawingml/2006/main">
                  <a:graphicData uri="http://schemas.microsoft.com/office/word/2010/wordprocessingShape">
                    <wps:wsp>
                      <wps:cNvSpPr/>
                      <wps:spPr>
                        <a:xfrm rot="2255162">
                          <a:off x="0" y="0"/>
                          <a:ext cx="581025" cy="2505075"/>
                        </a:xfrm>
                        <a:prstGeom prst="upArrow">
                          <a:avLst/>
                        </a:prstGeom>
                        <a:solidFill>
                          <a:schemeClr val="accent4"/>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24AD322" w14:textId="2CF878EE" w:rsidR="00573C95" w:rsidRDefault="00573C95" w:rsidP="00A04D00">
                            <w:pPr>
                              <w:jc w:val="center"/>
                            </w:pPr>
                            <w:r>
                              <w:t>198 400 $ - 173 259,05 $</w:t>
                            </w:r>
                          </w:p>
                        </w:txbxContent>
                      </wps:txbx>
                      <wps:bodyPr vert="vert270" wrap="square" lIns="2" anchor="t" anchorCtr="0">
                        <a:spAutoFit/>
                      </wps:bodyPr>
                    </wps:wsp>
                  </a:graphicData>
                </a:graphic>
                <wp14:sizeRelV relativeFrom="margin">
                  <wp14:pctHeight>0</wp14:pctHeight>
                </wp14:sizeRelV>
              </wp:anchor>
            </w:drawing>
          </mc:Choice>
          <mc:Fallback>
            <w:pict>
              <v:shape id="Flèche vers le haut 605" o:spid="_x0000_s1388" type="#_x0000_t68" style="position:absolute;margin-left:145.4pt;margin-top:287.95pt;width:45.75pt;height:197.25pt;rotation:2463238fd;z-index:25282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" adj="2505" fillcolor="#909465 [3207]">
                <v:textbox style="layout-flow:vertical;mso-layout-flow-alt:bottom-to-top;mso-fit-shape-to-text:t" inset="2emu">
                  <w:txbxContent>
                    <w:p w14:paraId="224AD322" w14:textId="2CF878EE" w:rsidR="001501D6" w:rsidRDefault="001501D6" w:rsidP="00A04D00">
                      <w:pPr>
                        <w:jc w:val="center"/>
                      </w:pPr>
                      <w:r>
                        <w:t>198 400 $ - 173 259,05 $</w:t>
                      </w:r>
                    </w:p>
                  </w:txbxContent>
                </v:textbox>
                <w10:wrap type="through"/>
              </v:shape>
            </w:pict>
          </mc:Fallback>
        </mc:AlternateContent>
      </w:r>
      <w:r w:rsidR="00A04D00">
        <w:rPr>
          <w:noProof/>
          <w:lang w:eastAsia="fr-FR"/>
        </w:rPr>
        <mc:AlternateContent>
          <mc:Choice Requires="wps">
            <w:drawing>
              <wp:anchor distT="0" distB="0" distL="114300" distR="114300" simplePos="0" relativeHeight="252818432" behindDoc="0" locked="0" layoutInCell="1" allowOverlap="1" wp14:anchorId="47F7B327" wp14:editId="30EFEADE">
                <wp:simplePos x="0" y="0"/>
                <wp:positionH relativeFrom="column">
                  <wp:posOffset>-800100</wp:posOffset>
                </wp:positionH>
                <wp:positionV relativeFrom="paragraph">
                  <wp:posOffset>3626485</wp:posOffset>
                </wp:positionV>
                <wp:extent cx="937260" cy="457200"/>
                <wp:effectExtent l="76200" t="76200" r="2540" b="76200"/>
                <wp:wrapThrough wrapText="bothSides">
                  <wp:wrapPolygon edited="0">
                    <wp:start x="14634" y="-3600"/>
                    <wp:lineTo x="-1756" y="-1200"/>
                    <wp:lineTo x="-1756" y="18000"/>
                    <wp:lineTo x="14634" y="18000"/>
                    <wp:lineTo x="14634" y="24000"/>
                    <wp:lineTo x="18146" y="24000"/>
                    <wp:lineTo x="18732" y="21600"/>
                    <wp:lineTo x="21073" y="16800"/>
                    <wp:lineTo x="20488" y="6000"/>
                    <wp:lineTo x="18146" y="-3600"/>
                    <wp:lineTo x="14634" y="-3600"/>
                  </wp:wrapPolygon>
                </wp:wrapThrough>
                <wp:docPr id="604" name="Flèche vers la droite 604"/>
                <wp:cNvGraphicFramePr/>
                <a:graphic xmlns:a="http://schemas.openxmlformats.org/drawingml/2006/main">
                  <a:graphicData uri="http://schemas.microsoft.com/office/word/2010/wordprocessingShape">
                    <wps:wsp>
                      <wps:cNvSpPr/>
                      <wps:spPr>
                        <a:xfrm>
                          <a:off x="0" y="0"/>
                          <a:ext cx="937260" cy="457200"/>
                        </a:xfrm>
                        <a:prstGeom prst="rightArrow">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lèche vers la droite 604" o:spid="_x0000_s1026" type="#_x0000_t13" style="position:absolute;margin-left:-62.95pt;margin-top:285.55pt;width:73.8pt;height:36pt;z-index:2528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" adj="16332" fillcolor="maroon">
                <w10:wrap type="through"/>
              </v:shape>
            </w:pict>
          </mc:Fallback>
        </mc:AlternateContent>
      </w:r>
      <w:r w:rsidR="00A04D00">
        <w:rPr>
          <w:noProof/>
          <w:lang w:eastAsia="fr-FR"/>
        </w:rPr>
        <mc:AlternateContent>
          <mc:Choice Requires="wps">
            <w:drawing>
              <wp:anchor distT="0" distB="0" distL="114300" distR="114300" simplePos="0" relativeHeight="252816384" behindDoc="0" locked="0" layoutInCell="1" allowOverlap="1" wp14:anchorId="130AD2D3" wp14:editId="6728949A">
                <wp:simplePos x="0" y="0"/>
                <wp:positionH relativeFrom="column">
                  <wp:posOffset>-800100</wp:posOffset>
                </wp:positionH>
                <wp:positionV relativeFrom="paragraph">
                  <wp:posOffset>1454785</wp:posOffset>
                </wp:positionV>
                <wp:extent cx="937260" cy="457200"/>
                <wp:effectExtent l="76200" t="76200" r="2540" b="76200"/>
                <wp:wrapThrough wrapText="bothSides">
                  <wp:wrapPolygon edited="0">
                    <wp:start x="14634" y="-3600"/>
                    <wp:lineTo x="-1756" y="-1200"/>
                    <wp:lineTo x="-1756" y="18000"/>
                    <wp:lineTo x="14634" y="18000"/>
                    <wp:lineTo x="14634" y="24000"/>
                    <wp:lineTo x="18146" y="24000"/>
                    <wp:lineTo x="18732" y="21600"/>
                    <wp:lineTo x="21073" y="16800"/>
                    <wp:lineTo x="20488" y="6000"/>
                    <wp:lineTo x="18146" y="-3600"/>
                    <wp:lineTo x="14634" y="-3600"/>
                  </wp:wrapPolygon>
                </wp:wrapThrough>
                <wp:docPr id="603" name="Flèche vers la droite 603"/>
                <wp:cNvGraphicFramePr/>
                <a:graphic xmlns:a="http://schemas.openxmlformats.org/drawingml/2006/main">
                  <a:graphicData uri="http://schemas.microsoft.com/office/word/2010/wordprocessingShape">
                    <wps:wsp>
                      <wps:cNvSpPr/>
                      <wps:spPr>
                        <a:xfrm>
                          <a:off x="0" y="0"/>
                          <a:ext cx="937260" cy="457200"/>
                        </a:xfrm>
                        <a:prstGeom prst="rightArrow">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lèche vers la droite 603" o:spid="_x0000_s1026" type="#_x0000_t13" style="position:absolute;margin-left:-62.95pt;margin-top:114.55pt;width:73.8pt;height:36pt;z-index:2528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" adj="16332" fillcolor="maroon">
                <w10:wrap type="through"/>
              </v:shape>
            </w:pict>
          </mc:Fallback>
        </mc:AlternateContent>
      </w:r>
      <w:r w:rsidR="00A04D00">
        <w:rPr>
          <w:noProof/>
          <w:lang w:eastAsia="fr-FR"/>
        </w:rPr>
        <mc:AlternateContent>
          <mc:Choice Requires="wps">
            <w:drawing>
              <wp:anchor distT="0" distB="0" distL="114300" distR="114300" simplePos="0" relativeHeight="252814336" behindDoc="0" locked="0" layoutInCell="1" allowOverlap="1" wp14:anchorId="717DCDE9" wp14:editId="3BD5F003">
                <wp:simplePos x="0" y="0"/>
                <wp:positionH relativeFrom="column">
                  <wp:posOffset>-800100</wp:posOffset>
                </wp:positionH>
                <wp:positionV relativeFrom="paragraph">
                  <wp:posOffset>997585</wp:posOffset>
                </wp:positionV>
                <wp:extent cx="937260" cy="457200"/>
                <wp:effectExtent l="76200" t="76200" r="2540" b="76200"/>
                <wp:wrapThrough wrapText="bothSides">
                  <wp:wrapPolygon edited="0">
                    <wp:start x="14634" y="-3600"/>
                    <wp:lineTo x="-1756" y="-1200"/>
                    <wp:lineTo x="-1756" y="18000"/>
                    <wp:lineTo x="14634" y="18000"/>
                    <wp:lineTo x="14634" y="24000"/>
                    <wp:lineTo x="18146" y="24000"/>
                    <wp:lineTo x="18732" y="21600"/>
                    <wp:lineTo x="21073" y="16800"/>
                    <wp:lineTo x="20488" y="6000"/>
                    <wp:lineTo x="18146" y="-3600"/>
                    <wp:lineTo x="14634" y="-3600"/>
                  </wp:wrapPolygon>
                </wp:wrapThrough>
                <wp:docPr id="602" name="Flèche vers la droite 602"/>
                <wp:cNvGraphicFramePr/>
                <a:graphic xmlns:a="http://schemas.openxmlformats.org/drawingml/2006/main">
                  <a:graphicData uri="http://schemas.microsoft.com/office/word/2010/wordprocessingShape">
                    <wps:wsp>
                      <wps:cNvSpPr/>
                      <wps:spPr>
                        <a:xfrm>
                          <a:off x="0" y="0"/>
                          <a:ext cx="937260" cy="457200"/>
                        </a:xfrm>
                        <a:prstGeom prst="rightArrow">
                          <a:avLst/>
                        </a:prstGeom>
                        <a:solidFill>
                          <a:srgbClr val="8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lèche vers la droite 602" o:spid="_x0000_s1026" type="#_x0000_t13" style="position:absolute;margin-left:-62.95pt;margin-top:78.55pt;width:73.8pt;height:36pt;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" adj="16332" fillcolor="maroon" strokecolor="black [3213]">
                <w10:wrap type="through"/>
              </v:shape>
            </w:pict>
          </mc:Fallback>
        </mc:AlternateContent>
      </w:r>
      <w:r w:rsidR="00A04D00">
        <w:rPr>
          <w:noProof/>
          <w:lang w:eastAsia="fr-FR"/>
        </w:rPr>
        <mc:AlternateContent>
          <mc:Choice Requires="wps">
            <w:drawing>
              <wp:anchor distT="0" distB="0" distL="114300" distR="114300" simplePos="0" relativeHeight="252812288" behindDoc="0" locked="0" layoutInCell="1" allowOverlap="1" wp14:anchorId="55A6E133" wp14:editId="55A8FD24">
                <wp:simplePos x="0" y="0"/>
                <wp:positionH relativeFrom="column">
                  <wp:posOffset>2857500</wp:posOffset>
                </wp:positionH>
                <wp:positionV relativeFrom="paragraph">
                  <wp:posOffset>3626485</wp:posOffset>
                </wp:positionV>
                <wp:extent cx="1028700" cy="342900"/>
                <wp:effectExtent l="76200" t="76200" r="0" b="63500"/>
                <wp:wrapNone/>
                <wp:docPr id="601" name="Bouée 601"/>
                <wp:cNvGraphicFramePr/>
                <a:graphic xmlns:a="http://schemas.openxmlformats.org/drawingml/2006/main">
                  <a:graphicData uri="http://schemas.microsoft.com/office/word/2010/wordprocessingShape">
                    <wps:wsp>
                      <wps:cNvSpPr/>
                      <wps:spPr>
                        <a:xfrm>
                          <a:off x="0" y="0"/>
                          <a:ext cx="1028700" cy="342900"/>
                        </a:xfrm>
                        <a:prstGeom prst="donut">
                          <a:avLst>
                            <a:gd name="adj" fmla="val 0"/>
                          </a:avLst>
                        </a:prstGeom>
                        <a:ln>
                          <a:solidFill>
                            <a:srgbClr val="8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23" coordsize="21600,21600" o:spt="23" adj="5400" path="m0,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Bouée 601" o:spid="_x0000_s1026" type="#_x0000_t23" style="position:absolute;margin-left:225pt;margin-top:285.55pt;width:81pt;height:27pt;z-index:25281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" adj="0" fillcolor="#94c600 [3204]" strokecolor="maroon">
                <v:fill color2="#84b100 [2884]" rotate="t" focus="100%" type="gradient">
                  <o:fill v:ext="view" type="gradientUnscaled"/>
                </v:fill>
              </v:shape>
            </w:pict>
          </mc:Fallback>
        </mc:AlternateContent>
      </w:r>
      <w:r w:rsidR="000453A8">
        <w:rPr>
          <w:noProof/>
          <w:lang w:eastAsia="fr-FR"/>
        </w:rPr>
        <mc:AlternateContent>
          <mc:Choice Requires="wps">
            <w:drawing>
              <wp:anchor distT="0" distB="0" distL="114300" distR="114300" simplePos="0" relativeHeight="252810240" behindDoc="0" locked="0" layoutInCell="1" allowOverlap="1" wp14:anchorId="1B9A4CD8" wp14:editId="066AF6E6">
                <wp:simplePos x="0" y="0"/>
                <wp:positionH relativeFrom="column">
                  <wp:posOffset>2857500</wp:posOffset>
                </wp:positionH>
                <wp:positionV relativeFrom="paragraph">
                  <wp:posOffset>1454785</wp:posOffset>
                </wp:positionV>
                <wp:extent cx="1028700" cy="342900"/>
                <wp:effectExtent l="76200" t="76200" r="0" b="63500"/>
                <wp:wrapNone/>
                <wp:docPr id="600" name="Bouée 600"/>
                <wp:cNvGraphicFramePr/>
                <a:graphic xmlns:a="http://schemas.openxmlformats.org/drawingml/2006/main">
                  <a:graphicData uri="http://schemas.microsoft.com/office/word/2010/wordprocessingShape">
                    <wps:wsp>
                      <wps:cNvSpPr/>
                      <wps:spPr>
                        <a:xfrm>
                          <a:off x="0" y="0"/>
                          <a:ext cx="1028700" cy="342900"/>
                        </a:xfrm>
                        <a:prstGeom prst="donut">
                          <a:avLst>
                            <a:gd name="adj" fmla="val 0"/>
                          </a:avLst>
                        </a:prstGeom>
                        <a:ln>
                          <a:solidFill>
                            <a:srgbClr val="8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Bouée 600" o:spid="_x0000_s1026" type="#_x0000_t23" style="position:absolute;margin-left:225pt;margin-top:114.55pt;width:81pt;height:27pt;z-index:2528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" adj="0" fillcolor="#94c600 [3204]" strokecolor="maroon">
                <v:fill color2="#84b100 [2884]" rotate="t" focus="100%" type="gradient">
                  <o:fill v:ext="view" type="gradientUnscaled"/>
                </v:fill>
              </v:shape>
            </w:pict>
          </mc:Fallback>
        </mc:AlternateContent>
      </w:r>
      <w:r w:rsidR="000453A8">
        <w:rPr>
          <w:noProof/>
          <w:lang w:eastAsia="fr-FR"/>
        </w:rPr>
        <mc:AlternateContent>
          <mc:Choice Requires="wps">
            <w:drawing>
              <wp:anchor distT="0" distB="0" distL="114300" distR="114300" simplePos="0" relativeHeight="252808192" behindDoc="0" locked="0" layoutInCell="1" allowOverlap="1" wp14:anchorId="59A1D973" wp14:editId="53C21844">
                <wp:simplePos x="0" y="0"/>
                <wp:positionH relativeFrom="column">
                  <wp:posOffset>2857500</wp:posOffset>
                </wp:positionH>
                <wp:positionV relativeFrom="paragraph">
                  <wp:posOffset>1111885</wp:posOffset>
                </wp:positionV>
                <wp:extent cx="1028700" cy="342900"/>
                <wp:effectExtent l="76200" t="76200" r="0" b="63500"/>
                <wp:wrapNone/>
                <wp:docPr id="599" name="Bouée 599"/>
                <wp:cNvGraphicFramePr/>
                <a:graphic xmlns:a="http://schemas.openxmlformats.org/drawingml/2006/main">
                  <a:graphicData uri="http://schemas.microsoft.com/office/word/2010/wordprocessingShape">
                    <wps:wsp>
                      <wps:cNvSpPr/>
                      <wps:spPr>
                        <a:xfrm>
                          <a:off x="0" y="0"/>
                          <a:ext cx="1028700" cy="342900"/>
                        </a:xfrm>
                        <a:prstGeom prst="donut">
                          <a:avLst>
                            <a:gd name="adj" fmla="val 0"/>
                          </a:avLst>
                        </a:prstGeom>
                        <a:ln>
                          <a:solidFill>
                            <a:srgbClr val="8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Bouée 599" o:spid="_x0000_s1026" type="#_x0000_t23" style="position:absolute;margin-left:225pt;margin-top:87.55pt;width:81pt;height:27pt;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" adj="0" fillcolor="#94c600 [3204]" strokecolor="maroon">
                <v:fill color2="#84b100 [2884]" rotate="t" focus="100%" type="gradient">
                  <o:fill v:ext="view" type="gradientUnscaled"/>
                </v:fill>
              </v:shape>
            </w:pict>
          </mc:Fallback>
        </mc:AlternateContent>
      </w:r>
      <w:r w:rsidR="00B508A9">
        <w:rPr>
          <w:noProof/>
          <w:lang w:eastAsia="fr-FR"/>
        </w:rPr>
        <mc:AlternateContent>
          <mc:Choice Requires="wps">
            <w:drawing>
              <wp:anchor distT="0" distB="0" distL="114300" distR="114300" simplePos="0" relativeHeight="252804096" behindDoc="0" locked="0" layoutInCell="1" allowOverlap="1" wp14:anchorId="46EF7369" wp14:editId="6D6687FB">
                <wp:simplePos x="0" y="0"/>
                <wp:positionH relativeFrom="column">
                  <wp:posOffset>1943100</wp:posOffset>
                </wp:positionH>
                <wp:positionV relativeFrom="paragraph">
                  <wp:posOffset>540385</wp:posOffset>
                </wp:positionV>
                <wp:extent cx="3771900" cy="685800"/>
                <wp:effectExtent l="76200" t="76200" r="63500" b="76200"/>
                <wp:wrapThrough wrapText="bothSides">
                  <wp:wrapPolygon edited="0">
                    <wp:start x="1309" y="-2400"/>
                    <wp:lineTo x="-436" y="-800"/>
                    <wp:lineTo x="-436" y="11200"/>
                    <wp:lineTo x="1164" y="21600"/>
                    <wp:lineTo x="1309" y="23200"/>
                    <wp:lineTo x="2182" y="23200"/>
                    <wp:lineTo x="8000" y="21600"/>
                    <wp:lineTo x="21818" y="15200"/>
                    <wp:lineTo x="21818" y="1600"/>
                    <wp:lineTo x="20364" y="800"/>
                    <wp:lineTo x="2182" y="-2400"/>
                    <wp:lineTo x="1309" y="-2400"/>
                  </wp:wrapPolygon>
                </wp:wrapThrough>
                <wp:docPr id="597" name="Flèche vers la gauche 597"/>
                <wp:cNvGraphicFramePr/>
                <a:graphic xmlns:a="http://schemas.openxmlformats.org/drawingml/2006/main">
                  <a:graphicData uri="http://schemas.microsoft.com/office/word/2010/wordprocessingShape">
                    <wps:wsp>
                      <wps:cNvSpPr/>
                      <wps:spPr>
                        <a:xfrm>
                          <a:off x="0" y="0"/>
                          <a:ext cx="3771900" cy="685800"/>
                        </a:xfrm>
                        <a:prstGeom prst="leftArrow">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FE7B787" w14:textId="19ACC470" w:rsidR="00573C95" w:rsidRDefault="00573C95" w:rsidP="00B508A9">
                            <w:pPr>
                              <w:jc w:val="center"/>
                            </w:pPr>
                            <w:r>
                              <w:t>Prêt hypothécaire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597" o:spid="_x0000_s1389" type="#_x0000_t66" style="position:absolute;margin-left:153pt;margin-top:42.55pt;width:297pt;height:54pt;z-index:2528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" adj="1964" fillcolor="#94c600 [3204]" strokecolor="#94c600 [3204]">
                <v:fill color2="#84b100 [2884]" rotate="t" focus="100%" type="gradient">
                  <o:fill v:ext="view" type="gradientUnscaled"/>
                </v:fill>
                <v:textbox>
                  <w:txbxContent>
                    <w:p w14:paraId="5FE7B787" w14:textId="19ACC470" w:rsidR="001501D6" w:rsidRDefault="001501D6" w:rsidP="00B508A9">
                      <w:pPr>
                        <w:jc w:val="center"/>
                      </w:pPr>
                      <w:r>
                        <w:t>Prêt hypothécaire</w:t>
                      </w:r>
                    </w:p>
                  </w:txbxContent>
                </v:textbox>
                <w10:wrap type="through"/>
              </v:shape>
            </w:pict>
          </mc:Fallback>
        </mc:AlternateContent>
      </w:r>
      <w:r w:rsidR="00B508A9">
        <w:rPr>
          <w:noProof/>
          <w:lang w:eastAsia="fr-FR"/>
        </w:rPr>
        <mc:AlternateContent>
          <mc:Choice Requires="wps">
            <w:drawing>
              <wp:anchor distT="0" distB="0" distL="114300" distR="114300" simplePos="0" relativeHeight="252806144" behindDoc="0" locked="0" layoutInCell="1" allowOverlap="1" wp14:anchorId="4043C057" wp14:editId="75F53C93">
                <wp:simplePos x="0" y="0"/>
                <wp:positionH relativeFrom="column">
                  <wp:posOffset>1943100</wp:posOffset>
                </wp:positionH>
                <wp:positionV relativeFrom="paragraph">
                  <wp:posOffset>3054985</wp:posOffset>
                </wp:positionV>
                <wp:extent cx="3886200" cy="685800"/>
                <wp:effectExtent l="76200" t="76200" r="76200" b="76200"/>
                <wp:wrapThrough wrapText="bothSides">
                  <wp:wrapPolygon edited="0">
                    <wp:start x="1271" y="-2400"/>
                    <wp:lineTo x="-424" y="-800"/>
                    <wp:lineTo x="-424" y="11200"/>
                    <wp:lineTo x="1129" y="21600"/>
                    <wp:lineTo x="1271" y="23200"/>
                    <wp:lineTo x="2118" y="23200"/>
                    <wp:lineTo x="7906" y="21600"/>
                    <wp:lineTo x="21882" y="15200"/>
                    <wp:lineTo x="21882" y="1600"/>
                    <wp:lineTo x="20471" y="800"/>
                    <wp:lineTo x="2118" y="-2400"/>
                    <wp:lineTo x="1271" y="-2400"/>
                  </wp:wrapPolygon>
                </wp:wrapThrough>
                <wp:docPr id="598" name="Flèche vers la gauche 598"/>
                <wp:cNvGraphicFramePr/>
                <a:graphic xmlns:a="http://schemas.openxmlformats.org/drawingml/2006/main">
                  <a:graphicData uri="http://schemas.microsoft.com/office/word/2010/wordprocessingShape">
                    <wps:wsp>
                      <wps:cNvSpPr/>
                      <wps:spPr>
                        <a:xfrm>
                          <a:off x="0" y="0"/>
                          <a:ext cx="3886200" cy="685800"/>
                        </a:xfrm>
                        <a:prstGeom prst="leftArrow">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4585CCB" w14:textId="0B466757" w:rsidR="00573C95" w:rsidRDefault="00573C95" w:rsidP="00B508A9">
                            <w:pPr>
                              <w:jc w:val="center"/>
                            </w:pPr>
                            <w:r>
                              <w:t>Marge de crédit hypothécaire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598" o:spid="_x0000_s1390" type="#_x0000_t66" style="position:absolute;margin-left:153pt;margin-top:240.55pt;width:306pt;height:54pt;z-index:2528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" adj="1906" fillcolor="#94c600 [3204]" strokecolor="#94c600 [3204]">
                <v:fill color2="#84b100 [2884]" rotate="t" focus="100%" type="gradient">
                  <o:fill v:ext="view" type="gradientUnscaled"/>
                </v:fill>
                <v:textbox>
                  <w:txbxContent>
                    <w:p w14:paraId="74585CCB" w14:textId="0B466757" w:rsidR="001501D6" w:rsidRDefault="001501D6" w:rsidP="00B508A9">
                      <w:pPr>
                        <w:jc w:val="center"/>
                      </w:pPr>
                      <w:r>
                        <w:t>Marge de crédit hypothécaire</w:t>
                      </w:r>
                    </w:p>
                  </w:txbxContent>
                </v:textbox>
                <w10:wrap type="through"/>
              </v:shape>
            </w:pict>
          </mc:Fallback>
        </mc:AlternateContent>
      </w:r>
      <w:r w:rsidR="00953920" w:rsidRPr="00953920">
        <w:rPr>
          <w:noProof/>
          <w:lang w:eastAsia="fr-FR"/>
        </w:rPr>
        <w:drawing>
          <wp:anchor distT="0" distB="0" distL="114300" distR="114300" simplePos="0" relativeHeight="252802048" behindDoc="0" locked="0" layoutInCell="1" allowOverlap="1" wp14:anchorId="134E2727" wp14:editId="2EBEA063">
            <wp:simplePos x="0" y="0"/>
            <wp:positionH relativeFrom="column">
              <wp:posOffset>-228600</wp:posOffset>
            </wp:positionH>
            <wp:positionV relativeFrom="paragraph">
              <wp:posOffset>3054985</wp:posOffset>
            </wp:positionV>
            <wp:extent cx="8253095" cy="2658110"/>
            <wp:effectExtent l="0" t="0" r="1905" b="8890"/>
            <wp:wrapNone/>
            <wp:docPr id="596" name="Image 596" descr="Macintosh HD:Users:marcbachand:Desktop:Capture d’écran 2015-11-18 à 10.3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1-18 à 10.36.23.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253095" cy="26581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53920" w:rsidRPr="00953920">
        <w:rPr>
          <w:noProof/>
          <w:lang w:eastAsia="fr-FR"/>
        </w:rPr>
        <w:drawing>
          <wp:anchor distT="0" distB="0" distL="114300" distR="114300" simplePos="0" relativeHeight="252801024" behindDoc="0" locked="0" layoutInCell="1" allowOverlap="1" wp14:anchorId="787B54B6" wp14:editId="703C6F96">
            <wp:simplePos x="0" y="0"/>
            <wp:positionH relativeFrom="column">
              <wp:posOffset>-228600</wp:posOffset>
            </wp:positionH>
            <wp:positionV relativeFrom="paragraph">
              <wp:posOffset>540385</wp:posOffset>
            </wp:positionV>
            <wp:extent cx="8253095" cy="2363470"/>
            <wp:effectExtent l="0" t="0" r="1905" b="0"/>
            <wp:wrapNone/>
            <wp:docPr id="595" name="Image 595" descr="Macintosh HD:Users:marcbachand:Desktop:Capture d’écran 2015-11-18 à 10.3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1-18 à 10.35.15.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8253095" cy="23634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53920" w:rsidRPr="00953920">
        <w:t>Voici la démonstration du fonctionnement d'une marge de crédit hypothécaire.</w:t>
      </w:r>
      <w:r w:rsidR="00A408C9" w:rsidRPr="00953920">
        <w:br w:type="page"/>
      </w:r>
    </w:p>
    <w:p w14:paraId="7AD5A784" w14:textId="172BF497" w:rsidR="00805CF9" w:rsidRDefault="00805CF9" w:rsidP="006C34CF">
      <w:pPr>
        <w:pStyle w:val="Paragraphedeliste"/>
        <w:numPr>
          <w:ilvl w:val="0"/>
          <w:numId w:val="83"/>
        </w:numPr>
        <w:jc w:val="both"/>
        <w:rPr>
          <w:color w:val="FF6700" w:themeColor="accent3"/>
        </w:rPr>
      </w:pPr>
      <w:r>
        <w:rPr>
          <w:color w:val="FF6700" w:themeColor="accent3"/>
        </w:rPr>
        <w:lastRenderedPageBreak/>
        <w:t>Prêt personnel</w:t>
      </w:r>
    </w:p>
    <w:p w14:paraId="49FAB118" w14:textId="77777777" w:rsidR="00805CF9" w:rsidRDefault="00805CF9" w:rsidP="00805CF9">
      <w:pPr>
        <w:jc w:val="both"/>
        <w:rPr>
          <w:color w:val="FF6700" w:themeColor="accent3"/>
        </w:rPr>
      </w:pPr>
    </w:p>
    <w:p w14:paraId="6D890B7E" w14:textId="28AFCC94" w:rsidR="00EB7FB8" w:rsidRDefault="00EB7FB8" w:rsidP="00EB7FB8">
      <w:pPr>
        <w:jc w:val="both"/>
      </w:pPr>
      <w:r>
        <w:t xml:space="preserve">Le prêt personnel </w:t>
      </w:r>
      <w:r w:rsidR="00BF66BC">
        <w:t xml:space="preserve">est une forme de dette </w:t>
      </w:r>
      <w:r w:rsidR="009139ED">
        <w:t>fort</w:t>
      </w:r>
      <w:r w:rsidR="00BF66BC">
        <w:t xml:space="preserve"> différente de la marge de crédit. Dans la plupart des cas, le prêt accordé n'exige pas de garantie hypothécaire (un cautionnement peut être demandé dans certains cas). </w:t>
      </w:r>
      <w:r w:rsidR="00C55616">
        <w:t>Les principales caractéristiques du prêt personnel sont:</w:t>
      </w:r>
      <w:r>
        <w:t xml:space="preserve"> </w:t>
      </w:r>
    </w:p>
    <w:p w14:paraId="3D8AE087" w14:textId="77777777" w:rsidR="00EB7FB8" w:rsidRDefault="00EB7FB8" w:rsidP="00EB7FB8">
      <w:pPr>
        <w:jc w:val="both"/>
      </w:pPr>
    </w:p>
    <w:p w14:paraId="13D46959" w14:textId="02109EE2" w:rsidR="00EB7FB8" w:rsidRDefault="00EB7FB8" w:rsidP="006C34CF">
      <w:pPr>
        <w:pStyle w:val="Paragraphedeliste"/>
        <w:numPr>
          <w:ilvl w:val="0"/>
          <w:numId w:val="93"/>
        </w:numPr>
        <w:jc w:val="both"/>
      </w:pPr>
      <w:r>
        <w:t xml:space="preserve">Le montant du </w:t>
      </w:r>
      <w:r w:rsidR="009139ED">
        <w:t>prêt est pleinement déboursé par le créancier au tout début de l'emprunt.</w:t>
      </w:r>
    </w:p>
    <w:p w14:paraId="56DA27B0" w14:textId="77777777" w:rsidR="00EB7FB8" w:rsidRDefault="00EB7FB8" w:rsidP="00EB7FB8">
      <w:pPr>
        <w:ind w:left="720"/>
        <w:jc w:val="both"/>
      </w:pPr>
    </w:p>
    <w:p w14:paraId="0A317929" w14:textId="6FA31434" w:rsidR="00EB7FB8" w:rsidRDefault="00EB7FB8" w:rsidP="006C34CF">
      <w:pPr>
        <w:pStyle w:val="Paragraphedeliste"/>
        <w:numPr>
          <w:ilvl w:val="0"/>
          <w:numId w:val="93"/>
        </w:numPr>
        <w:jc w:val="both"/>
      </w:pPr>
      <w:r>
        <w:t xml:space="preserve">Le calcul des intérêts s'effectue </w:t>
      </w:r>
      <w:r w:rsidR="009139ED">
        <w:t xml:space="preserve">sur le solde du prêt qui n'est pas encore remboursé. </w:t>
      </w:r>
    </w:p>
    <w:p w14:paraId="2701D4CA" w14:textId="77777777" w:rsidR="00EB7FB8" w:rsidRDefault="00EB7FB8" w:rsidP="00EB7FB8">
      <w:pPr>
        <w:ind w:left="720"/>
        <w:jc w:val="both"/>
      </w:pPr>
    </w:p>
    <w:p w14:paraId="78B52978" w14:textId="24DD69A6" w:rsidR="009139ED" w:rsidRDefault="00EB7FB8" w:rsidP="006C34CF">
      <w:pPr>
        <w:pStyle w:val="Paragraphedeliste"/>
        <w:numPr>
          <w:ilvl w:val="0"/>
          <w:numId w:val="93"/>
        </w:numPr>
        <w:jc w:val="both"/>
      </w:pPr>
      <w:r>
        <w:t xml:space="preserve">Les </w:t>
      </w:r>
      <w:r w:rsidR="009139ED">
        <w:t>versements</w:t>
      </w:r>
      <w:r>
        <w:t xml:space="preserve"> </w:t>
      </w:r>
      <w:r w:rsidR="009139ED">
        <w:t>sont fixes et réguliers et représente</w:t>
      </w:r>
      <w:r w:rsidR="00A6321A">
        <w:t>nt</w:t>
      </w:r>
      <w:r w:rsidR="009139ED">
        <w:t xml:space="preserve"> l</w:t>
      </w:r>
      <w:r w:rsidR="00A6321A">
        <w:t xml:space="preserve">'ensemble </w:t>
      </w:r>
      <w:r w:rsidR="009139ED">
        <w:t xml:space="preserve">du capital et des intérêts qui doivent être déboursés pour rembourser l'intégralité de l'emprunt sur une échéance connue d'avance (normalement entre </w:t>
      </w:r>
      <w:r w:rsidR="00813B39">
        <w:t xml:space="preserve">12 mois et </w:t>
      </w:r>
      <w:r w:rsidR="00DF4B82">
        <w:t>60 mois</w:t>
      </w:r>
      <w:r w:rsidR="009139ED">
        <w:t>)</w:t>
      </w:r>
      <w:r w:rsidR="00DF4B82">
        <w:t>.</w:t>
      </w:r>
      <w:r w:rsidR="009139ED">
        <w:t xml:space="preserve"> La fréquence des versements est souvent mensuelle (certains prêts sont aussi remboursés hebdomadairement ou aux deux semaines).</w:t>
      </w:r>
    </w:p>
    <w:p w14:paraId="04F9E2A5" w14:textId="5904E3DE" w:rsidR="00EB7FB8" w:rsidRDefault="009139ED" w:rsidP="00A6321A">
      <w:pPr>
        <w:ind w:left="720"/>
        <w:jc w:val="both"/>
      </w:pPr>
      <w:r>
        <w:t xml:space="preserve"> </w:t>
      </w:r>
    </w:p>
    <w:p w14:paraId="01787A89" w14:textId="01BC92E7" w:rsidR="00EB7FB8" w:rsidRDefault="00EB7FB8" w:rsidP="006C34CF">
      <w:pPr>
        <w:pStyle w:val="Paragraphedeliste"/>
        <w:numPr>
          <w:ilvl w:val="0"/>
          <w:numId w:val="93"/>
        </w:numPr>
        <w:jc w:val="both"/>
      </w:pPr>
      <w:r>
        <w:t xml:space="preserve">Les taux d'intérêt sont </w:t>
      </w:r>
      <w:r w:rsidR="00A6321A">
        <w:t>habituellement fixes, supérieurs à ceux qui s'appliquent aux marges de crédit et</w:t>
      </w:r>
      <w:r>
        <w:t xml:space="preserve"> inférieurs à ceux associés aux cartes de crédit.</w:t>
      </w:r>
    </w:p>
    <w:p w14:paraId="6A417DEE" w14:textId="77777777" w:rsidR="00EB7FB8" w:rsidRDefault="00EB7FB8" w:rsidP="00805CF9">
      <w:pPr>
        <w:jc w:val="both"/>
        <w:rPr>
          <w:color w:val="FF6700" w:themeColor="accent3"/>
        </w:rPr>
      </w:pPr>
    </w:p>
    <w:p w14:paraId="13E6B1FE" w14:textId="3A5C69EE" w:rsidR="00C55616" w:rsidRPr="007904B4" w:rsidRDefault="00326FCE" w:rsidP="00C55616">
      <w:pPr>
        <w:jc w:val="both"/>
        <w:rPr>
          <w:color w:val="000000" w:themeColor="text1"/>
        </w:rPr>
      </w:pPr>
      <w:r>
        <w:rPr>
          <w:color w:val="000000" w:themeColor="text1"/>
        </w:rPr>
        <w:t xml:space="preserve">En somme, l'avantage du prêt personnel réside dans sa mécanique qui oblige le débiteur à s'engager dans son remboursement selon des paramètres déjà connus. Contrairement à la marge de crédit qui </w:t>
      </w:r>
      <w:r w:rsidR="00A91223">
        <w:rPr>
          <w:color w:val="000000" w:themeColor="text1"/>
        </w:rPr>
        <w:t xml:space="preserve">elle, </w:t>
      </w:r>
      <w:r>
        <w:rPr>
          <w:color w:val="000000" w:themeColor="text1"/>
        </w:rPr>
        <w:t>laisse l'emprunteur avec toute</w:t>
      </w:r>
      <w:r w:rsidR="00287796">
        <w:rPr>
          <w:color w:val="000000" w:themeColor="text1"/>
        </w:rPr>
        <w:t>s</w:t>
      </w:r>
      <w:r>
        <w:rPr>
          <w:color w:val="000000" w:themeColor="text1"/>
        </w:rPr>
        <w:t xml:space="preserve"> les souplesses possibles incluant celle de ne pas rembourser le solde</w:t>
      </w:r>
      <w:r w:rsidR="00A91223">
        <w:rPr>
          <w:color w:val="000000" w:themeColor="text1"/>
        </w:rPr>
        <w:t xml:space="preserve"> emprunté</w:t>
      </w:r>
      <w:r>
        <w:rPr>
          <w:color w:val="000000" w:themeColor="text1"/>
        </w:rPr>
        <w:t>.</w:t>
      </w:r>
      <w:r w:rsidR="00A506FD">
        <w:rPr>
          <w:color w:val="000000" w:themeColor="text1"/>
        </w:rPr>
        <w:t xml:space="preserve"> Par contre, le coût en intérêts est habituellement plus élevé dans le cas des prêts personnels</w:t>
      </w:r>
      <w:r w:rsidR="00A91223">
        <w:rPr>
          <w:color w:val="000000" w:themeColor="text1"/>
        </w:rPr>
        <w:t xml:space="preserve"> (comparativement</w:t>
      </w:r>
      <w:r w:rsidR="00A506FD">
        <w:rPr>
          <w:color w:val="000000" w:themeColor="text1"/>
        </w:rPr>
        <w:t xml:space="preserve"> à la marge de crédit</w:t>
      </w:r>
      <w:r w:rsidR="00A91223">
        <w:rPr>
          <w:color w:val="000000" w:themeColor="text1"/>
        </w:rPr>
        <w:t>)</w:t>
      </w:r>
      <w:r w:rsidR="00A506FD">
        <w:rPr>
          <w:color w:val="000000" w:themeColor="text1"/>
        </w:rPr>
        <w:t xml:space="preserve">. La solution face à </w:t>
      </w:r>
      <w:r w:rsidR="00A91223">
        <w:rPr>
          <w:color w:val="000000" w:themeColor="text1"/>
        </w:rPr>
        <w:t xml:space="preserve">ce </w:t>
      </w:r>
      <w:r w:rsidR="00A506FD">
        <w:rPr>
          <w:color w:val="000000" w:themeColor="text1"/>
        </w:rPr>
        <w:t>dilemme consiste à utiliser la marge de crédit comme un prêt personnel. C'est-à-dire</w:t>
      </w:r>
      <w:r w:rsidR="00A91223">
        <w:rPr>
          <w:color w:val="000000" w:themeColor="text1"/>
        </w:rPr>
        <w:t>,</w:t>
      </w:r>
      <w:r w:rsidR="00A506FD">
        <w:rPr>
          <w:color w:val="000000" w:themeColor="text1"/>
        </w:rPr>
        <w:t xml:space="preserve"> identifier le besoin de financement, souscrire à la marge de crédit hypothécaire</w:t>
      </w:r>
      <w:r w:rsidR="00A91223">
        <w:rPr>
          <w:color w:val="000000" w:themeColor="text1"/>
        </w:rPr>
        <w:t xml:space="preserve"> afin d'obtenir la somme convenue</w:t>
      </w:r>
      <w:r w:rsidR="00FF469E">
        <w:rPr>
          <w:color w:val="000000" w:themeColor="text1"/>
        </w:rPr>
        <w:t xml:space="preserve"> et à l'aide d'un plan préparé d'avance, établir des modalités de remboursement comme s'il s'agissait d'un prêt personnel à terme. Le contribuable doit alors démontrer toute sa capacité à se discipliner puisque les modalités de remboursement ne sont pas celles qui sont exigées par l'institution prêteuse, mais bien par lui-même.</w:t>
      </w:r>
    </w:p>
    <w:p w14:paraId="19C7D227" w14:textId="1447122D" w:rsidR="00C55616" w:rsidRDefault="00C55616">
      <w:pPr>
        <w:rPr>
          <w:color w:val="FF6700" w:themeColor="accent3"/>
        </w:rPr>
      </w:pPr>
      <w:r>
        <w:rPr>
          <w:color w:val="FF6700" w:themeColor="accent3"/>
        </w:rPr>
        <w:br w:type="page"/>
      </w:r>
    </w:p>
    <w:p w14:paraId="646EDAA9" w14:textId="29D50C05" w:rsidR="00805CF9" w:rsidRDefault="00D901F8" w:rsidP="00805CF9">
      <w:pPr>
        <w:jc w:val="both"/>
      </w:pPr>
      <w:r>
        <w:rPr>
          <w:noProof/>
          <w:lang w:eastAsia="fr-FR"/>
        </w:rPr>
        <w:lastRenderedPageBreak/>
        <mc:AlternateContent>
          <mc:Choice Requires="wps">
            <w:drawing>
              <wp:anchor distT="0" distB="0" distL="114300" distR="114300" simplePos="0" relativeHeight="252834816" behindDoc="0" locked="0" layoutInCell="1" allowOverlap="1" wp14:anchorId="4EE421E0" wp14:editId="6D3AE7CB">
                <wp:simplePos x="0" y="0"/>
                <wp:positionH relativeFrom="column">
                  <wp:posOffset>-685800</wp:posOffset>
                </wp:positionH>
                <wp:positionV relativeFrom="paragraph">
                  <wp:posOffset>0</wp:posOffset>
                </wp:positionV>
                <wp:extent cx="457200" cy="457200"/>
                <wp:effectExtent l="0" t="0" r="25400" b="25400"/>
                <wp:wrapNone/>
                <wp:docPr id="612" name="Ellipse 612"/>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3A94A29" w14:textId="7FF1F014" w:rsidR="00573C95" w:rsidRPr="00BF5FC4" w:rsidRDefault="00573C95" w:rsidP="00D901F8">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12" o:spid="_x0000_s1391" style="position:absolute;left:0;text-align:left;margin-left:-53.95pt;margin-top:0;width:36pt;height:36pt;z-index:25283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" fillcolor="black [3200]" strokecolor="white [3201]" strokeweight="1.75pt">
                <v:textbox>
                  <w:txbxContent>
                    <w:p w14:paraId="33A94A29" w14:textId="7FF1F014" w:rsidR="001501D6" w:rsidRPr="00BF5FC4" w:rsidRDefault="001501D6" w:rsidP="00D901F8">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sidR="00805CF9">
        <w:t xml:space="preserve">L'acquisition de </w:t>
      </w:r>
      <w:r w:rsidR="00805CF9" w:rsidRPr="00805CF9">
        <w:rPr>
          <w:color w:val="FF6700" w:themeColor="accent3"/>
        </w:rPr>
        <w:t>BIENS PERSONNELS DURABLES</w:t>
      </w:r>
      <w:r w:rsidR="00805CF9">
        <w:t xml:space="preserve"> s'effectue à un rythme moins fréquent et occasionne cependant des déboursés financiers plus importants. </w:t>
      </w:r>
      <w:r w:rsidR="00534E10">
        <w:t>La plupart du temps, ces biens sont acquis à l'aide d'une forme de financement, pas toujours bien comprise par le consommateur. Le coût de ce financement est parfois de nature implicite ce qui rend son évaluation difficile. S'il est légitime de répartir dans le temps le paiement d'un bien qui nous procurera satisfaction et plaisir sur une longue période, le consommateur doit tout de même s'assurer:</w:t>
      </w:r>
    </w:p>
    <w:p w14:paraId="16B54DFC" w14:textId="77777777" w:rsidR="00534E10" w:rsidRDefault="00534E10" w:rsidP="00805CF9">
      <w:pPr>
        <w:jc w:val="both"/>
      </w:pPr>
    </w:p>
    <w:p w14:paraId="3D946FF4" w14:textId="51868AFA" w:rsidR="00FA723F" w:rsidRDefault="00534E10" w:rsidP="006C34CF">
      <w:pPr>
        <w:pStyle w:val="Paragraphedeliste"/>
        <w:numPr>
          <w:ilvl w:val="0"/>
          <w:numId w:val="94"/>
        </w:numPr>
        <w:jc w:val="both"/>
      </w:pPr>
      <w:r>
        <w:t>Qu'il a</w:t>
      </w:r>
      <w:r w:rsidR="00FA723F">
        <w:t xml:space="preserve"> les moyens de faire cet </w:t>
      </w:r>
      <w:r>
        <w:t>achat</w:t>
      </w:r>
      <w:r w:rsidR="00FA723F">
        <w:t xml:space="preserve"> au comptant (mais qu'il préfère en pleine connaissance de cause</w:t>
      </w:r>
      <w:r w:rsidR="004F777E">
        <w:t xml:space="preserve"> utiliser un crédit à faible coût et ainsi bénéficier d</w:t>
      </w:r>
      <w:r w:rsidR="006E0A27">
        <w:t>'</w:t>
      </w:r>
      <w:r w:rsidR="004F777E">
        <w:t>u</w:t>
      </w:r>
      <w:r w:rsidR="006E0A27">
        <w:t>n</w:t>
      </w:r>
      <w:r w:rsidR="004F777E">
        <w:t xml:space="preserve"> levier financier sur ses placements)</w:t>
      </w:r>
      <w:r w:rsidR="00FA723F">
        <w:t xml:space="preserve">. </w:t>
      </w:r>
    </w:p>
    <w:p w14:paraId="101982B5" w14:textId="77777777" w:rsidR="00FA723F" w:rsidRDefault="00FA723F" w:rsidP="00FA723F">
      <w:pPr>
        <w:jc w:val="both"/>
      </w:pPr>
    </w:p>
    <w:p w14:paraId="447D8873" w14:textId="3AF71029" w:rsidR="00534E10" w:rsidRDefault="00FA723F" w:rsidP="006C34CF">
      <w:pPr>
        <w:pStyle w:val="Paragraphedeliste"/>
        <w:numPr>
          <w:ilvl w:val="0"/>
          <w:numId w:val="94"/>
        </w:numPr>
        <w:jc w:val="both"/>
      </w:pPr>
      <w:r>
        <w:t xml:space="preserve">Que le taux d'intérêt explicite ou implicite est raisonnable (par exemple, les produits piscine sont souvent associés à des prêts à taux d'intérêt gonflé). </w:t>
      </w:r>
      <w:r w:rsidR="00534E10">
        <w:t xml:space="preserve"> </w:t>
      </w:r>
    </w:p>
    <w:p w14:paraId="79A3DF98" w14:textId="77777777" w:rsidR="00FA723F" w:rsidRDefault="00FA723F" w:rsidP="00FA723F">
      <w:pPr>
        <w:jc w:val="both"/>
      </w:pPr>
    </w:p>
    <w:p w14:paraId="1EC5BFEF" w14:textId="17083393" w:rsidR="00FA723F" w:rsidRDefault="00FA723F" w:rsidP="006C34CF">
      <w:pPr>
        <w:pStyle w:val="Paragraphedeliste"/>
        <w:numPr>
          <w:ilvl w:val="0"/>
          <w:numId w:val="94"/>
        </w:numPr>
        <w:jc w:val="both"/>
      </w:pPr>
      <w:r>
        <w:t xml:space="preserve">Qu'il n'engouffre pas des liquidités sur une période déraisonnable comparativement au type de bien acheté (si le consommateur est à la recherche du </w:t>
      </w:r>
      <w:r w:rsidRPr="00FA723F">
        <w:rPr>
          <w:color w:val="FF6700" w:themeColor="accent3"/>
        </w:rPr>
        <w:t>PPPP</w:t>
      </w:r>
      <w:r>
        <w:t xml:space="preserve"> - Plus Petit Paiement Possible, il a de fortes de chances de tomber dans ce piège).</w:t>
      </w:r>
    </w:p>
    <w:p w14:paraId="02813827" w14:textId="77777777" w:rsidR="00371B3D" w:rsidRDefault="00371B3D" w:rsidP="00805CF9">
      <w:pPr>
        <w:jc w:val="both"/>
      </w:pPr>
    </w:p>
    <w:p w14:paraId="50BE3BE4" w14:textId="6D5090D3" w:rsidR="006E0A27" w:rsidRDefault="006E0A27" w:rsidP="00805CF9">
      <w:pPr>
        <w:jc w:val="both"/>
      </w:pPr>
      <w:r>
        <w:t>Au-delà de la marge de crédit et du prêt personnel à terme fixe qui sont toujours disponibles pour financer l'achat de biens personnels durables, deux nouveaux types de financement s'ajoute à l'arsenal du consommateur.</w:t>
      </w:r>
    </w:p>
    <w:p w14:paraId="2D0C6AE7" w14:textId="77777777" w:rsidR="006E0A27" w:rsidRDefault="006E0A27" w:rsidP="00805CF9">
      <w:pPr>
        <w:jc w:val="both"/>
      </w:pPr>
    </w:p>
    <w:p w14:paraId="6C6FD753" w14:textId="4DE7E7A5" w:rsidR="00371B3D" w:rsidRDefault="00371B3D" w:rsidP="006C34CF">
      <w:pPr>
        <w:pStyle w:val="Paragraphedeliste"/>
        <w:numPr>
          <w:ilvl w:val="0"/>
          <w:numId w:val="83"/>
        </w:numPr>
        <w:jc w:val="both"/>
        <w:rPr>
          <w:color w:val="FF6700" w:themeColor="accent3"/>
        </w:rPr>
      </w:pPr>
      <w:r>
        <w:rPr>
          <w:color w:val="FF6700" w:themeColor="accent3"/>
        </w:rPr>
        <w:t>Financement du fournisseur</w:t>
      </w:r>
    </w:p>
    <w:p w14:paraId="318E69F8" w14:textId="77777777" w:rsidR="006E0A27" w:rsidRDefault="006E0A27" w:rsidP="006E0A27">
      <w:pPr>
        <w:ind w:left="360"/>
        <w:jc w:val="both"/>
        <w:rPr>
          <w:color w:val="FF6700" w:themeColor="accent3"/>
        </w:rPr>
      </w:pPr>
    </w:p>
    <w:p w14:paraId="46D0D0A9" w14:textId="49F4C12C" w:rsidR="006E0A27" w:rsidRDefault="00186904" w:rsidP="006E0A27">
      <w:pPr>
        <w:jc w:val="both"/>
      </w:pPr>
      <w:r>
        <w:t>Afin d'inciter les consommateurs à faire l'achat de leurs produits</w:t>
      </w:r>
      <w:r w:rsidR="00287796">
        <w:t>,</w:t>
      </w:r>
      <w:r>
        <w:t xml:space="preserve"> plusieurs marchands offrent des modalités de financement qui sont </w:t>
      </w:r>
      <w:r w:rsidR="003F06FB">
        <w:t>au coup d'oeil alléchante</w:t>
      </w:r>
      <w:r w:rsidR="006043C5">
        <w:t>s</w:t>
      </w:r>
      <w:r>
        <w:t xml:space="preserve">. Le jeu des promotions et des offres sont variés et prennent plusieurs formes. Paiement du solde dans 36 mois, paiement du solde </w:t>
      </w:r>
      <w:r w:rsidR="003F06FB">
        <w:t>en</w:t>
      </w:r>
      <w:r>
        <w:t xml:space="preserve"> 48 </w:t>
      </w:r>
      <w:r w:rsidR="005C10F1">
        <w:t>versements</w:t>
      </w:r>
      <w:r>
        <w:t xml:space="preserve">, sans intérêt, congé de taxes à la consommation, trois premiers paiements gratuits et </w:t>
      </w:r>
      <w:r w:rsidR="00A20748">
        <w:t>autres variations sur le même thème. Dans ce type de financement, tel que nous venons tout juste de le présenter, il est très important de bien évaluer l'offre en fonction de nos moyens financiers, du taux d'intérêt explicite et implicite et de la période de remboursement proposée.</w:t>
      </w:r>
      <w:r w:rsidR="005C10F1">
        <w:t xml:space="preserve"> Finalement, l'incapacité d'effectuer un paiement requis selon l'entente avec le marchand entrainera des taux d'intérêt prohibitifs (près de 30 %).</w:t>
      </w:r>
      <w:r w:rsidR="00A20748">
        <w:t xml:space="preserve"> </w:t>
      </w:r>
      <w:r>
        <w:t xml:space="preserve">   </w:t>
      </w:r>
    </w:p>
    <w:p w14:paraId="58AB31FE" w14:textId="6ABA7B0E" w:rsidR="00371B3D" w:rsidRDefault="00371B3D" w:rsidP="006C34CF">
      <w:pPr>
        <w:pStyle w:val="Paragraphedeliste"/>
        <w:numPr>
          <w:ilvl w:val="0"/>
          <w:numId w:val="83"/>
        </w:numPr>
        <w:jc w:val="both"/>
        <w:rPr>
          <w:color w:val="FF6700" w:themeColor="accent3"/>
        </w:rPr>
      </w:pPr>
      <w:r>
        <w:rPr>
          <w:color w:val="FF6700" w:themeColor="accent3"/>
        </w:rPr>
        <w:lastRenderedPageBreak/>
        <w:t>Crédit bail</w:t>
      </w:r>
    </w:p>
    <w:p w14:paraId="7154CE9A" w14:textId="77777777" w:rsidR="005C10F1" w:rsidRDefault="005C10F1">
      <w:pPr>
        <w:rPr>
          <w:color w:val="FF6700" w:themeColor="accent3"/>
        </w:rPr>
      </w:pPr>
    </w:p>
    <w:p w14:paraId="7AF6776B" w14:textId="2964D16A" w:rsidR="00E86779" w:rsidRDefault="0085123F" w:rsidP="0085123F">
      <w:pPr>
        <w:jc w:val="both"/>
        <w:rPr>
          <w:lang w:val="fr-CA"/>
        </w:rPr>
      </w:pPr>
      <w:r w:rsidRPr="0085123F">
        <w:rPr>
          <w:lang w:val="fr-CA"/>
        </w:rPr>
        <w:t>L</w:t>
      </w:r>
      <w:r>
        <w:rPr>
          <w:lang w:val="fr-CA"/>
        </w:rPr>
        <w:t>e crédit b</w:t>
      </w:r>
      <w:r w:rsidRPr="0085123F">
        <w:rPr>
          <w:lang w:val="fr-CA"/>
        </w:rPr>
        <w:t>a</w:t>
      </w:r>
      <w:r>
        <w:rPr>
          <w:lang w:val="fr-CA"/>
        </w:rPr>
        <w:t xml:space="preserve">il </w:t>
      </w:r>
      <w:r w:rsidRPr="0085123F">
        <w:rPr>
          <w:lang w:val="fr-CA"/>
        </w:rPr>
        <w:t>est une formule de financement qu</w:t>
      </w:r>
      <w:r>
        <w:rPr>
          <w:lang w:val="fr-CA"/>
        </w:rPr>
        <w:t xml:space="preserve">e l'on retrouve surtout dans le secteur automobile et dans le cas d'équipements professionnels, informatiques ou manufacturiers. </w:t>
      </w:r>
      <w:r w:rsidR="00E86779">
        <w:rPr>
          <w:lang w:val="fr-CA"/>
        </w:rPr>
        <w:t xml:space="preserve">Ce type de financement est réservé à </w:t>
      </w:r>
      <w:r w:rsidR="00B6511C">
        <w:rPr>
          <w:lang w:val="fr-CA"/>
        </w:rPr>
        <w:t>de</w:t>
      </w:r>
      <w:r w:rsidR="00E86779">
        <w:rPr>
          <w:lang w:val="fr-CA"/>
        </w:rPr>
        <w:t>s</w:t>
      </w:r>
      <w:r w:rsidR="00B6511C">
        <w:rPr>
          <w:lang w:val="fr-CA"/>
        </w:rPr>
        <w:t xml:space="preserve"> biens durables qui ont des valeurs élevées</w:t>
      </w:r>
      <w:r w:rsidRPr="0085123F">
        <w:rPr>
          <w:lang w:val="fr-CA"/>
        </w:rPr>
        <w:t xml:space="preserve">. </w:t>
      </w:r>
      <w:r w:rsidR="00B6511C">
        <w:rPr>
          <w:lang w:val="fr-CA"/>
        </w:rPr>
        <w:t>Le fonctionnement du crédit bail consiste à mettre à la disposition du consommateur un bien qui fera l'objet d'une location de la part d'une</w:t>
      </w:r>
      <w:r w:rsidRPr="0085123F">
        <w:rPr>
          <w:lang w:val="fr-CA"/>
        </w:rPr>
        <w:t xml:space="preserve"> institution financi</w:t>
      </w:r>
      <w:r w:rsidR="00B6511C">
        <w:rPr>
          <w:lang w:val="fr-CA"/>
        </w:rPr>
        <w:t>è</w:t>
      </w:r>
      <w:r w:rsidRPr="0085123F">
        <w:rPr>
          <w:lang w:val="fr-CA"/>
        </w:rPr>
        <w:t>re</w:t>
      </w:r>
      <w:r w:rsidR="00B6511C">
        <w:rPr>
          <w:lang w:val="fr-CA"/>
        </w:rPr>
        <w:t>.</w:t>
      </w:r>
      <w:r w:rsidR="00E86779">
        <w:rPr>
          <w:lang w:val="fr-CA"/>
        </w:rPr>
        <w:t xml:space="preserve"> L'avantage pour le commerçant/prêteur est de maintenir son droit sur le bien jusqu'à la fin du bail puisque celui-ci est loué et demeure donc leur propriété.</w:t>
      </w:r>
    </w:p>
    <w:p w14:paraId="6A1E32D1" w14:textId="77777777" w:rsidR="00E86779" w:rsidRDefault="00E86779" w:rsidP="0085123F">
      <w:pPr>
        <w:jc w:val="both"/>
        <w:rPr>
          <w:lang w:val="fr-CA"/>
        </w:rPr>
      </w:pPr>
    </w:p>
    <w:p w14:paraId="146E871A" w14:textId="1BC2A8C0" w:rsidR="00B6511C" w:rsidRDefault="00B6511C" w:rsidP="0085123F">
      <w:pPr>
        <w:jc w:val="both"/>
        <w:rPr>
          <w:lang w:val="fr-CA"/>
        </w:rPr>
      </w:pPr>
      <w:r>
        <w:rPr>
          <w:lang w:val="fr-CA"/>
        </w:rPr>
        <w:t xml:space="preserve">Le loyer </w:t>
      </w:r>
      <w:r w:rsidR="00E86779">
        <w:rPr>
          <w:lang w:val="fr-CA"/>
        </w:rPr>
        <w:t xml:space="preserve">qui sera </w:t>
      </w:r>
      <w:r>
        <w:rPr>
          <w:lang w:val="fr-CA"/>
        </w:rPr>
        <w:t>ainsi facturé comportera trois éléments:</w:t>
      </w:r>
    </w:p>
    <w:p w14:paraId="477EE0C6" w14:textId="77777777" w:rsidR="00B6511C" w:rsidRDefault="00B6511C" w:rsidP="0085123F">
      <w:pPr>
        <w:jc w:val="both"/>
        <w:rPr>
          <w:lang w:val="fr-CA"/>
        </w:rPr>
      </w:pPr>
    </w:p>
    <w:p w14:paraId="253485C1" w14:textId="77777777" w:rsidR="00B6511C" w:rsidRDefault="00B6511C" w:rsidP="006C34CF">
      <w:pPr>
        <w:pStyle w:val="Paragraphedeliste"/>
        <w:numPr>
          <w:ilvl w:val="0"/>
          <w:numId w:val="95"/>
        </w:numPr>
        <w:jc w:val="both"/>
        <w:rPr>
          <w:lang w:val="fr-CA"/>
        </w:rPr>
      </w:pPr>
      <w:r w:rsidRPr="00B6511C">
        <w:rPr>
          <w:lang w:val="fr-CA"/>
        </w:rPr>
        <w:t>Le prix pour l'usage du bien (sa dépréciation)</w:t>
      </w:r>
    </w:p>
    <w:p w14:paraId="62B34FB3" w14:textId="77777777" w:rsidR="00B6511C" w:rsidRPr="00B6511C" w:rsidRDefault="00B6511C" w:rsidP="00B6511C">
      <w:pPr>
        <w:jc w:val="both"/>
        <w:rPr>
          <w:lang w:val="fr-CA"/>
        </w:rPr>
      </w:pPr>
    </w:p>
    <w:p w14:paraId="3291B21A" w14:textId="77777777" w:rsidR="00B6511C" w:rsidRDefault="00B6511C" w:rsidP="006C34CF">
      <w:pPr>
        <w:pStyle w:val="Paragraphedeliste"/>
        <w:numPr>
          <w:ilvl w:val="0"/>
          <w:numId w:val="95"/>
        </w:numPr>
        <w:jc w:val="both"/>
        <w:rPr>
          <w:lang w:val="fr-CA"/>
        </w:rPr>
      </w:pPr>
      <w:r>
        <w:rPr>
          <w:lang w:val="fr-CA"/>
        </w:rPr>
        <w:t>Un coût en intérêt</w:t>
      </w:r>
    </w:p>
    <w:p w14:paraId="7D114150" w14:textId="77777777" w:rsidR="00B6511C" w:rsidRPr="00B6511C" w:rsidRDefault="00B6511C" w:rsidP="00B6511C">
      <w:pPr>
        <w:jc w:val="both"/>
        <w:rPr>
          <w:lang w:val="fr-CA"/>
        </w:rPr>
      </w:pPr>
    </w:p>
    <w:p w14:paraId="749DADCD" w14:textId="68698B42" w:rsidR="00B6511C" w:rsidRDefault="00B6511C" w:rsidP="006C34CF">
      <w:pPr>
        <w:pStyle w:val="Paragraphedeliste"/>
        <w:numPr>
          <w:ilvl w:val="0"/>
          <w:numId w:val="95"/>
        </w:numPr>
        <w:jc w:val="both"/>
        <w:rPr>
          <w:lang w:val="fr-CA"/>
        </w:rPr>
      </w:pPr>
      <w:r>
        <w:rPr>
          <w:lang w:val="fr-CA"/>
        </w:rPr>
        <w:t>Une valeur résiduelle qui devra être assumé par l'usager s'il souhaite devenir propriétaire du bien à la fin du bail</w:t>
      </w:r>
    </w:p>
    <w:p w14:paraId="001B4B6A" w14:textId="77777777" w:rsidR="00B6511C" w:rsidRDefault="00B6511C" w:rsidP="00B6511C">
      <w:pPr>
        <w:jc w:val="both"/>
        <w:rPr>
          <w:lang w:val="fr-CA"/>
        </w:rPr>
      </w:pPr>
    </w:p>
    <w:p w14:paraId="0F01D1D4" w14:textId="7E78225E" w:rsidR="007C69FC" w:rsidRDefault="00B6511C" w:rsidP="00B6511C">
      <w:pPr>
        <w:jc w:val="both"/>
        <w:rPr>
          <w:lang w:val="fr-CA"/>
        </w:rPr>
      </w:pPr>
      <w:r>
        <w:rPr>
          <w:lang w:val="fr-CA"/>
        </w:rPr>
        <w:t>Lorsque le consommateur utilise cette pratique à titre de fina</w:t>
      </w:r>
      <w:r w:rsidR="007C69FC">
        <w:rPr>
          <w:lang w:val="fr-CA"/>
        </w:rPr>
        <w:t>n</w:t>
      </w:r>
      <w:r>
        <w:rPr>
          <w:lang w:val="fr-CA"/>
        </w:rPr>
        <w:t xml:space="preserve">cement pur et </w:t>
      </w:r>
      <w:r w:rsidR="007C69FC">
        <w:rPr>
          <w:lang w:val="fr-CA"/>
        </w:rPr>
        <w:t xml:space="preserve">non comme une location de bien, cela implique que celui-ci se prévaudra de son droit d'acquisition en payant la valeur résiduelle à la fin de bail. Or dans ce cas, il lui faut tenir compte du nouveau taux d'intérêt qu'il devra assumer s'il ne possède pas les liquidités pour débourser la valeur résiduelle du bien. L'analyse financière de la proposition du crédit-bail devra donc s'étudier </w:t>
      </w:r>
      <w:r w:rsidR="003A3BD0">
        <w:rPr>
          <w:lang w:val="fr-CA"/>
        </w:rPr>
        <w:t>dans sa</w:t>
      </w:r>
      <w:r w:rsidR="007C69FC">
        <w:rPr>
          <w:lang w:val="fr-CA"/>
        </w:rPr>
        <w:t xml:space="preserve"> globalité afin de pouvoir en déduire si elle correspond à une offre qui est intéressante. </w:t>
      </w:r>
    </w:p>
    <w:p w14:paraId="21C8F058" w14:textId="77777777" w:rsidR="007C69FC" w:rsidRDefault="007C69FC" w:rsidP="00B6511C">
      <w:pPr>
        <w:jc w:val="both"/>
        <w:rPr>
          <w:lang w:val="fr-CA"/>
        </w:rPr>
      </w:pPr>
    </w:p>
    <w:p w14:paraId="34105F6F" w14:textId="44C61F9D" w:rsidR="00B6511C" w:rsidRPr="00B6511C" w:rsidRDefault="007C69FC" w:rsidP="00B6511C">
      <w:pPr>
        <w:jc w:val="both"/>
        <w:rPr>
          <w:lang w:val="fr-CA"/>
        </w:rPr>
      </w:pPr>
      <w:r>
        <w:rPr>
          <w:lang w:val="fr-CA"/>
        </w:rPr>
        <w:t xml:space="preserve">Au </w:t>
      </w:r>
      <w:r w:rsidRPr="007C69FC">
        <w:rPr>
          <w:color w:val="008000"/>
          <w:lang w:val="fr-CA"/>
        </w:rPr>
        <w:t>SUJET 9</w:t>
      </w:r>
      <w:r>
        <w:rPr>
          <w:lang w:val="fr-CA"/>
        </w:rPr>
        <w:t xml:space="preserve"> qui traitera de tous les aspects financiers qui s'applique</w:t>
      </w:r>
      <w:r w:rsidR="006D1A9B">
        <w:rPr>
          <w:lang w:val="fr-CA"/>
        </w:rPr>
        <w:t>nt</w:t>
      </w:r>
      <w:r>
        <w:rPr>
          <w:lang w:val="fr-CA"/>
        </w:rPr>
        <w:t xml:space="preserve"> à l'automobile, nous étudierons en détail les offres de financement des concessionnaires et des fabricants, incluant le crédit bail.  </w:t>
      </w:r>
    </w:p>
    <w:p w14:paraId="3228C579" w14:textId="77777777" w:rsidR="00B6511C" w:rsidRPr="00B6511C" w:rsidRDefault="00B6511C" w:rsidP="00B6511C">
      <w:pPr>
        <w:jc w:val="both"/>
        <w:rPr>
          <w:lang w:val="fr-CA"/>
        </w:rPr>
      </w:pPr>
    </w:p>
    <w:p w14:paraId="612C93FD" w14:textId="77777777" w:rsidR="00B6511C" w:rsidRPr="00B6511C" w:rsidRDefault="00B6511C" w:rsidP="00B6511C">
      <w:pPr>
        <w:jc w:val="both"/>
        <w:rPr>
          <w:lang w:val="fr-CA"/>
        </w:rPr>
      </w:pPr>
    </w:p>
    <w:p w14:paraId="41536F81" w14:textId="77777777" w:rsidR="00D901F8" w:rsidRDefault="00D901F8">
      <w:pPr>
        <w:rPr>
          <w:color w:val="FF6700" w:themeColor="accent3"/>
        </w:rPr>
      </w:pPr>
      <w:r>
        <w:rPr>
          <w:color w:val="FF6700" w:themeColor="accent3"/>
        </w:rPr>
        <w:br w:type="page"/>
      </w:r>
    </w:p>
    <w:p w14:paraId="0C2D5C69" w14:textId="37BB1F0D" w:rsidR="006D1A9B" w:rsidRPr="00B6511C" w:rsidRDefault="00D901F8" w:rsidP="006D1A9B">
      <w:pPr>
        <w:jc w:val="both"/>
        <w:rPr>
          <w:lang w:val="fr-CA"/>
        </w:rPr>
      </w:pPr>
      <w:r>
        <w:rPr>
          <w:noProof/>
          <w:lang w:eastAsia="fr-FR"/>
        </w:rPr>
        <w:lastRenderedPageBreak/>
        <mc:AlternateContent>
          <mc:Choice Requires="wps">
            <w:drawing>
              <wp:anchor distT="0" distB="0" distL="114300" distR="114300" simplePos="0" relativeHeight="252836864" behindDoc="0" locked="0" layoutInCell="1" allowOverlap="1" wp14:anchorId="531A6064" wp14:editId="0DFE5408">
                <wp:simplePos x="0" y="0"/>
                <wp:positionH relativeFrom="column">
                  <wp:posOffset>-571500</wp:posOffset>
                </wp:positionH>
                <wp:positionV relativeFrom="paragraph">
                  <wp:posOffset>-114300</wp:posOffset>
                </wp:positionV>
                <wp:extent cx="457200" cy="457200"/>
                <wp:effectExtent l="0" t="0" r="25400" b="25400"/>
                <wp:wrapNone/>
                <wp:docPr id="613" name="Ellipse 613"/>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7F94323D" w14:textId="0E6FC6CD" w:rsidR="00573C95" w:rsidRPr="00BF5FC4" w:rsidRDefault="00573C95" w:rsidP="00D901F8">
                            <w:pPr>
                              <w:jc w:val="center"/>
                              <w:rPr>
                                <w:color w:val="FFFFFF" w:themeColor="background1"/>
                              </w:rPr>
                            </w:pPr>
                            <w:r>
                              <w:rPr>
                                <w:color w:val="FFFFFF" w:themeColor="background1"/>
                              </w:rPr>
                              <w:t>3</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13" o:spid="_x0000_s1392" style="position:absolute;left:0;text-align:left;margin-left:-44.95pt;margin-top:-8.95pt;width:36pt;height:36pt;z-index:2528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" fillcolor="black [3200]" strokecolor="white [3201]" strokeweight="1.75pt">
                <v:textbox>
                  <w:txbxContent>
                    <w:p w14:paraId="7F94323D" w14:textId="0E6FC6CD" w:rsidR="001501D6" w:rsidRPr="00BF5FC4" w:rsidRDefault="001501D6" w:rsidP="00D901F8">
                      <w:pPr>
                        <w:jc w:val="center"/>
                        <w:rPr>
                          <w:color w:val="FFFFFF" w:themeColor="background1"/>
                        </w:rPr>
                      </w:pPr>
                      <w:r>
                        <w:rPr>
                          <w:color w:val="FFFFFF" w:themeColor="background1"/>
                        </w:rPr>
                        <w:t>3</w:t>
                      </w:r>
                      <w:r w:rsidRPr="00BF5FC4">
                        <w:rPr>
                          <w:color w:val="FFFFFF" w:themeColor="background1"/>
                        </w:rPr>
                        <w:t xml:space="preserve"> </w:t>
                      </w:r>
                    </w:p>
                  </w:txbxContent>
                </v:textbox>
              </v:oval>
            </w:pict>
          </mc:Fallback>
        </mc:AlternateContent>
      </w:r>
      <w:r w:rsidR="00BA0869">
        <w:t xml:space="preserve">Il va de soi que l'achat d'une </w:t>
      </w:r>
      <w:r w:rsidR="003A5BB5" w:rsidRPr="003A5BB5">
        <w:rPr>
          <w:color w:val="FF6700" w:themeColor="accent3"/>
        </w:rPr>
        <w:t>RÉSIDENCE</w:t>
      </w:r>
      <w:r w:rsidR="00BA0869">
        <w:t xml:space="preserve"> se réalisera à l'aide </w:t>
      </w:r>
      <w:r w:rsidR="00BA7722">
        <w:t>d'une forme de financement (du moins pour les 15 à 25 premières années de propriété). Pour la grande majorité de la population</w:t>
      </w:r>
      <w:r w:rsidR="00287796">
        <w:t>,</w:t>
      </w:r>
      <w:r w:rsidR="00BA7722">
        <w:t xml:space="preserve"> l'achat d'une maison constitue le plus grand déboursé qu'ils réaliseront au cour</w:t>
      </w:r>
      <w:r w:rsidR="00287796">
        <w:t>s</w:t>
      </w:r>
      <w:r w:rsidR="00BA7722">
        <w:t xml:space="preserve"> de leur vie. Le montage financier pourra être ficelé à même une mise de fonds de l'acheteur (un minimum de 20 % s'il souhaite éviter le paiement d</w:t>
      </w:r>
      <w:r w:rsidR="006D1A9B">
        <w:t>e l'assurance</w:t>
      </w:r>
      <w:r w:rsidR="00BA7722">
        <w:t xml:space="preserve"> prêt</w:t>
      </w:r>
      <w:r w:rsidR="006D1A9B">
        <w:t xml:space="preserve"> hypothécaire</w:t>
      </w:r>
      <w:r w:rsidR="00BA7722">
        <w:t xml:space="preserve"> de la SCHL)</w:t>
      </w:r>
      <w:r w:rsidR="006D1A9B">
        <w:t xml:space="preserve"> et un emprunt hypothécaire. La mise de fonds pourra provenir des épargnes personnel</w:t>
      </w:r>
      <w:r w:rsidR="00287796">
        <w:t>le</w:t>
      </w:r>
      <w:r w:rsidR="006D1A9B">
        <w:t>s de l'acheteur, de son RAP (s'il s'agit d'une première maison) ou de sommes provenant du clan familial.</w:t>
      </w:r>
      <w:r w:rsidR="00BF2E2F">
        <w:t xml:space="preserve"> Il est important de mentionner, ici, que l'emprunt hypothécaire (s'il est bien choisi et relié à un projet domiciliaire </w:t>
      </w:r>
      <w:r w:rsidR="006043C5">
        <w:t xml:space="preserve">qui correspond à nos besoins réels) est une </w:t>
      </w:r>
      <w:r w:rsidR="006043C5" w:rsidRPr="006043C5">
        <w:rPr>
          <w:color w:val="FF6700" w:themeColor="accent3"/>
        </w:rPr>
        <w:t>BONNE DETTE</w:t>
      </w:r>
      <w:r w:rsidR="006043C5">
        <w:t xml:space="preserve"> puisqu'il est associé à un bien qui correspond à un besoin essentiel (celui de s'abriter), ayant une longue vie durable et pour lequel une certaine plus-value s'accumule dans le temps. </w:t>
      </w:r>
      <w:r w:rsidR="006D1A9B">
        <w:t xml:space="preserve"> Le</w:t>
      </w:r>
      <w:r w:rsidR="006D1A9B">
        <w:rPr>
          <w:lang w:val="fr-CA"/>
        </w:rPr>
        <w:t xml:space="preserve"> </w:t>
      </w:r>
      <w:r w:rsidR="006D1A9B" w:rsidRPr="007C69FC">
        <w:rPr>
          <w:color w:val="008000"/>
          <w:lang w:val="fr-CA"/>
        </w:rPr>
        <w:t xml:space="preserve">SUJET </w:t>
      </w:r>
      <w:r w:rsidR="006D1A9B">
        <w:rPr>
          <w:color w:val="008000"/>
          <w:lang w:val="fr-CA"/>
        </w:rPr>
        <w:t>8</w:t>
      </w:r>
      <w:r w:rsidR="006D1A9B">
        <w:rPr>
          <w:lang w:val="fr-CA"/>
        </w:rPr>
        <w:t xml:space="preserve"> traitera de tous les aspects financiers qui s'appliquent à l'achat d'une résidence, c'est à ce moment que nous aborderons en profondeur l'important thème du prêt hypothécaire.  </w:t>
      </w:r>
    </w:p>
    <w:p w14:paraId="28E0CD16" w14:textId="77777777" w:rsidR="00BA7722" w:rsidRDefault="00BA7722" w:rsidP="00371B3D">
      <w:pPr>
        <w:jc w:val="both"/>
      </w:pPr>
    </w:p>
    <w:p w14:paraId="11E0E5F4" w14:textId="44170D1A" w:rsidR="00371B3D" w:rsidRDefault="00371B3D" w:rsidP="006C34CF">
      <w:pPr>
        <w:pStyle w:val="Paragraphedeliste"/>
        <w:numPr>
          <w:ilvl w:val="0"/>
          <w:numId w:val="83"/>
        </w:numPr>
        <w:jc w:val="both"/>
        <w:rPr>
          <w:color w:val="FF6700" w:themeColor="accent3"/>
        </w:rPr>
      </w:pPr>
      <w:r>
        <w:rPr>
          <w:color w:val="FF6700" w:themeColor="accent3"/>
        </w:rPr>
        <w:t>Prêt hypothécaire</w:t>
      </w:r>
    </w:p>
    <w:p w14:paraId="401A4C4F" w14:textId="77777777" w:rsidR="00371B3D" w:rsidRDefault="00371B3D" w:rsidP="00371B3D">
      <w:pPr>
        <w:jc w:val="both"/>
      </w:pPr>
    </w:p>
    <w:p w14:paraId="0CF7F8F2" w14:textId="44F7964B" w:rsidR="004F7A7E" w:rsidRPr="004F7A7E" w:rsidRDefault="008D464B" w:rsidP="00371B3D">
      <w:pPr>
        <w:jc w:val="both"/>
      </w:pPr>
      <w:r>
        <w:t>Cette</w:t>
      </w:r>
      <w:r w:rsidR="004F7A7E">
        <w:t xml:space="preserve"> présentation sommaire du prêt hypothécaire est un extrait du document</w:t>
      </w:r>
      <w:r>
        <w:t xml:space="preserve"> - </w:t>
      </w:r>
      <w:r w:rsidR="004F7A7E" w:rsidRPr="004F7A7E">
        <w:rPr>
          <w:i/>
        </w:rPr>
        <w:t>Choisir le prê</w:t>
      </w:r>
      <w:r>
        <w:rPr>
          <w:i/>
        </w:rPr>
        <w:t>t hypothécaire qui vous convient</w:t>
      </w:r>
      <w:r w:rsidR="004F7A7E">
        <w:rPr>
          <w:i/>
        </w:rPr>
        <w:t xml:space="preserve"> </w:t>
      </w:r>
      <w:r w:rsidR="004F7A7E">
        <w:t>de l'Agence de la consommation en matière financière du Canada (2012).</w:t>
      </w:r>
    </w:p>
    <w:p w14:paraId="20160D25" w14:textId="77777777" w:rsidR="004F7A7E" w:rsidRDefault="004F7A7E" w:rsidP="00371B3D">
      <w:pPr>
        <w:jc w:val="both"/>
      </w:pPr>
    </w:p>
    <w:p w14:paraId="386A1299" w14:textId="4358DA0F" w:rsidR="00B5682D" w:rsidRDefault="004F7A7E" w:rsidP="00B5682D">
      <w:pPr>
        <w:jc w:val="both"/>
        <w:rPr>
          <w:lang w:val="fr-CA"/>
        </w:rPr>
      </w:pPr>
      <w:r>
        <w:rPr>
          <w:lang w:val="fr-CA"/>
        </w:rPr>
        <w:t>"</w:t>
      </w:r>
      <w:r w:rsidR="00B5682D" w:rsidRPr="00B5682D">
        <w:rPr>
          <w:lang w:val="fr-CA"/>
        </w:rPr>
        <w:t>Un pr</w:t>
      </w:r>
      <w:r w:rsidR="00B5682D">
        <w:rPr>
          <w:lang w:val="fr-CA"/>
        </w:rPr>
        <w:t>ê</w:t>
      </w:r>
      <w:r w:rsidR="00B5682D" w:rsidRPr="00B5682D">
        <w:rPr>
          <w:lang w:val="fr-CA"/>
        </w:rPr>
        <w:t>t hypoth</w:t>
      </w:r>
      <w:r w:rsidR="00B5682D">
        <w:rPr>
          <w:lang w:val="fr-CA"/>
        </w:rPr>
        <w:t>é</w:t>
      </w:r>
      <w:r w:rsidR="00B5682D" w:rsidRPr="00B5682D">
        <w:rPr>
          <w:lang w:val="fr-CA"/>
        </w:rPr>
        <w:t>caire est un pr</w:t>
      </w:r>
      <w:r w:rsidR="00B5682D">
        <w:rPr>
          <w:lang w:val="fr-CA"/>
        </w:rPr>
        <w:t>ê</w:t>
      </w:r>
      <w:r w:rsidR="00B5682D" w:rsidRPr="00B5682D">
        <w:rPr>
          <w:lang w:val="fr-CA"/>
        </w:rPr>
        <w:t>t qui a pour but de vous aider à acheter une maison ou une autre propri</w:t>
      </w:r>
      <w:r w:rsidR="00B5682D">
        <w:rPr>
          <w:lang w:val="fr-CA"/>
        </w:rPr>
        <w:t>é</w:t>
      </w:r>
      <w:r w:rsidR="00B5682D" w:rsidRPr="00B5682D">
        <w:rPr>
          <w:lang w:val="fr-CA"/>
        </w:rPr>
        <w:t>t</w:t>
      </w:r>
      <w:r w:rsidR="00B5682D">
        <w:rPr>
          <w:lang w:val="fr-CA"/>
        </w:rPr>
        <w:t>é</w:t>
      </w:r>
      <w:r w:rsidR="00B5682D" w:rsidRPr="00B5682D">
        <w:rPr>
          <w:lang w:val="fr-CA"/>
        </w:rPr>
        <w:t>. Pour obtenir un pr</w:t>
      </w:r>
      <w:r w:rsidR="00B5682D">
        <w:rPr>
          <w:lang w:val="fr-CA"/>
        </w:rPr>
        <w:t>ê</w:t>
      </w:r>
      <w:r w:rsidR="00B5682D" w:rsidRPr="00B5682D">
        <w:rPr>
          <w:lang w:val="fr-CA"/>
        </w:rPr>
        <w:t>t hypoth</w:t>
      </w:r>
      <w:r w:rsidR="00B5682D">
        <w:rPr>
          <w:lang w:val="fr-CA"/>
        </w:rPr>
        <w:t>é</w:t>
      </w:r>
      <w:r w:rsidR="00B5682D" w:rsidRPr="00B5682D">
        <w:rPr>
          <w:lang w:val="fr-CA"/>
        </w:rPr>
        <w:t xml:space="preserve">caire, vous pouvez vous adresser </w:t>
      </w:r>
      <w:r w:rsidR="00B5682D">
        <w:rPr>
          <w:lang w:val="fr-CA"/>
        </w:rPr>
        <w:t>à</w:t>
      </w:r>
      <w:r w:rsidR="00B5682D" w:rsidRPr="00B5682D">
        <w:rPr>
          <w:lang w:val="fr-CA"/>
        </w:rPr>
        <w:t>:</w:t>
      </w:r>
    </w:p>
    <w:p w14:paraId="61CB3A71" w14:textId="585842F5" w:rsidR="00B5682D" w:rsidRPr="00B5682D" w:rsidRDefault="00B5682D" w:rsidP="00B5682D">
      <w:pPr>
        <w:jc w:val="both"/>
        <w:rPr>
          <w:lang w:val="fr-CA"/>
        </w:rPr>
      </w:pPr>
      <w:r w:rsidRPr="00B5682D">
        <w:rPr>
          <w:lang w:val="fr-CA"/>
        </w:rPr>
        <w:t xml:space="preserve"> </w:t>
      </w:r>
    </w:p>
    <w:p w14:paraId="4C8DF2DE" w14:textId="7DA30857" w:rsidR="00B5682D" w:rsidRPr="00B5682D" w:rsidRDefault="00B5682D" w:rsidP="006C34CF">
      <w:pPr>
        <w:numPr>
          <w:ilvl w:val="0"/>
          <w:numId w:val="96"/>
        </w:numPr>
        <w:jc w:val="both"/>
        <w:rPr>
          <w:lang w:val="fr-CA"/>
        </w:rPr>
      </w:pPr>
      <w:r w:rsidRPr="00B5682D">
        <w:rPr>
          <w:lang w:val="fr-CA"/>
        </w:rPr>
        <w:t xml:space="preserve">une banque </w:t>
      </w:r>
    </w:p>
    <w:p w14:paraId="7CAB051D" w14:textId="7283DD33" w:rsidR="00B5682D" w:rsidRPr="00B5682D" w:rsidRDefault="00B5682D" w:rsidP="006C34CF">
      <w:pPr>
        <w:numPr>
          <w:ilvl w:val="0"/>
          <w:numId w:val="96"/>
        </w:numPr>
        <w:jc w:val="both"/>
        <w:rPr>
          <w:lang w:val="fr-CA"/>
        </w:rPr>
      </w:pPr>
      <w:r w:rsidRPr="00B5682D">
        <w:rPr>
          <w:lang w:val="fr-CA"/>
        </w:rPr>
        <w:t>une soci</w:t>
      </w:r>
      <w:r>
        <w:rPr>
          <w:lang w:val="fr-CA"/>
        </w:rPr>
        <w:t>é</w:t>
      </w:r>
      <w:r w:rsidRPr="00B5682D">
        <w:rPr>
          <w:lang w:val="fr-CA"/>
        </w:rPr>
        <w:t>t</w:t>
      </w:r>
      <w:r>
        <w:rPr>
          <w:lang w:val="fr-CA"/>
        </w:rPr>
        <w:t>é</w:t>
      </w:r>
      <w:r w:rsidRPr="00B5682D">
        <w:rPr>
          <w:lang w:val="fr-CA"/>
        </w:rPr>
        <w:t xml:space="preserve"> d’assurances </w:t>
      </w:r>
    </w:p>
    <w:p w14:paraId="47F01AE7" w14:textId="47C9E76F" w:rsidR="00B5682D" w:rsidRDefault="00B5682D" w:rsidP="006C34CF">
      <w:pPr>
        <w:numPr>
          <w:ilvl w:val="0"/>
          <w:numId w:val="96"/>
        </w:numPr>
        <w:jc w:val="both"/>
        <w:rPr>
          <w:lang w:val="fr-CA"/>
        </w:rPr>
      </w:pPr>
      <w:r w:rsidRPr="00B5682D">
        <w:rPr>
          <w:lang w:val="fr-CA"/>
        </w:rPr>
        <w:t>une soci</w:t>
      </w:r>
      <w:r>
        <w:rPr>
          <w:lang w:val="fr-CA"/>
        </w:rPr>
        <w:t>é</w:t>
      </w:r>
      <w:r w:rsidRPr="00B5682D">
        <w:rPr>
          <w:lang w:val="fr-CA"/>
        </w:rPr>
        <w:t>t</w:t>
      </w:r>
      <w:r>
        <w:rPr>
          <w:lang w:val="fr-CA"/>
        </w:rPr>
        <w:t>é</w:t>
      </w:r>
      <w:r w:rsidRPr="00B5682D">
        <w:rPr>
          <w:lang w:val="fr-CA"/>
        </w:rPr>
        <w:t xml:space="preserve"> de </w:t>
      </w:r>
      <w:r>
        <w:rPr>
          <w:lang w:val="fr-CA"/>
        </w:rPr>
        <w:t>fi</w:t>
      </w:r>
      <w:r w:rsidRPr="00B5682D">
        <w:rPr>
          <w:lang w:val="fr-CA"/>
        </w:rPr>
        <w:t xml:space="preserve">ducie </w:t>
      </w:r>
    </w:p>
    <w:p w14:paraId="64E4159D" w14:textId="27C07B8C" w:rsidR="00B5682D" w:rsidRDefault="00B5682D" w:rsidP="006C34CF">
      <w:pPr>
        <w:numPr>
          <w:ilvl w:val="0"/>
          <w:numId w:val="96"/>
        </w:numPr>
        <w:jc w:val="both"/>
        <w:rPr>
          <w:lang w:val="fr-CA"/>
        </w:rPr>
      </w:pPr>
      <w:r>
        <w:rPr>
          <w:lang w:val="fr-CA"/>
        </w:rPr>
        <w:t>une société de prêt</w:t>
      </w:r>
    </w:p>
    <w:p w14:paraId="642B2B7B" w14:textId="1E5064C1" w:rsidR="00B5682D" w:rsidRDefault="00B5682D" w:rsidP="006C34CF">
      <w:pPr>
        <w:numPr>
          <w:ilvl w:val="0"/>
          <w:numId w:val="96"/>
        </w:numPr>
        <w:jc w:val="both"/>
        <w:rPr>
          <w:lang w:val="fr-CA"/>
        </w:rPr>
      </w:pPr>
      <w:r>
        <w:rPr>
          <w:lang w:val="fr-CA"/>
        </w:rPr>
        <w:t>une coopérative de crédit</w:t>
      </w:r>
    </w:p>
    <w:p w14:paraId="42673F35" w14:textId="77777777" w:rsidR="00B5682D" w:rsidRDefault="00B5682D" w:rsidP="006C34CF">
      <w:pPr>
        <w:numPr>
          <w:ilvl w:val="0"/>
          <w:numId w:val="96"/>
        </w:numPr>
        <w:jc w:val="both"/>
        <w:rPr>
          <w:lang w:val="fr-CA"/>
        </w:rPr>
      </w:pPr>
      <w:r w:rsidRPr="00B5682D">
        <w:rPr>
          <w:lang w:val="fr-CA"/>
        </w:rPr>
        <w:t>une caisse populaire</w:t>
      </w:r>
    </w:p>
    <w:p w14:paraId="650EA37E" w14:textId="77777777" w:rsidR="00B5682D" w:rsidRDefault="00B5682D" w:rsidP="00B5682D">
      <w:pPr>
        <w:ind w:left="360"/>
        <w:jc w:val="both"/>
        <w:rPr>
          <w:lang w:val="fr-CA"/>
        </w:rPr>
      </w:pPr>
    </w:p>
    <w:p w14:paraId="0281160A" w14:textId="797B67D5" w:rsidR="00B5682D" w:rsidRPr="00B5682D" w:rsidRDefault="00B5682D" w:rsidP="00B5682D">
      <w:pPr>
        <w:jc w:val="both"/>
        <w:rPr>
          <w:lang w:val="fr-CA"/>
        </w:rPr>
      </w:pPr>
      <w:r w:rsidRPr="00B5682D">
        <w:rPr>
          <w:lang w:val="fr-CA"/>
        </w:rPr>
        <w:t>Vous pouvez aussi faire a</w:t>
      </w:r>
      <w:r w:rsidR="00287796">
        <w:rPr>
          <w:lang w:val="fr-CA"/>
        </w:rPr>
        <w:t>ff</w:t>
      </w:r>
      <w:r w:rsidRPr="00B5682D">
        <w:rPr>
          <w:lang w:val="fr-CA"/>
        </w:rPr>
        <w:t>aire avec un courtier en hypoth</w:t>
      </w:r>
      <w:r>
        <w:rPr>
          <w:lang w:val="fr-CA"/>
        </w:rPr>
        <w:t>è</w:t>
      </w:r>
      <w:r w:rsidRPr="00B5682D">
        <w:rPr>
          <w:lang w:val="fr-CA"/>
        </w:rPr>
        <w:t>ques qui vous aidera à obtenir un pr</w:t>
      </w:r>
      <w:r>
        <w:rPr>
          <w:lang w:val="fr-CA"/>
        </w:rPr>
        <w:t>ê</w:t>
      </w:r>
      <w:r w:rsidRPr="00B5682D">
        <w:rPr>
          <w:lang w:val="fr-CA"/>
        </w:rPr>
        <w:t>t hypoth</w:t>
      </w:r>
      <w:r>
        <w:rPr>
          <w:lang w:val="fr-CA"/>
        </w:rPr>
        <w:t>é</w:t>
      </w:r>
      <w:r w:rsidRPr="00B5682D">
        <w:rPr>
          <w:lang w:val="fr-CA"/>
        </w:rPr>
        <w:t xml:space="preserve">caire. </w:t>
      </w:r>
    </w:p>
    <w:p w14:paraId="5A011022" w14:textId="77777777" w:rsidR="00B5682D" w:rsidRDefault="00B5682D" w:rsidP="00B5682D">
      <w:pPr>
        <w:jc w:val="both"/>
        <w:rPr>
          <w:lang w:val="fr-CA"/>
        </w:rPr>
      </w:pPr>
    </w:p>
    <w:p w14:paraId="03F028E8" w14:textId="0DB4EE93" w:rsidR="00B5682D" w:rsidRDefault="00B5682D" w:rsidP="00B5682D">
      <w:pPr>
        <w:jc w:val="both"/>
        <w:rPr>
          <w:lang w:val="fr-CA"/>
        </w:rPr>
      </w:pPr>
      <w:r w:rsidRPr="00B5682D">
        <w:rPr>
          <w:lang w:val="fr-CA"/>
        </w:rPr>
        <w:lastRenderedPageBreak/>
        <w:t>Si vous souhaitez acheter une maison, vous devez e</w:t>
      </w:r>
      <w:r>
        <w:rPr>
          <w:lang w:val="fr-CA"/>
        </w:rPr>
        <w:t>ff</w:t>
      </w:r>
      <w:r w:rsidRPr="00B5682D">
        <w:rPr>
          <w:lang w:val="fr-CA"/>
        </w:rPr>
        <w:t>ectuer un versement initial, aussi appel</w:t>
      </w:r>
      <w:r>
        <w:rPr>
          <w:lang w:val="fr-CA"/>
        </w:rPr>
        <w:t>é</w:t>
      </w:r>
      <w:r w:rsidRPr="00B5682D">
        <w:rPr>
          <w:lang w:val="fr-CA"/>
        </w:rPr>
        <w:t xml:space="preserve"> une mise de fonds, et vous empruntez le reste de l’argent dont vous avez besoin. La mise de fonds minimale exig</w:t>
      </w:r>
      <w:r>
        <w:rPr>
          <w:lang w:val="fr-CA"/>
        </w:rPr>
        <w:t>é</w:t>
      </w:r>
      <w:r w:rsidRPr="00B5682D">
        <w:rPr>
          <w:lang w:val="fr-CA"/>
        </w:rPr>
        <w:t xml:space="preserve">e est de 5 % du prix d’achat de la maison. </w:t>
      </w:r>
    </w:p>
    <w:p w14:paraId="675E82B2" w14:textId="77777777" w:rsidR="00B5682D" w:rsidRPr="00B5682D" w:rsidRDefault="00B5682D" w:rsidP="00B5682D">
      <w:pPr>
        <w:jc w:val="both"/>
        <w:rPr>
          <w:lang w:val="fr-CA"/>
        </w:rPr>
      </w:pPr>
    </w:p>
    <w:p w14:paraId="2F5DF5B8" w14:textId="653F6DA6" w:rsidR="00B5682D" w:rsidRDefault="00B5682D" w:rsidP="00B5682D">
      <w:pPr>
        <w:jc w:val="both"/>
        <w:rPr>
          <w:lang w:val="fr-CA"/>
        </w:rPr>
      </w:pPr>
      <w:r w:rsidRPr="00B5682D">
        <w:rPr>
          <w:lang w:val="fr-CA"/>
        </w:rPr>
        <w:t>Le pr</w:t>
      </w:r>
      <w:r>
        <w:rPr>
          <w:lang w:val="fr-CA"/>
        </w:rPr>
        <w:t>ê</w:t>
      </w:r>
      <w:r w:rsidRPr="00B5682D">
        <w:rPr>
          <w:lang w:val="fr-CA"/>
        </w:rPr>
        <w:t>teur accorde un pr</w:t>
      </w:r>
      <w:r>
        <w:rPr>
          <w:lang w:val="fr-CA"/>
        </w:rPr>
        <w:t>ê</w:t>
      </w:r>
      <w:r w:rsidRPr="00B5682D">
        <w:rPr>
          <w:lang w:val="fr-CA"/>
        </w:rPr>
        <w:t>t hypoth</w:t>
      </w:r>
      <w:r>
        <w:rPr>
          <w:lang w:val="fr-CA"/>
        </w:rPr>
        <w:t>é</w:t>
      </w:r>
      <w:r w:rsidRPr="00B5682D">
        <w:rPr>
          <w:lang w:val="fr-CA"/>
        </w:rPr>
        <w:t>caire dont le montant correspond au prix d’achat de la maison moins votre mise de fonds. Une fois le pr</w:t>
      </w:r>
      <w:r>
        <w:rPr>
          <w:lang w:val="fr-CA"/>
        </w:rPr>
        <w:t>ê</w:t>
      </w:r>
      <w:r w:rsidRPr="00B5682D">
        <w:rPr>
          <w:lang w:val="fr-CA"/>
        </w:rPr>
        <w:t>t accordé, vous devrez e</w:t>
      </w:r>
      <w:r>
        <w:rPr>
          <w:lang w:val="fr-CA"/>
        </w:rPr>
        <w:t>ff</w:t>
      </w:r>
      <w:r w:rsidRPr="00B5682D">
        <w:rPr>
          <w:lang w:val="fr-CA"/>
        </w:rPr>
        <w:t>ectuer des paiements r</w:t>
      </w:r>
      <w:r>
        <w:rPr>
          <w:lang w:val="fr-CA"/>
        </w:rPr>
        <w:t>é</w:t>
      </w:r>
      <w:r w:rsidRPr="00B5682D">
        <w:rPr>
          <w:lang w:val="fr-CA"/>
        </w:rPr>
        <w:t xml:space="preserve">guliers pour rembourser le </w:t>
      </w:r>
      <w:r w:rsidRPr="00B5682D">
        <w:rPr>
          <w:b/>
          <w:bCs/>
          <w:i/>
          <w:iCs/>
          <w:lang w:val="fr-CA"/>
        </w:rPr>
        <w:t>capital</w:t>
      </w:r>
      <w:r w:rsidRPr="00B5682D">
        <w:rPr>
          <w:lang w:val="fr-CA"/>
        </w:rPr>
        <w:t>, le montant emprunté, et payer des int</w:t>
      </w:r>
      <w:r>
        <w:rPr>
          <w:lang w:val="fr-CA"/>
        </w:rPr>
        <w:t>é</w:t>
      </w:r>
      <w:r w:rsidRPr="00B5682D">
        <w:rPr>
          <w:lang w:val="fr-CA"/>
        </w:rPr>
        <w:t>r</w:t>
      </w:r>
      <w:r>
        <w:rPr>
          <w:lang w:val="fr-CA"/>
        </w:rPr>
        <w:t>ê</w:t>
      </w:r>
      <w:r w:rsidRPr="00B5682D">
        <w:rPr>
          <w:lang w:val="fr-CA"/>
        </w:rPr>
        <w:t>ts, conform</w:t>
      </w:r>
      <w:r>
        <w:rPr>
          <w:lang w:val="fr-CA"/>
        </w:rPr>
        <w:t>é</w:t>
      </w:r>
      <w:r w:rsidRPr="00B5682D">
        <w:rPr>
          <w:lang w:val="fr-CA"/>
        </w:rPr>
        <w:t>ment aux conditions que vous avez n</w:t>
      </w:r>
      <w:r>
        <w:rPr>
          <w:lang w:val="fr-CA"/>
        </w:rPr>
        <w:t>é</w:t>
      </w:r>
      <w:r w:rsidRPr="00B5682D">
        <w:rPr>
          <w:lang w:val="fr-CA"/>
        </w:rPr>
        <w:t>goci</w:t>
      </w:r>
      <w:r>
        <w:rPr>
          <w:lang w:val="fr-CA"/>
        </w:rPr>
        <w:t>é</w:t>
      </w:r>
      <w:r w:rsidRPr="00B5682D">
        <w:rPr>
          <w:lang w:val="fr-CA"/>
        </w:rPr>
        <w:t xml:space="preserve">es. </w:t>
      </w:r>
    </w:p>
    <w:p w14:paraId="2FC8E465" w14:textId="77777777" w:rsidR="00B5682D" w:rsidRPr="00B5682D" w:rsidRDefault="00B5682D" w:rsidP="00B5682D">
      <w:pPr>
        <w:jc w:val="both"/>
        <w:rPr>
          <w:lang w:val="fr-CA"/>
        </w:rPr>
      </w:pPr>
    </w:p>
    <w:p w14:paraId="42A8587A" w14:textId="42B24F2F" w:rsidR="00B5682D" w:rsidRPr="00B5682D" w:rsidRDefault="00B5682D" w:rsidP="00B5682D">
      <w:pPr>
        <w:jc w:val="both"/>
        <w:rPr>
          <w:lang w:val="fr-CA"/>
        </w:rPr>
      </w:pPr>
      <w:r w:rsidRPr="00B5682D">
        <w:rPr>
          <w:lang w:val="fr-CA"/>
        </w:rPr>
        <w:t>Plus vous prenez de temps pour rembourser votre pr</w:t>
      </w:r>
      <w:r>
        <w:rPr>
          <w:lang w:val="fr-CA"/>
        </w:rPr>
        <w:t>ê</w:t>
      </w:r>
      <w:r w:rsidRPr="00B5682D">
        <w:rPr>
          <w:lang w:val="fr-CA"/>
        </w:rPr>
        <w:t>t hypoth</w:t>
      </w:r>
      <w:r>
        <w:rPr>
          <w:lang w:val="fr-CA"/>
        </w:rPr>
        <w:t>é</w:t>
      </w:r>
      <w:r w:rsidRPr="00B5682D">
        <w:rPr>
          <w:lang w:val="fr-CA"/>
        </w:rPr>
        <w:t>caire, plus vous paierez d’int</w:t>
      </w:r>
      <w:r>
        <w:rPr>
          <w:lang w:val="fr-CA"/>
        </w:rPr>
        <w:t>é</w:t>
      </w:r>
      <w:r w:rsidRPr="00B5682D">
        <w:rPr>
          <w:lang w:val="fr-CA"/>
        </w:rPr>
        <w:t>r</w:t>
      </w:r>
      <w:r>
        <w:rPr>
          <w:lang w:val="fr-CA"/>
        </w:rPr>
        <w:t>ê</w:t>
      </w:r>
      <w:r w:rsidRPr="00B5682D">
        <w:rPr>
          <w:lang w:val="fr-CA"/>
        </w:rPr>
        <w:t>ts. Plus le taux d’int</w:t>
      </w:r>
      <w:r>
        <w:rPr>
          <w:lang w:val="fr-CA"/>
        </w:rPr>
        <w:t>é</w:t>
      </w:r>
      <w:r w:rsidRPr="00B5682D">
        <w:rPr>
          <w:lang w:val="fr-CA"/>
        </w:rPr>
        <w:t>r</w:t>
      </w:r>
      <w:r>
        <w:rPr>
          <w:lang w:val="fr-CA"/>
        </w:rPr>
        <w:t>ê</w:t>
      </w:r>
      <w:r w:rsidRPr="00B5682D">
        <w:rPr>
          <w:lang w:val="fr-CA"/>
        </w:rPr>
        <w:t xml:space="preserve">t est </w:t>
      </w:r>
      <w:r>
        <w:rPr>
          <w:lang w:val="fr-CA"/>
        </w:rPr>
        <w:t>é</w:t>
      </w:r>
      <w:r w:rsidRPr="00B5682D">
        <w:rPr>
          <w:lang w:val="fr-CA"/>
        </w:rPr>
        <w:t>lev</w:t>
      </w:r>
      <w:r>
        <w:rPr>
          <w:lang w:val="fr-CA"/>
        </w:rPr>
        <w:t>é</w:t>
      </w:r>
      <w:r w:rsidRPr="00B5682D">
        <w:rPr>
          <w:lang w:val="fr-CA"/>
        </w:rPr>
        <w:t>, plus vos paiements r</w:t>
      </w:r>
      <w:r>
        <w:rPr>
          <w:lang w:val="fr-CA"/>
        </w:rPr>
        <w:t>é</w:t>
      </w:r>
      <w:r w:rsidRPr="00B5682D">
        <w:rPr>
          <w:lang w:val="fr-CA"/>
        </w:rPr>
        <w:t xml:space="preserve">guliers seront </w:t>
      </w:r>
      <w:r>
        <w:rPr>
          <w:lang w:val="fr-CA"/>
        </w:rPr>
        <w:t>é</w:t>
      </w:r>
      <w:r w:rsidRPr="00B5682D">
        <w:rPr>
          <w:lang w:val="fr-CA"/>
        </w:rPr>
        <w:t>lev</w:t>
      </w:r>
      <w:r>
        <w:rPr>
          <w:lang w:val="fr-CA"/>
        </w:rPr>
        <w:t>é</w:t>
      </w:r>
      <w:r w:rsidRPr="00B5682D">
        <w:rPr>
          <w:lang w:val="fr-CA"/>
        </w:rPr>
        <w:t>s. Et si vous ne pouvez pas e</w:t>
      </w:r>
      <w:r>
        <w:rPr>
          <w:lang w:val="fr-CA"/>
        </w:rPr>
        <w:t>ff</w:t>
      </w:r>
      <w:r w:rsidRPr="00B5682D">
        <w:rPr>
          <w:lang w:val="fr-CA"/>
        </w:rPr>
        <w:t>ectuer de paiements r</w:t>
      </w:r>
      <w:r>
        <w:rPr>
          <w:lang w:val="fr-CA"/>
        </w:rPr>
        <w:t>é</w:t>
      </w:r>
      <w:r w:rsidRPr="00B5682D">
        <w:rPr>
          <w:lang w:val="fr-CA"/>
        </w:rPr>
        <w:t>guliers – le pr</w:t>
      </w:r>
      <w:r>
        <w:rPr>
          <w:lang w:val="fr-CA"/>
        </w:rPr>
        <w:t>ê</w:t>
      </w:r>
      <w:r w:rsidRPr="00B5682D">
        <w:rPr>
          <w:lang w:val="fr-CA"/>
        </w:rPr>
        <w:t>teur peut prendre possession de la propri</w:t>
      </w:r>
      <w:r>
        <w:rPr>
          <w:lang w:val="fr-CA"/>
        </w:rPr>
        <w:t>é</w:t>
      </w:r>
      <w:r w:rsidRPr="00B5682D">
        <w:rPr>
          <w:lang w:val="fr-CA"/>
        </w:rPr>
        <w:t>t</w:t>
      </w:r>
      <w:r>
        <w:rPr>
          <w:lang w:val="fr-CA"/>
        </w:rPr>
        <w:t>é</w:t>
      </w:r>
      <w:r w:rsidRPr="00B5682D">
        <w:rPr>
          <w:lang w:val="fr-CA"/>
        </w:rPr>
        <w:t xml:space="preserve">. </w:t>
      </w:r>
      <w:r w:rsidR="004F7A7E">
        <w:rPr>
          <w:lang w:val="fr-CA"/>
        </w:rPr>
        <w:t>"</w:t>
      </w:r>
    </w:p>
    <w:p w14:paraId="5918813F" w14:textId="77777777" w:rsidR="00B5682D" w:rsidRDefault="00B5682D" w:rsidP="00371B3D">
      <w:pPr>
        <w:jc w:val="both"/>
      </w:pPr>
    </w:p>
    <w:p w14:paraId="06BDA2F5" w14:textId="046BCBD5" w:rsidR="008D464B" w:rsidRDefault="007E339A" w:rsidP="007E339A">
      <w:pPr>
        <w:jc w:val="both"/>
      </w:pPr>
      <w:r>
        <w:t>À l'aide de la calculatrice de prêts hypothécaires</w:t>
      </w:r>
      <w:r w:rsidR="00287796">
        <w:t>,</w:t>
      </w:r>
      <w:r>
        <w:t xml:space="preserve"> vous pouvez évaluer l'effet sur différentes variables (Délai de remboursement, versements hypothécaires et la valeur des intérêts déboursés) selon les différentes modalités (montant du prêt, le produit hypothécaire, le type de paiement, le taux d'intérêt) que vous souhaiteriez négocier avec votre créancier hypothécaire.</w:t>
      </w:r>
      <w:r w:rsidR="00A6415D">
        <w:t xml:space="preserve"> Le secteur financier du prêt hypothécaire est extrêmement compétitif et reluque avec grand appétit </w:t>
      </w:r>
      <w:r w:rsidR="00214255">
        <w:t xml:space="preserve">votre projet hypothécaire. Les écarts de coûts peuvent être très importants selon l'institution financière, le produit hypothécaire et l'approche négociante </w:t>
      </w:r>
      <w:r w:rsidR="00B861E7">
        <w:t xml:space="preserve">que vous allez </w:t>
      </w:r>
      <w:r w:rsidR="00214255">
        <w:t>adopt</w:t>
      </w:r>
      <w:r w:rsidR="00B861E7">
        <w:t>er</w:t>
      </w:r>
      <w:r w:rsidR="00214255">
        <w:t>. Il est très important de savoir que ce rapport de force qui vous est favorable s'estompera une fois l'entente hypothécaire conclu</w:t>
      </w:r>
      <w:r w:rsidR="00B861E7">
        <w:t>e</w:t>
      </w:r>
      <w:r w:rsidR="00214255">
        <w:t xml:space="preserve"> et que vous deviendrez alors un client beaucoup plus captif. Il faut donc bien jouer ses cartes dès le tout début en s'accordant tout le temps de faire les analyses appropriées.</w:t>
      </w:r>
      <w:r w:rsidR="00A6415D">
        <w:t xml:space="preserve"> </w:t>
      </w:r>
      <w:r w:rsidR="00214255">
        <w:t>Au besoin, demandez de l'aide à des gens de confiance, libre</w:t>
      </w:r>
      <w:r w:rsidR="00F74468">
        <w:t>s</w:t>
      </w:r>
      <w:r w:rsidR="00214255">
        <w:t xml:space="preserve"> d'objectifs de vente, si vous vous sentez dépass</w:t>
      </w:r>
      <w:r w:rsidR="00B861E7">
        <w:t>er</w:t>
      </w:r>
      <w:r w:rsidR="00527DC8">
        <w:t xml:space="preserve"> par le jargon et la mécanique financière qui y est associée. Ça vaut la peine, les enjeux monétaires sont importants.</w:t>
      </w:r>
    </w:p>
    <w:p w14:paraId="2AF69FF9" w14:textId="77777777" w:rsidR="00BF2E2F" w:rsidRDefault="00BF2E2F" w:rsidP="007E339A">
      <w:pPr>
        <w:jc w:val="both"/>
      </w:pPr>
    </w:p>
    <w:p w14:paraId="2C709BBD" w14:textId="5B18365F" w:rsidR="008D464B" w:rsidRDefault="008D464B" w:rsidP="008D464B">
      <w:pPr>
        <w:jc w:val="both"/>
      </w:pPr>
      <w:r>
        <w:rPr>
          <w:noProof/>
          <w:lang w:eastAsia="fr-FR"/>
        </w:rPr>
        <w:drawing>
          <wp:anchor distT="0" distB="0" distL="114300" distR="114300" simplePos="0" relativeHeight="252840960" behindDoc="0" locked="0" layoutInCell="1" allowOverlap="1" wp14:anchorId="40EBB561" wp14:editId="4B705523">
            <wp:simplePos x="0" y="0"/>
            <wp:positionH relativeFrom="column">
              <wp:posOffset>3200400</wp:posOffset>
            </wp:positionH>
            <wp:positionV relativeFrom="paragraph">
              <wp:posOffset>74295</wp:posOffset>
            </wp:positionV>
            <wp:extent cx="508000" cy="685800"/>
            <wp:effectExtent l="0" t="0" r="0" b="0"/>
            <wp:wrapNone/>
            <wp:docPr id="588" name="Image 588" descr="Macintosh HD:Users:marcbachand:Desktop:Capture d’écran 2015-06-08 à 17.18.41.png">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AEABF71" w14:textId="77777777" w:rsidR="00BF2E2F" w:rsidRDefault="00BF2E2F" w:rsidP="008D464B">
      <w:pPr>
        <w:jc w:val="both"/>
      </w:pPr>
    </w:p>
    <w:p w14:paraId="4CCDFED0" w14:textId="080135A5" w:rsidR="00B5682D" w:rsidRPr="00B55AC2" w:rsidRDefault="00573C95">
      <w:pPr>
        <w:rPr>
          <w:color w:val="FF6700" w:themeColor="accent3"/>
        </w:rPr>
      </w:pPr>
      <w:hyperlink r:id="rId150" w:history="1">
        <w:r w:rsidR="008D464B" w:rsidRPr="00B55AC2">
          <w:rPr>
            <w:rStyle w:val="Lienhypertexte"/>
            <w:color w:val="FF6700" w:themeColor="accent3"/>
          </w:rPr>
          <w:t>La calculatrice de prêts hypothécaires</w:t>
        </w:r>
      </w:hyperlink>
      <w:r w:rsidR="00B5682D" w:rsidRPr="00B55AC2">
        <w:rPr>
          <w:color w:val="FF6700" w:themeColor="accent3"/>
        </w:rPr>
        <w:br w:type="page"/>
      </w:r>
    </w:p>
    <w:p w14:paraId="035C04DC" w14:textId="079921E9" w:rsidR="00371B3D" w:rsidRDefault="00D901F8" w:rsidP="003A53B3">
      <w:r>
        <w:rPr>
          <w:noProof/>
          <w:lang w:eastAsia="fr-FR"/>
        </w:rPr>
        <w:lastRenderedPageBreak/>
        <mc:AlternateContent>
          <mc:Choice Requires="wps">
            <w:drawing>
              <wp:anchor distT="0" distB="0" distL="114300" distR="114300" simplePos="0" relativeHeight="252838912" behindDoc="0" locked="0" layoutInCell="1" allowOverlap="1" wp14:anchorId="738A625C" wp14:editId="18B689AA">
                <wp:simplePos x="0" y="0"/>
                <wp:positionH relativeFrom="column">
                  <wp:posOffset>-571500</wp:posOffset>
                </wp:positionH>
                <wp:positionV relativeFrom="paragraph">
                  <wp:posOffset>41910</wp:posOffset>
                </wp:positionV>
                <wp:extent cx="457200" cy="457200"/>
                <wp:effectExtent l="0" t="0" r="25400" b="25400"/>
                <wp:wrapNone/>
                <wp:docPr id="614" name="Ellipse 614"/>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712A52E7" w14:textId="49067BF6" w:rsidR="00573C95" w:rsidRPr="00BF5FC4" w:rsidRDefault="00573C95" w:rsidP="00D901F8">
                            <w:pPr>
                              <w:jc w:val="center"/>
                              <w:rPr>
                                <w:color w:val="FFFFFF" w:themeColor="background1"/>
                              </w:rPr>
                            </w:pPr>
                            <w:r>
                              <w:rPr>
                                <w:color w:val="FFFFFF" w:themeColor="background1"/>
                              </w:rPr>
                              <w:t>44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14" o:spid="_x0000_s1393" style="position:absolute;margin-left:-44.95pt;margin-top:3.3pt;width:36pt;height:36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" fillcolor="black [3200]" strokecolor="white [3201]" strokeweight="1.75pt">
                <v:textbox>
                  <w:txbxContent>
                    <w:p w14:paraId="712A52E7" w14:textId="49067BF6" w:rsidR="001501D6" w:rsidRPr="00BF5FC4" w:rsidRDefault="001501D6" w:rsidP="00D901F8">
                      <w:pPr>
                        <w:jc w:val="center"/>
                        <w:rPr>
                          <w:color w:val="FFFFFF" w:themeColor="background1"/>
                        </w:rPr>
                      </w:pPr>
                      <w:r>
                        <w:rPr>
                          <w:color w:val="FFFFFF" w:themeColor="background1"/>
                        </w:rPr>
                        <w:t>44</w:t>
                      </w:r>
                      <w:r w:rsidRPr="00BF5FC4">
                        <w:rPr>
                          <w:color w:val="FFFFFF" w:themeColor="background1"/>
                        </w:rPr>
                        <w:t xml:space="preserve"> </w:t>
                      </w:r>
                    </w:p>
                  </w:txbxContent>
                </v:textbox>
              </v:oval>
            </w:pict>
          </mc:Fallback>
        </mc:AlternateContent>
      </w:r>
    </w:p>
    <w:p w14:paraId="61D58D19" w14:textId="3D2A1443" w:rsidR="00894983" w:rsidRDefault="000662C7" w:rsidP="003A5BB5">
      <w:pPr>
        <w:jc w:val="both"/>
      </w:pPr>
      <w:r>
        <w:t xml:space="preserve">Pour l'instant, l'ensemble des dettes que nous avons étudié était de nature personnelle et visait à financer un train de vie trop élevé ou à faire l'acquisition de biens à usages personnels. Ces biens n'avaient pas pour objectifs de générer des revenus ou d'accroître la valeur patrimoniale du ménage (sauf, en partie, pour le prêt hypothécaire). </w:t>
      </w:r>
      <w:r w:rsidR="003A5BB5">
        <w:t xml:space="preserve">Dans cette nouvelle zone où les emprunts sont effectués afin d'accomplir des </w:t>
      </w:r>
      <w:r w:rsidR="003A5BB5">
        <w:rPr>
          <w:color w:val="FF6700" w:themeColor="accent3"/>
        </w:rPr>
        <w:t>INVESTISSEMENTS</w:t>
      </w:r>
      <w:r w:rsidR="003A5BB5" w:rsidRPr="003A5BB5">
        <w:t>,</w:t>
      </w:r>
      <w:r w:rsidR="003A5BB5">
        <w:t xml:space="preserve"> l'analyse financière requise, pour savoir s'il s'agit d'une bonne</w:t>
      </w:r>
      <w:r w:rsidR="009C6F95">
        <w:t xml:space="preserve"> </w:t>
      </w:r>
      <w:r w:rsidR="003A5BB5">
        <w:t xml:space="preserve">ou mauvaise dette (une bonne ou </w:t>
      </w:r>
      <w:r w:rsidR="009C6F95">
        <w:t xml:space="preserve">une </w:t>
      </w:r>
      <w:r w:rsidR="003A5BB5">
        <w:t>mauvaise affaire), s'avère pointue et propre à différents secteurs d'investisse</w:t>
      </w:r>
      <w:r w:rsidR="00F91777">
        <w:t>ment. Notre objectif n'est pas d'en faire l'étude stratégique</w:t>
      </w:r>
      <w:r w:rsidR="00287796">
        <w:t>,</w:t>
      </w:r>
      <w:r w:rsidR="00F91777">
        <w:t xml:space="preserve"> mais plutôt de parcourir et d'identifier des points de réflexion lorsque l'usage du crédit a pour objectif l'enrichissement. Déjà, cette dernière phrase n'est pas banal</w:t>
      </w:r>
      <w:r w:rsidR="00894983">
        <w:t>e</w:t>
      </w:r>
      <w:r w:rsidR="00F91777">
        <w:t xml:space="preserve"> et fixe l'enjeu théorique, c'est-</w:t>
      </w:r>
      <w:r w:rsidR="00894983">
        <w:t>à-dire que toutes les formes d'emprunt pour en faire des profits font appel au concept de l'effet de levier. Donc, que le rendement financier espéré sur l'investissement doit être supérieur au coût en intérêt de la dette. Cette stratégie comporte, à la fois, un risque et un potentiel de rendement. Voici quelques exemples d'investissements qui peuvent être fructifiés par un effet de levier financier découlant de l'usage du crédit:</w:t>
      </w:r>
    </w:p>
    <w:p w14:paraId="74B312CA" w14:textId="77777777" w:rsidR="00D566D6" w:rsidRDefault="00D566D6" w:rsidP="003A5BB5">
      <w:pPr>
        <w:jc w:val="both"/>
      </w:pPr>
    </w:p>
    <w:p w14:paraId="13EDD803" w14:textId="2C0E4871" w:rsidR="00894983" w:rsidRDefault="00310A3F" w:rsidP="003A5BB5">
      <w:pPr>
        <w:jc w:val="both"/>
      </w:pPr>
      <w:r>
        <w:rPr>
          <w:noProof/>
          <w:lang w:eastAsia="fr-FR"/>
        </w:rPr>
        <mc:AlternateContent>
          <mc:Choice Requires="wps">
            <w:drawing>
              <wp:anchor distT="0" distB="0" distL="114300" distR="114300" simplePos="0" relativeHeight="252843008" behindDoc="1" locked="0" layoutInCell="1" allowOverlap="1" wp14:anchorId="72271AE0" wp14:editId="096F4D7C">
                <wp:simplePos x="0" y="0"/>
                <wp:positionH relativeFrom="column">
                  <wp:posOffset>0</wp:posOffset>
                </wp:positionH>
                <wp:positionV relativeFrom="paragraph">
                  <wp:posOffset>127000</wp:posOffset>
                </wp:positionV>
                <wp:extent cx="8229600" cy="1943100"/>
                <wp:effectExtent l="0" t="0" r="25400" b="38100"/>
                <wp:wrapNone/>
                <wp:docPr id="591" name="Rectangle à coins arrondis 591"/>
                <wp:cNvGraphicFramePr/>
                <a:graphic xmlns:a="http://schemas.openxmlformats.org/drawingml/2006/main">
                  <a:graphicData uri="http://schemas.microsoft.com/office/word/2010/wordprocessingShape">
                    <wps:wsp>
                      <wps:cNvSpPr/>
                      <wps:spPr>
                        <a:xfrm>
                          <a:off x="0" y="0"/>
                          <a:ext cx="8229600" cy="1943100"/>
                        </a:xfrm>
                        <a:prstGeom prst="roundRect">
                          <a:avLst/>
                        </a:prstGeom>
                        <a:solidFill>
                          <a:schemeClr val="accent3"/>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id="Rectangle à coins arrondis 591" o:spid="_x0000_s1026" style="position:absolute;margin-left:0;margin-top:10pt;width:9in;height:153pt;z-index:-2504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" fillcolor="#ff6700 [3206]" strokecolor="black [3200]" strokeweight="1.25pt"/>
            </w:pict>
          </mc:Fallback>
        </mc:AlternateContent>
      </w:r>
    </w:p>
    <w:p w14:paraId="17D46E64" w14:textId="77777777" w:rsidR="00844AB1" w:rsidRDefault="00844AB1" w:rsidP="006C34CF">
      <w:pPr>
        <w:pStyle w:val="Paragraphedeliste"/>
        <w:numPr>
          <w:ilvl w:val="1"/>
          <w:numId w:val="78"/>
        </w:numPr>
        <w:jc w:val="both"/>
      </w:pPr>
      <w:r>
        <w:t>Placements en valeur mobilière (enregistré - REÉR, CÉLI, REÉÉ)</w:t>
      </w:r>
    </w:p>
    <w:p w14:paraId="2DB03BF3" w14:textId="51DCCAB9" w:rsidR="00844AB1" w:rsidRDefault="00844AB1" w:rsidP="00844AB1">
      <w:pPr>
        <w:ind w:left="1080"/>
        <w:jc w:val="both"/>
      </w:pPr>
    </w:p>
    <w:p w14:paraId="7D0C745B" w14:textId="7046CE93" w:rsidR="00844AB1" w:rsidRDefault="00844AB1" w:rsidP="006C34CF">
      <w:pPr>
        <w:pStyle w:val="Paragraphedeliste"/>
        <w:numPr>
          <w:ilvl w:val="1"/>
          <w:numId w:val="78"/>
        </w:numPr>
        <w:jc w:val="both"/>
      </w:pPr>
      <w:r>
        <w:t xml:space="preserve"> Placements en valeur mobilière (non enregistré)</w:t>
      </w:r>
    </w:p>
    <w:p w14:paraId="676FD73C" w14:textId="42AE1952" w:rsidR="00844AB1" w:rsidRDefault="00844AB1" w:rsidP="00844AB1">
      <w:pPr>
        <w:ind w:left="1080"/>
        <w:jc w:val="both"/>
      </w:pPr>
    </w:p>
    <w:p w14:paraId="4573306A" w14:textId="7B0097CC" w:rsidR="003A5BB5" w:rsidRDefault="00844AB1" w:rsidP="006C34CF">
      <w:pPr>
        <w:pStyle w:val="Paragraphedeliste"/>
        <w:numPr>
          <w:ilvl w:val="1"/>
          <w:numId w:val="78"/>
        </w:numPr>
        <w:jc w:val="both"/>
      </w:pPr>
      <w:r>
        <w:t>Immeubles locatifs</w:t>
      </w:r>
      <w:r w:rsidR="009F61A4" w:rsidRPr="009F61A4">
        <w:rPr>
          <w:noProof/>
          <w:lang w:eastAsia="fr-FR"/>
        </w:rPr>
        <w:t xml:space="preserve"> </w:t>
      </w:r>
    </w:p>
    <w:p w14:paraId="023D5525" w14:textId="77777777" w:rsidR="00844AB1" w:rsidRDefault="00844AB1" w:rsidP="00844AB1">
      <w:pPr>
        <w:ind w:left="1080"/>
        <w:jc w:val="both"/>
      </w:pPr>
    </w:p>
    <w:p w14:paraId="1BD061D5" w14:textId="0FEFC004" w:rsidR="00844AB1" w:rsidRDefault="00844AB1" w:rsidP="006C34CF">
      <w:pPr>
        <w:pStyle w:val="Paragraphedeliste"/>
        <w:numPr>
          <w:ilvl w:val="1"/>
          <w:numId w:val="78"/>
        </w:numPr>
        <w:jc w:val="both"/>
      </w:pPr>
      <w:r>
        <w:t>Entreprise</w:t>
      </w:r>
    </w:p>
    <w:p w14:paraId="35E43C72" w14:textId="77777777" w:rsidR="00844AB1" w:rsidRDefault="00844AB1" w:rsidP="00844AB1">
      <w:pPr>
        <w:ind w:left="1080"/>
        <w:jc w:val="both"/>
      </w:pPr>
    </w:p>
    <w:p w14:paraId="7BA6061B" w14:textId="4F7234CD" w:rsidR="00844AB1" w:rsidRDefault="00844AB1" w:rsidP="006C34CF">
      <w:pPr>
        <w:pStyle w:val="Paragraphedeliste"/>
        <w:numPr>
          <w:ilvl w:val="1"/>
          <w:numId w:val="78"/>
        </w:numPr>
        <w:jc w:val="both"/>
      </w:pPr>
      <w:r>
        <w:t>Éducation</w:t>
      </w:r>
    </w:p>
    <w:p w14:paraId="6564CF99" w14:textId="77777777" w:rsidR="00F91777" w:rsidRDefault="00F91777" w:rsidP="003A5BB5">
      <w:pPr>
        <w:jc w:val="both"/>
      </w:pPr>
    </w:p>
    <w:p w14:paraId="14E4C6D2" w14:textId="77777777" w:rsidR="00D566D6" w:rsidRDefault="00D566D6" w:rsidP="003A5BB5">
      <w:pPr>
        <w:jc w:val="both"/>
      </w:pPr>
    </w:p>
    <w:p w14:paraId="45E9B5FE" w14:textId="668748B7" w:rsidR="00F91777" w:rsidRDefault="006706D2" w:rsidP="003A5BB5">
      <w:pPr>
        <w:jc w:val="both"/>
      </w:pPr>
      <w:r>
        <w:t>Chacun de ces créneaux comporte des risques (dans le cas de l'Éducation et</w:t>
      </w:r>
      <w:r w:rsidR="009C6F95">
        <w:t xml:space="preserve"> </w:t>
      </w:r>
      <w:r>
        <w:t xml:space="preserve">des </w:t>
      </w:r>
      <w:r w:rsidR="009C6F95">
        <w:t>P</w:t>
      </w:r>
      <w:r>
        <w:t xml:space="preserve">lacements en valeur mobilière enregistrée, le risque est </w:t>
      </w:r>
      <w:r w:rsidRPr="006706D2">
        <w:rPr>
          <w:u w:val="single"/>
        </w:rPr>
        <w:t>de ne pas</w:t>
      </w:r>
      <w:r>
        <w:t xml:space="preserve"> y investir). C'est pour cette raison que les emprunts effectués pour faire ces investissements bénéficient d'allègements fiscaux. Dans le cas des emprunts effectués </w:t>
      </w:r>
      <w:r w:rsidR="00F86F78">
        <w:t xml:space="preserve">pour faire des investissements en placements (non enregistré), dans des immeubles locatifs ou dans des entreprises, le fisc accordera une </w:t>
      </w:r>
      <w:r w:rsidR="00F86F78" w:rsidRPr="00F86F78">
        <w:rPr>
          <w:color w:val="FF6700" w:themeColor="accent3"/>
        </w:rPr>
        <w:t>DÉDUCTION FISCALE</w:t>
      </w:r>
      <w:r w:rsidR="00F86F78">
        <w:t xml:space="preserve"> sur les intérêts déboursés. Dans le cas des prêts étudiant, les intérêts payés </w:t>
      </w:r>
      <w:r w:rsidR="00F86F78">
        <w:lastRenderedPageBreak/>
        <w:t>donneront droit à des crédits d'impôt. Finalement</w:t>
      </w:r>
      <w:r w:rsidR="00C205F7">
        <w:t>, les intérêts assumés sur les prêts ayant servi à effectuer des</w:t>
      </w:r>
      <w:r w:rsidR="00F86F78">
        <w:t xml:space="preserve"> cotisations</w:t>
      </w:r>
      <w:r w:rsidR="00C205F7">
        <w:t xml:space="preserve"> dans des</w:t>
      </w:r>
      <w:r w:rsidR="00F86F78">
        <w:t xml:space="preserve"> régimes enregistrés (REÉR, CÉLI et CÉLI), puisque ceux-ci constituent déjà des abris fiscaux, </w:t>
      </w:r>
      <w:r w:rsidR="00C205F7">
        <w:t>ne pourront faire l'objet d'une déduction fiscale</w:t>
      </w:r>
      <w:r w:rsidR="00F86F78">
        <w:t xml:space="preserve">. </w:t>
      </w:r>
    </w:p>
    <w:p w14:paraId="74B79AEB" w14:textId="77777777" w:rsidR="005A2227" w:rsidRDefault="005A2227" w:rsidP="003A5BB5">
      <w:pPr>
        <w:jc w:val="both"/>
      </w:pPr>
    </w:p>
    <w:p w14:paraId="42BF27A0" w14:textId="7E9E48EC" w:rsidR="005A2227" w:rsidRPr="00805CF9" w:rsidRDefault="00D566D6" w:rsidP="003A5BB5">
      <w:pPr>
        <w:jc w:val="both"/>
      </w:pPr>
      <w:r>
        <w:t>Au-delà des formes d'emprunts déjà étudiés, deux nouveaux types de crédits propres à des situations particulières suscitent notre attention, soit le découvert et le prêt étudiant.</w:t>
      </w:r>
    </w:p>
    <w:p w14:paraId="45C6947C" w14:textId="77777777" w:rsidR="000662C7" w:rsidRDefault="000662C7" w:rsidP="003A53B3"/>
    <w:p w14:paraId="100687D0" w14:textId="5C668F63" w:rsidR="00371B3D" w:rsidRDefault="00371B3D" w:rsidP="006C34CF">
      <w:pPr>
        <w:pStyle w:val="Paragraphedeliste"/>
        <w:numPr>
          <w:ilvl w:val="0"/>
          <w:numId w:val="83"/>
        </w:numPr>
        <w:jc w:val="both"/>
        <w:rPr>
          <w:color w:val="FF6700" w:themeColor="accent3"/>
        </w:rPr>
      </w:pPr>
      <w:r>
        <w:rPr>
          <w:color w:val="FF6700" w:themeColor="accent3"/>
        </w:rPr>
        <w:t>Découvert</w:t>
      </w:r>
    </w:p>
    <w:p w14:paraId="6594E9BD" w14:textId="77777777" w:rsidR="00371B3D" w:rsidRDefault="00371B3D" w:rsidP="00371B3D">
      <w:pPr>
        <w:jc w:val="both"/>
        <w:rPr>
          <w:color w:val="FF6700" w:themeColor="accent3"/>
        </w:rPr>
      </w:pPr>
    </w:p>
    <w:p w14:paraId="77BA539B" w14:textId="6BFAA1D5" w:rsidR="00F43F4A" w:rsidRDefault="005F115C" w:rsidP="00371B3D">
      <w:pPr>
        <w:jc w:val="both"/>
      </w:pPr>
      <w:r>
        <w:t xml:space="preserve">Le financement sous forme de découvert </w:t>
      </w:r>
      <w:r w:rsidR="00A0165B">
        <w:t xml:space="preserve">est une activité de type extrême qui est propre </w:t>
      </w:r>
      <w:r w:rsidR="006D3424">
        <w:t>à certaines opérations</w:t>
      </w:r>
      <w:r w:rsidR="00A0165B">
        <w:t xml:space="preserve"> de courtage en valeur mobilière. Ce</w:t>
      </w:r>
      <w:r w:rsidR="00F43F4A">
        <w:t>s transactions</w:t>
      </w:r>
      <w:r w:rsidR="00A0165B">
        <w:t xml:space="preserve"> comporte</w:t>
      </w:r>
      <w:r w:rsidR="00F43F4A">
        <w:t>nt</w:t>
      </w:r>
      <w:r w:rsidR="00A0165B">
        <w:t xml:space="preserve"> </w:t>
      </w:r>
      <w:r w:rsidR="00F43F4A">
        <w:t>des</w:t>
      </w:r>
      <w:r w:rsidR="00A0165B">
        <w:t xml:space="preserve"> risque</w:t>
      </w:r>
      <w:r w:rsidR="00F43F4A">
        <w:t>s financiers</w:t>
      </w:r>
      <w:r w:rsidR="00A0165B">
        <w:t xml:space="preserve"> important</w:t>
      </w:r>
      <w:r w:rsidR="00F43F4A">
        <w:t>s</w:t>
      </w:r>
      <w:r w:rsidR="00A0165B">
        <w:t xml:space="preserve"> et se doi</w:t>
      </w:r>
      <w:r w:rsidR="00F43F4A">
        <w:t>vent</w:t>
      </w:r>
      <w:r w:rsidR="00A0165B">
        <w:t xml:space="preserve"> d'être exercé</w:t>
      </w:r>
      <w:r w:rsidR="00F43F4A">
        <w:t>es</w:t>
      </w:r>
      <w:r w:rsidR="00A0165B">
        <w:t xml:space="preserve"> par </w:t>
      </w:r>
      <w:r w:rsidR="00F43F4A">
        <w:t xml:space="preserve">des contribuables avertis. </w:t>
      </w:r>
    </w:p>
    <w:p w14:paraId="52D70E99" w14:textId="77777777" w:rsidR="00F43F4A" w:rsidRDefault="00F43F4A" w:rsidP="00371B3D">
      <w:pPr>
        <w:jc w:val="both"/>
      </w:pPr>
    </w:p>
    <w:p w14:paraId="20BE5647" w14:textId="1B56F6BD" w:rsidR="00A77DCA" w:rsidRDefault="00F43F4A" w:rsidP="00371B3D">
      <w:pPr>
        <w:jc w:val="both"/>
      </w:pPr>
      <w:r>
        <w:t xml:space="preserve">L'opération vise à vendre des actions qui n'appartiennent </w:t>
      </w:r>
      <w:r w:rsidR="00B015A9">
        <w:t xml:space="preserve">pas </w:t>
      </w:r>
      <w:r>
        <w:t>au contribuable</w:t>
      </w:r>
      <w:r w:rsidR="00B015A9">
        <w:t xml:space="preserve"> (</w:t>
      </w:r>
      <w:r w:rsidR="00B015A9" w:rsidRPr="00B015A9">
        <w:rPr>
          <w:color w:val="FF6700" w:themeColor="accent3"/>
        </w:rPr>
        <w:t>INVESTISSEUR</w:t>
      </w:r>
      <w:r w:rsidR="00B015A9">
        <w:t>)</w:t>
      </w:r>
      <w:r>
        <w:t xml:space="preserve">, mais qui lui sont prêtées par la firme de courtage. Le contribuable est donc en dette envers </w:t>
      </w:r>
      <w:r w:rsidR="006D3424">
        <w:t>la firme de courtage</w:t>
      </w:r>
      <w:r w:rsidR="00287796">
        <w:t>,</w:t>
      </w:r>
      <w:r w:rsidR="006D3424">
        <w:t xml:space="preserve"> car il doit lui rembourser les titres qui ont fait l'objet précédemment d'une vente à découvert. Pour arriver à faire l'achat des titres dus, le contribuable utilise le produit de la vente précédente. Il n'y a pas de problème (gain) lorsque le titre a perdu de la valeur. Cependant. Lorsque le titre a pris de la valeur, il y a une perte qui représente la dette du découvert qui est assumée par une marge de crédit. Cette marge de crédit que le contribuable a souscrit auprès de la firme de courtage fait l'objet d'une garantie en valeur mobilière (c'est-à-dire que le contribuable réserve des titres qu'il place en garantie auprès de la firme de courtage).</w:t>
      </w:r>
      <w:r w:rsidR="00A77DCA">
        <w:t xml:space="preserve"> Ces opérations sont de natures spéculatives et utilise l'effet de levier financier que procure le découvert associé à la transaction. Les effets peuvent être dévastateur</w:t>
      </w:r>
      <w:r w:rsidR="00287796">
        <w:t>s</w:t>
      </w:r>
      <w:r w:rsidR="00A77DCA">
        <w:t xml:space="preserve"> et une telle stratégie ne peut être considérée comme un usage responsable en terme de planification de la retraite. </w:t>
      </w:r>
    </w:p>
    <w:p w14:paraId="53986E1E" w14:textId="77777777" w:rsidR="00A77DCA" w:rsidRDefault="00A77DCA" w:rsidP="00371B3D">
      <w:pPr>
        <w:jc w:val="both"/>
      </w:pPr>
    </w:p>
    <w:p w14:paraId="5B8AED61" w14:textId="4C7C66B2" w:rsidR="005F115C" w:rsidRDefault="00C54418" w:rsidP="00371B3D">
      <w:pPr>
        <w:jc w:val="both"/>
      </w:pPr>
      <w:r>
        <w:t xml:space="preserve">Le rationnel boursier de cette stratégie est de prendre avantage d'un marché qui serait à la baisse. Ce type d'anticipation du marché est rarement gagnant à long terme. </w:t>
      </w:r>
      <w:r w:rsidR="00A77DCA">
        <w:t>Avant de conclure à la panacée et de vous laisser impressionner</w:t>
      </w:r>
      <w:r>
        <w:t xml:space="preserve"> par les propos de ceux qui ont encaissé des fortunes</w:t>
      </w:r>
      <w:r w:rsidR="00A77DCA">
        <w:t xml:space="preserve">, rappelez-vous que la vaste majorité des gens s'empresseront de vous retracer le récit de tous leurs bons coups financiers, mais ils garderont pour eux leurs revers de fortune. </w:t>
      </w:r>
    </w:p>
    <w:p w14:paraId="7F38FC98" w14:textId="77777777" w:rsidR="006D3424" w:rsidRDefault="006D3424" w:rsidP="00371B3D">
      <w:pPr>
        <w:jc w:val="both"/>
      </w:pPr>
    </w:p>
    <w:p w14:paraId="7A39C073" w14:textId="0770F0BC" w:rsidR="00156363" w:rsidRDefault="00160CA6" w:rsidP="00371B3D">
      <w:pPr>
        <w:jc w:val="both"/>
        <w:rPr>
          <w:color w:val="FF6700" w:themeColor="accent3"/>
        </w:rPr>
      </w:pPr>
      <w:r>
        <w:rPr>
          <w:color w:val="FF6700" w:themeColor="accent3"/>
        </w:rPr>
        <w:lastRenderedPageBreak/>
        <w:t xml:space="preserve">IMAGE 7-15 Processus de l'achat/vente d'actions </w:t>
      </w:r>
      <w:proofErr w:type="gramStart"/>
      <w:r>
        <w:rPr>
          <w:color w:val="FF6700" w:themeColor="accent3"/>
        </w:rPr>
        <w:t>à</w:t>
      </w:r>
      <w:proofErr w:type="gramEnd"/>
      <w:r>
        <w:rPr>
          <w:color w:val="FF6700" w:themeColor="accent3"/>
        </w:rPr>
        <w:t xml:space="preserve"> découvert</w:t>
      </w:r>
    </w:p>
    <w:p w14:paraId="0493CF8A" w14:textId="77777777" w:rsidR="0066735D" w:rsidRDefault="0066735D" w:rsidP="00371B3D">
      <w:pPr>
        <w:jc w:val="both"/>
        <w:rPr>
          <w:color w:val="FF6700" w:themeColor="accent3"/>
        </w:rPr>
      </w:pPr>
    </w:p>
    <w:p w14:paraId="358DA2B2" w14:textId="2346CC56" w:rsidR="0066735D" w:rsidRDefault="0066735D" w:rsidP="00371B3D">
      <w:pPr>
        <w:jc w:val="both"/>
      </w:pPr>
    </w:p>
    <w:p w14:paraId="2E9D820A" w14:textId="77777777" w:rsidR="000E4CC6" w:rsidRDefault="000E4CC6" w:rsidP="00371B3D">
      <w:pPr>
        <w:jc w:val="both"/>
      </w:pPr>
    </w:p>
    <w:p w14:paraId="1498F038" w14:textId="423C5DA3" w:rsidR="00156363" w:rsidRDefault="000C6F34" w:rsidP="00371B3D">
      <w:pPr>
        <w:jc w:val="both"/>
      </w:pPr>
      <w:r>
        <w:rPr>
          <w:noProof/>
          <w:lang w:eastAsia="fr-FR"/>
        </w:rPr>
        <mc:AlternateContent>
          <mc:Choice Requires="wps">
            <w:drawing>
              <wp:anchor distT="0" distB="0" distL="114300" distR="114300" simplePos="0" relativeHeight="252857344" behindDoc="0" locked="0" layoutInCell="1" allowOverlap="1" wp14:anchorId="193D60E1" wp14:editId="52675732">
                <wp:simplePos x="0" y="0"/>
                <wp:positionH relativeFrom="column">
                  <wp:posOffset>914400</wp:posOffset>
                </wp:positionH>
                <wp:positionV relativeFrom="paragraph">
                  <wp:posOffset>10795</wp:posOffset>
                </wp:positionV>
                <wp:extent cx="1485900" cy="914400"/>
                <wp:effectExtent l="0" t="0" r="0" b="0"/>
                <wp:wrapNone/>
                <wp:docPr id="641" name="Zone de texte 641"/>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EDF750" w14:textId="7FA2F8FC" w:rsidR="00573C95" w:rsidRDefault="00573C95" w:rsidP="00B015A9">
                            <w:pPr>
                              <w:jc w:val="center"/>
                            </w:pPr>
                            <w:r>
                              <w:t>Investisseur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41" o:spid="_x0000_s1394" type="#_x0000_t202" style="position:absolute;left:0;text-align:left;margin-left:1in;margin-top:.85pt;width:117pt;height:1in;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" filled="f" stroked="f">
                <v:textbox>
                  <w:txbxContent>
                    <w:p w14:paraId="01EDF750" w14:textId="7FA2F8FC" w:rsidR="001501D6" w:rsidRDefault="001501D6" w:rsidP="00B015A9">
                      <w:pPr>
                        <w:jc w:val="center"/>
                      </w:pPr>
                      <w:r>
                        <w:t>Investisseur</w:t>
                      </w:r>
                    </w:p>
                  </w:txbxContent>
                </v:textbox>
              </v:shape>
            </w:pict>
          </mc:Fallback>
        </mc:AlternateContent>
      </w:r>
      <w:r w:rsidR="005C7442">
        <w:rPr>
          <w:noProof/>
          <w:lang w:eastAsia="fr-FR"/>
        </w:rPr>
        <mc:AlternateContent>
          <mc:Choice Requires="wps">
            <w:drawing>
              <wp:anchor distT="0" distB="0" distL="114300" distR="114300" simplePos="0" relativeHeight="252871680" behindDoc="0" locked="0" layoutInCell="1" allowOverlap="1" wp14:anchorId="7ECC60A7" wp14:editId="704DD070">
                <wp:simplePos x="0" y="0"/>
                <wp:positionH relativeFrom="column">
                  <wp:posOffset>6400800</wp:posOffset>
                </wp:positionH>
                <wp:positionV relativeFrom="paragraph">
                  <wp:posOffset>10795</wp:posOffset>
                </wp:positionV>
                <wp:extent cx="1485900" cy="914400"/>
                <wp:effectExtent l="0" t="0" r="0" b="0"/>
                <wp:wrapSquare wrapText="bothSides"/>
                <wp:docPr id="648" name="Zone de texte 648"/>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6753B9" w14:textId="421AAFFA" w:rsidR="00573C95" w:rsidRDefault="00573C95" w:rsidP="00160CA6">
                            <w:pPr>
                              <w:jc w:val="center"/>
                            </w:pPr>
                            <w:r>
                              <w:t>Date de l'emprunt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48" o:spid="_x0000_s1395" type="#_x0000_t202" style="position:absolute;left:0;text-align:left;margin-left:7in;margin-top:.85pt;width:117pt;height:1in;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" filled="f" stroked="f">
                <v:textbox>
                  <w:txbxContent>
                    <w:p w14:paraId="0E6753B9" w14:textId="421AAFFA" w:rsidR="001501D6" w:rsidRDefault="001501D6" w:rsidP="00160CA6">
                      <w:pPr>
                        <w:jc w:val="center"/>
                      </w:pPr>
                      <w:r>
                        <w:t>Date de l'emprunt</w:t>
                      </w:r>
                    </w:p>
                  </w:txbxContent>
                </v:textbox>
                <w10:wrap type="square"/>
              </v:shape>
            </w:pict>
          </mc:Fallback>
        </mc:AlternateContent>
      </w:r>
      <w:r w:rsidR="00CA6FFD">
        <w:rPr>
          <w:noProof/>
          <w:lang w:eastAsia="fr-FR"/>
        </w:rPr>
        <mc:AlternateContent>
          <mc:Choice Requires="wps">
            <w:drawing>
              <wp:anchor distT="0" distB="0" distL="114300" distR="114300" simplePos="0" relativeHeight="252855296" behindDoc="0" locked="0" layoutInCell="1" allowOverlap="1" wp14:anchorId="1ED2E823" wp14:editId="742666C8">
                <wp:simplePos x="0" y="0"/>
                <wp:positionH relativeFrom="column">
                  <wp:posOffset>3657600</wp:posOffset>
                </wp:positionH>
                <wp:positionV relativeFrom="paragraph">
                  <wp:posOffset>11430</wp:posOffset>
                </wp:positionV>
                <wp:extent cx="1485900" cy="914400"/>
                <wp:effectExtent l="0" t="0" r="0" b="0"/>
                <wp:wrapSquare wrapText="bothSides"/>
                <wp:docPr id="640" name="Zone de texte 640"/>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FCE695" w14:textId="4AE0FA32" w:rsidR="00573C95" w:rsidRDefault="00573C95" w:rsidP="00B015A9">
                            <w:pPr>
                              <w:jc w:val="center"/>
                            </w:pPr>
                            <w:r>
                              <w:t>Courtier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40" o:spid="_x0000_s1396" type="#_x0000_t202" style="position:absolute;left:0;text-align:left;margin-left:4in;margin-top:.9pt;width:117pt;height:1in;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" filled="f" stroked="f">
                <v:textbox>
                  <w:txbxContent>
                    <w:p w14:paraId="1FFCE695" w14:textId="4AE0FA32" w:rsidR="001501D6" w:rsidRDefault="001501D6" w:rsidP="00B015A9">
                      <w:pPr>
                        <w:jc w:val="center"/>
                      </w:pPr>
                      <w:r>
                        <w:t>Courtier</w:t>
                      </w:r>
                    </w:p>
                  </w:txbxContent>
                </v:textbox>
                <w10:wrap type="square"/>
              </v:shape>
            </w:pict>
          </mc:Fallback>
        </mc:AlternateContent>
      </w:r>
      <w:r w:rsidR="00CA6FFD">
        <w:rPr>
          <w:noProof/>
          <w:lang w:eastAsia="fr-FR"/>
        </w:rPr>
        <mc:AlternateContent>
          <mc:Choice Requires="wps">
            <w:drawing>
              <wp:anchor distT="0" distB="0" distL="114300" distR="114300" simplePos="0" relativeHeight="252859392" behindDoc="0" locked="0" layoutInCell="1" allowOverlap="1" wp14:anchorId="559004F7" wp14:editId="226FB2CE">
                <wp:simplePos x="0" y="0"/>
                <wp:positionH relativeFrom="column">
                  <wp:posOffset>2057400</wp:posOffset>
                </wp:positionH>
                <wp:positionV relativeFrom="paragraph">
                  <wp:posOffset>125730</wp:posOffset>
                </wp:positionV>
                <wp:extent cx="1828800" cy="571500"/>
                <wp:effectExtent l="76200" t="76200" r="76200" b="63500"/>
                <wp:wrapNone/>
                <wp:docPr id="642" name="Flèche vers la gauche 642"/>
                <wp:cNvGraphicFramePr/>
                <a:graphic xmlns:a="http://schemas.openxmlformats.org/drawingml/2006/main">
                  <a:graphicData uri="http://schemas.microsoft.com/office/word/2010/wordprocessingShape">
                    <wps:wsp>
                      <wps:cNvSpPr/>
                      <wps:spPr>
                        <a:xfrm>
                          <a:off x="0" y="0"/>
                          <a:ext cx="1828800" cy="571500"/>
                        </a:xfrm>
                        <a:prstGeom prst="leftArrow">
                          <a:avLst/>
                        </a:prstGeom>
                        <a:solidFill>
                          <a:srgbClr val="008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0A616EE" w14:textId="63806E88" w:rsidR="00573C95" w:rsidRPr="00B015A9" w:rsidRDefault="00573C95" w:rsidP="00B015A9">
                            <w:pPr>
                              <w:jc w:val="center"/>
                              <w:rPr>
                                <w:sz w:val="20"/>
                                <w:szCs w:val="20"/>
                              </w:rPr>
                            </w:pPr>
                            <w:r w:rsidRPr="00B015A9">
                              <w:rPr>
                                <w:sz w:val="20"/>
                                <w:szCs w:val="20"/>
                              </w:rPr>
                              <w:t>Actions empruntées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642" o:spid="_x0000_s1397" type="#_x0000_t66" style="position:absolute;left:0;text-align:left;margin-left:162pt;margin-top:9.9pt;width:2in;height:45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" adj="3375" fillcolor="green">
                <v:textbox>
                  <w:txbxContent>
                    <w:p w14:paraId="60A616EE" w14:textId="63806E88" w:rsidR="001501D6" w:rsidRPr="00B015A9" w:rsidRDefault="001501D6" w:rsidP="00B015A9">
                      <w:pPr>
                        <w:jc w:val="center"/>
                        <w:rPr>
                          <w:sz w:val="20"/>
                          <w:szCs w:val="20"/>
                        </w:rPr>
                      </w:pPr>
                      <w:r w:rsidRPr="00B015A9">
                        <w:rPr>
                          <w:sz w:val="20"/>
                          <w:szCs w:val="20"/>
                        </w:rPr>
                        <w:t>Actions empruntées</w:t>
                      </w:r>
                    </w:p>
                  </w:txbxContent>
                </v:textbox>
              </v:shape>
            </w:pict>
          </mc:Fallback>
        </mc:AlternateContent>
      </w:r>
      <w:r w:rsidR="00160CA6">
        <w:rPr>
          <w:noProof/>
          <w:lang w:eastAsia="fr-FR"/>
        </w:rPr>
        <mc:AlternateContent>
          <mc:Choice Requires="wps">
            <w:drawing>
              <wp:anchor distT="0" distB="0" distL="114300" distR="114300" simplePos="0" relativeHeight="252869632" behindDoc="0" locked="0" layoutInCell="1" allowOverlap="1" wp14:anchorId="34A9CB48" wp14:editId="14FAA06E">
                <wp:simplePos x="0" y="0"/>
                <wp:positionH relativeFrom="column">
                  <wp:posOffset>5143500</wp:posOffset>
                </wp:positionH>
                <wp:positionV relativeFrom="paragraph">
                  <wp:posOffset>41910</wp:posOffset>
                </wp:positionV>
                <wp:extent cx="1485900" cy="914400"/>
                <wp:effectExtent l="0" t="0" r="0" b="0"/>
                <wp:wrapSquare wrapText="bothSides"/>
                <wp:docPr id="647" name="Zone de texte 647"/>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61EAD2" w14:textId="3FCCFC92" w:rsidR="00573C95" w:rsidRDefault="00573C95" w:rsidP="00156363">
                            <w:pPr>
                              <w:jc w:val="center"/>
                            </w:pPr>
                            <w:r>
                              <w:t>JVM des actions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47" o:spid="_x0000_s1398" type="#_x0000_t202" style="position:absolute;left:0;text-align:left;margin-left:405pt;margin-top:3.3pt;width:117pt;height:1in;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" filled="f" stroked="f">
                <v:textbox>
                  <w:txbxContent>
                    <w:p w14:paraId="2A61EAD2" w14:textId="3FCCFC92" w:rsidR="001501D6" w:rsidRDefault="001501D6" w:rsidP="00156363">
                      <w:pPr>
                        <w:jc w:val="center"/>
                      </w:pPr>
                      <w:r>
                        <w:t>JVM des actions</w:t>
                      </w:r>
                    </w:p>
                  </w:txbxContent>
                </v:textbox>
                <w10:wrap type="square"/>
              </v:shape>
            </w:pict>
          </mc:Fallback>
        </mc:AlternateContent>
      </w:r>
    </w:p>
    <w:p w14:paraId="71C8AF2C" w14:textId="5B366759" w:rsidR="00B015A9" w:rsidRDefault="00160CA6" w:rsidP="00371B3D">
      <w:pPr>
        <w:jc w:val="both"/>
      </w:pPr>
      <w:r>
        <w:rPr>
          <w:noProof/>
          <w:lang w:eastAsia="fr-FR"/>
        </w:rPr>
        <mc:AlternateContent>
          <mc:Choice Requires="wps">
            <w:drawing>
              <wp:anchor distT="0" distB="0" distL="114300" distR="114300" simplePos="0" relativeHeight="252854272" behindDoc="0" locked="0" layoutInCell="1" allowOverlap="1" wp14:anchorId="5DC7E63C" wp14:editId="6DE94877">
                <wp:simplePos x="0" y="0"/>
                <wp:positionH relativeFrom="column">
                  <wp:posOffset>-685800</wp:posOffset>
                </wp:positionH>
                <wp:positionV relativeFrom="paragraph">
                  <wp:posOffset>52705</wp:posOffset>
                </wp:positionV>
                <wp:extent cx="457200" cy="457200"/>
                <wp:effectExtent l="0" t="0" r="25400" b="25400"/>
                <wp:wrapNone/>
                <wp:docPr id="639" name="Ellipse 639"/>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09837F21" w14:textId="27028E07" w:rsidR="00573C95" w:rsidRPr="00BF5FC4" w:rsidRDefault="00573C95" w:rsidP="00A24E80">
                            <w:pPr>
                              <w:jc w:val="center"/>
                              <w:rPr>
                                <w:color w:val="FFFFFF" w:themeColor="background1"/>
                              </w:rPr>
                            </w:pPr>
                            <w:r>
                              <w:rPr>
                                <w:color w:val="FFFFFF" w:themeColor="background1"/>
                              </w:rPr>
                              <w:t>144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39" o:spid="_x0000_s1399" style="position:absolute;left:0;text-align:left;margin-left:-53.95pt;margin-top:4.15pt;width:36pt;height:36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" fillcolor="black [3200]" strokecolor="white [3201]" strokeweight="1.75pt">
                <v:textbox>
                  <w:txbxContent>
                    <w:p w14:paraId="09837F21" w14:textId="27028E07" w:rsidR="001501D6" w:rsidRPr="00BF5FC4" w:rsidRDefault="001501D6" w:rsidP="00A24E80">
                      <w:pPr>
                        <w:jc w:val="center"/>
                        <w:rPr>
                          <w:color w:val="FFFFFF" w:themeColor="background1"/>
                        </w:rPr>
                      </w:pPr>
                      <w:r>
                        <w:rPr>
                          <w:color w:val="FFFFFF" w:themeColor="background1"/>
                        </w:rPr>
                        <w:t>144</w:t>
                      </w:r>
                      <w:r w:rsidRPr="00BF5FC4">
                        <w:rPr>
                          <w:color w:val="FFFFFF" w:themeColor="background1"/>
                        </w:rPr>
                        <w:t xml:space="preserve"> </w:t>
                      </w:r>
                    </w:p>
                  </w:txbxContent>
                </v:textbox>
              </v:oval>
            </w:pict>
          </mc:Fallback>
        </mc:AlternateContent>
      </w:r>
    </w:p>
    <w:p w14:paraId="456D6908" w14:textId="2996613A" w:rsidR="00B015A9" w:rsidRDefault="00160CA6">
      <w:r>
        <w:rPr>
          <w:noProof/>
          <w:lang w:eastAsia="fr-FR"/>
        </w:rPr>
        <mc:AlternateContent>
          <mc:Choice Requires="wps">
            <w:drawing>
              <wp:anchor distT="0" distB="0" distL="114300" distR="114300" simplePos="0" relativeHeight="252867584" behindDoc="0" locked="0" layoutInCell="1" allowOverlap="1" wp14:anchorId="48F70E7D" wp14:editId="486505CD">
                <wp:simplePos x="0" y="0"/>
                <wp:positionH relativeFrom="column">
                  <wp:posOffset>5715000</wp:posOffset>
                </wp:positionH>
                <wp:positionV relativeFrom="paragraph">
                  <wp:posOffset>10795</wp:posOffset>
                </wp:positionV>
                <wp:extent cx="342900" cy="998220"/>
                <wp:effectExtent l="76200" t="76200" r="63500" b="68580"/>
                <wp:wrapThrough wrapText="bothSides">
                  <wp:wrapPolygon edited="0">
                    <wp:start x="-4800" y="-1649"/>
                    <wp:lineTo x="-4800" y="22534"/>
                    <wp:lineTo x="24000" y="22534"/>
                    <wp:lineTo x="24000" y="-1649"/>
                    <wp:lineTo x="-4800" y="-1649"/>
                  </wp:wrapPolygon>
                </wp:wrapThrough>
                <wp:docPr id="646" name="Rectangle à coins arrondis 646"/>
                <wp:cNvGraphicFramePr/>
                <a:graphic xmlns:a="http://schemas.openxmlformats.org/drawingml/2006/main">
                  <a:graphicData uri="http://schemas.microsoft.com/office/word/2010/wordprocessingShape">
                    <wps:wsp>
                      <wps:cNvSpPr/>
                      <wps:spPr>
                        <a:xfrm>
                          <a:off x="0" y="0"/>
                          <a:ext cx="342900" cy="998220"/>
                        </a:xfrm>
                        <a:prstGeom prst="roundRect">
                          <a:avLst/>
                        </a:prstGeom>
                        <a:solidFill>
                          <a:srgbClr val="628D8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3EA237A" w14:textId="185FB666" w:rsidR="00573C95" w:rsidRDefault="00573C95" w:rsidP="00156363">
                            <w:pPr>
                              <w:jc w:val="center"/>
                            </w:pPr>
                            <w:r>
                              <w:t>20 000 $</w:t>
                            </w:r>
                          </w:p>
                        </w:txbxContent>
                      </wps:txbx>
                      <wps:bodyPr vert="vert270"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46" o:spid="_x0000_s1400" style="position:absolute;margin-left:450pt;margin-top:.85pt;width:27pt;height:78.6pt;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" fillcolor="#628d81">
                <v:textbox style="layout-flow:vertical;mso-layout-flow-alt:bottom-to-top">
                  <w:txbxContent>
                    <w:p w14:paraId="13EA237A" w14:textId="185FB666" w:rsidR="001501D6" w:rsidRDefault="001501D6" w:rsidP="00156363">
                      <w:pPr>
                        <w:jc w:val="center"/>
                      </w:pPr>
                      <w:r>
                        <w:t>20 000 $</w:t>
                      </w:r>
                    </w:p>
                  </w:txbxContent>
                </v:textbox>
                <w10:wrap type="through"/>
              </v:roundrect>
            </w:pict>
          </mc:Fallback>
        </mc:AlternateContent>
      </w:r>
      <w:r w:rsidRPr="006D3797">
        <w:rPr>
          <w:rFonts w:cstheme="minorBidi"/>
          <w:noProof/>
          <w:lang w:eastAsia="fr-FR"/>
        </w:rPr>
        <mc:AlternateContent>
          <mc:Choice Requires="wpg">
            <w:drawing>
              <wp:anchor distT="0" distB="0" distL="114300" distR="114300" simplePos="0" relativeHeight="252850176" behindDoc="0" locked="0" layoutInCell="1" allowOverlap="1" wp14:anchorId="21196D02" wp14:editId="669C65B5">
                <wp:simplePos x="0" y="0"/>
                <wp:positionH relativeFrom="column">
                  <wp:posOffset>4114800</wp:posOffset>
                </wp:positionH>
                <wp:positionV relativeFrom="paragraph">
                  <wp:posOffset>10795</wp:posOffset>
                </wp:positionV>
                <wp:extent cx="457200" cy="571500"/>
                <wp:effectExtent l="0" t="0" r="0" b="12700"/>
                <wp:wrapNone/>
                <wp:docPr id="593" name="Group 141"/>
                <wp:cNvGraphicFramePr/>
                <a:graphic xmlns:a="http://schemas.openxmlformats.org/drawingml/2006/main">
                  <a:graphicData uri="http://schemas.microsoft.com/office/word/2010/wordprocessingGroup">
                    <wpg:wgp>
                      <wpg:cNvGrpSpPr/>
                      <wpg:grpSpPr>
                        <a:xfrm>
                          <a:off x="0" y="0"/>
                          <a:ext cx="457200" cy="571500"/>
                          <a:chOff x="0" y="0"/>
                          <a:chExt cx="811213" cy="947738"/>
                        </a:xfrm>
                        <a:solidFill>
                          <a:srgbClr val="008000"/>
                        </a:solidFill>
                        <a:effectLst/>
                        <a:extLst>
                          <a:ext uri="{0CCBE362-F206-4b92-989A-16890622DB6E}">
                            <ma14:wrappingTextBoxFlag xmlns:ma14="http://schemas.microsoft.com/office/mac/drawingml/2011/main"/>
                          </a:ext>
                        </a:extLst>
                      </wpg:grpSpPr>
                      <wps:wsp>
                        <wps:cNvPr id="615" name="Freeform 27"/>
                        <wps:cNvSpPr>
                          <a:spLocks/>
                        </wps:cNvSpPr>
                        <wps:spPr bwMode="auto">
                          <a:xfrm>
                            <a:off x="0" y="527050"/>
                            <a:ext cx="811213" cy="420688"/>
                          </a:xfrm>
                          <a:custGeom>
                            <a:avLst/>
                            <a:gdLst/>
                            <a:ahLst/>
                            <a:cxnLst>
                              <a:cxn ang="0">
                                <a:pos x="124" y="0"/>
                              </a:cxn>
                              <a:cxn ang="0">
                                <a:pos x="170" y="0"/>
                              </a:cxn>
                              <a:cxn ang="0">
                                <a:pos x="172" y="0"/>
                              </a:cxn>
                              <a:cxn ang="0">
                                <a:pos x="173" y="0"/>
                              </a:cxn>
                              <a:cxn ang="0">
                                <a:pos x="174" y="0"/>
                              </a:cxn>
                              <a:cxn ang="0">
                                <a:pos x="176" y="1"/>
                              </a:cxn>
                              <a:cxn ang="0">
                                <a:pos x="186" y="33"/>
                              </a:cxn>
                              <a:cxn ang="0">
                                <a:pos x="196" y="66"/>
                              </a:cxn>
                              <a:cxn ang="0">
                                <a:pos x="215" y="132"/>
                              </a:cxn>
                              <a:cxn ang="0">
                                <a:pos x="218" y="132"/>
                              </a:cxn>
                              <a:cxn ang="0">
                                <a:pos x="220" y="133"/>
                              </a:cxn>
                              <a:cxn ang="0">
                                <a:pos x="233" y="100"/>
                              </a:cxn>
                              <a:cxn ang="0">
                                <a:pos x="248" y="66"/>
                              </a:cxn>
                              <a:cxn ang="0">
                                <a:pos x="237" y="52"/>
                              </a:cxn>
                              <a:cxn ang="0">
                                <a:pos x="225" y="37"/>
                              </a:cxn>
                              <a:cxn ang="0">
                                <a:pos x="213" y="20"/>
                              </a:cxn>
                              <a:cxn ang="0">
                                <a:pos x="296" y="20"/>
                              </a:cxn>
                              <a:cxn ang="0">
                                <a:pos x="263" y="65"/>
                              </a:cxn>
                              <a:cxn ang="0">
                                <a:pos x="270" y="81"/>
                              </a:cxn>
                              <a:cxn ang="0">
                                <a:pos x="278" y="98"/>
                              </a:cxn>
                              <a:cxn ang="0">
                                <a:pos x="285" y="116"/>
                              </a:cxn>
                              <a:cxn ang="0">
                                <a:pos x="294" y="135"/>
                              </a:cxn>
                              <a:cxn ang="0">
                                <a:pos x="308" y="89"/>
                              </a:cxn>
                              <a:cxn ang="0">
                                <a:pos x="321" y="45"/>
                              </a:cxn>
                              <a:cxn ang="0">
                                <a:pos x="334" y="1"/>
                              </a:cxn>
                              <a:cxn ang="0">
                                <a:pos x="353" y="1"/>
                              </a:cxn>
                              <a:cxn ang="0">
                                <a:pos x="371" y="0"/>
                              </a:cxn>
                              <a:cxn ang="0">
                                <a:pos x="388" y="0"/>
                              </a:cxn>
                              <a:cxn ang="0">
                                <a:pos x="406" y="2"/>
                              </a:cxn>
                              <a:cxn ang="0">
                                <a:pos x="423" y="5"/>
                              </a:cxn>
                              <a:cxn ang="0">
                                <a:pos x="438" y="11"/>
                              </a:cxn>
                              <a:cxn ang="0">
                                <a:pos x="453" y="19"/>
                              </a:cxn>
                              <a:cxn ang="0">
                                <a:pos x="466" y="28"/>
                              </a:cxn>
                              <a:cxn ang="0">
                                <a:pos x="478" y="39"/>
                              </a:cxn>
                              <a:cxn ang="0">
                                <a:pos x="489" y="52"/>
                              </a:cxn>
                              <a:cxn ang="0">
                                <a:pos x="497" y="66"/>
                              </a:cxn>
                              <a:cxn ang="0">
                                <a:pos x="503" y="81"/>
                              </a:cxn>
                              <a:cxn ang="0">
                                <a:pos x="508" y="98"/>
                              </a:cxn>
                              <a:cxn ang="0">
                                <a:pos x="510" y="115"/>
                              </a:cxn>
                              <a:cxn ang="0">
                                <a:pos x="511" y="162"/>
                              </a:cxn>
                              <a:cxn ang="0">
                                <a:pos x="511" y="210"/>
                              </a:cxn>
                              <a:cxn ang="0">
                                <a:pos x="511" y="257"/>
                              </a:cxn>
                              <a:cxn ang="0">
                                <a:pos x="510" y="261"/>
                              </a:cxn>
                              <a:cxn ang="0">
                                <a:pos x="509" y="265"/>
                              </a:cxn>
                              <a:cxn ang="0">
                                <a:pos x="1" y="265"/>
                              </a:cxn>
                              <a:cxn ang="0">
                                <a:pos x="0" y="258"/>
                              </a:cxn>
                              <a:cxn ang="0">
                                <a:pos x="0" y="252"/>
                              </a:cxn>
                              <a:cxn ang="0">
                                <a:pos x="0" y="125"/>
                              </a:cxn>
                              <a:cxn ang="0">
                                <a:pos x="1" y="106"/>
                              </a:cxn>
                              <a:cxn ang="0">
                                <a:pos x="5" y="88"/>
                              </a:cxn>
                              <a:cxn ang="0">
                                <a:pos x="11" y="72"/>
                              </a:cxn>
                              <a:cxn ang="0">
                                <a:pos x="19" y="56"/>
                              </a:cxn>
                              <a:cxn ang="0">
                                <a:pos x="30" y="42"/>
                              </a:cxn>
                              <a:cxn ang="0">
                                <a:pos x="42" y="30"/>
                              </a:cxn>
                              <a:cxn ang="0">
                                <a:pos x="56" y="20"/>
                              </a:cxn>
                              <a:cxn ang="0">
                                <a:pos x="71" y="11"/>
                              </a:cxn>
                              <a:cxn ang="0">
                                <a:pos x="88" y="5"/>
                              </a:cxn>
                              <a:cxn ang="0">
                                <a:pos x="105" y="1"/>
                              </a:cxn>
                              <a:cxn ang="0">
                                <a:pos x="124" y="0"/>
                              </a:cxn>
                            </a:cxnLst>
                            <a:rect l="0" t="0" r="r" b="b"/>
                            <a:pathLst>
                              <a:path w="511" h="265">
                                <a:moveTo>
                                  <a:pt x="124" y="0"/>
                                </a:moveTo>
                                <a:lnTo>
                                  <a:pt x="170" y="0"/>
                                </a:lnTo>
                                <a:lnTo>
                                  <a:pt x="172" y="0"/>
                                </a:lnTo>
                                <a:lnTo>
                                  <a:pt x="173" y="0"/>
                                </a:lnTo>
                                <a:lnTo>
                                  <a:pt x="174" y="0"/>
                                </a:lnTo>
                                <a:lnTo>
                                  <a:pt x="176" y="1"/>
                                </a:lnTo>
                                <a:lnTo>
                                  <a:pt x="186" y="33"/>
                                </a:lnTo>
                                <a:lnTo>
                                  <a:pt x="196" y="66"/>
                                </a:lnTo>
                                <a:lnTo>
                                  <a:pt x="215" y="132"/>
                                </a:lnTo>
                                <a:lnTo>
                                  <a:pt x="218" y="132"/>
                                </a:lnTo>
                                <a:lnTo>
                                  <a:pt x="220" y="133"/>
                                </a:lnTo>
                                <a:lnTo>
                                  <a:pt x="233" y="100"/>
                                </a:lnTo>
                                <a:lnTo>
                                  <a:pt x="248" y="66"/>
                                </a:lnTo>
                                <a:lnTo>
                                  <a:pt x="237" y="52"/>
                                </a:lnTo>
                                <a:lnTo>
                                  <a:pt x="225" y="37"/>
                                </a:lnTo>
                                <a:lnTo>
                                  <a:pt x="213" y="20"/>
                                </a:lnTo>
                                <a:lnTo>
                                  <a:pt x="296" y="20"/>
                                </a:lnTo>
                                <a:lnTo>
                                  <a:pt x="263" y="65"/>
                                </a:lnTo>
                                <a:lnTo>
                                  <a:pt x="270" y="81"/>
                                </a:lnTo>
                                <a:lnTo>
                                  <a:pt x="278" y="98"/>
                                </a:lnTo>
                                <a:lnTo>
                                  <a:pt x="285" y="116"/>
                                </a:lnTo>
                                <a:lnTo>
                                  <a:pt x="294" y="135"/>
                                </a:lnTo>
                                <a:lnTo>
                                  <a:pt x="308" y="89"/>
                                </a:lnTo>
                                <a:lnTo>
                                  <a:pt x="321" y="45"/>
                                </a:lnTo>
                                <a:lnTo>
                                  <a:pt x="334" y="1"/>
                                </a:lnTo>
                                <a:lnTo>
                                  <a:pt x="353" y="1"/>
                                </a:lnTo>
                                <a:lnTo>
                                  <a:pt x="371" y="0"/>
                                </a:lnTo>
                                <a:lnTo>
                                  <a:pt x="388" y="0"/>
                                </a:lnTo>
                                <a:lnTo>
                                  <a:pt x="406" y="2"/>
                                </a:lnTo>
                                <a:lnTo>
                                  <a:pt x="423" y="5"/>
                                </a:lnTo>
                                <a:lnTo>
                                  <a:pt x="438" y="11"/>
                                </a:lnTo>
                                <a:lnTo>
                                  <a:pt x="453" y="19"/>
                                </a:lnTo>
                                <a:lnTo>
                                  <a:pt x="466" y="28"/>
                                </a:lnTo>
                                <a:lnTo>
                                  <a:pt x="478" y="39"/>
                                </a:lnTo>
                                <a:lnTo>
                                  <a:pt x="489" y="52"/>
                                </a:lnTo>
                                <a:lnTo>
                                  <a:pt x="497" y="66"/>
                                </a:lnTo>
                                <a:lnTo>
                                  <a:pt x="503" y="81"/>
                                </a:lnTo>
                                <a:lnTo>
                                  <a:pt x="508" y="98"/>
                                </a:lnTo>
                                <a:lnTo>
                                  <a:pt x="510" y="115"/>
                                </a:lnTo>
                                <a:lnTo>
                                  <a:pt x="511" y="162"/>
                                </a:lnTo>
                                <a:lnTo>
                                  <a:pt x="511" y="210"/>
                                </a:lnTo>
                                <a:lnTo>
                                  <a:pt x="511" y="257"/>
                                </a:lnTo>
                                <a:lnTo>
                                  <a:pt x="510" y="261"/>
                                </a:lnTo>
                                <a:lnTo>
                                  <a:pt x="509" y="265"/>
                                </a:lnTo>
                                <a:lnTo>
                                  <a:pt x="1" y="265"/>
                                </a:lnTo>
                                <a:lnTo>
                                  <a:pt x="0" y="258"/>
                                </a:lnTo>
                                <a:lnTo>
                                  <a:pt x="0" y="252"/>
                                </a:lnTo>
                                <a:lnTo>
                                  <a:pt x="0" y="125"/>
                                </a:lnTo>
                                <a:lnTo>
                                  <a:pt x="1" y="106"/>
                                </a:lnTo>
                                <a:lnTo>
                                  <a:pt x="5" y="88"/>
                                </a:lnTo>
                                <a:lnTo>
                                  <a:pt x="11" y="72"/>
                                </a:lnTo>
                                <a:lnTo>
                                  <a:pt x="19" y="56"/>
                                </a:lnTo>
                                <a:lnTo>
                                  <a:pt x="30" y="42"/>
                                </a:lnTo>
                                <a:lnTo>
                                  <a:pt x="42" y="30"/>
                                </a:lnTo>
                                <a:lnTo>
                                  <a:pt x="56" y="20"/>
                                </a:lnTo>
                                <a:lnTo>
                                  <a:pt x="71" y="11"/>
                                </a:lnTo>
                                <a:lnTo>
                                  <a:pt x="88" y="5"/>
                                </a:lnTo>
                                <a:lnTo>
                                  <a:pt x="105" y="1"/>
                                </a:lnTo>
                                <a:lnTo>
                                  <a:pt x="124" y="0"/>
                                </a:lnTo>
                                <a:close/>
                              </a:path>
                            </a:pathLst>
                          </a:custGeom>
                          <a:grpFill/>
                          <a:ln w="0">
                            <a:noFill/>
                            <a:prstDash val="solid"/>
                            <a:round/>
                            <a:headEnd/>
                            <a:tailEnd/>
                          </a:ln>
                        </wps:spPr>
                        <wps:txbx>
                          <w:txbxContent>
                            <w:p w14:paraId="57A6C4A8" w14:textId="77777777" w:rsidR="00573C95" w:rsidRDefault="00573C95" w:rsidP="006D3797">
                              <w:pPr>
                                <w:rPr>
                                  <w:rFonts w:eastAsia="Times New Roman"/>
                                </w:rPr>
                              </w:pPr>
                            </w:p>
                          </w:txbxContent>
                        </wps:txbx>
                        <wps:bodyPr vert="horz" wrap="square" lIns="91440" tIns="45720" rIns="91440" bIns="45720" numCol="1" anchor="t" anchorCtr="0" compatLnSpc="1">
                          <a:prstTxWarp prst="textNoShape">
                            <a:avLst/>
                          </a:prstTxWarp>
                        </wps:bodyPr>
                      </wps:wsp>
                      <wps:wsp>
                        <wps:cNvPr id="616" name="Freeform 31"/>
                        <wps:cNvSpPr>
                          <a:spLocks noEditPoints="1"/>
                        </wps:cNvSpPr>
                        <wps:spPr bwMode="auto">
                          <a:xfrm>
                            <a:off x="160338" y="0"/>
                            <a:ext cx="490538" cy="523875"/>
                          </a:xfrm>
                          <a:custGeom>
                            <a:avLst/>
                            <a:gdLst/>
                            <a:ahLst/>
                            <a:cxnLst>
                              <a:cxn ang="0">
                                <a:pos x="131" y="53"/>
                              </a:cxn>
                              <a:cxn ang="0">
                                <a:pos x="116" y="70"/>
                              </a:cxn>
                              <a:cxn ang="0">
                                <a:pos x="106" y="87"/>
                              </a:cxn>
                              <a:cxn ang="0">
                                <a:pos x="86" y="84"/>
                              </a:cxn>
                              <a:cxn ang="0">
                                <a:pos x="74" y="105"/>
                              </a:cxn>
                              <a:cxn ang="0">
                                <a:pos x="86" y="128"/>
                              </a:cxn>
                              <a:cxn ang="0">
                                <a:pos x="73" y="138"/>
                              </a:cxn>
                              <a:cxn ang="0">
                                <a:pos x="77" y="178"/>
                              </a:cxn>
                              <a:cxn ang="0">
                                <a:pos x="96" y="173"/>
                              </a:cxn>
                              <a:cxn ang="0">
                                <a:pos x="100" y="191"/>
                              </a:cxn>
                              <a:cxn ang="0">
                                <a:pos x="111" y="212"/>
                              </a:cxn>
                              <a:cxn ang="0">
                                <a:pos x="138" y="204"/>
                              </a:cxn>
                              <a:cxn ang="0">
                                <a:pos x="154" y="212"/>
                              </a:cxn>
                              <a:cxn ang="0">
                                <a:pos x="177" y="220"/>
                              </a:cxn>
                              <a:cxn ang="0">
                                <a:pos x="190" y="196"/>
                              </a:cxn>
                              <a:cxn ang="0">
                                <a:pos x="212" y="193"/>
                              </a:cxn>
                              <a:cxn ang="0">
                                <a:pos x="239" y="162"/>
                              </a:cxn>
                              <a:cxn ang="0">
                                <a:pos x="223" y="146"/>
                              </a:cxn>
                              <a:cxn ang="0">
                                <a:pos x="240" y="134"/>
                              </a:cxn>
                              <a:cxn ang="0">
                                <a:pos x="237" y="109"/>
                              </a:cxn>
                              <a:cxn ang="0">
                                <a:pos x="221" y="98"/>
                              </a:cxn>
                              <a:cxn ang="0">
                                <a:pos x="204" y="88"/>
                              </a:cxn>
                              <a:cxn ang="0">
                                <a:pos x="205" y="67"/>
                              </a:cxn>
                              <a:cxn ang="0">
                                <a:pos x="178" y="55"/>
                              </a:cxn>
                              <a:cxn ang="0">
                                <a:pos x="163" y="68"/>
                              </a:cxn>
                              <a:cxn ang="0">
                                <a:pos x="153" y="56"/>
                              </a:cxn>
                              <a:cxn ang="0">
                                <a:pos x="176" y="1"/>
                              </a:cxn>
                              <a:cxn ang="0">
                                <a:pos x="223" y="16"/>
                              </a:cxn>
                              <a:cxn ang="0">
                                <a:pos x="258" y="48"/>
                              </a:cxn>
                              <a:cxn ang="0">
                                <a:pos x="279" y="98"/>
                              </a:cxn>
                              <a:cxn ang="0">
                                <a:pos x="300" y="135"/>
                              </a:cxn>
                              <a:cxn ang="0">
                                <a:pos x="309" y="164"/>
                              </a:cxn>
                              <a:cxn ang="0">
                                <a:pos x="302" y="194"/>
                              </a:cxn>
                              <a:cxn ang="0">
                                <a:pos x="282" y="209"/>
                              </a:cxn>
                              <a:cxn ang="0">
                                <a:pos x="260" y="240"/>
                              </a:cxn>
                              <a:cxn ang="0">
                                <a:pos x="236" y="278"/>
                              </a:cxn>
                              <a:cxn ang="0">
                                <a:pos x="202" y="312"/>
                              </a:cxn>
                              <a:cxn ang="0">
                                <a:pos x="161" y="330"/>
                              </a:cxn>
                              <a:cxn ang="0">
                                <a:pos x="119" y="321"/>
                              </a:cxn>
                              <a:cxn ang="0">
                                <a:pos x="83" y="292"/>
                              </a:cxn>
                              <a:cxn ang="0">
                                <a:pos x="57" y="255"/>
                              </a:cxn>
                              <a:cxn ang="0">
                                <a:pos x="28" y="210"/>
                              </a:cxn>
                              <a:cxn ang="0">
                                <a:pos x="8" y="194"/>
                              </a:cxn>
                              <a:cxn ang="0">
                                <a:pos x="0" y="168"/>
                              </a:cxn>
                              <a:cxn ang="0">
                                <a:pos x="4" y="141"/>
                              </a:cxn>
                              <a:cxn ang="0">
                                <a:pos x="24" y="120"/>
                              </a:cxn>
                              <a:cxn ang="0">
                                <a:pos x="37" y="69"/>
                              </a:cxn>
                              <a:cxn ang="0">
                                <a:pos x="63" y="32"/>
                              </a:cxn>
                              <a:cxn ang="0">
                                <a:pos x="102" y="9"/>
                              </a:cxn>
                              <a:cxn ang="0">
                                <a:pos x="156" y="0"/>
                              </a:cxn>
                            </a:cxnLst>
                            <a:rect l="0" t="0" r="r" b="b"/>
                            <a:pathLst>
                              <a:path w="309" h="330">
                                <a:moveTo>
                                  <a:pt x="151" y="50"/>
                                </a:moveTo>
                                <a:lnTo>
                                  <a:pt x="141" y="51"/>
                                </a:lnTo>
                                <a:lnTo>
                                  <a:pt x="131" y="53"/>
                                </a:lnTo>
                                <a:lnTo>
                                  <a:pt x="122" y="56"/>
                                </a:lnTo>
                                <a:lnTo>
                                  <a:pt x="113" y="63"/>
                                </a:lnTo>
                                <a:lnTo>
                                  <a:pt x="116" y="70"/>
                                </a:lnTo>
                                <a:lnTo>
                                  <a:pt x="119" y="77"/>
                                </a:lnTo>
                                <a:lnTo>
                                  <a:pt x="113" y="82"/>
                                </a:lnTo>
                                <a:lnTo>
                                  <a:pt x="106" y="87"/>
                                </a:lnTo>
                                <a:lnTo>
                                  <a:pt x="99" y="82"/>
                                </a:lnTo>
                                <a:lnTo>
                                  <a:pt x="91" y="77"/>
                                </a:lnTo>
                                <a:lnTo>
                                  <a:pt x="86" y="84"/>
                                </a:lnTo>
                                <a:lnTo>
                                  <a:pt x="80" y="90"/>
                                </a:lnTo>
                                <a:lnTo>
                                  <a:pt x="77" y="97"/>
                                </a:lnTo>
                                <a:lnTo>
                                  <a:pt x="74" y="105"/>
                                </a:lnTo>
                                <a:lnTo>
                                  <a:pt x="73" y="113"/>
                                </a:lnTo>
                                <a:lnTo>
                                  <a:pt x="87" y="120"/>
                                </a:lnTo>
                                <a:lnTo>
                                  <a:pt x="86" y="128"/>
                                </a:lnTo>
                                <a:lnTo>
                                  <a:pt x="84" y="135"/>
                                </a:lnTo>
                                <a:lnTo>
                                  <a:pt x="78" y="137"/>
                                </a:lnTo>
                                <a:lnTo>
                                  <a:pt x="73" y="138"/>
                                </a:lnTo>
                                <a:lnTo>
                                  <a:pt x="66" y="140"/>
                                </a:lnTo>
                                <a:lnTo>
                                  <a:pt x="71" y="159"/>
                                </a:lnTo>
                                <a:lnTo>
                                  <a:pt x="77" y="178"/>
                                </a:lnTo>
                                <a:lnTo>
                                  <a:pt x="84" y="176"/>
                                </a:lnTo>
                                <a:lnTo>
                                  <a:pt x="90" y="174"/>
                                </a:lnTo>
                                <a:lnTo>
                                  <a:pt x="96" y="173"/>
                                </a:lnTo>
                                <a:lnTo>
                                  <a:pt x="100" y="179"/>
                                </a:lnTo>
                                <a:lnTo>
                                  <a:pt x="105" y="185"/>
                                </a:lnTo>
                                <a:lnTo>
                                  <a:pt x="100" y="191"/>
                                </a:lnTo>
                                <a:lnTo>
                                  <a:pt x="95" y="198"/>
                                </a:lnTo>
                                <a:lnTo>
                                  <a:pt x="102" y="206"/>
                                </a:lnTo>
                                <a:lnTo>
                                  <a:pt x="111" y="212"/>
                                </a:lnTo>
                                <a:lnTo>
                                  <a:pt x="120" y="216"/>
                                </a:lnTo>
                                <a:lnTo>
                                  <a:pt x="131" y="218"/>
                                </a:lnTo>
                                <a:lnTo>
                                  <a:pt x="138" y="204"/>
                                </a:lnTo>
                                <a:lnTo>
                                  <a:pt x="146" y="205"/>
                                </a:lnTo>
                                <a:lnTo>
                                  <a:pt x="153" y="207"/>
                                </a:lnTo>
                                <a:lnTo>
                                  <a:pt x="154" y="212"/>
                                </a:lnTo>
                                <a:lnTo>
                                  <a:pt x="156" y="218"/>
                                </a:lnTo>
                                <a:lnTo>
                                  <a:pt x="157" y="225"/>
                                </a:lnTo>
                                <a:lnTo>
                                  <a:pt x="177" y="220"/>
                                </a:lnTo>
                                <a:lnTo>
                                  <a:pt x="196" y="214"/>
                                </a:lnTo>
                                <a:lnTo>
                                  <a:pt x="194" y="207"/>
                                </a:lnTo>
                                <a:lnTo>
                                  <a:pt x="190" y="196"/>
                                </a:lnTo>
                                <a:lnTo>
                                  <a:pt x="202" y="187"/>
                                </a:lnTo>
                                <a:lnTo>
                                  <a:pt x="207" y="189"/>
                                </a:lnTo>
                                <a:lnTo>
                                  <a:pt x="212" y="193"/>
                                </a:lnTo>
                                <a:lnTo>
                                  <a:pt x="218" y="197"/>
                                </a:lnTo>
                                <a:lnTo>
                                  <a:pt x="228" y="180"/>
                                </a:lnTo>
                                <a:lnTo>
                                  <a:pt x="239" y="162"/>
                                </a:lnTo>
                                <a:lnTo>
                                  <a:pt x="227" y="156"/>
                                </a:lnTo>
                                <a:lnTo>
                                  <a:pt x="221" y="153"/>
                                </a:lnTo>
                                <a:lnTo>
                                  <a:pt x="223" y="146"/>
                                </a:lnTo>
                                <a:lnTo>
                                  <a:pt x="224" y="138"/>
                                </a:lnTo>
                                <a:lnTo>
                                  <a:pt x="232" y="136"/>
                                </a:lnTo>
                                <a:lnTo>
                                  <a:pt x="240" y="134"/>
                                </a:lnTo>
                                <a:lnTo>
                                  <a:pt x="240" y="125"/>
                                </a:lnTo>
                                <a:lnTo>
                                  <a:pt x="239" y="117"/>
                                </a:lnTo>
                                <a:lnTo>
                                  <a:pt x="237" y="109"/>
                                </a:lnTo>
                                <a:lnTo>
                                  <a:pt x="234" y="102"/>
                                </a:lnTo>
                                <a:lnTo>
                                  <a:pt x="228" y="96"/>
                                </a:lnTo>
                                <a:lnTo>
                                  <a:pt x="221" y="98"/>
                                </a:lnTo>
                                <a:lnTo>
                                  <a:pt x="214" y="102"/>
                                </a:lnTo>
                                <a:lnTo>
                                  <a:pt x="209" y="95"/>
                                </a:lnTo>
                                <a:lnTo>
                                  <a:pt x="204" y="88"/>
                                </a:lnTo>
                                <a:lnTo>
                                  <a:pt x="209" y="81"/>
                                </a:lnTo>
                                <a:lnTo>
                                  <a:pt x="213" y="74"/>
                                </a:lnTo>
                                <a:lnTo>
                                  <a:pt x="205" y="67"/>
                                </a:lnTo>
                                <a:lnTo>
                                  <a:pt x="197" y="61"/>
                                </a:lnTo>
                                <a:lnTo>
                                  <a:pt x="188" y="57"/>
                                </a:lnTo>
                                <a:lnTo>
                                  <a:pt x="178" y="55"/>
                                </a:lnTo>
                                <a:lnTo>
                                  <a:pt x="174" y="62"/>
                                </a:lnTo>
                                <a:lnTo>
                                  <a:pt x="170" y="69"/>
                                </a:lnTo>
                                <a:lnTo>
                                  <a:pt x="163" y="68"/>
                                </a:lnTo>
                                <a:lnTo>
                                  <a:pt x="157" y="67"/>
                                </a:lnTo>
                                <a:lnTo>
                                  <a:pt x="155" y="61"/>
                                </a:lnTo>
                                <a:lnTo>
                                  <a:pt x="153" y="56"/>
                                </a:lnTo>
                                <a:lnTo>
                                  <a:pt x="151" y="50"/>
                                </a:lnTo>
                                <a:close/>
                                <a:moveTo>
                                  <a:pt x="156" y="0"/>
                                </a:moveTo>
                                <a:lnTo>
                                  <a:pt x="176" y="1"/>
                                </a:lnTo>
                                <a:lnTo>
                                  <a:pt x="193" y="4"/>
                                </a:lnTo>
                                <a:lnTo>
                                  <a:pt x="209" y="9"/>
                                </a:lnTo>
                                <a:lnTo>
                                  <a:pt x="223" y="16"/>
                                </a:lnTo>
                                <a:lnTo>
                                  <a:pt x="236" y="24"/>
                                </a:lnTo>
                                <a:lnTo>
                                  <a:pt x="248" y="35"/>
                                </a:lnTo>
                                <a:lnTo>
                                  <a:pt x="258" y="48"/>
                                </a:lnTo>
                                <a:lnTo>
                                  <a:pt x="266" y="63"/>
                                </a:lnTo>
                                <a:lnTo>
                                  <a:pt x="273" y="79"/>
                                </a:lnTo>
                                <a:lnTo>
                                  <a:pt x="279" y="98"/>
                                </a:lnTo>
                                <a:lnTo>
                                  <a:pt x="284" y="119"/>
                                </a:lnTo>
                                <a:lnTo>
                                  <a:pt x="293" y="126"/>
                                </a:lnTo>
                                <a:lnTo>
                                  <a:pt x="300" y="135"/>
                                </a:lnTo>
                                <a:lnTo>
                                  <a:pt x="305" y="143"/>
                                </a:lnTo>
                                <a:lnTo>
                                  <a:pt x="308" y="153"/>
                                </a:lnTo>
                                <a:lnTo>
                                  <a:pt x="309" y="164"/>
                                </a:lnTo>
                                <a:lnTo>
                                  <a:pt x="308" y="176"/>
                                </a:lnTo>
                                <a:lnTo>
                                  <a:pt x="305" y="186"/>
                                </a:lnTo>
                                <a:lnTo>
                                  <a:pt x="302" y="194"/>
                                </a:lnTo>
                                <a:lnTo>
                                  <a:pt x="297" y="200"/>
                                </a:lnTo>
                                <a:lnTo>
                                  <a:pt x="291" y="205"/>
                                </a:lnTo>
                                <a:lnTo>
                                  <a:pt x="282" y="209"/>
                                </a:lnTo>
                                <a:lnTo>
                                  <a:pt x="272" y="213"/>
                                </a:lnTo>
                                <a:lnTo>
                                  <a:pt x="266" y="227"/>
                                </a:lnTo>
                                <a:lnTo>
                                  <a:pt x="260" y="240"/>
                                </a:lnTo>
                                <a:lnTo>
                                  <a:pt x="253" y="253"/>
                                </a:lnTo>
                                <a:lnTo>
                                  <a:pt x="245" y="265"/>
                                </a:lnTo>
                                <a:lnTo>
                                  <a:pt x="236" y="278"/>
                                </a:lnTo>
                                <a:lnTo>
                                  <a:pt x="225" y="290"/>
                                </a:lnTo>
                                <a:lnTo>
                                  <a:pt x="214" y="302"/>
                                </a:lnTo>
                                <a:lnTo>
                                  <a:pt x="202" y="312"/>
                                </a:lnTo>
                                <a:lnTo>
                                  <a:pt x="189" y="321"/>
                                </a:lnTo>
                                <a:lnTo>
                                  <a:pt x="175" y="327"/>
                                </a:lnTo>
                                <a:lnTo>
                                  <a:pt x="161" y="330"/>
                                </a:lnTo>
                                <a:lnTo>
                                  <a:pt x="147" y="329"/>
                                </a:lnTo>
                                <a:lnTo>
                                  <a:pt x="133" y="326"/>
                                </a:lnTo>
                                <a:lnTo>
                                  <a:pt x="119" y="321"/>
                                </a:lnTo>
                                <a:lnTo>
                                  <a:pt x="106" y="312"/>
                                </a:lnTo>
                                <a:lnTo>
                                  <a:pt x="93" y="303"/>
                                </a:lnTo>
                                <a:lnTo>
                                  <a:pt x="83" y="292"/>
                                </a:lnTo>
                                <a:lnTo>
                                  <a:pt x="73" y="281"/>
                                </a:lnTo>
                                <a:lnTo>
                                  <a:pt x="65" y="268"/>
                                </a:lnTo>
                                <a:lnTo>
                                  <a:pt x="57" y="255"/>
                                </a:lnTo>
                                <a:lnTo>
                                  <a:pt x="50" y="241"/>
                                </a:lnTo>
                                <a:lnTo>
                                  <a:pt x="37" y="212"/>
                                </a:lnTo>
                                <a:lnTo>
                                  <a:pt x="28" y="210"/>
                                </a:lnTo>
                                <a:lnTo>
                                  <a:pt x="19" y="207"/>
                                </a:lnTo>
                                <a:lnTo>
                                  <a:pt x="13" y="201"/>
                                </a:lnTo>
                                <a:lnTo>
                                  <a:pt x="8" y="194"/>
                                </a:lnTo>
                                <a:lnTo>
                                  <a:pt x="4" y="187"/>
                                </a:lnTo>
                                <a:lnTo>
                                  <a:pt x="1" y="177"/>
                                </a:lnTo>
                                <a:lnTo>
                                  <a:pt x="0" y="168"/>
                                </a:lnTo>
                                <a:lnTo>
                                  <a:pt x="0" y="158"/>
                                </a:lnTo>
                                <a:lnTo>
                                  <a:pt x="1" y="149"/>
                                </a:lnTo>
                                <a:lnTo>
                                  <a:pt x="4" y="141"/>
                                </a:lnTo>
                                <a:lnTo>
                                  <a:pt x="9" y="133"/>
                                </a:lnTo>
                                <a:lnTo>
                                  <a:pt x="16" y="126"/>
                                </a:lnTo>
                                <a:lnTo>
                                  <a:pt x="24" y="120"/>
                                </a:lnTo>
                                <a:lnTo>
                                  <a:pt x="27" y="102"/>
                                </a:lnTo>
                                <a:lnTo>
                                  <a:pt x="31" y="84"/>
                                </a:lnTo>
                                <a:lnTo>
                                  <a:pt x="37" y="69"/>
                                </a:lnTo>
                                <a:lnTo>
                                  <a:pt x="44" y="55"/>
                                </a:lnTo>
                                <a:lnTo>
                                  <a:pt x="53" y="43"/>
                                </a:lnTo>
                                <a:lnTo>
                                  <a:pt x="63" y="32"/>
                                </a:lnTo>
                                <a:lnTo>
                                  <a:pt x="74" y="23"/>
                                </a:lnTo>
                                <a:lnTo>
                                  <a:pt x="87" y="15"/>
                                </a:lnTo>
                                <a:lnTo>
                                  <a:pt x="102" y="9"/>
                                </a:lnTo>
                                <a:lnTo>
                                  <a:pt x="119" y="4"/>
                                </a:lnTo>
                                <a:lnTo>
                                  <a:pt x="137" y="1"/>
                                </a:lnTo>
                                <a:lnTo>
                                  <a:pt x="156" y="0"/>
                                </a:lnTo>
                                <a:close/>
                              </a:path>
                            </a:pathLst>
                          </a:custGeom>
                          <a:grpFill/>
                          <a:ln w="0">
                            <a:noFill/>
                            <a:prstDash val="solid"/>
                            <a:round/>
                            <a:headEnd/>
                            <a:tailEnd/>
                          </a:ln>
                        </wps:spPr>
                        <wps:txbx>
                          <w:txbxContent>
                            <w:p w14:paraId="4A132859" w14:textId="77777777" w:rsidR="00573C95" w:rsidRDefault="00573C95" w:rsidP="006D3797">
                              <w:pPr>
                                <w:rPr>
                                  <w:rFonts w:eastAsia="Times New Roman"/>
                                </w:rPr>
                              </w:pPr>
                            </w:p>
                          </w:txbxContent>
                        </wps:txbx>
                        <wps:bodyPr vert="horz" wrap="square" lIns="91440" tIns="45720" rIns="91440" bIns="45720" numCol="1" anchor="t" anchorCtr="0" compatLnSpc="1">
                          <a:prstTxWarp prst="textNoShape">
                            <a:avLst/>
                          </a:prstTxWarp>
                        </wps:bodyPr>
                      </wps:wsp>
                      <wps:wsp>
                        <wps:cNvPr id="617" name="Freeform 39"/>
                        <wps:cNvSpPr>
                          <a:spLocks/>
                        </wps:cNvSpPr>
                        <wps:spPr bwMode="auto">
                          <a:xfrm>
                            <a:off x="346075" y="157162"/>
                            <a:ext cx="117475" cy="119063"/>
                          </a:xfrm>
                          <a:custGeom>
                            <a:avLst/>
                            <a:gdLst/>
                            <a:ahLst/>
                            <a:cxnLst>
                              <a:cxn ang="0">
                                <a:pos x="38" y="0"/>
                              </a:cxn>
                              <a:cxn ang="0">
                                <a:pos x="48" y="2"/>
                              </a:cxn>
                              <a:cxn ang="0">
                                <a:pos x="57" y="6"/>
                              </a:cxn>
                              <a:cxn ang="0">
                                <a:pos x="65" y="12"/>
                              </a:cxn>
                              <a:cxn ang="0">
                                <a:pos x="70" y="20"/>
                              </a:cxn>
                              <a:cxn ang="0">
                                <a:pos x="73" y="29"/>
                              </a:cxn>
                              <a:cxn ang="0">
                                <a:pos x="74" y="39"/>
                              </a:cxn>
                              <a:cxn ang="0">
                                <a:pos x="72" y="49"/>
                              </a:cxn>
                              <a:cxn ang="0">
                                <a:pos x="69" y="58"/>
                              </a:cxn>
                              <a:cxn ang="0">
                                <a:pos x="63" y="65"/>
                              </a:cxn>
                              <a:cxn ang="0">
                                <a:pos x="55" y="70"/>
                              </a:cxn>
                              <a:cxn ang="0">
                                <a:pos x="46" y="74"/>
                              </a:cxn>
                              <a:cxn ang="0">
                                <a:pos x="36" y="75"/>
                              </a:cxn>
                              <a:cxn ang="0">
                                <a:pos x="26" y="74"/>
                              </a:cxn>
                              <a:cxn ang="0">
                                <a:pos x="17" y="69"/>
                              </a:cxn>
                              <a:cxn ang="0">
                                <a:pos x="10" y="63"/>
                              </a:cxn>
                              <a:cxn ang="0">
                                <a:pos x="4" y="56"/>
                              </a:cxn>
                              <a:cxn ang="0">
                                <a:pos x="1" y="46"/>
                              </a:cxn>
                              <a:cxn ang="0">
                                <a:pos x="0" y="36"/>
                              </a:cxn>
                              <a:cxn ang="0">
                                <a:pos x="2" y="26"/>
                              </a:cxn>
                              <a:cxn ang="0">
                                <a:pos x="6" y="18"/>
                              </a:cxn>
                              <a:cxn ang="0">
                                <a:pos x="12" y="10"/>
                              </a:cxn>
                              <a:cxn ang="0">
                                <a:pos x="19" y="5"/>
                              </a:cxn>
                              <a:cxn ang="0">
                                <a:pos x="28" y="1"/>
                              </a:cxn>
                              <a:cxn ang="0">
                                <a:pos x="38" y="0"/>
                              </a:cxn>
                            </a:cxnLst>
                            <a:rect l="0" t="0" r="r" b="b"/>
                            <a:pathLst>
                              <a:path w="74" h="75">
                                <a:moveTo>
                                  <a:pt x="38" y="0"/>
                                </a:moveTo>
                                <a:lnTo>
                                  <a:pt x="48" y="2"/>
                                </a:lnTo>
                                <a:lnTo>
                                  <a:pt x="57" y="6"/>
                                </a:lnTo>
                                <a:lnTo>
                                  <a:pt x="65" y="12"/>
                                </a:lnTo>
                                <a:lnTo>
                                  <a:pt x="70" y="20"/>
                                </a:lnTo>
                                <a:lnTo>
                                  <a:pt x="73" y="29"/>
                                </a:lnTo>
                                <a:lnTo>
                                  <a:pt x="74" y="39"/>
                                </a:lnTo>
                                <a:lnTo>
                                  <a:pt x="72" y="49"/>
                                </a:lnTo>
                                <a:lnTo>
                                  <a:pt x="69" y="58"/>
                                </a:lnTo>
                                <a:lnTo>
                                  <a:pt x="63" y="65"/>
                                </a:lnTo>
                                <a:lnTo>
                                  <a:pt x="55" y="70"/>
                                </a:lnTo>
                                <a:lnTo>
                                  <a:pt x="46" y="74"/>
                                </a:lnTo>
                                <a:lnTo>
                                  <a:pt x="36" y="75"/>
                                </a:lnTo>
                                <a:lnTo>
                                  <a:pt x="26" y="74"/>
                                </a:lnTo>
                                <a:lnTo>
                                  <a:pt x="17" y="69"/>
                                </a:lnTo>
                                <a:lnTo>
                                  <a:pt x="10" y="63"/>
                                </a:lnTo>
                                <a:lnTo>
                                  <a:pt x="4" y="56"/>
                                </a:lnTo>
                                <a:lnTo>
                                  <a:pt x="1" y="46"/>
                                </a:lnTo>
                                <a:lnTo>
                                  <a:pt x="0" y="36"/>
                                </a:lnTo>
                                <a:lnTo>
                                  <a:pt x="2" y="26"/>
                                </a:lnTo>
                                <a:lnTo>
                                  <a:pt x="6" y="18"/>
                                </a:lnTo>
                                <a:lnTo>
                                  <a:pt x="12" y="10"/>
                                </a:lnTo>
                                <a:lnTo>
                                  <a:pt x="19" y="5"/>
                                </a:lnTo>
                                <a:lnTo>
                                  <a:pt x="28" y="1"/>
                                </a:lnTo>
                                <a:lnTo>
                                  <a:pt x="38" y="0"/>
                                </a:lnTo>
                                <a:close/>
                              </a:path>
                            </a:pathLst>
                          </a:custGeom>
                          <a:grpFill/>
                          <a:ln w="0">
                            <a:noFill/>
                            <a:prstDash val="solid"/>
                            <a:round/>
                            <a:headEnd/>
                            <a:tailEnd/>
                          </a:ln>
                        </wps:spPr>
                        <wps:txbx>
                          <w:txbxContent>
                            <w:p w14:paraId="7AB3F3E3" w14:textId="77777777" w:rsidR="00573C95" w:rsidRDefault="00573C95" w:rsidP="006D3797">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id="Group 141" o:spid="_x0000_s1401" style="position:absolute;margin-left:324pt;margin-top:.85pt;width:36pt;height:45pt;z-index:252850176" coordsize="811213,94773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">
                <v:shape id="Freeform 27" o:spid="_x0000_s1402" style="position:absolute;top:527050;width:811213;height:420688;visibility:visible;mso-wrap-style:square;v-text-anchor:top" coordsize="511,265"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VEmHxAAA&#10;ANwAAAAPAAAAZHJzL2Rvd25yZXYueG1sRI9PawIxFMTvhX6H8ARvNXFBLVuj2ELBS0FXL709Nm//&#10;0M3LkkRd/fSNIHgcZuY3zHI92E6cyYfWsYbpRIEgLp1pudZwPHy/vYMIEdlg55g0XCnAevX6ssTc&#10;uAvv6VzEWiQIhxw1NDH2uZShbMhimLieOHmV8xZjkr6WxuMlwW0nM6Xm0mLLaaHBnr4aKv+Kk9Xw&#10;WZz6q18oCp36zXb+p8rqW6X1eDRsPkBEGuIz/GhvjYb5dAb3M+kIyN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lRJh8QAAADcAAAADwAAAAAAAAAAAAAAAACXAgAAZHJzL2Rv&#10;d25yZXYueG1sUEsFBgAAAAAEAAQA9QAAAIgDAAAAAA==&#10;" adj="-11796480,,5400" path="m124,0l170,,172,,173,,174,,176,1,186,33,196,66,215,132,218,132,220,133,233,100,248,66,237,52,225,37,213,20,296,20,263,65,270,81,278,98,285,116,294,135,308,89,321,45,334,1,353,1,371,,388,,406,2,423,5,438,11,453,19,466,28,478,39,489,52,497,66,503,81,508,98,510,115,511,162,511,210,511,257,510,261,509,265,1,265,,258,,252,,125,1,106,5,88,11,72,19,56,30,42,42,30,56,20,71,11,88,5,105,1,124,0xe" filled="f" stroked="f" strokeweight="0">
                  <v:stroke joinstyle="round"/>
                  <v:formulas/>
                  <v:path arrowok="t" o:connecttype="custom" o:connectlocs="124,0;170,0;172,0;173,0;174,0;176,1;186,33;196,66;215,132;218,132;220,133;233,100;248,66;237,52;225,37;213,20;296,20;263,65;270,81;278,98;285,116;294,135;308,89;321,45;334,1;353,1;371,0;388,0;406,2;423,5;438,11;453,19;466,28;478,39;489,52;497,66;503,81;508,98;510,115;511,162;511,210;511,257;510,261;509,265;1,265;0,258;0,252;0,125;1,106;5,88;11,72;19,56;30,42;42,30;56,20;71,11;88,5;105,1;124,0" o:connectangles="0,0,0,0,0,0,0,0,0,0,0,0,0,0,0,0,0,0,0,0,0,0,0,0,0,0,0,0,0,0,0,0,0,0,0,0,0,0,0,0,0,0,0,0,0,0,0,0,0,0,0,0,0,0,0,0,0,0,0" textboxrect="0,0,511,265"/>
                  <v:textbox>
                    <w:txbxContent>
                      <w:p w14:paraId="57A6C4A8" w14:textId="77777777" w:rsidR="001501D6" w:rsidRDefault="001501D6" w:rsidP="006D3797">
                        <w:pPr>
                          <w:rPr>
                            <w:rFonts w:eastAsia="Times New Roman"/>
                          </w:rPr>
                        </w:pPr>
                      </w:p>
                    </w:txbxContent>
                  </v:textbox>
                </v:shape>
                <v:shape id="Freeform 31" o:spid="_x0000_s1403" style="position:absolute;left:160338;width:490538;height:523875;visibility:visible;mso-wrap-style:square;v-text-anchor:top" coordsize="309,33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Pyx8xwAA&#10;ANwAAAAPAAAAZHJzL2Rvd25yZXYueG1sRI9Pa8JAFMTvBb/D8gQvohv7J9jUVaSgFXooRsUeX7PP&#10;JJh9G7Krxm/vCkKPw8z8hpnMWlOJMzWutKxgNIxAEGdWl5wr2G4WgzEI55E1VpZJwZUczKadpwkm&#10;2l54TefU5yJA2CWooPC+TqR0WUEG3dDWxME72MagD7LJpW7wEuCmks9RFEuDJYeFAmv6LCg7piej&#10;oH/8Xu7SxVu5N+9/Xy8/ZPu/m1elet12/gHCU+v/w4/2SiuIRzHcz4QjIKc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WT8sfMcAAADcAAAADwAAAAAAAAAAAAAAAACXAgAAZHJz&#10;L2Rvd25yZXYueG1sUEsFBgAAAAAEAAQA9QAAAIsDAAAAAA==&#10;" adj="-11796480,,5400" path="m151,50l141,51,131,53,122,56,113,63,116,70,119,77,113,82,106,87,99,82,91,77,86,84,80,90,77,97,74,105,73,113,87,120,86,128,84,135,78,137,73,138,66,140,71,159,77,178,84,176,90,174,96,173,100,179,105,185,100,191,95,198,102,206,111,212,120,216,131,218,138,204,146,205,153,207,154,212,156,218,157,225,177,220,196,214,194,207,190,196,202,187,207,189,212,193,218,197,228,180,239,162,227,156,221,153,223,146,224,138,232,136,240,134,240,125,239,117,237,109,234,102,228,96,221,98,214,102,209,95,204,88,209,81,213,74,205,67,197,61,188,57,178,55,174,62,170,69,163,68,157,67,155,61,153,56,151,50xm156,0l176,1,193,4,209,9,223,16,236,24,248,35,258,48,266,63,273,79,279,98,284,119,293,126,300,135,305,143,308,153,309,164,308,176,305,186,302,194,297,200,291,205,282,209,272,213,266,227,260,240,253,253,245,265,236,278,225,290,214,302,202,312,189,321,175,327,161,330,147,329,133,326,119,321,106,312,93,303,83,292,73,281,65,268,57,255,50,241,37,212,28,210,19,207,13,201,8,194,4,187,1,177,,168,,158,1,149,4,141,9,133,16,126,24,120,27,102,31,84,37,69,44,55,53,43,63,32,74,23,87,15,102,9,119,4,137,1,156,0xe" filled="f" stroked="f" strokeweight="0">
                  <v:stroke joinstyle="round"/>
                  <v:formulas/>
                  <v:path arrowok="t" o:connecttype="custom" o:connectlocs="131,53;116,70;106,87;86,84;74,105;86,128;73,138;77,178;96,173;100,191;111,212;138,204;154,212;177,220;190,196;212,193;239,162;223,146;240,134;237,109;221,98;204,88;205,67;178,55;163,68;153,56;176,1;223,16;258,48;279,98;300,135;309,164;302,194;282,209;260,240;236,278;202,312;161,330;119,321;83,292;57,255;28,210;8,194;0,168;4,141;24,120;37,69;63,32;102,9;156,0" o:connectangles="0,0,0,0,0,0,0,0,0,0,0,0,0,0,0,0,0,0,0,0,0,0,0,0,0,0,0,0,0,0,0,0,0,0,0,0,0,0,0,0,0,0,0,0,0,0,0,0,0,0" textboxrect="0,0,309,330"/>
                  <o:lock v:ext="edit" verticies="t"/>
                  <v:textbox>
                    <w:txbxContent>
                      <w:p w14:paraId="4A132859" w14:textId="77777777" w:rsidR="001501D6" w:rsidRDefault="001501D6" w:rsidP="006D3797">
                        <w:pPr>
                          <w:rPr>
                            <w:rFonts w:eastAsia="Times New Roman"/>
                          </w:rPr>
                        </w:pPr>
                      </w:p>
                    </w:txbxContent>
                  </v:textbox>
                </v:shape>
                <v:shape id="Freeform 39" o:spid="_x0000_s1404" style="position:absolute;left:346075;top:157162;width:117475;height:119063;visibility:visible;mso-wrap-style:square;v-text-anchor:top" coordsize="74,75"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76qOxQAA&#10;ANwAAAAPAAAAZHJzL2Rvd25yZXYueG1sRI/RagIxFETfhf5DuELfNLEPVlajLJZKoXRB2w+4bK67&#10;i5ubkER3269vCgUfh5k5w2x2o+3FjULsHGtYzBUI4tqZjhsNX5+vsxWImJAN9o5JwzdF2G0fJhss&#10;jBv4SLdTakSGcCxQQ5uSL6SMdUsW49x54uydXbCYsgyNNAGHDLe9fFJqKS12nBda9LRvqb6crlaD&#10;/zms1Hs1VOP1UPny4yWU6hy0fpyO5RpEojHdw//tN6NhuXiGvzP5CMjt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3vqo7FAAAA3AAAAA8AAAAAAAAAAAAAAAAAlwIAAGRycy9k&#10;b3ducmV2LnhtbFBLBQYAAAAABAAEAPUAAACJAwAAAAA=&#10;" adj="-11796480,,5400" path="m38,0l48,2,57,6,65,12,70,20,73,29,74,39,72,49,69,58,63,65,55,70,46,74,36,75,26,74,17,69,10,63,4,56,1,46,,36,2,26,6,18,12,10,19,5,28,1,38,0xe" filled="f" stroked="f" strokeweight="0">
                  <v:stroke joinstyle="round"/>
                  <v:formulas/>
                  <v:path arrowok="t" o:connecttype="custom" o:connectlocs="38,0;48,2;57,6;65,12;70,20;73,29;74,39;72,49;69,58;63,65;55,70;46,74;36,75;26,74;17,69;10,63;4,56;1,46;0,36;2,26;6,18;12,10;19,5;28,1;38,0" o:connectangles="0,0,0,0,0,0,0,0,0,0,0,0,0,0,0,0,0,0,0,0,0,0,0,0,0" textboxrect="0,0,74,75"/>
                  <v:textbox>
                    <w:txbxContent>
                      <w:p w14:paraId="7AB3F3E3" w14:textId="77777777" w:rsidR="001501D6" w:rsidRDefault="001501D6" w:rsidP="006D3797">
                        <w:pPr>
                          <w:rPr>
                            <w:rFonts w:eastAsia="Times New Roman"/>
                          </w:rPr>
                        </w:pPr>
                      </w:p>
                    </w:txbxContent>
                  </v:textbox>
                </v:shape>
              </v:group>
            </w:pict>
          </mc:Fallback>
        </mc:AlternateContent>
      </w:r>
      <w:r w:rsidRPr="006C0266">
        <w:rPr>
          <w:noProof/>
          <w:lang w:eastAsia="fr-FR"/>
        </w:rPr>
        <mc:AlternateContent>
          <mc:Choice Requires="wpg">
            <w:drawing>
              <wp:anchor distT="0" distB="0" distL="114300" distR="114300" simplePos="0" relativeHeight="252851200" behindDoc="0" locked="0" layoutInCell="1" allowOverlap="1" wp14:anchorId="5D5C3AB3" wp14:editId="18F6C199">
                <wp:simplePos x="0" y="0"/>
                <wp:positionH relativeFrom="column">
                  <wp:posOffset>1371600</wp:posOffset>
                </wp:positionH>
                <wp:positionV relativeFrom="paragraph">
                  <wp:posOffset>10795</wp:posOffset>
                </wp:positionV>
                <wp:extent cx="457200" cy="467995"/>
                <wp:effectExtent l="0" t="0" r="25400" b="14605"/>
                <wp:wrapNone/>
                <wp:docPr id="618" name="Group 4"/>
                <wp:cNvGraphicFramePr/>
                <a:graphic xmlns:a="http://schemas.openxmlformats.org/drawingml/2006/main">
                  <a:graphicData uri="http://schemas.microsoft.com/office/word/2010/wordprocessingGroup">
                    <wpg:wgp>
                      <wpg:cNvGrpSpPr/>
                      <wpg:grpSpPr bwMode="auto">
                        <a:xfrm>
                          <a:off x="0" y="0"/>
                          <a:ext cx="457200" cy="467995"/>
                          <a:chOff x="0" y="0"/>
                          <a:chExt cx="1110" cy="1434"/>
                        </a:xfrm>
                        <a:solidFill>
                          <a:schemeClr val="accent3"/>
                        </a:solidFill>
                        <a:extLst>
                          <a:ext uri="{0CCBE362-F206-4b92-989A-16890622DB6E}">
                            <ma14:wrappingTextBoxFlag xmlns:ma14="http://schemas.microsoft.com/office/mac/drawingml/2011/main"/>
                          </a:ext>
                        </a:extLst>
                      </wpg:grpSpPr>
                      <wps:wsp>
                        <wps:cNvPr id="619" name="Freeform 6"/>
                        <wps:cNvSpPr>
                          <a:spLocks noEditPoints="1"/>
                        </wps:cNvSpPr>
                        <wps:spPr bwMode="auto">
                          <a:xfrm>
                            <a:off x="0" y="663"/>
                            <a:ext cx="1110" cy="771"/>
                          </a:xfrm>
                          <a:custGeom>
                            <a:avLst/>
                            <a:gdLst>
                              <a:gd name="T0" fmla="*/ 1627 w 3331"/>
                              <a:gd name="T1" fmla="*/ 200 h 2313"/>
                              <a:gd name="T2" fmla="*/ 1472 w 3331"/>
                              <a:gd name="T3" fmla="*/ 330 h 2313"/>
                              <a:gd name="T4" fmla="*/ 1505 w 3331"/>
                              <a:gd name="T5" fmla="*/ 1654 h 2313"/>
                              <a:gd name="T6" fmla="*/ 1619 w 3331"/>
                              <a:gd name="T7" fmla="*/ 1862 h 2313"/>
                              <a:gd name="T8" fmla="*/ 1666 w 3331"/>
                              <a:gd name="T9" fmla="*/ 1882 h 2313"/>
                              <a:gd name="T10" fmla="*/ 1714 w 3331"/>
                              <a:gd name="T11" fmla="*/ 1862 h 2313"/>
                              <a:gd name="T12" fmla="*/ 1827 w 3331"/>
                              <a:gd name="T13" fmla="*/ 1654 h 2313"/>
                              <a:gd name="T14" fmla="*/ 1860 w 3331"/>
                              <a:gd name="T15" fmla="*/ 330 h 2313"/>
                              <a:gd name="T16" fmla="*/ 1705 w 3331"/>
                              <a:gd name="T17" fmla="*/ 200 h 2313"/>
                              <a:gd name="T18" fmla="*/ 1482 w 3331"/>
                              <a:gd name="T19" fmla="*/ 0 h 2313"/>
                              <a:gd name="T20" fmla="*/ 1548 w 3331"/>
                              <a:gd name="T21" fmla="*/ 23 h 2313"/>
                              <a:gd name="T22" fmla="*/ 1608 w 3331"/>
                              <a:gd name="T23" fmla="*/ 89 h 2313"/>
                              <a:gd name="T24" fmla="*/ 1666 w 3331"/>
                              <a:gd name="T25" fmla="*/ 134 h 2313"/>
                              <a:gd name="T26" fmla="*/ 1725 w 3331"/>
                              <a:gd name="T27" fmla="*/ 89 h 2313"/>
                              <a:gd name="T28" fmla="*/ 1784 w 3331"/>
                              <a:gd name="T29" fmla="*/ 23 h 2313"/>
                              <a:gd name="T30" fmla="*/ 1850 w 3331"/>
                              <a:gd name="T31" fmla="*/ 0 h 2313"/>
                              <a:gd name="T32" fmla="*/ 2167 w 3331"/>
                              <a:gd name="T33" fmla="*/ 41 h 2313"/>
                              <a:gd name="T34" fmla="*/ 2446 w 3331"/>
                              <a:gd name="T35" fmla="*/ 115 h 2313"/>
                              <a:gd name="T36" fmla="*/ 2682 w 3331"/>
                              <a:gd name="T37" fmla="*/ 217 h 2313"/>
                              <a:gd name="T38" fmla="*/ 2869 w 3331"/>
                              <a:gd name="T39" fmla="*/ 345 h 2313"/>
                              <a:gd name="T40" fmla="*/ 2999 w 3331"/>
                              <a:gd name="T41" fmla="*/ 496 h 2313"/>
                              <a:gd name="T42" fmla="*/ 3016 w 3331"/>
                              <a:gd name="T43" fmla="*/ 528 h 2313"/>
                              <a:gd name="T44" fmla="*/ 3058 w 3331"/>
                              <a:gd name="T45" fmla="*/ 610 h 2313"/>
                              <a:gd name="T46" fmla="*/ 3115 w 3331"/>
                              <a:gd name="T47" fmla="*/ 736 h 2313"/>
                              <a:gd name="T48" fmla="*/ 3179 w 3331"/>
                              <a:gd name="T49" fmla="*/ 896 h 2313"/>
                              <a:gd name="T50" fmla="*/ 3241 w 3331"/>
                              <a:gd name="T51" fmla="*/ 1083 h 2313"/>
                              <a:gd name="T52" fmla="*/ 3293 w 3331"/>
                              <a:gd name="T53" fmla="*/ 1290 h 2313"/>
                              <a:gd name="T54" fmla="*/ 3326 w 3331"/>
                              <a:gd name="T55" fmla="*/ 1508 h 2313"/>
                              <a:gd name="T56" fmla="*/ 3329 w 3331"/>
                              <a:gd name="T57" fmla="*/ 1730 h 2313"/>
                              <a:gd name="T58" fmla="*/ 3296 w 3331"/>
                              <a:gd name="T59" fmla="*/ 1949 h 2313"/>
                              <a:gd name="T60" fmla="*/ 3217 w 3331"/>
                              <a:gd name="T61" fmla="*/ 2153 h 2313"/>
                              <a:gd name="T62" fmla="*/ 3121 w 3331"/>
                              <a:gd name="T63" fmla="*/ 2294 h 2313"/>
                              <a:gd name="T64" fmla="*/ 3065 w 3331"/>
                              <a:gd name="T65" fmla="*/ 2313 h 2313"/>
                              <a:gd name="T66" fmla="*/ 229 w 3331"/>
                              <a:gd name="T67" fmla="*/ 2304 h 2313"/>
                              <a:gd name="T68" fmla="*/ 152 w 3331"/>
                              <a:gd name="T69" fmla="*/ 2216 h 2313"/>
                              <a:gd name="T70" fmla="*/ 56 w 3331"/>
                              <a:gd name="T71" fmla="*/ 2013 h 2313"/>
                              <a:gd name="T72" fmla="*/ 8 w 3331"/>
                              <a:gd name="T73" fmla="*/ 1795 h 2313"/>
                              <a:gd name="T74" fmla="*/ 0 w 3331"/>
                              <a:gd name="T75" fmla="*/ 1642 h 2313"/>
                              <a:gd name="T76" fmla="*/ 16 w 3331"/>
                              <a:gd name="T77" fmla="*/ 1421 h 2313"/>
                              <a:gd name="T78" fmla="*/ 57 w 3331"/>
                              <a:gd name="T79" fmla="*/ 1204 h 2313"/>
                              <a:gd name="T80" fmla="*/ 115 w 3331"/>
                              <a:gd name="T81" fmla="*/ 1001 h 2313"/>
                              <a:gd name="T82" fmla="*/ 180 w 3331"/>
                              <a:gd name="T83" fmla="*/ 822 h 2313"/>
                              <a:gd name="T84" fmla="*/ 244 w 3331"/>
                              <a:gd name="T85" fmla="*/ 675 h 2313"/>
                              <a:gd name="T86" fmla="*/ 295 w 3331"/>
                              <a:gd name="T87" fmla="*/ 567 h 2313"/>
                              <a:gd name="T88" fmla="*/ 326 w 3331"/>
                              <a:gd name="T89" fmla="*/ 508 h 2313"/>
                              <a:gd name="T90" fmla="*/ 412 w 3331"/>
                              <a:gd name="T91" fmla="*/ 396 h 2313"/>
                              <a:gd name="T92" fmla="*/ 581 w 3331"/>
                              <a:gd name="T93" fmla="*/ 259 h 2313"/>
                              <a:gd name="T94" fmla="*/ 803 w 3331"/>
                              <a:gd name="T95" fmla="*/ 146 h 2313"/>
                              <a:gd name="T96" fmla="*/ 1068 w 3331"/>
                              <a:gd name="T97" fmla="*/ 62 h 2313"/>
                              <a:gd name="T98" fmla="*/ 1374 w 3331"/>
                              <a:gd name="T99" fmla="*/ 9 h 2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31" h="2313">
                                <a:moveTo>
                                  <a:pt x="1666" y="187"/>
                                </a:moveTo>
                                <a:lnTo>
                                  <a:pt x="1645" y="191"/>
                                </a:lnTo>
                                <a:lnTo>
                                  <a:pt x="1627" y="200"/>
                                </a:lnTo>
                                <a:lnTo>
                                  <a:pt x="1495" y="296"/>
                                </a:lnTo>
                                <a:lnTo>
                                  <a:pt x="1481" y="310"/>
                                </a:lnTo>
                                <a:lnTo>
                                  <a:pt x="1472" y="330"/>
                                </a:lnTo>
                                <a:lnTo>
                                  <a:pt x="1469" y="351"/>
                                </a:lnTo>
                                <a:lnTo>
                                  <a:pt x="1503" y="1638"/>
                                </a:lnTo>
                                <a:lnTo>
                                  <a:pt x="1505" y="1654"/>
                                </a:lnTo>
                                <a:lnTo>
                                  <a:pt x="1511" y="1669"/>
                                </a:lnTo>
                                <a:lnTo>
                                  <a:pt x="1607" y="1848"/>
                                </a:lnTo>
                                <a:lnTo>
                                  <a:pt x="1619" y="1862"/>
                                </a:lnTo>
                                <a:lnTo>
                                  <a:pt x="1632" y="1873"/>
                                </a:lnTo>
                                <a:lnTo>
                                  <a:pt x="1648" y="1881"/>
                                </a:lnTo>
                                <a:lnTo>
                                  <a:pt x="1666" y="1882"/>
                                </a:lnTo>
                                <a:lnTo>
                                  <a:pt x="1684" y="1881"/>
                                </a:lnTo>
                                <a:lnTo>
                                  <a:pt x="1699" y="1873"/>
                                </a:lnTo>
                                <a:lnTo>
                                  <a:pt x="1714" y="1862"/>
                                </a:lnTo>
                                <a:lnTo>
                                  <a:pt x="1725" y="1848"/>
                                </a:lnTo>
                                <a:lnTo>
                                  <a:pt x="1821" y="1669"/>
                                </a:lnTo>
                                <a:lnTo>
                                  <a:pt x="1827" y="1654"/>
                                </a:lnTo>
                                <a:lnTo>
                                  <a:pt x="1829" y="1638"/>
                                </a:lnTo>
                                <a:lnTo>
                                  <a:pt x="1862" y="351"/>
                                </a:lnTo>
                                <a:lnTo>
                                  <a:pt x="1860" y="330"/>
                                </a:lnTo>
                                <a:lnTo>
                                  <a:pt x="1850" y="310"/>
                                </a:lnTo>
                                <a:lnTo>
                                  <a:pt x="1836" y="296"/>
                                </a:lnTo>
                                <a:lnTo>
                                  <a:pt x="1705" y="200"/>
                                </a:lnTo>
                                <a:lnTo>
                                  <a:pt x="1686" y="191"/>
                                </a:lnTo>
                                <a:lnTo>
                                  <a:pt x="1666" y="187"/>
                                </a:lnTo>
                                <a:close/>
                                <a:moveTo>
                                  <a:pt x="1482" y="0"/>
                                </a:moveTo>
                                <a:lnTo>
                                  <a:pt x="1506" y="1"/>
                                </a:lnTo>
                                <a:lnTo>
                                  <a:pt x="1529" y="9"/>
                                </a:lnTo>
                                <a:lnTo>
                                  <a:pt x="1548" y="23"/>
                                </a:lnTo>
                                <a:lnTo>
                                  <a:pt x="1567" y="43"/>
                                </a:lnTo>
                                <a:lnTo>
                                  <a:pt x="1588" y="65"/>
                                </a:lnTo>
                                <a:lnTo>
                                  <a:pt x="1608" y="89"/>
                                </a:lnTo>
                                <a:lnTo>
                                  <a:pt x="1628" y="109"/>
                                </a:lnTo>
                                <a:lnTo>
                                  <a:pt x="1646" y="125"/>
                                </a:lnTo>
                                <a:lnTo>
                                  <a:pt x="1666" y="134"/>
                                </a:lnTo>
                                <a:lnTo>
                                  <a:pt x="1686" y="125"/>
                                </a:lnTo>
                                <a:lnTo>
                                  <a:pt x="1705" y="109"/>
                                </a:lnTo>
                                <a:lnTo>
                                  <a:pt x="1725" y="89"/>
                                </a:lnTo>
                                <a:lnTo>
                                  <a:pt x="1743" y="68"/>
                                </a:lnTo>
                                <a:lnTo>
                                  <a:pt x="1764" y="43"/>
                                </a:lnTo>
                                <a:lnTo>
                                  <a:pt x="1784" y="23"/>
                                </a:lnTo>
                                <a:lnTo>
                                  <a:pt x="1804" y="9"/>
                                </a:lnTo>
                                <a:lnTo>
                                  <a:pt x="1827" y="1"/>
                                </a:lnTo>
                                <a:lnTo>
                                  <a:pt x="1850" y="0"/>
                                </a:lnTo>
                                <a:lnTo>
                                  <a:pt x="1960" y="11"/>
                                </a:lnTo>
                                <a:lnTo>
                                  <a:pt x="2065" y="24"/>
                                </a:lnTo>
                                <a:lnTo>
                                  <a:pt x="2167" y="41"/>
                                </a:lnTo>
                                <a:lnTo>
                                  <a:pt x="2265" y="62"/>
                                </a:lnTo>
                                <a:lnTo>
                                  <a:pt x="2358" y="88"/>
                                </a:lnTo>
                                <a:lnTo>
                                  <a:pt x="2446" y="115"/>
                                </a:lnTo>
                                <a:lnTo>
                                  <a:pt x="2530" y="146"/>
                                </a:lnTo>
                                <a:lnTo>
                                  <a:pt x="2609" y="180"/>
                                </a:lnTo>
                                <a:lnTo>
                                  <a:pt x="2682" y="217"/>
                                </a:lnTo>
                                <a:lnTo>
                                  <a:pt x="2751" y="257"/>
                                </a:lnTo>
                                <a:lnTo>
                                  <a:pt x="2813" y="300"/>
                                </a:lnTo>
                                <a:lnTo>
                                  <a:pt x="2869" y="345"/>
                                </a:lnTo>
                                <a:lnTo>
                                  <a:pt x="2919" y="392"/>
                                </a:lnTo>
                                <a:lnTo>
                                  <a:pt x="2963" y="443"/>
                                </a:lnTo>
                                <a:lnTo>
                                  <a:pt x="2999" y="496"/>
                                </a:lnTo>
                                <a:lnTo>
                                  <a:pt x="3001" y="500"/>
                                </a:lnTo>
                                <a:lnTo>
                                  <a:pt x="3007" y="510"/>
                                </a:lnTo>
                                <a:lnTo>
                                  <a:pt x="3016" y="528"/>
                                </a:lnTo>
                                <a:lnTo>
                                  <a:pt x="3028" y="549"/>
                                </a:lnTo>
                                <a:lnTo>
                                  <a:pt x="3043" y="577"/>
                                </a:lnTo>
                                <a:lnTo>
                                  <a:pt x="3058" y="610"/>
                                </a:lnTo>
                                <a:lnTo>
                                  <a:pt x="3076" y="647"/>
                                </a:lnTo>
                                <a:lnTo>
                                  <a:pt x="3096" y="689"/>
                                </a:lnTo>
                                <a:lnTo>
                                  <a:pt x="3115" y="736"/>
                                </a:lnTo>
                                <a:lnTo>
                                  <a:pt x="3137" y="785"/>
                                </a:lnTo>
                                <a:lnTo>
                                  <a:pt x="3158" y="839"/>
                                </a:lnTo>
                                <a:lnTo>
                                  <a:pt x="3179" y="896"/>
                                </a:lnTo>
                                <a:lnTo>
                                  <a:pt x="3201" y="956"/>
                                </a:lnTo>
                                <a:lnTo>
                                  <a:pt x="3221" y="1018"/>
                                </a:lnTo>
                                <a:lnTo>
                                  <a:pt x="3241" y="1083"/>
                                </a:lnTo>
                                <a:lnTo>
                                  <a:pt x="3261" y="1151"/>
                                </a:lnTo>
                                <a:lnTo>
                                  <a:pt x="3278" y="1220"/>
                                </a:lnTo>
                                <a:lnTo>
                                  <a:pt x="3293" y="1290"/>
                                </a:lnTo>
                                <a:lnTo>
                                  <a:pt x="3306" y="1363"/>
                                </a:lnTo>
                                <a:lnTo>
                                  <a:pt x="3318" y="1436"/>
                                </a:lnTo>
                                <a:lnTo>
                                  <a:pt x="3326" y="1508"/>
                                </a:lnTo>
                                <a:lnTo>
                                  <a:pt x="3330" y="1583"/>
                                </a:lnTo>
                                <a:lnTo>
                                  <a:pt x="3331" y="1657"/>
                                </a:lnTo>
                                <a:lnTo>
                                  <a:pt x="3329" y="1730"/>
                                </a:lnTo>
                                <a:lnTo>
                                  <a:pt x="3323" y="1804"/>
                                </a:lnTo>
                                <a:lnTo>
                                  <a:pt x="3311" y="1877"/>
                                </a:lnTo>
                                <a:lnTo>
                                  <a:pt x="3296" y="1949"/>
                                </a:lnTo>
                                <a:lnTo>
                                  <a:pt x="3276" y="2019"/>
                                </a:lnTo>
                                <a:lnTo>
                                  <a:pt x="3249" y="2086"/>
                                </a:lnTo>
                                <a:lnTo>
                                  <a:pt x="3217" y="2153"/>
                                </a:lnTo>
                                <a:lnTo>
                                  <a:pt x="3179" y="2218"/>
                                </a:lnTo>
                                <a:lnTo>
                                  <a:pt x="3135" y="2280"/>
                                </a:lnTo>
                                <a:lnTo>
                                  <a:pt x="3121" y="2294"/>
                                </a:lnTo>
                                <a:lnTo>
                                  <a:pt x="3103" y="2304"/>
                                </a:lnTo>
                                <a:lnTo>
                                  <a:pt x="3085" y="2310"/>
                                </a:lnTo>
                                <a:lnTo>
                                  <a:pt x="3065" y="2313"/>
                                </a:lnTo>
                                <a:lnTo>
                                  <a:pt x="268" y="2313"/>
                                </a:lnTo>
                                <a:lnTo>
                                  <a:pt x="248" y="2310"/>
                                </a:lnTo>
                                <a:lnTo>
                                  <a:pt x="229" y="2304"/>
                                </a:lnTo>
                                <a:lnTo>
                                  <a:pt x="212" y="2293"/>
                                </a:lnTo>
                                <a:lnTo>
                                  <a:pt x="197" y="2280"/>
                                </a:lnTo>
                                <a:lnTo>
                                  <a:pt x="152" y="2216"/>
                                </a:lnTo>
                                <a:lnTo>
                                  <a:pt x="114" y="2151"/>
                                </a:lnTo>
                                <a:lnTo>
                                  <a:pt x="82" y="2082"/>
                                </a:lnTo>
                                <a:lnTo>
                                  <a:pt x="56" y="2013"/>
                                </a:lnTo>
                                <a:lnTo>
                                  <a:pt x="34" y="1942"/>
                                </a:lnTo>
                                <a:lnTo>
                                  <a:pt x="19" y="1869"/>
                                </a:lnTo>
                                <a:lnTo>
                                  <a:pt x="8" y="1795"/>
                                </a:lnTo>
                                <a:lnTo>
                                  <a:pt x="1" y="1721"/>
                                </a:lnTo>
                                <a:lnTo>
                                  <a:pt x="0" y="1648"/>
                                </a:lnTo>
                                <a:lnTo>
                                  <a:pt x="0" y="1642"/>
                                </a:lnTo>
                                <a:lnTo>
                                  <a:pt x="1" y="1571"/>
                                </a:lnTo>
                                <a:lnTo>
                                  <a:pt x="7" y="1495"/>
                                </a:lnTo>
                                <a:lnTo>
                                  <a:pt x="16" y="1421"/>
                                </a:lnTo>
                                <a:lnTo>
                                  <a:pt x="28" y="1347"/>
                                </a:lnTo>
                                <a:lnTo>
                                  <a:pt x="41" y="1275"/>
                                </a:lnTo>
                                <a:lnTo>
                                  <a:pt x="57" y="1204"/>
                                </a:lnTo>
                                <a:lnTo>
                                  <a:pt x="76" y="1133"/>
                                </a:lnTo>
                                <a:lnTo>
                                  <a:pt x="94" y="1066"/>
                                </a:lnTo>
                                <a:lnTo>
                                  <a:pt x="115" y="1001"/>
                                </a:lnTo>
                                <a:lnTo>
                                  <a:pt x="136" y="939"/>
                                </a:lnTo>
                                <a:lnTo>
                                  <a:pt x="159" y="879"/>
                                </a:lnTo>
                                <a:lnTo>
                                  <a:pt x="180" y="822"/>
                                </a:lnTo>
                                <a:lnTo>
                                  <a:pt x="201" y="769"/>
                                </a:lnTo>
                                <a:lnTo>
                                  <a:pt x="223" y="720"/>
                                </a:lnTo>
                                <a:lnTo>
                                  <a:pt x="244" y="675"/>
                                </a:lnTo>
                                <a:lnTo>
                                  <a:pt x="262" y="635"/>
                                </a:lnTo>
                                <a:lnTo>
                                  <a:pt x="279" y="599"/>
                                </a:lnTo>
                                <a:lnTo>
                                  <a:pt x="295" y="567"/>
                                </a:lnTo>
                                <a:lnTo>
                                  <a:pt x="309" y="542"/>
                                </a:lnTo>
                                <a:lnTo>
                                  <a:pt x="319" y="522"/>
                                </a:lnTo>
                                <a:lnTo>
                                  <a:pt x="326" y="508"/>
                                </a:lnTo>
                                <a:lnTo>
                                  <a:pt x="331" y="501"/>
                                </a:lnTo>
                                <a:lnTo>
                                  <a:pt x="368" y="447"/>
                                </a:lnTo>
                                <a:lnTo>
                                  <a:pt x="412" y="396"/>
                                </a:lnTo>
                                <a:lnTo>
                                  <a:pt x="462" y="347"/>
                                </a:lnTo>
                                <a:lnTo>
                                  <a:pt x="518" y="302"/>
                                </a:lnTo>
                                <a:lnTo>
                                  <a:pt x="581" y="259"/>
                                </a:lnTo>
                                <a:lnTo>
                                  <a:pt x="649" y="219"/>
                                </a:lnTo>
                                <a:lnTo>
                                  <a:pt x="723" y="180"/>
                                </a:lnTo>
                                <a:lnTo>
                                  <a:pt x="803" y="146"/>
                                </a:lnTo>
                                <a:lnTo>
                                  <a:pt x="886" y="115"/>
                                </a:lnTo>
                                <a:lnTo>
                                  <a:pt x="975" y="88"/>
                                </a:lnTo>
                                <a:lnTo>
                                  <a:pt x="1068" y="62"/>
                                </a:lnTo>
                                <a:lnTo>
                                  <a:pt x="1166" y="41"/>
                                </a:lnTo>
                                <a:lnTo>
                                  <a:pt x="1268" y="24"/>
                                </a:lnTo>
                                <a:lnTo>
                                  <a:pt x="1374" y="9"/>
                                </a:lnTo>
                                <a:lnTo>
                                  <a:pt x="1482" y="0"/>
                                </a:lnTo>
                                <a:close/>
                              </a:path>
                            </a:pathLst>
                          </a:custGeom>
                          <a:grpFill/>
                          <a:ln w="0">
                            <a:solidFill>
                              <a:srgbClr val="FFFFFF"/>
                            </a:solidFill>
                            <a:prstDash val="solid"/>
                            <a:round/>
                            <a:headEnd/>
                            <a:tailEnd/>
                          </a:ln>
                        </wps:spPr>
                        <wps:txbx>
                          <w:txbxContent>
                            <w:p w14:paraId="485BF52B" w14:textId="77777777" w:rsidR="00573C95" w:rsidRDefault="00573C95" w:rsidP="006C0266">
                              <w:pPr>
                                <w:rPr>
                                  <w:rFonts w:eastAsia="Times New Roman"/>
                                </w:rPr>
                              </w:pPr>
                            </w:p>
                          </w:txbxContent>
                        </wps:txbx>
                        <wps:bodyPr vert="horz" wrap="square" lIns="91440" tIns="45720" rIns="91440" bIns="45720" numCol="1" anchor="t" anchorCtr="0" compatLnSpc="1">
                          <a:prstTxWarp prst="textNoShape">
                            <a:avLst/>
                          </a:prstTxWarp>
                        </wps:bodyPr>
                      </wps:wsp>
                      <wps:wsp>
                        <wps:cNvPr id="620" name="Freeform 7"/>
                        <wps:cNvSpPr>
                          <a:spLocks/>
                        </wps:cNvSpPr>
                        <wps:spPr bwMode="auto">
                          <a:xfrm>
                            <a:off x="237" y="0"/>
                            <a:ext cx="626" cy="626"/>
                          </a:xfrm>
                          <a:custGeom>
                            <a:avLst/>
                            <a:gdLst>
                              <a:gd name="T0" fmla="*/ 939 w 1877"/>
                              <a:gd name="T1" fmla="*/ 0 h 1878"/>
                              <a:gd name="T2" fmla="*/ 1108 w 1877"/>
                              <a:gd name="T3" fmla="*/ 15 h 1878"/>
                              <a:gd name="T4" fmla="*/ 1267 w 1877"/>
                              <a:gd name="T5" fmla="*/ 59 h 1878"/>
                              <a:gd name="T6" fmla="*/ 1412 w 1877"/>
                              <a:gd name="T7" fmla="*/ 128 h 1878"/>
                              <a:gd name="T8" fmla="*/ 1543 w 1877"/>
                              <a:gd name="T9" fmla="*/ 221 h 1878"/>
                              <a:gd name="T10" fmla="*/ 1657 w 1877"/>
                              <a:gd name="T11" fmla="*/ 335 h 1878"/>
                              <a:gd name="T12" fmla="*/ 1750 w 1877"/>
                              <a:gd name="T13" fmla="*/ 466 h 1878"/>
                              <a:gd name="T14" fmla="*/ 1819 w 1877"/>
                              <a:gd name="T15" fmla="*/ 612 h 1878"/>
                              <a:gd name="T16" fmla="*/ 1863 w 1877"/>
                              <a:gd name="T17" fmla="*/ 771 h 1878"/>
                              <a:gd name="T18" fmla="*/ 1877 w 1877"/>
                              <a:gd name="T19" fmla="*/ 939 h 1878"/>
                              <a:gd name="T20" fmla="*/ 1863 w 1877"/>
                              <a:gd name="T21" fmla="*/ 1108 h 1878"/>
                              <a:gd name="T22" fmla="*/ 1819 w 1877"/>
                              <a:gd name="T23" fmla="*/ 1267 h 1878"/>
                              <a:gd name="T24" fmla="*/ 1750 w 1877"/>
                              <a:gd name="T25" fmla="*/ 1413 h 1878"/>
                              <a:gd name="T26" fmla="*/ 1657 w 1877"/>
                              <a:gd name="T27" fmla="*/ 1544 h 1878"/>
                              <a:gd name="T28" fmla="*/ 1543 w 1877"/>
                              <a:gd name="T29" fmla="*/ 1656 h 1878"/>
                              <a:gd name="T30" fmla="*/ 1412 w 1877"/>
                              <a:gd name="T31" fmla="*/ 1749 h 1878"/>
                              <a:gd name="T32" fmla="*/ 1267 w 1877"/>
                              <a:gd name="T33" fmla="*/ 1819 h 1878"/>
                              <a:gd name="T34" fmla="*/ 1108 w 1877"/>
                              <a:gd name="T35" fmla="*/ 1863 h 1878"/>
                              <a:gd name="T36" fmla="*/ 939 w 1877"/>
                              <a:gd name="T37" fmla="*/ 1878 h 1878"/>
                              <a:gd name="T38" fmla="*/ 771 w 1877"/>
                              <a:gd name="T39" fmla="*/ 1863 h 1878"/>
                              <a:gd name="T40" fmla="*/ 612 w 1877"/>
                              <a:gd name="T41" fmla="*/ 1819 h 1878"/>
                              <a:gd name="T42" fmla="*/ 467 w 1877"/>
                              <a:gd name="T43" fmla="*/ 1749 h 1878"/>
                              <a:gd name="T44" fmla="*/ 335 w 1877"/>
                              <a:gd name="T45" fmla="*/ 1656 h 1878"/>
                              <a:gd name="T46" fmla="*/ 221 w 1877"/>
                              <a:gd name="T47" fmla="*/ 1544 h 1878"/>
                              <a:gd name="T48" fmla="*/ 129 w 1877"/>
                              <a:gd name="T49" fmla="*/ 1413 h 1878"/>
                              <a:gd name="T50" fmla="*/ 60 w 1877"/>
                              <a:gd name="T51" fmla="*/ 1267 h 1878"/>
                              <a:gd name="T52" fmla="*/ 16 w 1877"/>
                              <a:gd name="T53" fmla="*/ 1108 h 1878"/>
                              <a:gd name="T54" fmla="*/ 0 w 1877"/>
                              <a:gd name="T55" fmla="*/ 939 h 1878"/>
                              <a:gd name="T56" fmla="*/ 16 w 1877"/>
                              <a:gd name="T57" fmla="*/ 771 h 1878"/>
                              <a:gd name="T58" fmla="*/ 60 w 1877"/>
                              <a:gd name="T59" fmla="*/ 612 h 1878"/>
                              <a:gd name="T60" fmla="*/ 129 w 1877"/>
                              <a:gd name="T61" fmla="*/ 466 h 1878"/>
                              <a:gd name="T62" fmla="*/ 221 w 1877"/>
                              <a:gd name="T63" fmla="*/ 335 h 1878"/>
                              <a:gd name="T64" fmla="*/ 335 w 1877"/>
                              <a:gd name="T65" fmla="*/ 221 h 1878"/>
                              <a:gd name="T66" fmla="*/ 467 w 1877"/>
                              <a:gd name="T67" fmla="*/ 128 h 1878"/>
                              <a:gd name="T68" fmla="*/ 612 w 1877"/>
                              <a:gd name="T69" fmla="*/ 59 h 1878"/>
                              <a:gd name="T70" fmla="*/ 771 w 1877"/>
                              <a:gd name="T71" fmla="*/ 15 h 1878"/>
                              <a:gd name="T72" fmla="*/ 939 w 1877"/>
                              <a:gd name="T73" fmla="*/ 0 h 18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77" h="1878">
                                <a:moveTo>
                                  <a:pt x="939" y="0"/>
                                </a:moveTo>
                                <a:lnTo>
                                  <a:pt x="939" y="0"/>
                                </a:lnTo>
                                <a:lnTo>
                                  <a:pt x="1024" y="4"/>
                                </a:lnTo>
                                <a:lnTo>
                                  <a:pt x="1108" y="15"/>
                                </a:lnTo>
                                <a:lnTo>
                                  <a:pt x="1188" y="34"/>
                                </a:lnTo>
                                <a:lnTo>
                                  <a:pt x="1267" y="59"/>
                                </a:lnTo>
                                <a:lnTo>
                                  <a:pt x="1341" y="91"/>
                                </a:lnTo>
                                <a:lnTo>
                                  <a:pt x="1412" y="128"/>
                                </a:lnTo>
                                <a:lnTo>
                                  <a:pt x="1480" y="172"/>
                                </a:lnTo>
                                <a:lnTo>
                                  <a:pt x="1543" y="221"/>
                                </a:lnTo>
                                <a:lnTo>
                                  <a:pt x="1603" y="275"/>
                                </a:lnTo>
                                <a:lnTo>
                                  <a:pt x="1657" y="335"/>
                                </a:lnTo>
                                <a:lnTo>
                                  <a:pt x="1706" y="399"/>
                                </a:lnTo>
                                <a:lnTo>
                                  <a:pt x="1750" y="466"/>
                                </a:lnTo>
                                <a:lnTo>
                                  <a:pt x="1787" y="538"/>
                                </a:lnTo>
                                <a:lnTo>
                                  <a:pt x="1819" y="612"/>
                                </a:lnTo>
                                <a:lnTo>
                                  <a:pt x="1844" y="690"/>
                                </a:lnTo>
                                <a:lnTo>
                                  <a:pt x="1863" y="771"/>
                                </a:lnTo>
                                <a:lnTo>
                                  <a:pt x="1875" y="853"/>
                                </a:lnTo>
                                <a:lnTo>
                                  <a:pt x="1877" y="939"/>
                                </a:lnTo>
                                <a:lnTo>
                                  <a:pt x="1875" y="1024"/>
                                </a:lnTo>
                                <a:lnTo>
                                  <a:pt x="1863" y="1108"/>
                                </a:lnTo>
                                <a:lnTo>
                                  <a:pt x="1844" y="1189"/>
                                </a:lnTo>
                                <a:lnTo>
                                  <a:pt x="1819" y="1267"/>
                                </a:lnTo>
                                <a:lnTo>
                                  <a:pt x="1787" y="1341"/>
                                </a:lnTo>
                                <a:lnTo>
                                  <a:pt x="1750" y="1413"/>
                                </a:lnTo>
                                <a:lnTo>
                                  <a:pt x="1706" y="1480"/>
                                </a:lnTo>
                                <a:lnTo>
                                  <a:pt x="1657" y="1544"/>
                                </a:lnTo>
                                <a:lnTo>
                                  <a:pt x="1603" y="1603"/>
                                </a:lnTo>
                                <a:lnTo>
                                  <a:pt x="1543" y="1656"/>
                                </a:lnTo>
                                <a:lnTo>
                                  <a:pt x="1480" y="1707"/>
                                </a:lnTo>
                                <a:lnTo>
                                  <a:pt x="1412" y="1749"/>
                                </a:lnTo>
                                <a:lnTo>
                                  <a:pt x="1341" y="1788"/>
                                </a:lnTo>
                                <a:lnTo>
                                  <a:pt x="1267" y="1819"/>
                                </a:lnTo>
                                <a:lnTo>
                                  <a:pt x="1188" y="1845"/>
                                </a:lnTo>
                                <a:lnTo>
                                  <a:pt x="1108" y="1863"/>
                                </a:lnTo>
                                <a:lnTo>
                                  <a:pt x="1024" y="1874"/>
                                </a:lnTo>
                                <a:lnTo>
                                  <a:pt x="939" y="1878"/>
                                </a:lnTo>
                                <a:lnTo>
                                  <a:pt x="855" y="1874"/>
                                </a:lnTo>
                                <a:lnTo>
                                  <a:pt x="771" y="1863"/>
                                </a:lnTo>
                                <a:lnTo>
                                  <a:pt x="690" y="1845"/>
                                </a:lnTo>
                                <a:lnTo>
                                  <a:pt x="612" y="1819"/>
                                </a:lnTo>
                                <a:lnTo>
                                  <a:pt x="538" y="1788"/>
                                </a:lnTo>
                                <a:lnTo>
                                  <a:pt x="467" y="1749"/>
                                </a:lnTo>
                                <a:lnTo>
                                  <a:pt x="399" y="1707"/>
                                </a:lnTo>
                                <a:lnTo>
                                  <a:pt x="335" y="1656"/>
                                </a:lnTo>
                                <a:lnTo>
                                  <a:pt x="276" y="1603"/>
                                </a:lnTo>
                                <a:lnTo>
                                  <a:pt x="221" y="1544"/>
                                </a:lnTo>
                                <a:lnTo>
                                  <a:pt x="172" y="1480"/>
                                </a:lnTo>
                                <a:lnTo>
                                  <a:pt x="129" y="1413"/>
                                </a:lnTo>
                                <a:lnTo>
                                  <a:pt x="92" y="1341"/>
                                </a:lnTo>
                                <a:lnTo>
                                  <a:pt x="60" y="1267"/>
                                </a:lnTo>
                                <a:lnTo>
                                  <a:pt x="35" y="1189"/>
                                </a:lnTo>
                                <a:lnTo>
                                  <a:pt x="16" y="1108"/>
                                </a:lnTo>
                                <a:lnTo>
                                  <a:pt x="4" y="1024"/>
                                </a:lnTo>
                                <a:lnTo>
                                  <a:pt x="0" y="939"/>
                                </a:lnTo>
                                <a:lnTo>
                                  <a:pt x="4" y="853"/>
                                </a:lnTo>
                                <a:lnTo>
                                  <a:pt x="16" y="771"/>
                                </a:lnTo>
                                <a:lnTo>
                                  <a:pt x="35" y="690"/>
                                </a:lnTo>
                                <a:lnTo>
                                  <a:pt x="60" y="612"/>
                                </a:lnTo>
                                <a:lnTo>
                                  <a:pt x="92" y="538"/>
                                </a:lnTo>
                                <a:lnTo>
                                  <a:pt x="129" y="466"/>
                                </a:lnTo>
                                <a:lnTo>
                                  <a:pt x="172" y="399"/>
                                </a:lnTo>
                                <a:lnTo>
                                  <a:pt x="221" y="335"/>
                                </a:lnTo>
                                <a:lnTo>
                                  <a:pt x="276" y="275"/>
                                </a:lnTo>
                                <a:lnTo>
                                  <a:pt x="335" y="221"/>
                                </a:lnTo>
                                <a:lnTo>
                                  <a:pt x="399" y="172"/>
                                </a:lnTo>
                                <a:lnTo>
                                  <a:pt x="467" y="128"/>
                                </a:lnTo>
                                <a:lnTo>
                                  <a:pt x="538" y="91"/>
                                </a:lnTo>
                                <a:lnTo>
                                  <a:pt x="612" y="59"/>
                                </a:lnTo>
                                <a:lnTo>
                                  <a:pt x="690" y="34"/>
                                </a:lnTo>
                                <a:lnTo>
                                  <a:pt x="771" y="15"/>
                                </a:lnTo>
                                <a:lnTo>
                                  <a:pt x="855" y="4"/>
                                </a:lnTo>
                                <a:lnTo>
                                  <a:pt x="939" y="0"/>
                                </a:lnTo>
                                <a:close/>
                              </a:path>
                            </a:pathLst>
                          </a:custGeom>
                          <a:grpFill/>
                          <a:ln w="0">
                            <a:solidFill>
                              <a:srgbClr val="FFFFFF"/>
                            </a:solidFill>
                            <a:prstDash val="solid"/>
                            <a:round/>
                            <a:headEnd/>
                            <a:tailEnd/>
                          </a:ln>
                        </wps:spPr>
                        <wps:txbx>
                          <w:txbxContent>
                            <w:p w14:paraId="0AD95EE5" w14:textId="77777777" w:rsidR="00573C95" w:rsidRDefault="00573C95" w:rsidP="006C0266">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id="Group 4" o:spid="_x0000_s1405" style="position:absolute;margin-left:108pt;margin-top:.85pt;width:36pt;height:36.85pt;z-index:252851200" coordsize="1110,143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">
                <v:shape id="Freeform 6" o:spid="_x0000_s1406" style="position:absolute;top:663;width:1110;height:771;visibility:visible;mso-wrap-style:square;v-text-anchor:top" coordsize="3331,2313"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FyMpxQAA&#10;ANwAAAAPAAAAZHJzL2Rvd25yZXYueG1sRI9PawIxFMTvBb9DeEJvNauC1dUoIgg9ePEPFG/PzXM3&#10;unlZkqirn74pFHocZuY3zGzR2lrcyQfjWEG/l4EgLpw2XCo47NcfYxAhImusHZOCJwVYzDtvM8y1&#10;e/CW7rtYigThkKOCKsYmlzIUFVkMPdcQJ+/svMWYpC+l9vhIcFvLQZaNpEXDaaHChlYVFdfdzSr4&#10;fJnLZXDy6+Fm8n0wLR6He39U6r3bLqcgIrXxP/zX/tIKRv0J/J5JR0DO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gXIynFAAAA3AAAAA8AAAAAAAAAAAAAAAAAlwIAAGRycy9k&#10;b3ducmV2LnhtbFBLBQYAAAAABAAEAPUAAACJAwAAAAA=&#10;" adj="-11796480,,5400" path="m1666,187l1645,191,1627,200,1495,296,1481,310,1472,330,1469,351,1503,1638,1505,1654,1511,1669,1607,1848,1619,1862,1632,1873,1648,1881,1666,1882,1684,1881,1699,1873,1714,1862,1725,1848,1821,1669,1827,1654,1829,1638,1862,351,1860,330,1850,310,1836,296,1705,200,1686,191,1666,187xm1482,0l1506,1,1529,9,1548,23,1567,43,1588,65,1608,89,1628,109,1646,125,1666,134,1686,125,1705,109,1725,89,1743,68,1764,43,1784,23,1804,9,1827,1,1850,,1960,11,2065,24,2167,41,2265,62,2358,88,2446,115,2530,146,2609,180,2682,217,2751,257,2813,300,2869,345,2919,392,2963,443,2999,496,3001,500,3007,510,3016,528,3028,549,3043,577,3058,610,3076,647,3096,689,3115,736,3137,785,3158,839,3179,896,3201,956,3221,1018,3241,1083,3261,1151,3278,1220,3293,1290,3306,1363,3318,1436,3326,1508,3330,1583,3331,1657,3329,1730,3323,1804,3311,1877,3296,1949,3276,2019,3249,2086,3217,2153,3179,2218,3135,2280,3121,2294,3103,2304,3085,2310,3065,2313,268,2313,248,2310,229,2304,212,2293,197,2280,152,2216,114,2151,82,2082,56,2013,34,1942,19,1869,8,1795,1,1721,,1648,,1642,1,1571,7,1495,16,1421,28,1347,41,1275,57,1204,76,1133,94,1066,115,1001,136,939,159,879,180,822,201,769,223,720,244,675,262,635,279,599,295,567,309,542,319,522,326,508,331,501,368,447,412,396,462,347,518,302,581,259,649,219,723,180,803,146,886,115,975,88,1068,62,1166,41,1268,24,1374,9,1482,0xe" filled="f" strokecolor="white" strokeweight="0">
                  <v:stroke joinstyle="round"/>
                  <v:formulas/>
                  <v:path arrowok="t" o:connecttype="custom" o:connectlocs="542,67;491,110;502,551;540,621;555,627;571,621;609,551;620,110;568,67;494,0;516,8;536,30;555,45;575,30;594,8;616,0;722,14;815,38;894,72;956,115;999,165;1005,176;1019,203;1038,245;1059,299;1080,361;1097,430;1108,503;1109,577;1098,650;1072,718;1040,765;1021,771;76,768;51,739;19,671;3,598;0,547;5,474;19,401;38,334;60,274;81,225;98,189;109,169;137,132;194,86;268,49;356,21;458,3" o:connectangles="0,0,0,0,0,0,0,0,0,0,0,0,0,0,0,0,0,0,0,0,0,0,0,0,0,0,0,0,0,0,0,0,0,0,0,0,0,0,0,0,0,0,0,0,0,0,0,0,0,0" textboxrect="0,0,3331,2313"/>
                  <o:lock v:ext="edit" verticies="t"/>
                  <v:textbox>
                    <w:txbxContent>
                      <w:p w14:paraId="485BF52B" w14:textId="77777777" w:rsidR="001501D6" w:rsidRDefault="001501D6" w:rsidP="006C0266">
                        <w:pPr>
                          <w:rPr>
                            <w:rFonts w:eastAsia="Times New Roman"/>
                          </w:rPr>
                        </w:pPr>
                      </w:p>
                    </w:txbxContent>
                  </v:textbox>
                </v:shape>
                <v:shape id="Freeform 7" o:spid="_x0000_s1407" style="position:absolute;left:237;width:626;height:626;visibility:visible;mso-wrap-style:square;v-text-anchor:top" coordsize="1877,1878"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" adj="-11796480,,5400" path="m939,0l939,,1024,4,1108,15,1188,34,1267,59,1341,91,1412,128,1480,172,1543,221,1603,275,1657,335,1706,399,1750,466,1787,538,1819,612,1844,690,1863,771,1875,853,1877,939,1875,1024,1863,1108,1844,1189,1819,1267,1787,1341,1750,1413,1706,1480,1657,1544,1603,1603,1543,1656,1480,1707,1412,1749,1341,1788,1267,1819,1188,1845,1108,1863,1024,1874,939,1878,855,1874,771,1863,690,1845,612,1819,538,1788,467,1749,399,1707,335,1656,276,1603,221,1544,172,1480,129,1413,92,1341,60,1267,35,1189,16,1108,4,1024,,939,4,853,16,771,35,690,60,612,92,538,129,466,172,399,221,335,276,275,335,221,399,172,467,128,538,91,612,59,690,34,771,15,855,4,939,0xe" filled="f" strokecolor="white" strokeweight="0">
                  <v:stroke joinstyle="round"/>
                  <v:formulas/>
                  <v:path arrowok="t" o:connecttype="custom" o:connectlocs="313,0;370,5;423,20;471,43;515,74;553,112;584,155;607,204;621,257;626,313;621,369;607,422;584,471;553,515;515,552;471,583;423,606;370,621;313,626;257,621;204,606;156,583;112,552;74,515;43,471;20,422;5,369;0,313;5,257;20,204;43,155;74,112;112,74;156,43;204,20;257,5;313,0" o:connectangles="0,0,0,0,0,0,0,0,0,0,0,0,0,0,0,0,0,0,0,0,0,0,0,0,0,0,0,0,0,0,0,0,0,0,0,0,0" textboxrect="0,0,1877,1878"/>
                  <v:textbox>
                    <w:txbxContent>
                      <w:p w14:paraId="0AD95EE5" w14:textId="77777777" w:rsidR="001501D6" w:rsidRDefault="001501D6" w:rsidP="006C0266">
                        <w:pPr>
                          <w:rPr>
                            <w:rFonts w:eastAsia="Times New Roman"/>
                          </w:rPr>
                        </w:pPr>
                      </w:p>
                    </w:txbxContent>
                  </v:textbox>
                </v:shape>
              </v:group>
            </w:pict>
          </mc:Fallback>
        </mc:AlternateContent>
      </w:r>
      <w:r>
        <w:t>L'EMRPUNT</w:t>
      </w:r>
    </w:p>
    <w:p w14:paraId="67CF5DE7" w14:textId="20E10916" w:rsidR="00A24E80" w:rsidRDefault="00825C3D">
      <w:r>
        <w:rPr>
          <w:noProof/>
          <w:lang w:eastAsia="fr-FR"/>
        </w:rPr>
        <mc:AlternateContent>
          <mc:Choice Requires="wps">
            <w:drawing>
              <wp:anchor distT="0" distB="0" distL="114300" distR="114300" simplePos="0" relativeHeight="252861440" behindDoc="0" locked="0" layoutInCell="1" allowOverlap="1" wp14:anchorId="56F6215C" wp14:editId="7FEE5903">
                <wp:simplePos x="0" y="0"/>
                <wp:positionH relativeFrom="column">
                  <wp:posOffset>2171700</wp:posOffset>
                </wp:positionH>
                <wp:positionV relativeFrom="paragraph">
                  <wp:posOffset>135890</wp:posOffset>
                </wp:positionV>
                <wp:extent cx="1828800" cy="571500"/>
                <wp:effectExtent l="76200" t="76200" r="50800" b="63500"/>
                <wp:wrapThrough wrapText="bothSides">
                  <wp:wrapPolygon edited="0">
                    <wp:start x="17400" y="-2880"/>
                    <wp:lineTo x="-900" y="-960"/>
                    <wp:lineTo x="-900" y="14400"/>
                    <wp:lineTo x="17100" y="21120"/>
                    <wp:lineTo x="17400" y="23040"/>
                    <wp:lineTo x="19200" y="23040"/>
                    <wp:lineTo x="19500" y="21120"/>
                    <wp:lineTo x="21900" y="12480"/>
                    <wp:lineTo x="21000" y="5760"/>
                    <wp:lineTo x="19200" y="-2880"/>
                    <wp:lineTo x="17400" y="-2880"/>
                  </wp:wrapPolygon>
                </wp:wrapThrough>
                <wp:docPr id="643" name="Flèche vers la droite 643"/>
                <wp:cNvGraphicFramePr/>
                <a:graphic xmlns:a="http://schemas.openxmlformats.org/drawingml/2006/main">
                  <a:graphicData uri="http://schemas.microsoft.com/office/word/2010/wordprocessingShape">
                    <wps:wsp>
                      <wps:cNvSpPr/>
                      <wps:spPr>
                        <a:xfrm>
                          <a:off x="0" y="0"/>
                          <a:ext cx="1828800" cy="571500"/>
                        </a:xfrm>
                        <a:prstGeom prst="rightArrow">
                          <a:avLst/>
                        </a:prstGeom>
                        <a:solidFill>
                          <a:schemeClr val="accent3"/>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B22318A" w14:textId="6172216C" w:rsidR="00573C95" w:rsidRPr="00FE2EB4" w:rsidRDefault="00573C95" w:rsidP="00B015A9">
                            <w:pPr>
                              <w:jc w:val="center"/>
                              <w:rPr>
                                <w:sz w:val="20"/>
                                <w:szCs w:val="20"/>
                              </w:rPr>
                            </w:pPr>
                            <w:r w:rsidRPr="00FE2EB4">
                              <w:rPr>
                                <w:sz w:val="20"/>
                                <w:szCs w:val="20"/>
                              </w:rPr>
                              <w:t>Dettes en actions courtage</w:t>
                            </w:r>
                          </w:p>
                        </w:txbxContent>
                      </wps:txbx>
                      <wps:bodyPr/>
                    </wps:wsp>
                  </a:graphicData>
                </a:graphic>
                <wp14:sizeRelH relativeFrom="margin">
                  <wp14:pctWidth>0</wp14:pctWidth>
                </wp14:sizeRelH>
                <wp14:sizeRelV relativeFrom="margin">
                  <wp14:pctHeight>0</wp14:pctHeight>
                </wp14:sizeRelV>
              </wp:anchor>
            </w:drawing>
          </mc:Choice>
          <mc:Fallback>
            <w:pict>
              <v:shape id="Flèche vers la droite 643" o:spid="_x0000_s1408" type="#_x0000_t13" style="position:absolute;margin-left:171pt;margin-top:10.7pt;width:2in;height:45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" adj="18225" fillcolor="#ff6700 [3206]">
                <v:textbox>
                  <w:txbxContent>
                    <w:p w14:paraId="6B22318A" w14:textId="6172216C" w:rsidR="001501D6" w:rsidRPr="00FE2EB4" w:rsidRDefault="001501D6" w:rsidP="00B015A9">
                      <w:pPr>
                        <w:jc w:val="center"/>
                        <w:rPr>
                          <w:sz w:val="20"/>
                          <w:szCs w:val="20"/>
                        </w:rPr>
                      </w:pPr>
                      <w:r w:rsidRPr="00FE2EB4">
                        <w:rPr>
                          <w:sz w:val="20"/>
                          <w:szCs w:val="20"/>
                        </w:rPr>
                        <w:t>Dettes en actions courtage</w:t>
                      </w:r>
                    </w:p>
                  </w:txbxContent>
                </v:textbox>
                <w10:wrap type="through"/>
              </v:shape>
            </w:pict>
          </mc:Fallback>
        </mc:AlternateContent>
      </w:r>
      <w:r w:rsidR="00160CA6">
        <w:rPr>
          <w:noProof/>
          <w:lang w:eastAsia="fr-FR"/>
        </w:rPr>
        <mc:AlternateContent>
          <mc:Choice Requires="wps">
            <w:drawing>
              <wp:anchor distT="0" distB="0" distL="114300" distR="114300" simplePos="0" relativeHeight="252863488" behindDoc="0" locked="0" layoutInCell="1" allowOverlap="1" wp14:anchorId="22E515EF" wp14:editId="32914811">
                <wp:simplePos x="0" y="0"/>
                <wp:positionH relativeFrom="column">
                  <wp:posOffset>6772275</wp:posOffset>
                </wp:positionH>
                <wp:positionV relativeFrom="paragraph">
                  <wp:posOffset>27305</wp:posOffset>
                </wp:positionV>
                <wp:extent cx="661035" cy="685800"/>
                <wp:effectExtent l="50800" t="76200" r="50165" b="76200"/>
                <wp:wrapThrough wrapText="bothSides">
                  <wp:wrapPolygon edited="0">
                    <wp:start x="-1660" y="-2400"/>
                    <wp:lineTo x="-1660" y="23200"/>
                    <wp:lineTo x="22409" y="23200"/>
                    <wp:lineTo x="22409" y="-2400"/>
                    <wp:lineTo x="-1660" y="-2400"/>
                  </wp:wrapPolygon>
                </wp:wrapThrough>
                <wp:docPr id="644" name="Rectangle à coins arrondis 644"/>
                <wp:cNvGraphicFramePr/>
                <a:graphic xmlns:a="http://schemas.openxmlformats.org/drawingml/2006/main">
                  <a:graphicData uri="http://schemas.microsoft.com/office/word/2010/wordprocessingShape">
                    <wps:wsp>
                      <wps:cNvSpPr/>
                      <wps:spPr>
                        <a:xfrm>
                          <a:off x="0" y="0"/>
                          <a:ext cx="661035" cy="685800"/>
                        </a:xfrm>
                        <a:prstGeom prst="round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580EDC8" w14:textId="77777777" w:rsidR="00573C95" w:rsidRDefault="00573C95" w:rsidP="00FE2EB4">
                            <w:pPr>
                              <w:jc w:val="center"/>
                            </w:pPr>
                          </w:p>
                          <w:p w14:paraId="31DA8789" w14:textId="278E65B8" w:rsidR="00573C95" w:rsidRPr="00FE2EB4" w:rsidRDefault="00573C95" w:rsidP="00FE2EB4">
                            <w:pPr>
                              <w:jc w:val="center"/>
                              <w:rPr>
                                <w:sz w:val="44"/>
                                <w:szCs w:val="44"/>
                              </w:rPr>
                            </w:pPr>
                            <w:r w:rsidRPr="00FE2EB4">
                              <w:rPr>
                                <w:sz w:val="44"/>
                                <w:szCs w:val="44"/>
                              </w:rPr>
                              <w:t>12</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44" o:spid="_x0000_s1409" style="position:absolute;margin-left:533.25pt;margin-top:2.15pt;width:52.05pt;height:54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" fillcolor="maroon">
                <v:textbox>
                  <w:txbxContent>
                    <w:p w14:paraId="5580EDC8" w14:textId="77777777" w:rsidR="001501D6" w:rsidRDefault="001501D6" w:rsidP="00FE2EB4">
                      <w:pPr>
                        <w:jc w:val="center"/>
                      </w:pPr>
                    </w:p>
                    <w:p w14:paraId="31DA8789" w14:textId="278E65B8" w:rsidR="001501D6" w:rsidRPr="00FE2EB4" w:rsidRDefault="001501D6" w:rsidP="00FE2EB4">
                      <w:pPr>
                        <w:jc w:val="center"/>
                        <w:rPr>
                          <w:sz w:val="44"/>
                          <w:szCs w:val="44"/>
                        </w:rPr>
                      </w:pPr>
                      <w:r w:rsidRPr="00FE2EB4">
                        <w:rPr>
                          <w:sz w:val="44"/>
                          <w:szCs w:val="44"/>
                        </w:rPr>
                        <w:t>12</w:t>
                      </w:r>
                    </w:p>
                  </w:txbxContent>
                </v:textbox>
                <w10:wrap type="through"/>
              </v:roundrect>
            </w:pict>
          </mc:Fallback>
        </mc:AlternateContent>
      </w:r>
      <w:r w:rsidR="00160CA6">
        <w:rPr>
          <w:noProof/>
          <w:lang w:eastAsia="fr-FR"/>
        </w:rPr>
        <mc:AlternateContent>
          <mc:Choice Requires="wps">
            <w:drawing>
              <wp:anchor distT="0" distB="0" distL="114300" distR="114300" simplePos="0" relativeHeight="252865536" behindDoc="0" locked="0" layoutInCell="1" allowOverlap="1" wp14:anchorId="35961408" wp14:editId="7EF847AA">
                <wp:simplePos x="0" y="0"/>
                <wp:positionH relativeFrom="column">
                  <wp:posOffset>6772275</wp:posOffset>
                </wp:positionH>
                <wp:positionV relativeFrom="paragraph">
                  <wp:posOffset>27305</wp:posOffset>
                </wp:positionV>
                <wp:extent cx="661035" cy="290830"/>
                <wp:effectExtent l="0" t="0" r="24765" b="13970"/>
                <wp:wrapThrough wrapText="bothSides">
                  <wp:wrapPolygon edited="0">
                    <wp:start x="0" y="0"/>
                    <wp:lineTo x="0" y="20751"/>
                    <wp:lineTo x="21579" y="20751"/>
                    <wp:lineTo x="21579" y="0"/>
                    <wp:lineTo x="0" y="0"/>
                  </wp:wrapPolygon>
                </wp:wrapThrough>
                <wp:docPr id="645" name="Rectangle à coins arrondis 645"/>
                <wp:cNvGraphicFramePr/>
                <a:graphic xmlns:a="http://schemas.openxmlformats.org/drawingml/2006/main">
                  <a:graphicData uri="http://schemas.microsoft.com/office/word/2010/wordprocessingShape">
                    <wps:wsp>
                      <wps:cNvSpPr/>
                      <wps:spPr>
                        <a:xfrm>
                          <a:off x="0" y="0"/>
                          <a:ext cx="661035" cy="290830"/>
                        </a:xfrm>
                        <a:prstGeom prst="roundRect">
                          <a:avLst/>
                        </a:prstGeom>
                        <a:solidFill>
                          <a:schemeClr val="accent4"/>
                        </a:solidFill>
                        <a:ln>
                          <a:solidFill>
                            <a:schemeClr val="tx1"/>
                          </a:solidFill>
                        </a:ln>
                      </wps:spPr>
                      <wps:style>
                        <a:lnRef idx="3">
                          <a:schemeClr val="lt1"/>
                        </a:lnRef>
                        <a:fillRef idx="1">
                          <a:schemeClr val="dk1"/>
                        </a:fillRef>
                        <a:effectRef idx="1">
                          <a:schemeClr val="dk1"/>
                        </a:effectRef>
                        <a:fontRef idx="minor">
                          <a:schemeClr val="lt1"/>
                        </a:fontRef>
                      </wps:style>
                      <wps:txbx>
                        <w:txbxContent>
                          <w:p w14:paraId="0A98FEF1" w14:textId="4AC5A16B" w:rsidR="00573C95" w:rsidRPr="00FE2EB4" w:rsidRDefault="00573C95" w:rsidP="00FE2EB4">
                            <w:pPr>
                              <w:jc w:val="center"/>
                              <w:rPr>
                                <w:color w:val="000000" w:themeColor="text1"/>
                              </w:rPr>
                            </w:pPr>
                            <w:r>
                              <w:rPr>
                                <w:color w:val="000000" w:themeColor="text1"/>
                              </w:rPr>
                              <w:t>MAI</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45" o:spid="_x0000_s1410" style="position:absolute;margin-left:533.25pt;margin-top:2.15pt;width:52.05pt;height:22.9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" fillcolor="#909465 [3207]" strokecolor="black [3213]" strokeweight="1.75pt">
                <v:textbox>
                  <w:txbxContent>
                    <w:p w14:paraId="0A98FEF1" w14:textId="4AC5A16B" w:rsidR="001501D6" w:rsidRPr="00FE2EB4" w:rsidRDefault="001501D6" w:rsidP="00FE2EB4">
                      <w:pPr>
                        <w:jc w:val="center"/>
                        <w:rPr>
                          <w:color w:val="000000" w:themeColor="text1"/>
                        </w:rPr>
                      </w:pPr>
                      <w:r>
                        <w:rPr>
                          <w:color w:val="000000" w:themeColor="text1"/>
                        </w:rPr>
                        <w:t>MAI</w:t>
                      </w:r>
                    </w:p>
                  </w:txbxContent>
                </v:textbox>
                <w10:wrap type="through"/>
              </v:roundrect>
            </w:pict>
          </mc:Fallback>
        </mc:AlternateContent>
      </w:r>
    </w:p>
    <w:p w14:paraId="1952557A" w14:textId="6DFE6421" w:rsidR="00A24E80" w:rsidRDefault="00A24E80"/>
    <w:p w14:paraId="224F1DCA" w14:textId="77777777" w:rsidR="00CA6FFD" w:rsidRDefault="00CA6FFD"/>
    <w:p w14:paraId="50368B13" w14:textId="77777777" w:rsidR="00CA6FFD" w:rsidRDefault="00CA6FFD"/>
    <w:p w14:paraId="64181305" w14:textId="77777777" w:rsidR="00740203" w:rsidRDefault="00740203"/>
    <w:p w14:paraId="3995586B" w14:textId="77777777" w:rsidR="000E4CC6" w:rsidRDefault="000E4CC6"/>
    <w:p w14:paraId="316DD7CA" w14:textId="77777777" w:rsidR="000E4CC6" w:rsidRDefault="000E4CC6"/>
    <w:p w14:paraId="5DFC2ED5" w14:textId="77777777" w:rsidR="000E4CC6" w:rsidRDefault="000E4CC6"/>
    <w:p w14:paraId="0A9EA167" w14:textId="77777777" w:rsidR="00740203" w:rsidRDefault="00740203"/>
    <w:p w14:paraId="578236AF" w14:textId="52CB9F33" w:rsidR="00CA6FFD" w:rsidRDefault="00CA6FFD"/>
    <w:p w14:paraId="3978CF29" w14:textId="4297F955" w:rsidR="00CA6FFD" w:rsidRDefault="00CA6FFD">
      <w:r>
        <w:rPr>
          <w:noProof/>
          <w:lang w:eastAsia="fr-FR"/>
        </w:rPr>
        <mc:AlternateContent>
          <mc:Choice Requires="wps">
            <w:drawing>
              <wp:anchor distT="0" distB="0" distL="114300" distR="114300" simplePos="0" relativeHeight="252873728" behindDoc="0" locked="0" layoutInCell="1" allowOverlap="1" wp14:anchorId="238A86A9" wp14:editId="6651D9D8">
                <wp:simplePos x="0" y="0"/>
                <wp:positionH relativeFrom="column">
                  <wp:posOffset>-685800</wp:posOffset>
                </wp:positionH>
                <wp:positionV relativeFrom="paragraph">
                  <wp:posOffset>344170</wp:posOffset>
                </wp:positionV>
                <wp:extent cx="457200" cy="457200"/>
                <wp:effectExtent l="0" t="0" r="25400" b="25400"/>
                <wp:wrapNone/>
                <wp:docPr id="649" name="Ellipse 649"/>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AB02DD6" w14:textId="5D7368AB" w:rsidR="00573C95" w:rsidRPr="00BF5FC4" w:rsidRDefault="00573C95" w:rsidP="00CA6FFD">
                            <w:pPr>
                              <w:jc w:val="center"/>
                              <w:rPr>
                                <w:color w:val="FFFFFF" w:themeColor="background1"/>
                              </w:rPr>
                            </w:pPr>
                            <w:r>
                              <w:rPr>
                                <w:color w:val="FFFFFF" w:themeColor="background1"/>
                              </w:rPr>
                              <w:t>244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49" o:spid="_x0000_s1411" style="position:absolute;margin-left:-53.95pt;margin-top:27.1pt;width:36pt;height:36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" fillcolor="black [3200]" strokecolor="white [3201]" strokeweight="1.75pt">
                <v:textbox>
                  <w:txbxContent>
                    <w:p w14:paraId="6AB02DD6" w14:textId="5D7368AB" w:rsidR="001501D6" w:rsidRPr="00BF5FC4" w:rsidRDefault="001501D6" w:rsidP="00CA6FFD">
                      <w:pPr>
                        <w:jc w:val="center"/>
                        <w:rPr>
                          <w:color w:val="FFFFFF" w:themeColor="background1"/>
                        </w:rPr>
                      </w:pPr>
                      <w:r>
                        <w:rPr>
                          <w:color w:val="FFFFFF" w:themeColor="background1"/>
                        </w:rPr>
                        <w:t>244</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2874752" behindDoc="0" locked="0" layoutInCell="1" allowOverlap="1" wp14:anchorId="474B15E0" wp14:editId="287907D4">
                <wp:simplePos x="0" y="0"/>
                <wp:positionH relativeFrom="column">
                  <wp:posOffset>3657600</wp:posOffset>
                </wp:positionH>
                <wp:positionV relativeFrom="paragraph">
                  <wp:posOffset>116205</wp:posOffset>
                </wp:positionV>
                <wp:extent cx="1485900" cy="914400"/>
                <wp:effectExtent l="0" t="0" r="0" b="0"/>
                <wp:wrapSquare wrapText="bothSides"/>
                <wp:docPr id="650" name="Zone de texte 650"/>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D9E32C" w14:textId="53D34601" w:rsidR="00573C95" w:rsidRDefault="00573C95" w:rsidP="00CA6FFD">
                            <w:pPr>
                              <w:jc w:val="center"/>
                            </w:pPr>
                            <w:r>
                              <w:t>Le Marché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50" o:spid="_x0000_s1412" type="#_x0000_t202" style="position:absolute;margin-left:4in;margin-top:9.15pt;width:117pt;height:1in;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" filled="f" stroked="f">
                <v:textbox>
                  <w:txbxContent>
                    <w:p w14:paraId="0FD9E32C" w14:textId="53D34601" w:rsidR="001501D6" w:rsidRDefault="001501D6" w:rsidP="00CA6FFD">
                      <w:pPr>
                        <w:jc w:val="center"/>
                      </w:pPr>
                      <w:r>
                        <w:t>Le Marché</w:t>
                      </w:r>
                    </w:p>
                  </w:txbxContent>
                </v:textbox>
                <w10:wrap type="square"/>
              </v:shape>
            </w:pict>
          </mc:Fallback>
        </mc:AlternateContent>
      </w:r>
      <w:r>
        <w:rPr>
          <w:noProof/>
          <w:lang w:eastAsia="fr-FR"/>
        </w:rPr>
        <mc:AlternateContent>
          <mc:Choice Requires="wps">
            <w:drawing>
              <wp:anchor distT="0" distB="0" distL="114300" distR="114300" simplePos="0" relativeHeight="252875776" behindDoc="0" locked="0" layoutInCell="1" allowOverlap="1" wp14:anchorId="74C3AF12" wp14:editId="6B57F5AE">
                <wp:simplePos x="0" y="0"/>
                <wp:positionH relativeFrom="column">
                  <wp:posOffset>914400</wp:posOffset>
                </wp:positionH>
                <wp:positionV relativeFrom="paragraph">
                  <wp:posOffset>116205</wp:posOffset>
                </wp:positionV>
                <wp:extent cx="1485900" cy="914400"/>
                <wp:effectExtent l="0" t="0" r="0" b="0"/>
                <wp:wrapNone/>
                <wp:docPr id="651" name="Zone de texte 651"/>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03CDFE" w14:textId="77777777" w:rsidR="00573C95" w:rsidRDefault="00573C95" w:rsidP="00CA6FFD">
                            <w:pPr>
                              <w:jc w:val="center"/>
                            </w:pPr>
                            <w:r>
                              <w:t>Investisseur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51" o:spid="_x0000_s1413" type="#_x0000_t202" style="position:absolute;margin-left:1in;margin-top:9.15pt;width:117pt;height:1in;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" filled="f" stroked="f">
                <v:textbox>
                  <w:txbxContent>
                    <w:p w14:paraId="7B03CDFE" w14:textId="77777777" w:rsidR="001501D6" w:rsidRDefault="001501D6" w:rsidP="00CA6FFD">
                      <w:pPr>
                        <w:jc w:val="center"/>
                      </w:pPr>
                      <w:r>
                        <w:t>Investisseur</w:t>
                      </w:r>
                    </w:p>
                  </w:txbxContent>
                </v:textbox>
              </v:shape>
            </w:pict>
          </mc:Fallback>
        </mc:AlternateContent>
      </w:r>
      <w:r>
        <w:rPr>
          <w:noProof/>
          <w:lang w:eastAsia="fr-FR"/>
        </w:rPr>
        <mc:AlternateContent>
          <mc:Choice Requires="wps">
            <w:drawing>
              <wp:anchor distT="0" distB="0" distL="114300" distR="114300" simplePos="0" relativeHeight="252876800" behindDoc="0" locked="0" layoutInCell="1" allowOverlap="1" wp14:anchorId="76CDADA2" wp14:editId="61117511">
                <wp:simplePos x="0" y="0"/>
                <wp:positionH relativeFrom="column">
                  <wp:posOffset>2057400</wp:posOffset>
                </wp:positionH>
                <wp:positionV relativeFrom="paragraph">
                  <wp:posOffset>230505</wp:posOffset>
                </wp:positionV>
                <wp:extent cx="1828800" cy="571500"/>
                <wp:effectExtent l="76200" t="76200" r="76200" b="63500"/>
                <wp:wrapNone/>
                <wp:docPr id="652" name="Flèche vers la gauche 652"/>
                <wp:cNvGraphicFramePr/>
                <a:graphic xmlns:a="http://schemas.openxmlformats.org/drawingml/2006/main">
                  <a:graphicData uri="http://schemas.microsoft.com/office/word/2010/wordprocessingShape">
                    <wps:wsp>
                      <wps:cNvSpPr/>
                      <wps:spPr>
                        <a:xfrm>
                          <a:off x="0" y="0"/>
                          <a:ext cx="1828800" cy="571500"/>
                        </a:xfrm>
                        <a:prstGeom prst="leftArrow">
                          <a:avLst/>
                        </a:prstGeom>
                        <a:solidFill>
                          <a:srgbClr val="7D801D"/>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5E59BB9" w14:textId="2077F1B8" w:rsidR="00573C95" w:rsidRPr="00B015A9" w:rsidRDefault="00573C95" w:rsidP="00CA6FFD">
                            <w:pPr>
                              <w:jc w:val="center"/>
                              <w:rPr>
                                <w:sz w:val="20"/>
                                <w:szCs w:val="20"/>
                              </w:rPr>
                            </w:pPr>
                            <w:r>
                              <w:rPr>
                                <w:sz w:val="20"/>
                                <w:szCs w:val="20"/>
                              </w:rPr>
                              <w:t>Dollars encaissés</w:t>
                            </w:r>
                            <w:r w:rsidRPr="00B015A9">
                              <w:rPr>
                                <w:sz w:val="20"/>
                                <w:szCs w:val="20"/>
                              </w:rPr>
                              <w:t xml:space="preserve"> empruntées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652" o:spid="_x0000_s1414" type="#_x0000_t66" style="position:absolute;margin-left:162pt;margin-top:18.15pt;width:2in;height:45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" adj="3375" fillcolor="#7d801d">
                <v:textbox>
                  <w:txbxContent>
                    <w:p w14:paraId="65E59BB9" w14:textId="2077F1B8" w:rsidR="001501D6" w:rsidRPr="00B015A9" w:rsidRDefault="001501D6" w:rsidP="00CA6FFD">
                      <w:pPr>
                        <w:jc w:val="center"/>
                        <w:rPr>
                          <w:sz w:val="20"/>
                          <w:szCs w:val="20"/>
                        </w:rPr>
                      </w:pPr>
                      <w:r>
                        <w:rPr>
                          <w:sz w:val="20"/>
                          <w:szCs w:val="20"/>
                        </w:rPr>
                        <w:t>Dollars encaissés</w:t>
                      </w:r>
                      <w:r w:rsidRPr="00B015A9">
                        <w:rPr>
                          <w:sz w:val="20"/>
                          <w:szCs w:val="20"/>
                        </w:rPr>
                        <w:t xml:space="preserve"> empruntées</w:t>
                      </w:r>
                    </w:p>
                  </w:txbxContent>
                </v:textbox>
              </v:shape>
            </w:pict>
          </mc:Fallback>
        </mc:AlternateContent>
      </w:r>
      <w:r>
        <w:rPr>
          <w:noProof/>
          <w:lang w:eastAsia="fr-FR"/>
        </w:rPr>
        <mc:AlternateContent>
          <mc:Choice Requires="wps">
            <w:drawing>
              <wp:anchor distT="0" distB="0" distL="114300" distR="114300" simplePos="0" relativeHeight="252877824" behindDoc="0" locked="0" layoutInCell="1" allowOverlap="1" wp14:anchorId="31AD3E2E" wp14:editId="39D45939">
                <wp:simplePos x="0" y="0"/>
                <wp:positionH relativeFrom="column">
                  <wp:posOffset>2171700</wp:posOffset>
                </wp:positionH>
                <wp:positionV relativeFrom="paragraph">
                  <wp:posOffset>802005</wp:posOffset>
                </wp:positionV>
                <wp:extent cx="1828800" cy="571500"/>
                <wp:effectExtent l="76200" t="76200" r="50800" b="63500"/>
                <wp:wrapThrough wrapText="bothSides">
                  <wp:wrapPolygon edited="0">
                    <wp:start x="17400" y="-2880"/>
                    <wp:lineTo x="-900" y="-960"/>
                    <wp:lineTo x="-900" y="14400"/>
                    <wp:lineTo x="17100" y="21120"/>
                    <wp:lineTo x="17400" y="23040"/>
                    <wp:lineTo x="19200" y="23040"/>
                    <wp:lineTo x="19500" y="21120"/>
                    <wp:lineTo x="21900" y="12480"/>
                    <wp:lineTo x="21000" y="5760"/>
                    <wp:lineTo x="19200" y="-2880"/>
                    <wp:lineTo x="17400" y="-2880"/>
                  </wp:wrapPolygon>
                </wp:wrapThrough>
                <wp:docPr id="653" name="Flèche vers la droite 653"/>
                <wp:cNvGraphicFramePr/>
                <a:graphic xmlns:a="http://schemas.openxmlformats.org/drawingml/2006/main">
                  <a:graphicData uri="http://schemas.microsoft.com/office/word/2010/wordprocessingShape">
                    <wps:wsp>
                      <wps:cNvSpPr/>
                      <wps:spPr>
                        <a:xfrm>
                          <a:off x="0" y="0"/>
                          <a:ext cx="1828800" cy="571500"/>
                        </a:xfrm>
                        <a:prstGeom prst="rightArrow">
                          <a:avLst/>
                        </a:prstGeom>
                        <a:solidFill>
                          <a:schemeClr val="accent3"/>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8DAD1F4" w14:textId="7675A7B2" w:rsidR="00573C95" w:rsidRPr="00FE2EB4" w:rsidRDefault="00573C95" w:rsidP="00CA6FFD">
                            <w:pPr>
                              <w:jc w:val="center"/>
                              <w:rPr>
                                <w:sz w:val="20"/>
                                <w:szCs w:val="20"/>
                              </w:rPr>
                            </w:pPr>
                            <w:r>
                              <w:rPr>
                                <w:sz w:val="20"/>
                                <w:szCs w:val="20"/>
                              </w:rPr>
                              <w:t>Vente des actions</w:t>
                            </w:r>
                          </w:p>
                        </w:txbxContent>
                      </wps:txbx>
                      <wps:bodyPr/>
                    </wps:wsp>
                  </a:graphicData>
                </a:graphic>
                <wp14:sizeRelH relativeFrom="margin">
                  <wp14:pctWidth>0</wp14:pctWidth>
                </wp14:sizeRelH>
                <wp14:sizeRelV relativeFrom="margin">
                  <wp14:pctHeight>0</wp14:pctHeight>
                </wp14:sizeRelV>
              </wp:anchor>
            </w:drawing>
          </mc:Choice>
          <mc:Fallback>
            <w:pict>
              <v:shape id="Flèche vers la droite 653" o:spid="_x0000_s1415" type="#_x0000_t13" style="position:absolute;margin-left:171pt;margin-top:63.15pt;width:2in;height:4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" adj="18225" fillcolor="#ff6700 [3206]">
                <v:textbox>
                  <w:txbxContent>
                    <w:p w14:paraId="28DAD1F4" w14:textId="7675A7B2" w:rsidR="001501D6" w:rsidRPr="00FE2EB4" w:rsidRDefault="001501D6" w:rsidP="00CA6FFD">
                      <w:pPr>
                        <w:jc w:val="center"/>
                        <w:rPr>
                          <w:sz w:val="20"/>
                          <w:szCs w:val="20"/>
                        </w:rPr>
                      </w:pPr>
                      <w:r>
                        <w:rPr>
                          <w:sz w:val="20"/>
                          <w:szCs w:val="20"/>
                        </w:rPr>
                        <w:t>Vente des actions</w:t>
                      </w:r>
                    </w:p>
                  </w:txbxContent>
                </v:textbox>
                <w10:wrap type="through"/>
              </v:shape>
            </w:pict>
          </mc:Fallback>
        </mc:AlternateContent>
      </w:r>
      <w:r>
        <w:rPr>
          <w:noProof/>
          <w:lang w:eastAsia="fr-FR"/>
        </w:rPr>
        <mc:AlternateContent>
          <mc:Choice Requires="wps">
            <w:drawing>
              <wp:anchor distT="0" distB="0" distL="114300" distR="114300" simplePos="0" relativeHeight="252879872" behindDoc="0" locked="0" layoutInCell="1" allowOverlap="1" wp14:anchorId="39F3A7A5" wp14:editId="1DC675ED">
                <wp:simplePos x="0" y="0"/>
                <wp:positionH relativeFrom="column">
                  <wp:posOffset>5715000</wp:posOffset>
                </wp:positionH>
                <wp:positionV relativeFrom="paragraph">
                  <wp:posOffset>488950</wp:posOffset>
                </wp:positionV>
                <wp:extent cx="342900" cy="998220"/>
                <wp:effectExtent l="76200" t="76200" r="63500" b="68580"/>
                <wp:wrapThrough wrapText="bothSides">
                  <wp:wrapPolygon edited="0">
                    <wp:start x="-4800" y="-1649"/>
                    <wp:lineTo x="-4800" y="22534"/>
                    <wp:lineTo x="24000" y="22534"/>
                    <wp:lineTo x="24000" y="-1649"/>
                    <wp:lineTo x="-4800" y="-1649"/>
                  </wp:wrapPolygon>
                </wp:wrapThrough>
                <wp:docPr id="655" name="Rectangle à coins arrondis 655"/>
                <wp:cNvGraphicFramePr/>
                <a:graphic xmlns:a="http://schemas.openxmlformats.org/drawingml/2006/main">
                  <a:graphicData uri="http://schemas.microsoft.com/office/word/2010/wordprocessingShape">
                    <wps:wsp>
                      <wps:cNvSpPr/>
                      <wps:spPr>
                        <a:xfrm>
                          <a:off x="0" y="0"/>
                          <a:ext cx="342900" cy="998220"/>
                        </a:xfrm>
                        <a:prstGeom prst="roundRect">
                          <a:avLst/>
                        </a:prstGeom>
                        <a:solidFill>
                          <a:srgbClr val="628D8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D3F8C90" w14:textId="77777777" w:rsidR="00573C95" w:rsidRDefault="00573C95" w:rsidP="00CA6FFD">
                            <w:pPr>
                              <w:jc w:val="center"/>
                            </w:pPr>
                            <w:r>
                              <w:t>20 000 $</w:t>
                            </w:r>
                          </w:p>
                        </w:txbxContent>
                      </wps:txbx>
                      <wps:bodyPr vert="vert270"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55" o:spid="_x0000_s1416" style="position:absolute;margin-left:450pt;margin-top:38.5pt;width:27pt;height:78.6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" fillcolor="#628d81">
                <v:textbox style="layout-flow:vertical;mso-layout-flow-alt:bottom-to-top">
                  <w:txbxContent>
                    <w:p w14:paraId="7D3F8C90" w14:textId="77777777" w:rsidR="001501D6" w:rsidRDefault="001501D6" w:rsidP="00CA6FFD">
                      <w:pPr>
                        <w:jc w:val="center"/>
                      </w:pPr>
                      <w:r>
                        <w:t>20 000 $</w:t>
                      </w:r>
                    </w:p>
                  </w:txbxContent>
                </v:textbox>
                <w10:wrap type="through"/>
              </v:roundrect>
            </w:pict>
          </mc:Fallback>
        </mc:AlternateContent>
      </w:r>
      <w:r>
        <w:rPr>
          <w:noProof/>
          <w:lang w:eastAsia="fr-FR"/>
        </w:rPr>
        <mc:AlternateContent>
          <mc:Choice Requires="wps">
            <w:drawing>
              <wp:anchor distT="0" distB="0" distL="114300" distR="114300" simplePos="0" relativeHeight="252880896" behindDoc="0" locked="0" layoutInCell="1" allowOverlap="1" wp14:anchorId="0647FB53" wp14:editId="36CB1C31">
                <wp:simplePos x="0" y="0"/>
                <wp:positionH relativeFrom="column">
                  <wp:posOffset>5143500</wp:posOffset>
                </wp:positionH>
                <wp:positionV relativeFrom="paragraph">
                  <wp:posOffset>146685</wp:posOffset>
                </wp:positionV>
                <wp:extent cx="1485900" cy="914400"/>
                <wp:effectExtent l="0" t="0" r="0" b="0"/>
                <wp:wrapSquare wrapText="bothSides"/>
                <wp:docPr id="656" name="Zone de texte 656"/>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A115D6" w14:textId="77777777" w:rsidR="00573C95" w:rsidRDefault="00573C95" w:rsidP="00CA6FFD">
                            <w:pPr>
                              <w:jc w:val="center"/>
                            </w:pPr>
                            <w:r>
                              <w:t>JVM des actions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56" o:spid="_x0000_s1417" type="#_x0000_t202" style="position:absolute;margin-left:405pt;margin-top:11.55pt;width:117pt;height:1in;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" filled="f" stroked="f">
                <v:textbox>
                  <w:txbxContent>
                    <w:p w14:paraId="4FA115D6" w14:textId="77777777" w:rsidR="001501D6" w:rsidRDefault="001501D6" w:rsidP="00CA6FFD">
                      <w:pPr>
                        <w:jc w:val="center"/>
                      </w:pPr>
                      <w:r>
                        <w:t>JVM des actions</w:t>
                      </w:r>
                    </w:p>
                  </w:txbxContent>
                </v:textbox>
                <w10:wrap type="square"/>
              </v:shape>
            </w:pict>
          </mc:Fallback>
        </mc:AlternateContent>
      </w:r>
      <w:r>
        <w:rPr>
          <w:noProof/>
          <w:lang w:eastAsia="fr-FR"/>
        </w:rPr>
        <mc:AlternateContent>
          <mc:Choice Requires="wps">
            <w:drawing>
              <wp:anchor distT="0" distB="0" distL="114300" distR="114300" simplePos="0" relativeHeight="252881920" behindDoc="0" locked="0" layoutInCell="1" allowOverlap="1" wp14:anchorId="06FB1446" wp14:editId="0223FB5C">
                <wp:simplePos x="0" y="0"/>
                <wp:positionH relativeFrom="column">
                  <wp:posOffset>6400800</wp:posOffset>
                </wp:positionH>
                <wp:positionV relativeFrom="paragraph">
                  <wp:posOffset>146685</wp:posOffset>
                </wp:positionV>
                <wp:extent cx="1485900" cy="914400"/>
                <wp:effectExtent l="0" t="0" r="0" b="0"/>
                <wp:wrapSquare wrapText="bothSides"/>
                <wp:docPr id="657" name="Zone de texte 657"/>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9F2AAB" w14:textId="77777777" w:rsidR="00573C95" w:rsidRDefault="00573C95" w:rsidP="00CA6FFD">
                            <w:pPr>
                              <w:jc w:val="center"/>
                            </w:pPr>
                            <w:r>
                              <w:t>Date de</w:t>
                            </w:r>
                          </w:p>
                          <w:p w14:paraId="457E7D34" w14:textId="4034C94C" w:rsidR="00573C95" w:rsidRDefault="00573C95" w:rsidP="00CA6FFD">
                            <w:pPr>
                              <w:jc w:val="center"/>
                            </w:pPr>
                            <w:r>
                              <w:t xml:space="preserve"> </w:t>
                            </w:r>
                            <w:proofErr w:type="gramStart"/>
                            <w:r>
                              <w:t>la</w:t>
                            </w:r>
                            <w:proofErr w:type="gramEnd"/>
                            <w:r>
                              <w:t xml:space="preserve"> vente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57" o:spid="_x0000_s1418" type="#_x0000_t202" style="position:absolute;margin-left:7in;margin-top:11.55pt;width:117pt;height:1in;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" filled="f" stroked="f">
                <v:textbox>
                  <w:txbxContent>
                    <w:p w14:paraId="479F2AAB" w14:textId="77777777" w:rsidR="001501D6" w:rsidRDefault="001501D6" w:rsidP="00CA6FFD">
                      <w:pPr>
                        <w:jc w:val="center"/>
                      </w:pPr>
                      <w:r>
                        <w:t>Date de</w:t>
                      </w:r>
                    </w:p>
                    <w:p w14:paraId="457E7D34" w14:textId="4034C94C" w:rsidR="001501D6" w:rsidRDefault="001501D6" w:rsidP="00CA6FFD">
                      <w:pPr>
                        <w:jc w:val="center"/>
                      </w:pPr>
                      <w:r>
                        <w:t xml:space="preserve"> </w:t>
                      </w:r>
                      <w:proofErr w:type="gramStart"/>
                      <w:r>
                        <w:t>la</w:t>
                      </w:r>
                      <w:proofErr w:type="gramEnd"/>
                      <w:r>
                        <w:t xml:space="preserve"> vente</w:t>
                      </w:r>
                    </w:p>
                  </w:txbxContent>
                </v:textbox>
                <w10:wrap type="square"/>
              </v:shape>
            </w:pict>
          </mc:Fallback>
        </mc:AlternateContent>
      </w:r>
    </w:p>
    <w:p w14:paraId="6FDB3856" w14:textId="77777777" w:rsidR="00CA6FFD" w:rsidRDefault="00CA6FFD"/>
    <w:p w14:paraId="480D397F" w14:textId="00660934" w:rsidR="00CA6FFD" w:rsidRDefault="000E4CC6">
      <w:r w:rsidRPr="006C0266">
        <w:rPr>
          <w:noProof/>
          <w:lang w:eastAsia="fr-FR"/>
        </w:rPr>
        <mc:AlternateContent>
          <mc:Choice Requires="wpg">
            <w:drawing>
              <wp:anchor distT="0" distB="0" distL="114300" distR="114300" simplePos="0" relativeHeight="252887040" behindDoc="0" locked="0" layoutInCell="1" allowOverlap="1" wp14:anchorId="5EBD2621" wp14:editId="657BB700">
                <wp:simplePos x="0" y="0"/>
                <wp:positionH relativeFrom="column">
                  <wp:posOffset>1371600</wp:posOffset>
                </wp:positionH>
                <wp:positionV relativeFrom="paragraph">
                  <wp:posOffset>107315</wp:posOffset>
                </wp:positionV>
                <wp:extent cx="457200" cy="467995"/>
                <wp:effectExtent l="0" t="0" r="25400" b="14605"/>
                <wp:wrapNone/>
                <wp:docPr id="661" name="Group 4"/>
                <wp:cNvGraphicFramePr/>
                <a:graphic xmlns:a="http://schemas.openxmlformats.org/drawingml/2006/main">
                  <a:graphicData uri="http://schemas.microsoft.com/office/word/2010/wordprocessingGroup">
                    <wpg:wgp>
                      <wpg:cNvGrpSpPr/>
                      <wpg:grpSpPr bwMode="auto">
                        <a:xfrm>
                          <a:off x="0" y="0"/>
                          <a:ext cx="457200" cy="467995"/>
                          <a:chOff x="0" y="0"/>
                          <a:chExt cx="1110" cy="1434"/>
                        </a:xfrm>
                        <a:solidFill>
                          <a:schemeClr val="accent3"/>
                        </a:solidFill>
                        <a:extLst>
                          <a:ext uri="{0CCBE362-F206-4b92-989A-16890622DB6E}">
                            <ma14:wrappingTextBoxFlag xmlns:ma14="http://schemas.microsoft.com/office/mac/drawingml/2011/main"/>
                          </a:ext>
                        </a:extLst>
                      </wpg:grpSpPr>
                      <wps:wsp>
                        <wps:cNvPr id="662" name="Freeform 6"/>
                        <wps:cNvSpPr>
                          <a:spLocks noEditPoints="1"/>
                        </wps:cNvSpPr>
                        <wps:spPr bwMode="auto">
                          <a:xfrm>
                            <a:off x="0" y="663"/>
                            <a:ext cx="1110" cy="771"/>
                          </a:xfrm>
                          <a:custGeom>
                            <a:avLst/>
                            <a:gdLst>
                              <a:gd name="T0" fmla="*/ 1627 w 3331"/>
                              <a:gd name="T1" fmla="*/ 200 h 2313"/>
                              <a:gd name="T2" fmla="*/ 1472 w 3331"/>
                              <a:gd name="T3" fmla="*/ 330 h 2313"/>
                              <a:gd name="T4" fmla="*/ 1505 w 3331"/>
                              <a:gd name="T5" fmla="*/ 1654 h 2313"/>
                              <a:gd name="T6" fmla="*/ 1619 w 3331"/>
                              <a:gd name="T7" fmla="*/ 1862 h 2313"/>
                              <a:gd name="T8" fmla="*/ 1666 w 3331"/>
                              <a:gd name="T9" fmla="*/ 1882 h 2313"/>
                              <a:gd name="T10" fmla="*/ 1714 w 3331"/>
                              <a:gd name="T11" fmla="*/ 1862 h 2313"/>
                              <a:gd name="T12" fmla="*/ 1827 w 3331"/>
                              <a:gd name="T13" fmla="*/ 1654 h 2313"/>
                              <a:gd name="T14" fmla="*/ 1860 w 3331"/>
                              <a:gd name="T15" fmla="*/ 330 h 2313"/>
                              <a:gd name="T16" fmla="*/ 1705 w 3331"/>
                              <a:gd name="T17" fmla="*/ 200 h 2313"/>
                              <a:gd name="T18" fmla="*/ 1482 w 3331"/>
                              <a:gd name="T19" fmla="*/ 0 h 2313"/>
                              <a:gd name="T20" fmla="*/ 1548 w 3331"/>
                              <a:gd name="T21" fmla="*/ 23 h 2313"/>
                              <a:gd name="T22" fmla="*/ 1608 w 3331"/>
                              <a:gd name="T23" fmla="*/ 89 h 2313"/>
                              <a:gd name="T24" fmla="*/ 1666 w 3331"/>
                              <a:gd name="T25" fmla="*/ 134 h 2313"/>
                              <a:gd name="T26" fmla="*/ 1725 w 3331"/>
                              <a:gd name="T27" fmla="*/ 89 h 2313"/>
                              <a:gd name="T28" fmla="*/ 1784 w 3331"/>
                              <a:gd name="T29" fmla="*/ 23 h 2313"/>
                              <a:gd name="T30" fmla="*/ 1850 w 3331"/>
                              <a:gd name="T31" fmla="*/ 0 h 2313"/>
                              <a:gd name="T32" fmla="*/ 2167 w 3331"/>
                              <a:gd name="T33" fmla="*/ 41 h 2313"/>
                              <a:gd name="T34" fmla="*/ 2446 w 3331"/>
                              <a:gd name="T35" fmla="*/ 115 h 2313"/>
                              <a:gd name="T36" fmla="*/ 2682 w 3331"/>
                              <a:gd name="T37" fmla="*/ 217 h 2313"/>
                              <a:gd name="T38" fmla="*/ 2869 w 3331"/>
                              <a:gd name="T39" fmla="*/ 345 h 2313"/>
                              <a:gd name="T40" fmla="*/ 2999 w 3331"/>
                              <a:gd name="T41" fmla="*/ 496 h 2313"/>
                              <a:gd name="T42" fmla="*/ 3016 w 3331"/>
                              <a:gd name="T43" fmla="*/ 528 h 2313"/>
                              <a:gd name="T44" fmla="*/ 3058 w 3331"/>
                              <a:gd name="T45" fmla="*/ 610 h 2313"/>
                              <a:gd name="T46" fmla="*/ 3115 w 3331"/>
                              <a:gd name="T47" fmla="*/ 736 h 2313"/>
                              <a:gd name="T48" fmla="*/ 3179 w 3331"/>
                              <a:gd name="T49" fmla="*/ 896 h 2313"/>
                              <a:gd name="T50" fmla="*/ 3241 w 3331"/>
                              <a:gd name="T51" fmla="*/ 1083 h 2313"/>
                              <a:gd name="T52" fmla="*/ 3293 w 3331"/>
                              <a:gd name="T53" fmla="*/ 1290 h 2313"/>
                              <a:gd name="T54" fmla="*/ 3326 w 3331"/>
                              <a:gd name="T55" fmla="*/ 1508 h 2313"/>
                              <a:gd name="T56" fmla="*/ 3329 w 3331"/>
                              <a:gd name="T57" fmla="*/ 1730 h 2313"/>
                              <a:gd name="T58" fmla="*/ 3296 w 3331"/>
                              <a:gd name="T59" fmla="*/ 1949 h 2313"/>
                              <a:gd name="T60" fmla="*/ 3217 w 3331"/>
                              <a:gd name="T61" fmla="*/ 2153 h 2313"/>
                              <a:gd name="T62" fmla="*/ 3121 w 3331"/>
                              <a:gd name="T63" fmla="*/ 2294 h 2313"/>
                              <a:gd name="T64" fmla="*/ 3065 w 3331"/>
                              <a:gd name="T65" fmla="*/ 2313 h 2313"/>
                              <a:gd name="T66" fmla="*/ 229 w 3331"/>
                              <a:gd name="T67" fmla="*/ 2304 h 2313"/>
                              <a:gd name="T68" fmla="*/ 152 w 3331"/>
                              <a:gd name="T69" fmla="*/ 2216 h 2313"/>
                              <a:gd name="T70" fmla="*/ 56 w 3331"/>
                              <a:gd name="T71" fmla="*/ 2013 h 2313"/>
                              <a:gd name="T72" fmla="*/ 8 w 3331"/>
                              <a:gd name="T73" fmla="*/ 1795 h 2313"/>
                              <a:gd name="T74" fmla="*/ 0 w 3331"/>
                              <a:gd name="T75" fmla="*/ 1642 h 2313"/>
                              <a:gd name="T76" fmla="*/ 16 w 3331"/>
                              <a:gd name="T77" fmla="*/ 1421 h 2313"/>
                              <a:gd name="T78" fmla="*/ 57 w 3331"/>
                              <a:gd name="T79" fmla="*/ 1204 h 2313"/>
                              <a:gd name="T80" fmla="*/ 115 w 3331"/>
                              <a:gd name="T81" fmla="*/ 1001 h 2313"/>
                              <a:gd name="T82" fmla="*/ 180 w 3331"/>
                              <a:gd name="T83" fmla="*/ 822 h 2313"/>
                              <a:gd name="T84" fmla="*/ 244 w 3331"/>
                              <a:gd name="T85" fmla="*/ 675 h 2313"/>
                              <a:gd name="T86" fmla="*/ 295 w 3331"/>
                              <a:gd name="T87" fmla="*/ 567 h 2313"/>
                              <a:gd name="T88" fmla="*/ 326 w 3331"/>
                              <a:gd name="T89" fmla="*/ 508 h 2313"/>
                              <a:gd name="T90" fmla="*/ 412 w 3331"/>
                              <a:gd name="T91" fmla="*/ 396 h 2313"/>
                              <a:gd name="T92" fmla="*/ 581 w 3331"/>
                              <a:gd name="T93" fmla="*/ 259 h 2313"/>
                              <a:gd name="T94" fmla="*/ 803 w 3331"/>
                              <a:gd name="T95" fmla="*/ 146 h 2313"/>
                              <a:gd name="T96" fmla="*/ 1068 w 3331"/>
                              <a:gd name="T97" fmla="*/ 62 h 2313"/>
                              <a:gd name="T98" fmla="*/ 1374 w 3331"/>
                              <a:gd name="T99" fmla="*/ 9 h 2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31" h="2313">
                                <a:moveTo>
                                  <a:pt x="1666" y="187"/>
                                </a:moveTo>
                                <a:lnTo>
                                  <a:pt x="1645" y="191"/>
                                </a:lnTo>
                                <a:lnTo>
                                  <a:pt x="1627" y="200"/>
                                </a:lnTo>
                                <a:lnTo>
                                  <a:pt x="1495" y="296"/>
                                </a:lnTo>
                                <a:lnTo>
                                  <a:pt x="1481" y="310"/>
                                </a:lnTo>
                                <a:lnTo>
                                  <a:pt x="1472" y="330"/>
                                </a:lnTo>
                                <a:lnTo>
                                  <a:pt x="1469" y="351"/>
                                </a:lnTo>
                                <a:lnTo>
                                  <a:pt x="1503" y="1638"/>
                                </a:lnTo>
                                <a:lnTo>
                                  <a:pt x="1505" y="1654"/>
                                </a:lnTo>
                                <a:lnTo>
                                  <a:pt x="1511" y="1669"/>
                                </a:lnTo>
                                <a:lnTo>
                                  <a:pt x="1607" y="1848"/>
                                </a:lnTo>
                                <a:lnTo>
                                  <a:pt x="1619" y="1862"/>
                                </a:lnTo>
                                <a:lnTo>
                                  <a:pt x="1632" y="1873"/>
                                </a:lnTo>
                                <a:lnTo>
                                  <a:pt x="1648" y="1881"/>
                                </a:lnTo>
                                <a:lnTo>
                                  <a:pt x="1666" y="1882"/>
                                </a:lnTo>
                                <a:lnTo>
                                  <a:pt x="1684" y="1881"/>
                                </a:lnTo>
                                <a:lnTo>
                                  <a:pt x="1699" y="1873"/>
                                </a:lnTo>
                                <a:lnTo>
                                  <a:pt x="1714" y="1862"/>
                                </a:lnTo>
                                <a:lnTo>
                                  <a:pt x="1725" y="1848"/>
                                </a:lnTo>
                                <a:lnTo>
                                  <a:pt x="1821" y="1669"/>
                                </a:lnTo>
                                <a:lnTo>
                                  <a:pt x="1827" y="1654"/>
                                </a:lnTo>
                                <a:lnTo>
                                  <a:pt x="1829" y="1638"/>
                                </a:lnTo>
                                <a:lnTo>
                                  <a:pt x="1862" y="351"/>
                                </a:lnTo>
                                <a:lnTo>
                                  <a:pt x="1860" y="330"/>
                                </a:lnTo>
                                <a:lnTo>
                                  <a:pt x="1850" y="310"/>
                                </a:lnTo>
                                <a:lnTo>
                                  <a:pt x="1836" y="296"/>
                                </a:lnTo>
                                <a:lnTo>
                                  <a:pt x="1705" y="200"/>
                                </a:lnTo>
                                <a:lnTo>
                                  <a:pt x="1686" y="191"/>
                                </a:lnTo>
                                <a:lnTo>
                                  <a:pt x="1666" y="187"/>
                                </a:lnTo>
                                <a:close/>
                                <a:moveTo>
                                  <a:pt x="1482" y="0"/>
                                </a:moveTo>
                                <a:lnTo>
                                  <a:pt x="1506" y="1"/>
                                </a:lnTo>
                                <a:lnTo>
                                  <a:pt x="1529" y="9"/>
                                </a:lnTo>
                                <a:lnTo>
                                  <a:pt x="1548" y="23"/>
                                </a:lnTo>
                                <a:lnTo>
                                  <a:pt x="1567" y="43"/>
                                </a:lnTo>
                                <a:lnTo>
                                  <a:pt x="1588" y="65"/>
                                </a:lnTo>
                                <a:lnTo>
                                  <a:pt x="1608" y="89"/>
                                </a:lnTo>
                                <a:lnTo>
                                  <a:pt x="1628" y="109"/>
                                </a:lnTo>
                                <a:lnTo>
                                  <a:pt x="1646" y="125"/>
                                </a:lnTo>
                                <a:lnTo>
                                  <a:pt x="1666" y="134"/>
                                </a:lnTo>
                                <a:lnTo>
                                  <a:pt x="1686" y="125"/>
                                </a:lnTo>
                                <a:lnTo>
                                  <a:pt x="1705" y="109"/>
                                </a:lnTo>
                                <a:lnTo>
                                  <a:pt x="1725" y="89"/>
                                </a:lnTo>
                                <a:lnTo>
                                  <a:pt x="1743" y="68"/>
                                </a:lnTo>
                                <a:lnTo>
                                  <a:pt x="1764" y="43"/>
                                </a:lnTo>
                                <a:lnTo>
                                  <a:pt x="1784" y="23"/>
                                </a:lnTo>
                                <a:lnTo>
                                  <a:pt x="1804" y="9"/>
                                </a:lnTo>
                                <a:lnTo>
                                  <a:pt x="1827" y="1"/>
                                </a:lnTo>
                                <a:lnTo>
                                  <a:pt x="1850" y="0"/>
                                </a:lnTo>
                                <a:lnTo>
                                  <a:pt x="1960" y="11"/>
                                </a:lnTo>
                                <a:lnTo>
                                  <a:pt x="2065" y="24"/>
                                </a:lnTo>
                                <a:lnTo>
                                  <a:pt x="2167" y="41"/>
                                </a:lnTo>
                                <a:lnTo>
                                  <a:pt x="2265" y="62"/>
                                </a:lnTo>
                                <a:lnTo>
                                  <a:pt x="2358" y="88"/>
                                </a:lnTo>
                                <a:lnTo>
                                  <a:pt x="2446" y="115"/>
                                </a:lnTo>
                                <a:lnTo>
                                  <a:pt x="2530" y="146"/>
                                </a:lnTo>
                                <a:lnTo>
                                  <a:pt x="2609" y="180"/>
                                </a:lnTo>
                                <a:lnTo>
                                  <a:pt x="2682" y="217"/>
                                </a:lnTo>
                                <a:lnTo>
                                  <a:pt x="2751" y="257"/>
                                </a:lnTo>
                                <a:lnTo>
                                  <a:pt x="2813" y="300"/>
                                </a:lnTo>
                                <a:lnTo>
                                  <a:pt x="2869" y="345"/>
                                </a:lnTo>
                                <a:lnTo>
                                  <a:pt x="2919" y="392"/>
                                </a:lnTo>
                                <a:lnTo>
                                  <a:pt x="2963" y="443"/>
                                </a:lnTo>
                                <a:lnTo>
                                  <a:pt x="2999" y="496"/>
                                </a:lnTo>
                                <a:lnTo>
                                  <a:pt x="3001" y="500"/>
                                </a:lnTo>
                                <a:lnTo>
                                  <a:pt x="3007" y="510"/>
                                </a:lnTo>
                                <a:lnTo>
                                  <a:pt x="3016" y="528"/>
                                </a:lnTo>
                                <a:lnTo>
                                  <a:pt x="3028" y="549"/>
                                </a:lnTo>
                                <a:lnTo>
                                  <a:pt x="3043" y="577"/>
                                </a:lnTo>
                                <a:lnTo>
                                  <a:pt x="3058" y="610"/>
                                </a:lnTo>
                                <a:lnTo>
                                  <a:pt x="3076" y="647"/>
                                </a:lnTo>
                                <a:lnTo>
                                  <a:pt x="3096" y="689"/>
                                </a:lnTo>
                                <a:lnTo>
                                  <a:pt x="3115" y="736"/>
                                </a:lnTo>
                                <a:lnTo>
                                  <a:pt x="3137" y="785"/>
                                </a:lnTo>
                                <a:lnTo>
                                  <a:pt x="3158" y="839"/>
                                </a:lnTo>
                                <a:lnTo>
                                  <a:pt x="3179" y="896"/>
                                </a:lnTo>
                                <a:lnTo>
                                  <a:pt x="3201" y="956"/>
                                </a:lnTo>
                                <a:lnTo>
                                  <a:pt x="3221" y="1018"/>
                                </a:lnTo>
                                <a:lnTo>
                                  <a:pt x="3241" y="1083"/>
                                </a:lnTo>
                                <a:lnTo>
                                  <a:pt x="3261" y="1151"/>
                                </a:lnTo>
                                <a:lnTo>
                                  <a:pt x="3278" y="1220"/>
                                </a:lnTo>
                                <a:lnTo>
                                  <a:pt x="3293" y="1290"/>
                                </a:lnTo>
                                <a:lnTo>
                                  <a:pt x="3306" y="1363"/>
                                </a:lnTo>
                                <a:lnTo>
                                  <a:pt x="3318" y="1436"/>
                                </a:lnTo>
                                <a:lnTo>
                                  <a:pt x="3326" y="1508"/>
                                </a:lnTo>
                                <a:lnTo>
                                  <a:pt x="3330" y="1583"/>
                                </a:lnTo>
                                <a:lnTo>
                                  <a:pt x="3331" y="1657"/>
                                </a:lnTo>
                                <a:lnTo>
                                  <a:pt x="3329" y="1730"/>
                                </a:lnTo>
                                <a:lnTo>
                                  <a:pt x="3323" y="1804"/>
                                </a:lnTo>
                                <a:lnTo>
                                  <a:pt x="3311" y="1877"/>
                                </a:lnTo>
                                <a:lnTo>
                                  <a:pt x="3296" y="1949"/>
                                </a:lnTo>
                                <a:lnTo>
                                  <a:pt x="3276" y="2019"/>
                                </a:lnTo>
                                <a:lnTo>
                                  <a:pt x="3249" y="2086"/>
                                </a:lnTo>
                                <a:lnTo>
                                  <a:pt x="3217" y="2153"/>
                                </a:lnTo>
                                <a:lnTo>
                                  <a:pt x="3179" y="2218"/>
                                </a:lnTo>
                                <a:lnTo>
                                  <a:pt x="3135" y="2280"/>
                                </a:lnTo>
                                <a:lnTo>
                                  <a:pt x="3121" y="2294"/>
                                </a:lnTo>
                                <a:lnTo>
                                  <a:pt x="3103" y="2304"/>
                                </a:lnTo>
                                <a:lnTo>
                                  <a:pt x="3085" y="2310"/>
                                </a:lnTo>
                                <a:lnTo>
                                  <a:pt x="3065" y="2313"/>
                                </a:lnTo>
                                <a:lnTo>
                                  <a:pt x="268" y="2313"/>
                                </a:lnTo>
                                <a:lnTo>
                                  <a:pt x="248" y="2310"/>
                                </a:lnTo>
                                <a:lnTo>
                                  <a:pt x="229" y="2304"/>
                                </a:lnTo>
                                <a:lnTo>
                                  <a:pt x="212" y="2293"/>
                                </a:lnTo>
                                <a:lnTo>
                                  <a:pt x="197" y="2280"/>
                                </a:lnTo>
                                <a:lnTo>
                                  <a:pt x="152" y="2216"/>
                                </a:lnTo>
                                <a:lnTo>
                                  <a:pt x="114" y="2151"/>
                                </a:lnTo>
                                <a:lnTo>
                                  <a:pt x="82" y="2082"/>
                                </a:lnTo>
                                <a:lnTo>
                                  <a:pt x="56" y="2013"/>
                                </a:lnTo>
                                <a:lnTo>
                                  <a:pt x="34" y="1942"/>
                                </a:lnTo>
                                <a:lnTo>
                                  <a:pt x="19" y="1869"/>
                                </a:lnTo>
                                <a:lnTo>
                                  <a:pt x="8" y="1795"/>
                                </a:lnTo>
                                <a:lnTo>
                                  <a:pt x="1" y="1721"/>
                                </a:lnTo>
                                <a:lnTo>
                                  <a:pt x="0" y="1648"/>
                                </a:lnTo>
                                <a:lnTo>
                                  <a:pt x="0" y="1642"/>
                                </a:lnTo>
                                <a:lnTo>
                                  <a:pt x="1" y="1571"/>
                                </a:lnTo>
                                <a:lnTo>
                                  <a:pt x="7" y="1495"/>
                                </a:lnTo>
                                <a:lnTo>
                                  <a:pt x="16" y="1421"/>
                                </a:lnTo>
                                <a:lnTo>
                                  <a:pt x="28" y="1347"/>
                                </a:lnTo>
                                <a:lnTo>
                                  <a:pt x="41" y="1275"/>
                                </a:lnTo>
                                <a:lnTo>
                                  <a:pt x="57" y="1204"/>
                                </a:lnTo>
                                <a:lnTo>
                                  <a:pt x="76" y="1133"/>
                                </a:lnTo>
                                <a:lnTo>
                                  <a:pt x="94" y="1066"/>
                                </a:lnTo>
                                <a:lnTo>
                                  <a:pt x="115" y="1001"/>
                                </a:lnTo>
                                <a:lnTo>
                                  <a:pt x="136" y="939"/>
                                </a:lnTo>
                                <a:lnTo>
                                  <a:pt x="159" y="879"/>
                                </a:lnTo>
                                <a:lnTo>
                                  <a:pt x="180" y="822"/>
                                </a:lnTo>
                                <a:lnTo>
                                  <a:pt x="201" y="769"/>
                                </a:lnTo>
                                <a:lnTo>
                                  <a:pt x="223" y="720"/>
                                </a:lnTo>
                                <a:lnTo>
                                  <a:pt x="244" y="675"/>
                                </a:lnTo>
                                <a:lnTo>
                                  <a:pt x="262" y="635"/>
                                </a:lnTo>
                                <a:lnTo>
                                  <a:pt x="279" y="599"/>
                                </a:lnTo>
                                <a:lnTo>
                                  <a:pt x="295" y="567"/>
                                </a:lnTo>
                                <a:lnTo>
                                  <a:pt x="309" y="542"/>
                                </a:lnTo>
                                <a:lnTo>
                                  <a:pt x="319" y="522"/>
                                </a:lnTo>
                                <a:lnTo>
                                  <a:pt x="326" y="508"/>
                                </a:lnTo>
                                <a:lnTo>
                                  <a:pt x="331" y="501"/>
                                </a:lnTo>
                                <a:lnTo>
                                  <a:pt x="368" y="447"/>
                                </a:lnTo>
                                <a:lnTo>
                                  <a:pt x="412" y="396"/>
                                </a:lnTo>
                                <a:lnTo>
                                  <a:pt x="462" y="347"/>
                                </a:lnTo>
                                <a:lnTo>
                                  <a:pt x="518" y="302"/>
                                </a:lnTo>
                                <a:lnTo>
                                  <a:pt x="581" y="259"/>
                                </a:lnTo>
                                <a:lnTo>
                                  <a:pt x="649" y="219"/>
                                </a:lnTo>
                                <a:lnTo>
                                  <a:pt x="723" y="180"/>
                                </a:lnTo>
                                <a:lnTo>
                                  <a:pt x="803" y="146"/>
                                </a:lnTo>
                                <a:lnTo>
                                  <a:pt x="886" y="115"/>
                                </a:lnTo>
                                <a:lnTo>
                                  <a:pt x="975" y="88"/>
                                </a:lnTo>
                                <a:lnTo>
                                  <a:pt x="1068" y="62"/>
                                </a:lnTo>
                                <a:lnTo>
                                  <a:pt x="1166" y="41"/>
                                </a:lnTo>
                                <a:lnTo>
                                  <a:pt x="1268" y="24"/>
                                </a:lnTo>
                                <a:lnTo>
                                  <a:pt x="1374" y="9"/>
                                </a:lnTo>
                                <a:lnTo>
                                  <a:pt x="1482" y="0"/>
                                </a:lnTo>
                                <a:close/>
                              </a:path>
                            </a:pathLst>
                          </a:custGeom>
                          <a:grpFill/>
                          <a:ln w="0">
                            <a:solidFill>
                              <a:srgbClr val="FFFFFF"/>
                            </a:solidFill>
                            <a:prstDash val="solid"/>
                            <a:round/>
                            <a:headEnd/>
                            <a:tailEnd/>
                          </a:ln>
                        </wps:spPr>
                        <wps:txbx>
                          <w:txbxContent>
                            <w:p w14:paraId="2C4DED9F" w14:textId="77777777" w:rsidR="00573C95" w:rsidRDefault="00573C95" w:rsidP="000C6F34">
                              <w:pPr>
                                <w:rPr>
                                  <w:rFonts w:eastAsia="Times New Roman"/>
                                </w:rPr>
                              </w:pPr>
                            </w:p>
                          </w:txbxContent>
                        </wps:txbx>
                        <wps:bodyPr vert="horz" wrap="square" lIns="91440" tIns="45720" rIns="91440" bIns="45720" numCol="1" anchor="t" anchorCtr="0" compatLnSpc="1">
                          <a:prstTxWarp prst="textNoShape">
                            <a:avLst/>
                          </a:prstTxWarp>
                        </wps:bodyPr>
                      </wps:wsp>
                      <wps:wsp>
                        <wps:cNvPr id="663" name="Freeform 7"/>
                        <wps:cNvSpPr>
                          <a:spLocks/>
                        </wps:cNvSpPr>
                        <wps:spPr bwMode="auto">
                          <a:xfrm>
                            <a:off x="237" y="0"/>
                            <a:ext cx="626" cy="626"/>
                          </a:xfrm>
                          <a:custGeom>
                            <a:avLst/>
                            <a:gdLst>
                              <a:gd name="T0" fmla="*/ 939 w 1877"/>
                              <a:gd name="T1" fmla="*/ 0 h 1878"/>
                              <a:gd name="T2" fmla="*/ 1108 w 1877"/>
                              <a:gd name="T3" fmla="*/ 15 h 1878"/>
                              <a:gd name="T4" fmla="*/ 1267 w 1877"/>
                              <a:gd name="T5" fmla="*/ 59 h 1878"/>
                              <a:gd name="T6" fmla="*/ 1412 w 1877"/>
                              <a:gd name="T7" fmla="*/ 128 h 1878"/>
                              <a:gd name="T8" fmla="*/ 1543 w 1877"/>
                              <a:gd name="T9" fmla="*/ 221 h 1878"/>
                              <a:gd name="T10" fmla="*/ 1657 w 1877"/>
                              <a:gd name="T11" fmla="*/ 335 h 1878"/>
                              <a:gd name="T12" fmla="*/ 1750 w 1877"/>
                              <a:gd name="T13" fmla="*/ 466 h 1878"/>
                              <a:gd name="T14" fmla="*/ 1819 w 1877"/>
                              <a:gd name="T15" fmla="*/ 612 h 1878"/>
                              <a:gd name="T16" fmla="*/ 1863 w 1877"/>
                              <a:gd name="T17" fmla="*/ 771 h 1878"/>
                              <a:gd name="T18" fmla="*/ 1877 w 1877"/>
                              <a:gd name="T19" fmla="*/ 939 h 1878"/>
                              <a:gd name="T20" fmla="*/ 1863 w 1877"/>
                              <a:gd name="T21" fmla="*/ 1108 h 1878"/>
                              <a:gd name="T22" fmla="*/ 1819 w 1877"/>
                              <a:gd name="T23" fmla="*/ 1267 h 1878"/>
                              <a:gd name="T24" fmla="*/ 1750 w 1877"/>
                              <a:gd name="T25" fmla="*/ 1413 h 1878"/>
                              <a:gd name="T26" fmla="*/ 1657 w 1877"/>
                              <a:gd name="T27" fmla="*/ 1544 h 1878"/>
                              <a:gd name="T28" fmla="*/ 1543 w 1877"/>
                              <a:gd name="T29" fmla="*/ 1656 h 1878"/>
                              <a:gd name="T30" fmla="*/ 1412 w 1877"/>
                              <a:gd name="T31" fmla="*/ 1749 h 1878"/>
                              <a:gd name="T32" fmla="*/ 1267 w 1877"/>
                              <a:gd name="T33" fmla="*/ 1819 h 1878"/>
                              <a:gd name="T34" fmla="*/ 1108 w 1877"/>
                              <a:gd name="T35" fmla="*/ 1863 h 1878"/>
                              <a:gd name="T36" fmla="*/ 939 w 1877"/>
                              <a:gd name="T37" fmla="*/ 1878 h 1878"/>
                              <a:gd name="T38" fmla="*/ 771 w 1877"/>
                              <a:gd name="T39" fmla="*/ 1863 h 1878"/>
                              <a:gd name="T40" fmla="*/ 612 w 1877"/>
                              <a:gd name="T41" fmla="*/ 1819 h 1878"/>
                              <a:gd name="T42" fmla="*/ 467 w 1877"/>
                              <a:gd name="T43" fmla="*/ 1749 h 1878"/>
                              <a:gd name="T44" fmla="*/ 335 w 1877"/>
                              <a:gd name="T45" fmla="*/ 1656 h 1878"/>
                              <a:gd name="T46" fmla="*/ 221 w 1877"/>
                              <a:gd name="T47" fmla="*/ 1544 h 1878"/>
                              <a:gd name="T48" fmla="*/ 129 w 1877"/>
                              <a:gd name="T49" fmla="*/ 1413 h 1878"/>
                              <a:gd name="T50" fmla="*/ 60 w 1877"/>
                              <a:gd name="T51" fmla="*/ 1267 h 1878"/>
                              <a:gd name="T52" fmla="*/ 16 w 1877"/>
                              <a:gd name="T53" fmla="*/ 1108 h 1878"/>
                              <a:gd name="T54" fmla="*/ 0 w 1877"/>
                              <a:gd name="T55" fmla="*/ 939 h 1878"/>
                              <a:gd name="T56" fmla="*/ 16 w 1877"/>
                              <a:gd name="T57" fmla="*/ 771 h 1878"/>
                              <a:gd name="T58" fmla="*/ 60 w 1877"/>
                              <a:gd name="T59" fmla="*/ 612 h 1878"/>
                              <a:gd name="T60" fmla="*/ 129 w 1877"/>
                              <a:gd name="T61" fmla="*/ 466 h 1878"/>
                              <a:gd name="T62" fmla="*/ 221 w 1877"/>
                              <a:gd name="T63" fmla="*/ 335 h 1878"/>
                              <a:gd name="T64" fmla="*/ 335 w 1877"/>
                              <a:gd name="T65" fmla="*/ 221 h 1878"/>
                              <a:gd name="T66" fmla="*/ 467 w 1877"/>
                              <a:gd name="T67" fmla="*/ 128 h 1878"/>
                              <a:gd name="T68" fmla="*/ 612 w 1877"/>
                              <a:gd name="T69" fmla="*/ 59 h 1878"/>
                              <a:gd name="T70" fmla="*/ 771 w 1877"/>
                              <a:gd name="T71" fmla="*/ 15 h 1878"/>
                              <a:gd name="T72" fmla="*/ 939 w 1877"/>
                              <a:gd name="T73" fmla="*/ 0 h 18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77" h="1878">
                                <a:moveTo>
                                  <a:pt x="939" y="0"/>
                                </a:moveTo>
                                <a:lnTo>
                                  <a:pt x="939" y="0"/>
                                </a:lnTo>
                                <a:lnTo>
                                  <a:pt x="1024" y="4"/>
                                </a:lnTo>
                                <a:lnTo>
                                  <a:pt x="1108" y="15"/>
                                </a:lnTo>
                                <a:lnTo>
                                  <a:pt x="1188" y="34"/>
                                </a:lnTo>
                                <a:lnTo>
                                  <a:pt x="1267" y="59"/>
                                </a:lnTo>
                                <a:lnTo>
                                  <a:pt x="1341" y="91"/>
                                </a:lnTo>
                                <a:lnTo>
                                  <a:pt x="1412" y="128"/>
                                </a:lnTo>
                                <a:lnTo>
                                  <a:pt x="1480" y="172"/>
                                </a:lnTo>
                                <a:lnTo>
                                  <a:pt x="1543" y="221"/>
                                </a:lnTo>
                                <a:lnTo>
                                  <a:pt x="1603" y="275"/>
                                </a:lnTo>
                                <a:lnTo>
                                  <a:pt x="1657" y="335"/>
                                </a:lnTo>
                                <a:lnTo>
                                  <a:pt x="1706" y="399"/>
                                </a:lnTo>
                                <a:lnTo>
                                  <a:pt x="1750" y="466"/>
                                </a:lnTo>
                                <a:lnTo>
                                  <a:pt x="1787" y="538"/>
                                </a:lnTo>
                                <a:lnTo>
                                  <a:pt x="1819" y="612"/>
                                </a:lnTo>
                                <a:lnTo>
                                  <a:pt x="1844" y="690"/>
                                </a:lnTo>
                                <a:lnTo>
                                  <a:pt x="1863" y="771"/>
                                </a:lnTo>
                                <a:lnTo>
                                  <a:pt x="1875" y="853"/>
                                </a:lnTo>
                                <a:lnTo>
                                  <a:pt x="1877" y="939"/>
                                </a:lnTo>
                                <a:lnTo>
                                  <a:pt x="1875" y="1024"/>
                                </a:lnTo>
                                <a:lnTo>
                                  <a:pt x="1863" y="1108"/>
                                </a:lnTo>
                                <a:lnTo>
                                  <a:pt x="1844" y="1189"/>
                                </a:lnTo>
                                <a:lnTo>
                                  <a:pt x="1819" y="1267"/>
                                </a:lnTo>
                                <a:lnTo>
                                  <a:pt x="1787" y="1341"/>
                                </a:lnTo>
                                <a:lnTo>
                                  <a:pt x="1750" y="1413"/>
                                </a:lnTo>
                                <a:lnTo>
                                  <a:pt x="1706" y="1480"/>
                                </a:lnTo>
                                <a:lnTo>
                                  <a:pt x="1657" y="1544"/>
                                </a:lnTo>
                                <a:lnTo>
                                  <a:pt x="1603" y="1603"/>
                                </a:lnTo>
                                <a:lnTo>
                                  <a:pt x="1543" y="1656"/>
                                </a:lnTo>
                                <a:lnTo>
                                  <a:pt x="1480" y="1707"/>
                                </a:lnTo>
                                <a:lnTo>
                                  <a:pt x="1412" y="1749"/>
                                </a:lnTo>
                                <a:lnTo>
                                  <a:pt x="1341" y="1788"/>
                                </a:lnTo>
                                <a:lnTo>
                                  <a:pt x="1267" y="1819"/>
                                </a:lnTo>
                                <a:lnTo>
                                  <a:pt x="1188" y="1845"/>
                                </a:lnTo>
                                <a:lnTo>
                                  <a:pt x="1108" y="1863"/>
                                </a:lnTo>
                                <a:lnTo>
                                  <a:pt x="1024" y="1874"/>
                                </a:lnTo>
                                <a:lnTo>
                                  <a:pt x="939" y="1878"/>
                                </a:lnTo>
                                <a:lnTo>
                                  <a:pt x="855" y="1874"/>
                                </a:lnTo>
                                <a:lnTo>
                                  <a:pt x="771" y="1863"/>
                                </a:lnTo>
                                <a:lnTo>
                                  <a:pt x="690" y="1845"/>
                                </a:lnTo>
                                <a:lnTo>
                                  <a:pt x="612" y="1819"/>
                                </a:lnTo>
                                <a:lnTo>
                                  <a:pt x="538" y="1788"/>
                                </a:lnTo>
                                <a:lnTo>
                                  <a:pt x="467" y="1749"/>
                                </a:lnTo>
                                <a:lnTo>
                                  <a:pt x="399" y="1707"/>
                                </a:lnTo>
                                <a:lnTo>
                                  <a:pt x="335" y="1656"/>
                                </a:lnTo>
                                <a:lnTo>
                                  <a:pt x="276" y="1603"/>
                                </a:lnTo>
                                <a:lnTo>
                                  <a:pt x="221" y="1544"/>
                                </a:lnTo>
                                <a:lnTo>
                                  <a:pt x="172" y="1480"/>
                                </a:lnTo>
                                <a:lnTo>
                                  <a:pt x="129" y="1413"/>
                                </a:lnTo>
                                <a:lnTo>
                                  <a:pt x="92" y="1341"/>
                                </a:lnTo>
                                <a:lnTo>
                                  <a:pt x="60" y="1267"/>
                                </a:lnTo>
                                <a:lnTo>
                                  <a:pt x="35" y="1189"/>
                                </a:lnTo>
                                <a:lnTo>
                                  <a:pt x="16" y="1108"/>
                                </a:lnTo>
                                <a:lnTo>
                                  <a:pt x="4" y="1024"/>
                                </a:lnTo>
                                <a:lnTo>
                                  <a:pt x="0" y="939"/>
                                </a:lnTo>
                                <a:lnTo>
                                  <a:pt x="4" y="853"/>
                                </a:lnTo>
                                <a:lnTo>
                                  <a:pt x="16" y="771"/>
                                </a:lnTo>
                                <a:lnTo>
                                  <a:pt x="35" y="690"/>
                                </a:lnTo>
                                <a:lnTo>
                                  <a:pt x="60" y="612"/>
                                </a:lnTo>
                                <a:lnTo>
                                  <a:pt x="92" y="538"/>
                                </a:lnTo>
                                <a:lnTo>
                                  <a:pt x="129" y="466"/>
                                </a:lnTo>
                                <a:lnTo>
                                  <a:pt x="172" y="399"/>
                                </a:lnTo>
                                <a:lnTo>
                                  <a:pt x="221" y="335"/>
                                </a:lnTo>
                                <a:lnTo>
                                  <a:pt x="276" y="275"/>
                                </a:lnTo>
                                <a:lnTo>
                                  <a:pt x="335" y="221"/>
                                </a:lnTo>
                                <a:lnTo>
                                  <a:pt x="399" y="172"/>
                                </a:lnTo>
                                <a:lnTo>
                                  <a:pt x="467" y="128"/>
                                </a:lnTo>
                                <a:lnTo>
                                  <a:pt x="538" y="91"/>
                                </a:lnTo>
                                <a:lnTo>
                                  <a:pt x="612" y="59"/>
                                </a:lnTo>
                                <a:lnTo>
                                  <a:pt x="690" y="34"/>
                                </a:lnTo>
                                <a:lnTo>
                                  <a:pt x="771" y="15"/>
                                </a:lnTo>
                                <a:lnTo>
                                  <a:pt x="855" y="4"/>
                                </a:lnTo>
                                <a:lnTo>
                                  <a:pt x="939" y="0"/>
                                </a:lnTo>
                                <a:close/>
                              </a:path>
                            </a:pathLst>
                          </a:custGeom>
                          <a:grpFill/>
                          <a:ln w="0">
                            <a:solidFill>
                              <a:srgbClr val="FFFFFF"/>
                            </a:solidFill>
                            <a:prstDash val="solid"/>
                            <a:round/>
                            <a:headEnd/>
                            <a:tailEnd/>
                          </a:ln>
                        </wps:spPr>
                        <wps:txbx>
                          <w:txbxContent>
                            <w:p w14:paraId="09A3BDC8" w14:textId="77777777" w:rsidR="00573C95" w:rsidRDefault="00573C95" w:rsidP="000C6F34">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id="_x0000_s1419" style="position:absolute;margin-left:108pt;margin-top:8.45pt;width:36pt;height:36.85pt;z-index:252887040" coordsize="1110,143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">
                <v:shape id="Freeform 6" o:spid="_x0000_s1420" style="position:absolute;top:663;width:1110;height:771;visibility:visible;mso-wrap-style:square;v-text-anchor:top" coordsize="3331,2313"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tcIlxQAA&#10;ANwAAAAPAAAAZHJzL2Rvd25yZXYueG1sRI9BawIxFITvBf9DeEJvNesKa7s1ihSEHrxUheLtdfPc&#10;jW5eliTVtb/eCEKPw8x8w8wWvW3FmXwwjhWMRxkI4sppw7WC3Xb18goiRGSNrWNScKUAi/ngaYal&#10;dhf+ovMm1iJBOJSooImxK6UMVUMWw8h1xMk7OG8xJulrqT1eEty2Ms+yQlo0nBYa7Oijoeq0+bUK&#10;pn/meMx//GqyfvvemR73k63fK/U87JfvICL18T/8aH9qBUWRw/1MOgJyf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61wiXFAAAA3AAAAA8AAAAAAAAAAAAAAAAAlwIAAGRycy9k&#10;b3ducmV2LnhtbFBLBQYAAAAABAAEAPUAAACJAwAAAAA=&#10;" adj="-11796480,,5400" path="m1666,187l1645,191,1627,200,1495,296,1481,310,1472,330,1469,351,1503,1638,1505,1654,1511,1669,1607,1848,1619,1862,1632,1873,1648,1881,1666,1882,1684,1881,1699,1873,1714,1862,1725,1848,1821,1669,1827,1654,1829,1638,1862,351,1860,330,1850,310,1836,296,1705,200,1686,191,1666,187xm1482,0l1506,1,1529,9,1548,23,1567,43,1588,65,1608,89,1628,109,1646,125,1666,134,1686,125,1705,109,1725,89,1743,68,1764,43,1784,23,1804,9,1827,1,1850,,1960,11,2065,24,2167,41,2265,62,2358,88,2446,115,2530,146,2609,180,2682,217,2751,257,2813,300,2869,345,2919,392,2963,443,2999,496,3001,500,3007,510,3016,528,3028,549,3043,577,3058,610,3076,647,3096,689,3115,736,3137,785,3158,839,3179,896,3201,956,3221,1018,3241,1083,3261,1151,3278,1220,3293,1290,3306,1363,3318,1436,3326,1508,3330,1583,3331,1657,3329,1730,3323,1804,3311,1877,3296,1949,3276,2019,3249,2086,3217,2153,3179,2218,3135,2280,3121,2294,3103,2304,3085,2310,3065,2313,268,2313,248,2310,229,2304,212,2293,197,2280,152,2216,114,2151,82,2082,56,2013,34,1942,19,1869,8,1795,1,1721,,1648,,1642,1,1571,7,1495,16,1421,28,1347,41,1275,57,1204,76,1133,94,1066,115,1001,136,939,159,879,180,822,201,769,223,720,244,675,262,635,279,599,295,567,309,542,319,522,326,508,331,501,368,447,412,396,462,347,518,302,581,259,649,219,723,180,803,146,886,115,975,88,1068,62,1166,41,1268,24,1374,9,1482,0xe" filled="f" strokecolor="white" strokeweight="0">
                  <v:stroke joinstyle="round"/>
                  <v:formulas/>
                  <v:path arrowok="t" o:connecttype="custom" o:connectlocs="542,67;491,110;502,551;540,621;555,627;571,621;609,551;620,110;568,67;494,0;516,8;536,30;555,45;575,30;594,8;616,0;722,14;815,38;894,72;956,115;999,165;1005,176;1019,203;1038,245;1059,299;1080,361;1097,430;1108,503;1109,577;1098,650;1072,718;1040,765;1021,771;76,768;51,739;19,671;3,598;0,547;5,474;19,401;38,334;60,274;81,225;98,189;109,169;137,132;194,86;268,49;356,21;458,3" o:connectangles="0,0,0,0,0,0,0,0,0,0,0,0,0,0,0,0,0,0,0,0,0,0,0,0,0,0,0,0,0,0,0,0,0,0,0,0,0,0,0,0,0,0,0,0,0,0,0,0,0,0" textboxrect="0,0,3331,2313"/>
                  <o:lock v:ext="edit" verticies="t"/>
                  <v:textbox>
                    <w:txbxContent>
                      <w:p w14:paraId="2C4DED9F" w14:textId="77777777" w:rsidR="001501D6" w:rsidRDefault="001501D6" w:rsidP="000C6F34">
                        <w:pPr>
                          <w:rPr>
                            <w:rFonts w:eastAsia="Times New Roman"/>
                          </w:rPr>
                        </w:pPr>
                      </w:p>
                    </w:txbxContent>
                  </v:textbox>
                </v:shape>
                <v:shape id="Freeform 7" o:spid="_x0000_s1421" style="position:absolute;left:237;width:626;height:626;visibility:visible;mso-wrap-style:square;v-text-anchor:top" coordsize="1877,1878"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ZqSgwwAA&#10;ANwAAAAPAAAAZHJzL2Rvd25yZXYueG1sRI9Ba8JAFITvhf6H5RW8FN20QpCYVUS05NpU0OMj+5KN&#10;Zt+G7NbEf98tFHocZuYbJt9OthN3GnzrWMHbIgFBXDndcqPg9HWcr0D4gKyxc0wKHuRhu3l+yjHT&#10;buRPupehERHCPkMFJoQ+k9JXhiz6heuJo1e7wWKIcmikHnCMcNvJ9yRJpcWW44LBnvaGqlv5bRUc&#10;5PLV31AW7kJlbc4f3XWXHJWavUy7NYhAU/gP/7ULrSBNl/B7Jh4Bufk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ZqSgwwAAANwAAAAPAAAAAAAAAAAAAAAAAJcCAABkcnMvZG93&#10;bnJldi54bWxQSwUGAAAAAAQABAD1AAAAhwMAAAAA&#10;" adj="-11796480,,5400" path="m939,0l939,,1024,4,1108,15,1188,34,1267,59,1341,91,1412,128,1480,172,1543,221,1603,275,1657,335,1706,399,1750,466,1787,538,1819,612,1844,690,1863,771,1875,853,1877,939,1875,1024,1863,1108,1844,1189,1819,1267,1787,1341,1750,1413,1706,1480,1657,1544,1603,1603,1543,1656,1480,1707,1412,1749,1341,1788,1267,1819,1188,1845,1108,1863,1024,1874,939,1878,855,1874,771,1863,690,1845,612,1819,538,1788,467,1749,399,1707,335,1656,276,1603,221,1544,172,1480,129,1413,92,1341,60,1267,35,1189,16,1108,4,1024,,939,4,853,16,771,35,690,60,612,92,538,129,466,172,399,221,335,276,275,335,221,399,172,467,128,538,91,612,59,690,34,771,15,855,4,939,0xe" filled="f" strokecolor="white" strokeweight="0">
                  <v:stroke joinstyle="round"/>
                  <v:formulas/>
                  <v:path arrowok="t" o:connecttype="custom" o:connectlocs="313,0;370,5;423,20;471,43;515,74;553,112;584,155;607,204;621,257;626,313;621,369;607,422;584,471;553,515;515,552;471,583;423,606;370,621;313,626;257,621;204,606;156,583;112,552;74,515;43,471;20,422;5,369;0,313;5,257;20,204;43,155;74,112;112,74;156,43;204,20;257,5;313,0" o:connectangles="0,0,0,0,0,0,0,0,0,0,0,0,0,0,0,0,0,0,0,0,0,0,0,0,0,0,0,0,0,0,0,0,0,0,0,0,0" textboxrect="0,0,1877,1878"/>
                  <v:textbox>
                    <w:txbxContent>
                      <w:p w14:paraId="09A3BDC8" w14:textId="77777777" w:rsidR="001501D6" w:rsidRDefault="001501D6" w:rsidP="000C6F34">
                        <w:pPr>
                          <w:rPr>
                            <w:rFonts w:eastAsia="Times New Roman"/>
                          </w:rPr>
                        </w:pPr>
                      </w:p>
                    </w:txbxContent>
                  </v:textbox>
                </v:shape>
              </v:group>
            </w:pict>
          </mc:Fallback>
        </mc:AlternateContent>
      </w:r>
      <w:r w:rsidR="00CA6FFD">
        <w:t>LA VENTE</w:t>
      </w:r>
    </w:p>
    <w:p w14:paraId="28C78D55" w14:textId="402D705E" w:rsidR="00740203" w:rsidRDefault="000E4CC6">
      <w:r>
        <w:rPr>
          <w:noProof/>
          <w:lang w:eastAsia="fr-FR"/>
        </w:rPr>
        <mc:AlternateContent>
          <mc:Choice Requires="wps">
            <w:drawing>
              <wp:anchor distT="0" distB="0" distL="114300" distR="114300" simplePos="0" relativeHeight="252891136" behindDoc="0" locked="0" layoutInCell="1" allowOverlap="1" wp14:anchorId="16E0F80E" wp14:editId="47C16376">
                <wp:simplePos x="0" y="0"/>
                <wp:positionH relativeFrom="column">
                  <wp:posOffset>4114800</wp:posOffset>
                </wp:positionH>
                <wp:positionV relativeFrom="paragraph">
                  <wp:posOffset>34925</wp:posOffset>
                </wp:positionV>
                <wp:extent cx="457200" cy="342900"/>
                <wp:effectExtent l="0" t="0" r="0" b="12700"/>
                <wp:wrapNone/>
                <wp:docPr id="6"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457200" cy="342900"/>
                        </a:xfrm>
                        <a:custGeom>
                          <a:avLst/>
                          <a:gdLst>
                            <a:gd name="T0" fmla="*/ 2522 w 3590"/>
                            <a:gd name="T1" fmla="*/ 2926 h 3380"/>
                            <a:gd name="T2" fmla="*/ 2480 w 3590"/>
                            <a:gd name="T3" fmla="*/ 3066 h 3380"/>
                            <a:gd name="T4" fmla="*/ 2570 w 3590"/>
                            <a:gd name="T5" fmla="*/ 3176 h 3380"/>
                            <a:gd name="T6" fmla="*/ 2716 w 3590"/>
                            <a:gd name="T7" fmla="*/ 3162 h 3380"/>
                            <a:gd name="T8" fmla="*/ 2784 w 3590"/>
                            <a:gd name="T9" fmla="*/ 3034 h 3380"/>
                            <a:gd name="T10" fmla="*/ 2716 w 3590"/>
                            <a:gd name="T11" fmla="*/ 2907 h 3380"/>
                            <a:gd name="T12" fmla="*/ 1332 w 3590"/>
                            <a:gd name="T13" fmla="*/ 2884 h 3380"/>
                            <a:gd name="T14" fmla="*/ 1222 w 3590"/>
                            <a:gd name="T15" fmla="*/ 2974 h 3380"/>
                            <a:gd name="T16" fmla="*/ 1236 w 3590"/>
                            <a:gd name="T17" fmla="*/ 3120 h 3380"/>
                            <a:gd name="T18" fmla="*/ 1364 w 3590"/>
                            <a:gd name="T19" fmla="*/ 3188 h 3380"/>
                            <a:gd name="T20" fmla="*/ 1490 w 3590"/>
                            <a:gd name="T21" fmla="*/ 3120 h 3380"/>
                            <a:gd name="T22" fmla="*/ 1504 w 3590"/>
                            <a:gd name="T23" fmla="*/ 2974 h 3380"/>
                            <a:gd name="T24" fmla="*/ 1394 w 3590"/>
                            <a:gd name="T25" fmla="*/ 2884 h 3380"/>
                            <a:gd name="T26" fmla="*/ 2991 w 3590"/>
                            <a:gd name="T27" fmla="*/ 1844 h 3380"/>
                            <a:gd name="T28" fmla="*/ 2416 w 3590"/>
                            <a:gd name="T29" fmla="*/ 1844 h 3380"/>
                            <a:gd name="T30" fmla="*/ 1654 w 3590"/>
                            <a:gd name="T31" fmla="*/ 1844 h 3380"/>
                            <a:gd name="T32" fmla="*/ 3160 w 3590"/>
                            <a:gd name="T33" fmla="*/ 1316 h 3380"/>
                            <a:gd name="T34" fmla="*/ 2416 w 3590"/>
                            <a:gd name="T35" fmla="*/ 1316 h 3380"/>
                            <a:gd name="T36" fmla="*/ 1654 w 3590"/>
                            <a:gd name="T37" fmla="*/ 1316 h 3380"/>
                            <a:gd name="T38" fmla="*/ 3317 w 3590"/>
                            <a:gd name="T39" fmla="*/ 826 h 3380"/>
                            <a:gd name="T40" fmla="*/ 2416 w 3590"/>
                            <a:gd name="T41" fmla="*/ 826 h 3380"/>
                            <a:gd name="T42" fmla="*/ 1654 w 3590"/>
                            <a:gd name="T43" fmla="*/ 826 h 3380"/>
                            <a:gd name="T44" fmla="*/ 695 w 3590"/>
                            <a:gd name="T45" fmla="*/ 220 h 3380"/>
                            <a:gd name="T46" fmla="*/ 868 w 3590"/>
                            <a:gd name="T47" fmla="*/ 597 h 3380"/>
                            <a:gd name="T48" fmla="*/ 3517 w 3590"/>
                            <a:gd name="T49" fmla="*/ 604 h 3380"/>
                            <a:gd name="T50" fmla="*/ 3587 w 3590"/>
                            <a:gd name="T51" fmla="*/ 682 h 3380"/>
                            <a:gd name="T52" fmla="*/ 3095 w 3590"/>
                            <a:gd name="T53" fmla="*/ 2266 h 3380"/>
                            <a:gd name="T54" fmla="*/ 2996 w 3590"/>
                            <a:gd name="T55" fmla="*/ 2324 h 3380"/>
                            <a:gd name="T56" fmla="*/ 2996 w 3590"/>
                            <a:gd name="T57" fmla="*/ 2612 h 3380"/>
                            <a:gd name="T58" fmla="*/ 3082 w 3590"/>
                            <a:gd name="T59" fmla="*/ 2665 h 3380"/>
                            <a:gd name="T60" fmla="*/ 3070 w 3590"/>
                            <a:gd name="T61" fmla="*/ 2768 h 3380"/>
                            <a:gd name="T62" fmla="*/ 2888 w 3590"/>
                            <a:gd name="T63" fmla="*/ 2804 h 3380"/>
                            <a:gd name="T64" fmla="*/ 2973 w 3590"/>
                            <a:gd name="T65" fmla="*/ 2991 h 3380"/>
                            <a:gd name="T66" fmla="*/ 2929 w 3590"/>
                            <a:gd name="T67" fmla="*/ 3209 h 3380"/>
                            <a:gd name="T68" fmla="*/ 2764 w 3590"/>
                            <a:gd name="T69" fmla="*/ 3353 h 3380"/>
                            <a:gd name="T70" fmla="*/ 2539 w 3590"/>
                            <a:gd name="T71" fmla="*/ 3368 h 3380"/>
                            <a:gd name="T72" fmla="*/ 2357 w 3590"/>
                            <a:gd name="T73" fmla="*/ 3246 h 3380"/>
                            <a:gd name="T74" fmla="*/ 2284 w 3590"/>
                            <a:gd name="T75" fmla="*/ 3034 h 3380"/>
                            <a:gd name="T76" fmla="*/ 2348 w 3590"/>
                            <a:gd name="T77" fmla="*/ 2836 h 3380"/>
                            <a:gd name="T78" fmla="*/ 1685 w 3590"/>
                            <a:gd name="T79" fmla="*/ 2909 h 3380"/>
                            <a:gd name="T80" fmla="*/ 1696 w 3590"/>
                            <a:gd name="T81" fmla="*/ 3126 h 3380"/>
                            <a:gd name="T82" fmla="*/ 1574 w 3590"/>
                            <a:gd name="T83" fmla="*/ 3308 h 3380"/>
                            <a:gd name="T84" fmla="*/ 1364 w 3590"/>
                            <a:gd name="T85" fmla="*/ 3380 h 3380"/>
                            <a:gd name="T86" fmla="*/ 1152 w 3590"/>
                            <a:gd name="T87" fmla="*/ 3308 h 3380"/>
                            <a:gd name="T88" fmla="*/ 1030 w 3590"/>
                            <a:gd name="T89" fmla="*/ 3126 h 3380"/>
                            <a:gd name="T90" fmla="*/ 1042 w 3590"/>
                            <a:gd name="T91" fmla="*/ 2909 h 3380"/>
                            <a:gd name="T92" fmla="*/ 995 w 3590"/>
                            <a:gd name="T93" fmla="*/ 2801 h 3380"/>
                            <a:gd name="T94" fmla="*/ 923 w 3590"/>
                            <a:gd name="T95" fmla="*/ 2721 h 3380"/>
                            <a:gd name="T96" fmla="*/ 1124 w 3590"/>
                            <a:gd name="T97" fmla="*/ 2159 h 3380"/>
                            <a:gd name="T98" fmla="*/ 52 w 3590"/>
                            <a:gd name="T99" fmla="*/ 212 h 3380"/>
                            <a:gd name="T100" fmla="*/ 0 w 3590"/>
                            <a:gd name="T101" fmla="*/ 119 h 3380"/>
                            <a:gd name="T102" fmla="*/ 50 w 3590"/>
                            <a:gd name="T103" fmla="*/ 21 h 33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590" h="3380">
                              <a:moveTo>
                                <a:pt x="2630" y="2880"/>
                              </a:moveTo>
                              <a:lnTo>
                                <a:pt x="2600" y="2884"/>
                              </a:lnTo>
                              <a:lnTo>
                                <a:pt x="2570" y="2892"/>
                              </a:lnTo>
                              <a:lnTo>
                                <a:pt x="2545" y="2907"/>
                              </a:lnTo>
                              <a:lnTo>
                                <a:pt x="2522" y="2926"/>
                              </a:lnTo>
                              <a:lnTo>
                                <a:pt x="2504" y="2948"/>
                              </a:lnTo>
                              <a:lnTo>
                                <a:pt x="2489" y="2974"/>
                              </a:lnTo>
                              <a:lnTo>
                                <a:pt x="2480" y="3004"/>
                              </a:lnTo>
                              <a:lnTo>
                                <a:pt x="2476" y="3034"/>
                              </a:lnTo>
                              <a:lnTo>
                                <a:pt x="2480" y="3066"/>
                              </a:lnTo>
                              <a:lnTo>
                                <a:pt x="2489" y="3094"/>
                              </a:lnTo>
                              <a:lnTo>
                                <a:pt x="2504" y="3120"/>
                              </a:lnTo>
                              <a:lnTo>
                                <a:pt x="2522" y="3143"/>
                              </a:lnTo>
                              <a:lnTo>
                                <a:pt x="2545" y="3162"/>
                              </a:lnTo>
                              <a:lnTo>
                                <a:pt x="2570" y="3176"/>
                              </a:lnTo>
                              <a:lnTo>
                                <a:pt x="2600" y="3185"/>
                              </a:lnTo>
                              <a:lnTo>
                                <a:pt x="2630" y="3188"/>
                              </a:lnTo>
                              <a:lnTo>
                                <a:pt x="2662" y="3185"/>
                              </a:lnTo>
                              <a:lnTo>
                                <a:pt x="2690" y="3176"/>
                              </a:lnTo>
                              <a:lnTo>
                                <a:pt x="2716" y="3162"/>
                              </a:lnTo>
                              <a:lnTo>
                                <a:pt x="2739" y="3143"/>
                              </a:lnTo>
                              <a:lnTo>
                                <a:pt x="2758" y="3120"/>
                              </a:lnTo>
                              <a:lnTo>
                                <a:pt x="2772" y="3094"/>
                              </a:lnTo>
                              <a:lnTo>
                                <a:pt x="2781" y="3066"/>
                              </a:lnTo>
                              <a:lnTo>
                                <a:pt x="2784" y="3034"/>
                              </a:lnTo>
                              <a:lnTo>
                                <a:pt x="2781" y="3004"/>
                              </a:lnTo>
                              <a:lnTo>
                                <a:pt x="2772" y="2974"/>
                              </a:lnTo>
                              <a:lnTo>
                                <a:pt x="2758" y="2948"/>
                              </a:lnTo>
                              <a:lnTo>
                                <a:pt x="2739" y="2926"/>
                              </a:lnTo>
                              <a:lnTo>
                                <a:pt x="2716" y="2907"/>
                              </a:lnTo>
                              <a:lnTo>
                                <a:pt x="2690" y="2892"/>
                              </a:lnTo>
                              <a:lnTo>
                                <a:pt x="2662" y="2884"/>
                              </a:lnTo>
                              <a:lnTo>
                                <a:pt x="2630" y="2880"/>
                              </a:lnTo>
                              <a:close/>
                              <a:moveTo>
                                <a:pt x="1364" y="2880"/>
                              </a:moveTo>
                              <a:lnTo>
                                <a:pt x="1332" y="2884"/>
                              </a:lnTo>
                              <a:lnTo>
                                <a:pt x="1304" y="2892"/>
                              </a:lnTo>
                              <a:lnTo>
                                <a:pt x="1277" y="2907"/>
                              </a:lnTo>
                              <a:lnTo>
                                <a:pt x="1255" y="2926"/>
                              </a:lnTo>
                              <a:lnTo>
                                <a:pt x="1236" y="2948"/>
                              </a:lnTo>
                              <a:lnTo>
                                <a:pt x="1222" y="2974"/>
                              </a:lnTo>
                              <a:lnTo>
                                <a:pt x="1213" y="3004"/>
                              </a:lnTo>
                              <a:lnTo>
                                <a:pt x="1210" y="3034"/>
                              </a:lnTo>
                              <a:lnTo>
                                <a:pt x="1213" y="3066"/>
                              </a:lnTo>
                              <a:lnTo>
                                <a:pt x="1222" y="3094"/>
                              </a:lnTo>
                              <a:lnTo>
                                <a:pt x="1236" y="3120"/>
                              </a:lnTo>
                              <a:lnTo>
                                <a:pt x="1255" y="3143"/>
                              </a:lnTo>
                              <a:lnTo>
                                <a:pt x="1277" y="3162"/>
                              </a:lnTo>
                              <a:lnTo>
                                <a:pt x="1304" y="3176"/>
                              </a:lnTo>
                              <a:lnTo>
                                <a:pt x="1332" y="3185"/>
                              </a:lnTo>
                              <a:lnTo>
                                <a:pt x="1364" y="3188"/>
                              </a:lnTo>
                              <a:lnTo>
                                <a:pt x="1394" y="3185"/>
                              </a:lnTo>
                              <a:lnTo>
                                <a:pt x="1423" y="3176"/>
                              </a:lnTo>
                              <a:lnTo>
                                <a:pt x="1449" y="3162"/>
                              </a:lnTo>
                              <a:lnTo>
                                <a:pt x="1472" y="3143"/>
                              </a:lnTo>
                              <a:lnTo>
                                <a:pt x="1490" y="3120"/>
                              </a:lnTo>
                              <a:lnTo>
                                <a:pt x="1504" y="3094"/>
                              </a:lnTo>
                              <a:lnTo>
                                <a:pt x="1514" y="3066"/>
                              </a:lnTo>
                              <a:lnTo>
                                <a:pt x="1516" y="3034"/>
                              </a:lnTo>
                              <a:lnTo>
                                <a:pt x="1514" y="3004"/>
                              </a:lnTo>
                              <a:lnTo>
                                <a:pt x="1504" y="2974"/>
                              </a:lnTo>
                              <a:lnTo>
                                <a:pt x="1490" y="2948"/>
                              </a:lnTo>
                              <a:lnTo>
                                <a:pt x="1472" y="2926"/>
                              </a:lnTo>
                              <a:lnTo>
                                <a:pt x="1449" y="2907"/>
                              </a:lnTo>
                              <a:lnTo>
                                <a:pt x="1423" y="2892"/>
                              </a:lnTo>
                              <a:lnTo>
                                <a:pt x="1394" y="2884"/>
                              </a:lnTo>
                              <a:lnTo>
                                <a:pt x="1364" y="2880"/>
                              </a:lnTo>
                              <a:close/>
                              <a:moveTo>
                                <a:pt x="2647" y="1844"/>
                              </a:moveTo>
                              <a:lnTo>
                                <a:pt x="2647" y="2094"/>
                              </a:lnTo>
                              <a:lnTo>
                                <a:pt x="2912" y="2094"/>
                              </a:lnTo>
                              <a:lnTo>
                                <a:pt x="2991" y="1844"/>
                              </a:lnTo>
                              <a:lnTo>
                                <a:pt x="2647" y="1844"/>
                              </a:lnTo>
                              <a:close/>
                              <a:moveTo>
                                <a:pt x="1885" y="1844"/>
                              </a:moveTo>
                              <a:lnTo>
                                <a:pt x="1885" y="2094"/>
                              </a:lnTo>
                              <a:lnTo>
                                <a:pt x="2416" y="2094"/>
                              </a:lnTo>
                              <a:lnTo>
                                <a:pt x="2416" y="1844"/>
                              </a:lnTo>
                              <a:lnTo>
                                <a:pt x="1885" y="1844"/>
                              </a:lnTo>
                              <a:close/>
                              <a:moveTo>
                                <a:pt x="1301" y="1844"/>
                              </a:moveTo>
                              <a:lnTo>
                                <a:pt x="1388" y="2094"/>
                              </a:lnTo>
                              <a:lnTo>
                                <a:pt x="1654" y="2094"/>
                              </a:lnTo>
                              <a:lnTo>
                                <a:pt x="1654" y="1844"/>
                              </a:lnTo>
                              <a:lnTo>
                                <a:pt x="1301" y="1844"/>
                              </a:lnTo>
                              <a:close/>
                              <a:moveTo>
                                <a:pt x="2647" y="1316"/>
                              </a:moveTo>
                              <a:lnTo>
                                <a:pt x="2647" y="1614"/>
                              </a:lnTo>
                              <a:lnTo>
                                <a:pt x="3065" y="1614"/>
                              </a:lnTo>
                              <a:lnTo>
                                <a:pt x="3160" y="1316"/>
                              </a:lnTo>
                              <a:lnTo>
                                <a:pt x="2647" y="1316"/>
                              </a:lnTo>
                              <a:close/>
                              <a:moveTo>
                                <a:pt x="1885" y="1316"/>
                              </a:moveTo>
                              <a:lnTo>
                                <a:pt x="1885" y="1614"/>
                              </a:lnTo>
                              <a:lnTo>
                                <a:pt x="2416" y="1614"/>
                              </a:lnTo>
                              <a:lnTo>
                                <a:pt x="2416" y="1316"/>
                              </a:lnTo>
                              <a:lnTo>
                                <a:pt x="1885" y="1316"/>
                              </a:lnTo>
                              <a:close/>
                              <a:moveTo>
                                <a:pt x="1118" y="1316"/>
                              </a:moveTo>
                              <a:lnTo>
                                <a:pt x="1221" y="1614"/>
                              </a:lnTo>
                              <a:lnTo>
                                <a:pt x="1654" y="1614"/>
                              </a:lnTo>
                              <a:lnTo>
                                <a:pt x="1654" y="1316"/>
                              </a:lnTo>
                              <a:lnTo>
                                <a:pt x="1118" y="1316"/>
                              </a:lnTo>
                              <a:close/>
                              <a:moveTo>
                                <a:pt x="2647" y="826"/>
                              </a:moveTo>
                              <a:lnTo>
                                <a:pt x="2647" y="1086"/>
                              </a:lnTo>
                              <a:lnTo>
                                <a:pt x="3235" y="1086"/>
                              </a:lnTo>
                              <a:lnTo>
                                <a:pt x="3317" y="826"/>
                              </a:lnTo>
                              <a:lnTo>
                                <a:pt x="2647" y="826"/>
                              </a:lnTo>
                              <a:close/>
                              <a:moveTo>
                                <a:pt x="1885" y="826"/>
                              </a:moveTo>
                              <a:lnTo>
                                <a:pt x="1885" y="1086"/>
                              </a:lnTo>
                              <a:lnTo>
                                <a:pt x="2416" y="1086"/>
                              </a:lnTo>
                              <a:lnTo>
                                <a:pt x="2416" y="826"/>
                              </a:lnTo>
                              <a:lnTo>
                                <a:pt x="1885" y="826"/>
                              </a:lnTo>
                              <a:close/>
                              <a:moveTo>
                                <a:pt x="948" y="826"/>
                              </a:moveTo>
                              <a:lnTo>
                                <a:pt x="1037" y="1086"/>
                              </a:lnTo>
                              <a:lnTo>
                                <a:pt x="1654" y="1086"/>
                              </a:lnTo>
                              <a:lnTo>
                                <a:pt x="1654" y="826"/>
                              </a:lnTo>
                              <a:lnTo>
                                <a:pt x="948" y="826"/>
                              </a:lnTo>
                              <a:close/>
                              <a:moveTo>
                                <a:pt x="112" y="0"/>
                              </a:moveTo>
                              <a:lnTo>
                                <a:pt x="135" y="3"/>
                              </a:lnTo>
                              <a:lnTo>
                                <a:pt x="157" y="9"/>
                              </a:lnTo>
                              <a:lnTo>
                                <a:pt x="695" y="220"/>
                              </a:lnTo>
                              <a:lnTo>
                                <a:pt x="717" y="232"/>
                              </a:lnTo>
                              <a:lnTo>
                                <a:pt x="736" y="247"/>
                              </a:lnTo>
                              <a:lnTo>
                                <a:pt x="751" y="267"/>
                              </a:lnTo>
                              <a:lnTo>
                                <a:pt x="761" y="289"/>
                              </a:lnTo>
                              <a:lnTo>
                                <a:pt x="868" y="597"/>
                              </a:lnTo>
                              <a:lnTo>
                                <a:pt x="876" y="596"/>
                              </a:lnTo>
                              <a:lnTo>
                                <a:pt x="884" y="596"/>
                              </a:lnTo>
                              <a:lnTo>
                                <a:pt x="3476" y="596"/>
                              </a:lnTo>
                              <a:lnTo>
                                <a:pt x="3496" y="598"/>
                              </a:lnTo>
                              <a:lnTo>
                                <a:pt x="3517" y="604"/>
                              </a:lnTo>
                              <a:lnTo>
                                <a:pt x="3537" y="613"/>
                              </a:lnTo>
                              <a:lnTo>
                                <a:pt x="3554" y="627"/>
                              </a:lnTo>
                              <a:lnTo>
                                <a:pt x="3568" y="643"/>
                              </a:lnTo>
                              <a:lnTo>
                                <a:pt x="3579" y="663"/>
                              </a:lnTo>
                              <a:lnTo>
                                <a:pt x="3587" y="682"/>
                              </a:lnTo>
                              <a:lnTo>
                                <a:pt x="3590" y="704"/>
                              </a:lnTo>
                              <a:lnTo>
                                <a:pt x="3589" y="725"/>
                              </a:lnTo>
                              <a:lnTo>
                                <a:pt x="3585" y="747"/>
                              </a:lnTo>
                              <a:lnTo>
                                <a:pt x="3105" y="2244"/>
                              </a:lnTo>
                              <a:lnTo>
                                <a:pt x="3095" y="2266"/>
                              </a:lnTo>
                              <a:lnTo>
                                <a:pt x="3081" y="2286"/>
                              </a:lnTo>
                              <a:lnTo>
                                <a:pt x="3063" y="2302"/>
                              </a:lnTo>
                              <a:lnTo>
                                <a:pt x="3043" y="2314"/>
                              </a:lnTo>
                              <a:lnTo>
                                <a:pt x="3020" y="2322"/>
                              </a:lnTo>
                              <a:lnTo>
                                <a:pt x="2996" y="2324"/>
                              </a:lnTo>
                              <a:lnTo>
                                <a:pt x="1306" y="2324"/>
                              </a:lnTo>
                              <a:lnTo>
                                <a:pt x="1283" y="2322"/>
                              </a:lnTo>
                              <a:lnTo>
                                <a:pt x="1261" y="2315"/>
                              </a:lnTo>
                              <a:lnTo>
                                <a:pt x="1154" y="2612"/>
                              </a:lnTo>
                              <a:lnTo>
                                <a:pt x="2996" y="2612"/>
                              </a:lnTo>
                              <a:lnTo>
                                <a:pt x="3017" y="2614"/>
                              </a:lnTo>
                              <a:lnTo>
                                <a:pt x="3037" y="2622"/>
                              </a:lnTo>
                              <a:lnTo>
                                <a:pt x="3056" y="2633"/>
                              </a:lnTo>
                              <a:lnTo>
                                <a:pt x="3070" y="2648"/>
                              </a:lnTo>
                              <a:lnTo>
                                <a:pt x="3082" y="2665"/>
                              </a:lnTo>
                              <a:lnTo>
                                <a:pt x="3088" y="2686"/>
                              </a:lnTo>
                              <a:lnTo>
                                <a:pt x="3092" y="2708"/>
                              </a:lnTo>
                              <a:lnTo>
                                <a:pt x="3088" y="2730"/>
                              </a:lnTo>
                              <a:lnTo>
                                <a:pt x="3082" y="2751"/>
                              </a:lnTo>
                              <a:lnTo>
                                <a:pt x="3070" y="2768"/>
                              </a:lnTo>
                              <a:lnTo>
                                <a:pt x="3056" y="2783"/>
                              </a:lnTo>
                              <a:lnTo>
                                <a:pt x="3037" y="2794"/>
                              </a:lnTo>
                              <a:lnTo>
                                <a:pt x="3017" y="2802"/>
                              </a:lnTo>
                              <a:lnTo>
                                <a:pt x="2996" y="2804"/>
                              </a:lnTo>
                              <a:lnTo>
                                <a:pt x="2888" y="2804"/>
                              </a:lnTo>
                              <a:lnTo>
                                <a:pt x="2913" y="2836"/>
                              </a:lnTo>
                              <a:lnTo>
                                <a:pt x="2935" y="2872"/>
                              </a:lnTo>
                              <a:lnTo>
                                <a:pt x="2952" y="2909"/>
                              </a:lnTo>
                              <a:lnTo>
                                <a:pt x="2965" y="2949"/>
                              </a:lnTo>
                              <a:lnTo>
                                <a:pt x="2973" y="2991"/>
                              </a:lnTo>
                              <a:lnTo>
                                <a:pt x="2976" y="3034"/>
                              </a:lnTo>
                              <a:lnTo>
                                <a:pt x="2973" y="3081"/>
                              </a:lnTo>
                              <a:lnTo>
                                <a:pt x="2964" y="3126"/>
                              </a:lnTo>
                              <a:lnTo>
                                <a:pt x="2949" y="3168"/>
                              </a:lnTo>
                              <a:lnTo>
                                <a:pt x="2929" y="3209"/>
                              </a:lnTo>
                              <a:lnTo>
                                <a:pt x="2904" y="3246"/>
                              </a:lnTo>
                              <a:lnTo>
                                <a:pt x="2875" y="3279"/>
                              </a:lnTo>
                              <a:lnTo>
                                <a:pt x="2842" y="3308"/>
                              </a:lnTo>
                              <a:lnTo>
                                <a:pt x="2805" y="3333"/>
                              </a:lnTo>
                              <a:lnTo>
                                <a:pt x="2764" y="3353"/>
                              </a:lnTo>
                              <a:lnTo>
                                <a:pt x="2722" y="3368"/>
                              </a:lnTo>
                              <a:lnTo>
                                <a:pt x="2677" y="3377"/>
                              </a:lnTo>
                              <a:lnTo>
                                <a:pt x="2630" y="3380"/>
                              </a:lnTo>
                              <a:lnTo>
                                <a:pt x="2583" y="3377"/>
                              </a:lnTo>
                              <a:lnTo>
                                <a:pt x="2539" y="3368"/>
                              </a:lnTo>
                              <a:lnTo>
                                <a:pt x="2496" y="3353"/>
                              </a:lnTo>
                              <a:lnTo>
                                <a:pt x="2456" y="3333"/>
                              </a:lnTo>
                              <a:lnTo>
                                <a:pt x="2420" y="3308"/>
                              </a:lnTo>
                              <a:lnTo>
                                <a:pt x="2386" y="3279"/>
                              </a:lnTo>
                              <a:lnTo>
                                <a:pt x="2357" y="3246"/>
                              </a:lnTo>
                              <a:lnTo>
                                <a:pt x="2332" y="3209"/>
                              </a:lnTo>
                              <a:lnTo>
                                <a:pt x="2312" y="3168"/>
                              </a:lnTo>
                              <a:lnTo>
                                <a:pt x="2297" y="3126"/>
                              </a:lnTo>
                              <a:lnTo>
                                <a:pt x="2288" y="3081"/>
                              </a:lnTo>
                              <a:lnTo>
                                <a:pt x="2284" y="3034"/>
                              </a:lnTo>
                              <a:lnTo>
                                <a:pt x="2288" y="2991"/>
                              </a:lnTo>
                              <a:lnTo>
                                <a:pt x="2295" y="2949"/>
                              </a:lnTo>
                              <a:lnTo>
                                <a:pt x="2308" y="2909"/>
                              </a:lnTo>
                              <a:lnTo>
                                <a:pt x="2326" y="2872"/>
                              </a:lnTo>
                              <a:lnTo>
                                <a:pt x="2348" y="2836"/>
                              </a:lnTo>
                              <a:lnTo>
                                <a:pt x="2374" y="2804"/>
                              </a:lnTo>
                              <a:lnTo>
                                <a:pt x="1620" y="2804"/>
                              </a:lnTo>
                              <a:lnTo>
                                <a:pt x="1646" y="2836"/>
                              </a:lnTo>
                              <a:lnTo>
                                <a:pt x="1668" y="2872"/>
                              </a:lnTo>
                              <a:lnTo>
                                <a:pt x="1685" y="2909"/>
                              </a:lnTo>
                              <a:lnTo>
                                <a:pt x="1699" y="2949"/>
                              </a:lnTo>
                              <a:lnTo>
                                <a:pt x="1706" y="2991"/>
                              </a:lnTo>
                              <a:lnTo>
                                <a:pt x="1708" y="3034"/>
                              </a:lnTo>
                              <a:lnTo>
                                <a:pt x="1706" y="3081"/>
                              </a:lnTo>
                              <a:lnTo>
                                <a:pt x="1696" y="3126"/>
                              </a:lnTo>
                              <a:lnTo>
                                <a:pt x="1682" y="3168"/>
                              </a:lnTo>
                              <a:lnTo>
                                <a:pt x="1661" y="3209"/>
                              </a:lnTo>
                              <a:lnTo>
                                <a:pt x="1636" y="3246"/>
                              </a:lnTo>
                              <a:lnTo>
                                <a:pt x="1608" y="3279"/>
                              </a:lnTo>
                              <a:lnTo>
                                <a:pt x="1574" y="3308"/>
                              </a:lnTo>
                              <a:lnTo>
                                <a:pt x="1537" y="3333"/>
                              </a:lnTo>
                              <a:lnTo>
                                <a:pt x="1498" y="3353"/>
                              </a:lnTo>
                              <a:lnTo>
                                <a:pt x="1455" y="3368"/>
                              </a:lnTo>
                              <a:lnTo>
                                <a:pt x="1409" y="3377"/>
                              </a:lnTo>
                              <a:lnTo>
                                <a:pt x="1364" y="3380"/>
                              </a:lnTo>
                              <a:lnTo>
                                <a:pt x="1317" y="3377"/>
                              </a:lnTo>
                              <a:lnTo>
                                <a:pt x="1271" y="3368"/>
                              </a:lnTo>
                              <a:lnTo>
                                <a:pt x="1228" y="3353"/>
                              </a:lnTo>
                              <a:lnTo>
                                <a:pt x="1189" y="3333"/>
                              </a:lnTo>
                              <a:lnTo>
                                <a:pt x="1152" y="3308"/>
                              </a:lnTo>
                              <a:lnTo>
                                <a:pt x="1119" y="3279"/>
                              </a:lnTo>
                              <a:lnTo>
                                <a:pt x="1090" y="3246"/>
                              </a:lnTo>
                              <a:lnTo>
                                <a:pt x="1065" y="3209"/>
                              </a:lnTo>
                              <a:lnTo>
                                <a:pt x="1045" y="3168"/>
                              </a:lnTo>
                              <a:lnTo>
                                <a:pt x="1030" y="3126"/>
                              </a:lnTo>
                              <a:lnTo>
                                <a:pt x="1021" y="3081"/>
                              </a:lnTo>
                              <a:lnTo>
                                <a:pt x="1018" y="3034"/>
                              </a:lnTo>
                              <a:lnTo>
                                <a:pt x="1020" y="2991"/>
                              </a:lnTo>
                              <a:lnTo>
                                <a:pt x="1029" y="2949"/>
                              </a:lnTo>
                              <a:lnTo>
                                <a:pt x="1042" y="2909"/>
                              </a:lnTo>
                              <a:lnTo>
                                <a:pt x="1059" y="2872"/>
                              </a:lnTo>
                              <a:lnTo>
                                <a:pt x="1081" y="2836"/>
                              </a:lnTo>
                              <a:lnTo>
                                <a:pt x="1106" y="2804"/>
                              </a:lnTo>
                              <a:lnTo>
                                <a:pt x="1018" y="2804"/>
                              </a:lnTo>
                              <a:lnTo>
                                <a:pt x="995" y="2801"/>
                              </a:lnTo>
                              <a:lnTo>
                                <a:pt x="973" y="2793"/>
                              </a:lnTo>
                              <a:lnTo>
                                <a:pt x="955" y="2780"/>
                              </a:lnTo>
                              <a:lnTo>
                                <a:pt x="939" y="2764"/>
                              </a:lnTo>
                              <a:lnTo>
                                <a:pt x="928" y="2743"/>
                              </a:lnTo>
                              <a:lnTo>
                                <a:pt x="923" y="2721"/>
                              </a:lnTo>
                              <a:lnTo>
                                <a:pt x="922" y="2698"/>
                              </a:lnTo>
                              <a:lnTo>
                                <a:pt x="927" y="2675"/>
                              </a:lnTo>
                              <a:lnTo>
                                <a:pt x="1100" y="2195"/>
                              </a:lnTo>
                              <a:lnTo>
                                <a:pt x="1109" y="2176"/>
                              </a:lnTo>
                              <a:lnTo>
                                <a:pt x="1124" y="2159"/>
                              </a:lnTo>
                              <a:lnTo>
                                <a:pt x="1140" y="2146"/>
                              </a:lnTo>
                              <a:lnTo>
                                <a:pt x="1159" y="2137"/>
                              </a:lnTo>
                              <a:lnTo>
                                <a:pt x="562" y="415"/>
                              </a:lnTo>
                              <a:lnTo>
                                <a:pt x="73" y="223"/>
                              </a:lnTo>
                              <a:lnTo>
                                <a:pt x="52" y="212"/>
                              </a:lnTo>
                              <a:lnTo>
                                <a:pt x="35" y="199"/>
                              </a:lnTo>
                              <a:lnTo>
                                <a:pt x="21" y="181"/>
                              </a:lnTo>
                              <a:lnTo>
                                <a:pt x="10" y="162"/>
                              </a:lnTo>
                              <a:lnTo>
                                <a:pt x="3" y="141"/>
                              </a:lnTo>
                              <a:lnTo>
                                <a:pt x="0" y="119"/>
                              </a:lnTo>
                              <a:lnTo>
                                <a:pt x="2" y="96"/>
                              </a:lnTo>
                              <a:lnTo>
                                <a:pt x="8" y="73"/>
                              </a:lnTo>
                              <a:lnTo>
                                <a:pt x="19" y="53"/>
                              </a:lnTo>
                              <a:lnTo>
                                <a:pt x="33" y="35"/>
                              </a:lnTo>
                              <a:lnTo>
                                <a:pt x="50" y="21"/>
                              </a:lnTo>
                              <a:lnTo>
                                <a:pt x="69" y="10"/>
                              </a:lnTo>
                              <a:lnTo>
                                <a:pt x="91" y="4"/>
                              </a:lnTo>
                              <a:lnTo>
                                <a:pt x="112" y="0"/>
                              </a:lnTo>
                              <a:close/>
                            </a:path>
                          </a:pathLst>
                        </a:custGeom>
                        <a:solidFill>
                          <a:srgbClr val="7D801D"/>
                        </a:solidFill>
                        <a:ln w="0">
                          <a:noFill/>
                          <a:prstDash val="solid"/>
                          <a:round/>
                          <a:headEnd/>
                          <a:tailEnd/>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reeform 6" o:spid="_x0000_s1026" style="position:absolute;margin-left:324pt;margin-top:2.75pt;width:36pt;height:27pt;z-index:25289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90,33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" path="m2630,2880l2600,2884,2570,2892,2545,2907,2522,2926,2504,2948,2489,2974,2480,3004,2476,3034,2480,3066,2489,3094,2504,3120,2522,3143,2545,3162,2570,3176,2600,3185,2630,3188,2662,3185,2690,3176,2716,3162,2739,3143,2758,3120,2772,3094,2781,3066,2784,3034,2781,3004,2772,2974,2758,2948,2739,2926,2716,2907,2690,2892,2662,2884,2630,2880xm1364,2880l1332,2884,1304,2892,1277,2907,1255,2926,1236,2948,1222,2974,1213,3004,1210,3034,1213,3066,1222,3094,1236,3120,1255,3143,1277,3162,1304,3176,1332,3185,1364,3188,1394,3185,1423,3176,1449,3162,1472,3143,1490,3120,1504,3094,1514,3066,1516,3034,1514,3004,1504,2974,1490,2948,1472,2926,1449,2907,1423,2892,1394,2884,1364,2880xm2647,1844l2647,2094,2912,2094,2991,1844,2647,1844xm1885,1844l1885,2094,2416,2094,2416,1844,1885,1844xm1301,1844l1388,2094,1654,2094,1654,1844,1301,1844xm2647,1316l2647,1614,3065,1614,3160,1316,2647,1316xm1885,1316l1885,1614,2416,1614,2416,1316,1885,1316xm1118,1316l1221,1614,1654,1614,1654,1316,1118,1316xm2647,826l2647,1086,3235,1086,3317,826,2647,826xm1885,826l1885,1086,2416,1086,2416,826,1885,826xm948,826l1037,1086,1654,1086,1654,826,948,826xm112,0l135,3,157,9,695,220,717,232,736,247,751,267,761,289,868,597,876,596,884,596,3476,596,3496,598,3517,604,3537,613,3554,627,3568,643,3579,663,3587,682,3590,704,3589,725,3585,747,3105,2244,3095,2266,3081,2286,3063,2302,3043,2314,3020,2322,2996,2324,1306,2324,1283,2322,1261,2315,1154,2612,2996,2612,3017,2614,3037,2622,3056,2633,3070,2648,3082,2665,3088,2686,3092,2708,3088,2730,3082,2751,3070,2768,3056,2783,3037,2794,3017,2802,2996,2804,2888,2804,2913,2836,2935,2872,2952,2909,2965,2949,2973,2991,2976,3034,2973,3081,2964,3126,2949,3168,2929,3209,2904,3246,2875,3279,2842,3308,2805,3333,2764,3353,2722,3368,2677,3377,2630,3380,2583,3377,2539,3368,2496,3353,2456,3333,2420,3308,2386,3279,2357,3246,2332,3209,2312,3168,2297,3126,2288,3081,2284,3034,2288,2991,2295,2949,2308,2909,2326,2872,2348,2836,2374,2804,1620,2804,1646,2836,1668,2872,1685,2909,1699,2949,1706,2991,1708,3034,1706,3081,1696,3126,1682,3168,1661,3209,1636,3246,1608,3279,1574,3308,1537,3333,1498,3353,1455,3368,1409,3377,1364,3380,1317,3377,1271,3368,1228,3353,1189,3333,1152,3308,1119,3279,1090,3246,1065,3209,1045,3168,1030,3126,1021,3081,1018,3034,1020,2991,1029,2949,1042,2909,1059,2872,1081,2836,1106,2804,1018,2804,995,2801,973,2793,955,2780,939,2764,928,2743,923,2721,922,2698,927,2675,1100,2195,1109,2176,1124,2159,1140,2146,1159,2137,562,415,73,223,52,212,35,199,21,181,10,162,3,141,,119,2,96,8,73,19,53,33,35,50,21,69,10,91,4,112,0xe" fillcolor="#7d801d" stroked="f" strokeweight="0">
                <v:path arrowok="t" o:connecttype="custom" o:connectlocs="321186,296842;315837,311045;327299,322204;345893,320784;354553,307798;345893,294914;169635,292581;155626,301711;157409,316523;173711,323422;189757,316523;191540,301711;177531,292581;380915,187073;307687,187073;210643,187073;402438,133508;307687,133508;210643,133508;422432,83797;307687,83797;210643,83797;88511,22319;110543,60565;447903,61276;456818,69189;394160,229885;381552,235769;381552,264987;392504,270363;390976,280813;367798,284465;378623,303436;373019,325552;352006,340161;323351,341683;300173,329306;290876,307798;299027,287711;214591,295117;215992,317132;200455,335596;173711,342900;146712,335596;131174,317132;132703,295117;126717,284161;117548,276045;143146,219030;6622,21507;0,12073;6368,2130" o:connectangles="0,0,0,0,0,0,0,0,0,0,0,0,0,0,0,0,0,0,0,0,0,0,0,0,0,0,0,0,0,0,0,0,0,0,0,0,0,0,0,0,0,0,0,0,0,0,0,0,0,0,0,0"/>
                <o:lock v:ext="edit" verticies="t"/>
              </v:shape>
            </w:pict>
          </mc:Fallback>
        </mc:AlternateContent>
      </w:r>
      <w:r>
        <w:rPr>
          <w:noProof/>
          <w:lang w:eastAsia="fr-FR"/>
        </w:rPr>
        <mc:AlternateContent>
          <mc:Choice Requires="wps">
            <w:drawing>
              <wp:anchor distT="0" distB="0" distL="114300" distR="114300" simplePos="0" relativeHeight="252883968" behindDoc="0" locked="0" layoutInCell="1" allowOverlap="1" wp14:anchorId="0347FCCF" wp14:editId="296505A0">
                <wp:simplePos x="0" y="0"/>
                <wp:positionH relativeFrom="column">
                  <wp:posOffset>6743700</wp:posOffset>
                </wp:positionH>
                <wp:positionV relativeFrom="paragraph">
                  <wp:posOffset>66675</wp:posOffset>
                </wp:positionV>
                <wp:extent cx="661035" cy="685800"/>
                <wp:effectExtent l="50800" t="76200" r="50165" b="76200"/>
                <wp:wrapThrough wrapText="bothSides">
                  <wp:wrapPolygon edited="0">
                    <wp:start x="-1660" y="-2400"/>
                    <wp:lineTo x="-1660" y="23200"/>
                    <wp:lineTo x="22409" y="23200"/>
                    <wp:lineTo x="22409" y="-2400"/>
                    <wp:lineTo x="-1660" y="-2400"/>
                  </wp:wrapPolygon>
                </wp:wrapThrough>
                <wp:docPr id="659" name="Rectangle à coins arrondis 659"/>
                <wp:cNvGraphicFramePr/>
                <a:graphic xmlns:a="http://schemas.openxmlformats.org/drawingml/2006/main">
                  <a:graphicData uri="http://schemas.microsoft.com/office/word/2010/wordprocessingShape">
                    <wps:wsp>
                      <wps:cNvSpPr/>
                      <wps:spPr>
                        <a:xfrm>
                          <a:off x="0" y="0"/>
                          <a:ext cx="661035" cy="685800"/>
                        </a:xfrm>
                        <a:prstGeom prst="round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1A6D9B1" w14:textId="77777777" w:rsidR="00573C95" w:rsidRDefault="00573C95" w:rsidP="005C7442">
                            <w:pPr>
                              <w:jc w:val="center"/>
                            </w:pPr>
                          </w:p>
                          <w:p w14:paraId="58FA37E9" w14:textId="77777777" w:rsidR="00573C95" w:rsidRPr="00FE2EB4" w:rsidRDefault="00573C95" w:rsidP="005C7442">
                            <w:pPr>
                              <w:jc w:val="center"/>
                              <w:rPr>
                                <w:sz w:val="44"/>
                                <w:szCs w:val="44"/>
                              </w:rPr>
                            </w:pPr>
                            <w:r w:rsidRPr="00FE2EB4">
                              <w:rPr>
                                <w:sz w:val="44"/>
                                <w:szCs w:val="44"/>
                              </w:rPr>
                              <w:t>12</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59" o:spid="_x0000_s1422" style="position:absolute;margin-left:531pt;margin-top:5.25pt;width:52.05pt;height:54pt;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" fillcolor="maroon">
                <v:textbox>
                  <w:txbxContent>
                    <w:p w14:paraId="61A6D9B1" w14:textId="77777777" w:rsidR="001501D6" w:rsidRDefault="001501D6" w:rsidP="005C7442">
                      <w:pPr>
                        <w:jc w:val="center"/>
                      </w:pPr>
                    </w:p>
                    <w:p w14:paraId="58FA37E9" w14:textId="77777777" w:rsidR="001501D6" w:rsidRPr="00FE2EB4" w:rsidRDefault="001501D6" w:rsidP="005C7442">
                      <w:pPr>
                        <w:jc w:val="center"/>
                        <w:rPr>
                          <w:sz w:val="44"/>
                          <w:szCs w:val="44"/>
                        </w:rPr>
                      </w:pPr>
                      <w:r w:rsidRPr="00FE2EB4">
                        <w:rPr>
                          <w:sz w:val="44"/>
                          <w:szCs w:val="44"/>
                        </w:rPr>
                        <w:t>12</w:t>
                      </w:r>
                    </w:p>
                  </w:txbxContent>
                </v:textbox>
                <w10:wrap type="through"/>
              </v:roundrect>
            </w:pict>
          </mc:Fallback>
        </mc:AlternateContent>
      </w:r>
      <w:r>
        <w:rPr>
          <w:noProof/>
          <w:lang w:eastAsia="fr-FR"/>
        </w:rPr>
        <mc:AlternateContent>
          <mc:Choice Requires="wps">
            <w:drawing>
              <wp:anchor distT="0" distB="0" distL="114300" distR="114300" simplePos="0" relativeHeight="252884992" behindDoc="0" locked="0" layoutInCell="1" allowOverlap="1" wp14:anchorId="354542E0" wp14:editId="6472F670">
                <wp:simplePos x="0" y="0"/>
                <wp:positionH relativeFrom="column">
                  <wp:posOffset>6743700</wp:posOffset>
                </wp:positionH>
                <wp:positionV relativeFrom="paragraph">
                  <wp:posOffset>66675</wp:posOffset>
                </wp:positionV>
                <wp:extent cx="661035" cy="290830"/>
                <wp:effectExtent l="0" t="0" r="24765" b="13970"/>
                <wp:wrapThrough wrapText="bothSides">
                  <wp:wrapPolygon edited="0">
                    <wp:start x="0" y="0"/>
                    <wp:lineTo x="0" y="20751"/>
                    <wp:lineTo x="21579" y="20751"/>
                    <wp:lineTo x="21579" y="0"/>
                    <wp:lineTo x="0" y="0"/>
                  </wp:wrapPolygon>
                </wp:wrapThrough>
                <wp:docPr id="660" name="Rectangle à coins arrondis 660"/>
                <wp:cNvGraphicFramePr/>
                <a:graphic xmlns:a="http://schemas.openxmlformats.org/drawingml/2006/main">
                  <a:graphicData uri="http://schemas.microsoft.com/office/word/2010/wordprocessingShape">
                    <wps:wsp>
                      <wps:cNvSpPr/>
                      <wps:spPr>
                        <a:xfrm>
                          <a:off x="0" y="0"/>
                          <a:ext cx="661035" cy="290830"/>
                        </a:xfrm>
                        <a:prstGeom prst="roundRect">
                          <a:avLst/>
                        </a:prstGeom>
                        <a:solidFill>
                          <a:schemeClr val="accent4"/>
                        </a:solidFill>
                        <a:ln>
                          <a:solidFill>
                            <a:schemeClr val="tx1"/>
                          </a:solidFill>
                        </a:ln>
                      </wps:spPr>
                      <wps:style>
                        <a:lnRef idx="3">
                          <a:schemeClr val="lt1"/>
                        </a:lnRef>
                        <a:fillRef idx="1">
                          <a:schemeClr val="dk1"/>
                        </a:fillRef>
                        <a:effectRef idx="1">
                          <a:schemeClr val="dk1"/>
                        </a:effectRef>
                        <a:fontRef idx="minor">
                          <a:schemeClr val="lt1"/>
                        </a:fontRef>
                      </wps:style>
                      <wps:txbx>
                        <w:txbxContent>
                          <w:p w14:paraId="123FD2F8" w14:textId="77777777" w:rsidR="00573C95" w:rsidRPr="00FE2EB4" w:rsidRDefault="00573C95" w:rsidP="005C7442">
                            <w:pPr>
                              <w:jc w:val="center"/>
                              <w:rPr>
                                <w:color w:val="000000" w:themeColor="text1"/>
                              </w:rPr>
                            </w:pPr>
                            <w:r>
                              <w:rPr>
                                <w:color w:val="000000" w:themeColor="text1"/>
                              </w:rPr>
                              <w:t>MAI</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60" o:spid="_x0000_s1423" style="position:absolute;margin-left:531pt;margin-top:5.25pt;width:52.05pt;height:22.9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" fillcolor="#909465 [3207]" strokecolor="black [3213]" strokeweight="1.75pt">
                <v:textbox>
                  <w:txbxContent>
                    <w:p w14:paraId="123FD2F8" w14:textId="77777777" w:rsidR="001501D6" w:rsidRPr="00FE2EB4" w:rsidRDefault="001501D6" w:rsidP="005C7442">
                      <w:pPr>
                        <w:jc w:val="center"/>
                        <w:rPr>
                          <w:color w:val="000000" w:themeColor="text1"/>
                        </w:rPr>
                      </w:pPr>
                      <w:r>
                        <w:rPr>
                          <w:color w:val="000000" w:themeColor="text1"/>
                        </w:rPr>
                        <w:t>MAI</w:t>
                      </w:r>
                    </w:p>
                  </w:txbxContent>
                </v:textbox>
                <w10:wrap type="through"/>
              </v:roundrect>
            </w:pict>
          </mc:Fallback>
        </mc:AlternateContent>
      </w:r>
    </w:p>
    <w:p w14:paraId="02A2A631" w14:textId="77777777" w:rsidR="00740203" w:rsidRDefault="00740203"/>
    <w:p w14:paraId="39F2C270" w14:textId="77777777" w:rsidR="000E4CC6" w:rsidRDefault="000E4CC6"/>
    <w:p w14:paraId="311A0407" w14:textId="77777777" w:rsidR="000E4CC6" w:rsidRDefault="000E4CC6"/>
    <w:p w14:paraId="4E194301" w14:textId="77777777" w:rsidR="000E4CC6" w:rsidRDefault="000E4CC6"/>
    <w:p w14:paraId="3A2C5BA0" w14:textId="77777777" w:rsidR="000E4CC6" w:rsidRDefault="000E4CC6"/>
    <w:p w14:paraId="52C3CFEE" w14:textId="77777777" w:rsidR="000E4CC6" w:rsidRDefault="000E4CC6"/>
    <w:p w14:paraId="3D0CD040" w14:textId="77777777" w:rsidR="000E4CC6" w:rsidRDefault="000E4CC6"/>
    <w:p w14:paraId="2F9E0B95" w14:textId="77777777" w:rsidR="000E4CC6" w:rsidRDefault="000E4CC6"/>
    <w:p w14:paraId="5D2F0EEC" w14:textId="77777777" w:rsidR="000E4CC6" w:rsidRDefault="000E4CC6"/>
    <w:p w14:paraId="715C4B9F" w14:textId="77777777" w:rsidR="000E4CC6" w:rsidRDefault="000E4CC6"/>
    <w:p w14:paraId="403F2948" w14:textId="33434729" w:rsidR="000E4CC6" w:rsidRDefault="00B91005">
      <w:r>
        <w:rPr>
          <w:noProof/>
          <w:lang w:eastAsia="fr-FR"/>
        </w:rPr>
        <w:lastRenderedPageBreak/>
        <mc:AlternateContent>
          <mc:Choice Requires="wps">
            <w:drawing>
              <wp:anchor distT="0" distB="0" distL="114300" distR="114300" simplePos="0" relativeHeight="252900352" behindDoc="0" locked="0" layoutInCell="1" allowOverlap="1" wp14:anchorId="737BCCD5" wp14:editId="2F0CB579">
                <wp:simplePos x="0" y="0"/>
                <wp:positionH relativeFrom="column">
                  <wp:posOffset>6743700</wp:posOffset>
                </wp:positionH>
                <wp:positionV relativeFrom="paragraph">
                  <wp:posOffset>-228600</wp:posOffset>
                </wp:positionV>
                <wp:extent cx="1485900" cy="914400"/>
                <wp:effectExtent l="0" t="0" r="0" b="0"/>
                <wp:wrapSquare wrapText="bothSides"/>
                <wp:docPr id="678" name="Zone de texte 678"/>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5AD26F" w14:textId="0968891A" w:rsidR="00573C95" w:rsidRDefault="00573C95" w:rsidP="00740203">
                            <w:pPr>
                              <w:jc w:val="center"/>
                            </w:pPr>
                            <w:r>
                              <w:t>Date de l'achat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78" o:spid="_x0000_s1424" type="#_x0000_t202" style="position:absolute;margin-left:531pt;margin-top:-17.95pt;width:117pt;height:1in;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" filled="f" stroked="f">
                <v:textbox>
                  <w:txbxContent>
                    <w:p w14:paraId="485AD26F" w14:textId="0968891A" w:rsidR="001501D6" w:rsidRDefault="001501D6" w:rsidP="00740203">
                      <w:pPr>
                        <w:jc w:val="center"/>
                      </w:pPr>
                      <w:r>
                        <w:t>Date de l'achat</w:t>
                      </w:r>
                    </w:p>
                  </w:txbxContent>
                </v:textbox>
                <w10:wrap type="square"/>
              </v:shape>
            </w:pict>
          </mc:Fallback>
        </mc:AlternateContent>
      </w:r>
      <w:r>
        <w:rPr>
          <w:noProof/>
          <w:lang w:eastAsia="fr-FR"/>
        </w:rPr>
        <mc:AlternateContent>
          <mc:Choice Requires="wps">
            <w:drawing>
              <wp:anchor distT="0" distB="0" distL="114300" distR="114300" simplePos="0" relativeHeight="252899328" behindDoc="0" locked="0" layoutInCell="1" allowOverlap="1" wp14:anchorId="10AAA4D1" wp14:editId="0F586B7C">
                <wp:simplePos x="0" y="0"/>
                <wp:positionH relativeFrom="column">
                  <wp:posOffset>5372100</wp:posOffset>
                </wp:positionH>
                <wp:positionV relativeFrom="paragraph">
                  <wp:posOffset>-228600</wp:posOffset>
                </wp:positionV>
                <wp:extent cx="1485900" cy="914400"/>
                <wp:effectExtent l="0" t="0" r="0" b="0"/>
                <wp:wrapSquare wrapText="bothSides"/>
                <wp:docPr id="677" name="Zone de texte 677"/>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2C789C" w14:textId="77777777" w:rsidR="00573C95" w:rsidRDefault="00573C95" w:rsidP="00740203">
                            <w:pPr>
                              <w:jc w:val="center"/>
                            </w:pPr>
                            <w:r>
                              <w:t>JVM des actions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77" o:spid="_x0000_s1425" type="#_x0000_t202" style="position:absolute;margin-left:423pt;margin-top:-17.95pt;width:117pt;height:1in;z-index:2528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" filled="f" stroked="f">
                <v:textbox>
                  <w:txbxContent>
                    <w:p w14:paraId="602C789C" w14:textId="77777777" w:rsidR="001501D6" w:rsidRDefault="001501D6" w:rsidP="00740203">
                      <w:pPr>
                        <w:jc w:val="center"/>
                      </w:pPr>
                      <w:r>
                        <w:t>JVM des actions</w:t>
                      </w:r>
                    </w:p>
                  </w:txbxContent>
                </v:textbox>
                <w10:wrap type="square"/>
              </v:shape>
            </w:pict>
          </mc:Fallback>
        </mc:AlternateContent>
      </w:r>
      <w:r>
        <w:rPr>
          <w:noProof/>
          <w:lang w:eastAsia="fr-FR"/>
        </w:rPr>
        <mc:AlternateContent>
          <mc:Choice Requires="wps">
            <w:drawing>
              <wp:anchor distT="0" distB="0" distL="114300" distR="114300" simplePos="0" relativeHeight="252895232" behindDoc="0" locked="0" layoutInCell="1" allowOverlap="1" wp14:anchorId="454BF37A" wp14:editId="2E479DBF">
                <wp:simplePos x="0" y="0"/>
                <wp:positionH relativeFrom="column">
                  <wp:posOffset>1143000</wp:posOffset>
                </wp:positionH>
                <wp:positionV relativeFrom="paragraph">
                  <wp:posOffset>-228600</wp:posOffset>
                </wp:positionV>
                <wp:extent cx="1485900" cy="914400"/>
                <wp:effectExtent l="0" t="0" r="0" b="0"/>
                <wp:wrapNone/>
                <wp:docPr id="673" name="Zone de texte 673"/>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257C69" w14:textId="77777777" w:rsidR="00573C95" w:rsidRDefault="00573C95" w:rsidP="00740203">
                            <w:pPr>
                              <w:jc w:val="center"/>
                            </w:pPr>
                            <w:r>
                              <w:t>Investisseur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73" o:spid="_x0000_s1426" type="#_x0000_t202" style="position:absolute;margin-left:90pt;margin-top:-17.95pt;width:117pt;height:1in;z-index:25289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" filled="f" stroked="f">
                <v:textbox>
                  <w:txbxContent>
                    <w:p w14:paraId="28257C69" w14:textId="77777777" w:rsidR="001501D6" w:rsidRDefault="001501D6" w:rsidP="00740203">
                      <w:pPr>
                        <w:jc w:val="center"/>
                      </w:pPr>
                      <w:r>
                        <w:t>Investisseur</w:t>
                      </w:r>
                    </w:p>
                  </w:txbxContent>
                </v:textbox>
              </v:shape>
            </w:pict>
          </mc:Fallback>
        </mc:AlternateContent>
      </w:r>
      <w:r>
        <w:rPr>
          <w:noProof/>
          <w:lang w:eastAsia="fr-FR"/>
        </w:rPr>
        <mc:AlternateContent>
          <mc:Choice Requires="wps">
            <w:drawing>
              <wp:anchor distT="0" distB="0" distL="114300" distR="114300" simplePos="0" relativeHeight="252894208" behindDoc="0" locked="0" layoutInCell="1" allowOverlap="1" wp14:anchorId="52FE3102" wp14:editId="696EE9B2">
                <wp:simplePos x="0" y="0"/>
                <wp:positionH relativeFrom="column">
                  <wp:posOffset>3886200</wp:posOffset>
                </wp:positionH>
                <wp:positionV relativeFrom="paragraph">
                  <wp:posOffset>-228600</wp:posOffset>
                </wp:positionV>
                <wp:extent cx="1485900" cy="914400"/>
                <wp:effectExtent l="0" t="0" r="0" b="0"/>
                <wp:wrapSquare wrapText="bothSides"/>
                <wp:docPr id="672" name="Zone de texte 672"/>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0BA512" w14:textId="77777777" w:rsidR="00573C95" w:rsidRDefault="00573C95" w:rsidP="00740203">
                            <w:pPr>
                              <w:jc w:val="center"/>
                            </w:pPr>
                            <w:r>
                              <w:t>Le Marché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72" o:spid="_x0000_s1427" type="#_x0000_t202" style="position:absolute;margin-left:306pt;margin-top:-17.95pt;width:117pt;height:1in;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" filled="f" stroked="f">
                <v:textbox>
                  <w:txbxContent>
                    <w:p w14:paraId="4C0BA512" w14:textId="77777777" w:rsidR="001501D6" w:rsidRDefault="001501D6" w:rsidP="00740203">
                      <w:pPr>
                        <w:jc w:val="center"/>
                      </w:pPr>
                      <w:r>
                        <w:t>Le Marché</w:t>
                      </w:r>
                    </w:p>
                  </w:txbxContent>
                </v:textbox>
                <w10:wrap type="square"/>
              </v:shape>
            </w:pict>
          </mc:Fallback>
        </mc:AlternateContent>
      </w:r>
      <w:r w:rsidR="000E4CC6">
        <w:rPr>
          <w:noProof/>
          <w:lang w:eastAsia="fr-FR"/>
        </w:rPr>
        <mc:AlternateContent>
          <mc:Choice Requires="wps">
            <w:drawing>
              <wp:anchor distT="0" distB="0" distL="114300" distR="114300" simplePos="0" relativeHeight="252893184" behindDoc="0" locked="0" layoutInCell="1" allowOverlap="1" wp14:anchorId="51550532" wp14:editId="7950A4E4">
                <wp:simplePos x="0" y="0"/>
                <wp:positionH relativeFrom="column">
                  <wp:posOffset>-571500</wp:posOffset>
                </wp:positionH>
                <wp:positionV relativeFrom="paragraph">
                  <wp:posOffset>114300</wp:posOffset>
                </wp:positionV>
                <wp:extent cx="457200" cy="457200"/>
                <wp:effectExtent l="0" t="0" r="25400" b="25400"/>
                <wp:wrapNone/>
                <wp:docPr id="671" name="Ellipse 671"/>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48413B02" w14:textId="25AA2255" w:rsidR="00573C95" w:rsidRPr="00BF5FC4" w:rsidRDefault="00573C95" w:rsidP="00740203">
                            <w:pPr>
                              <w:jc w:val="center"/>
                              <w:rPr>
                                <w:color w:val="FFFFFF" w:themeColor="background1"/>
                              </w:rPr>
                            </w:pPr>
                            <w:r>
                              <w:rPr>
                                <w:color w:val="FFFFFF" w:themeColor="background1"/>
                              </w:rPr>
                              <w:t>344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71" o:spid="_x0000_s1428" style="position:absolute;margin-left:-44.95pt;margin-top:9pt;width:36pt;height:36pt;z-index:2528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" fillcolor="black [3200]" strokecolor="white [3201]" strokeweight="1.75pt">
                <v:textbox>
                  <w:txbxContent>
                    <w:p w14:paraId="48413B02" w14:textId="25AA2255" w:rsidR="001501D6" w:rsidRPr="00BF5FC4" w:rsidRDefault="001501D6" w:rsidP="00740203">
                      <w:pPr>
                        <w:jc w:val="center"/>
                        <w:rPr>
                          <w:color w:val="FFFFFF" w:themeColor="background1"/>
                        </w:rPr>
                      </w:pPr>
                      <w:r>
                        <w:rPr>
                          <w:color w:val="FFFFFF" w:themeColor="background1"/>
                        </w:rPr>
                        <w:t>344</w:t>
                      </w:r>
                      <w:r w:rsidRPr="00BF5FC4">
                        <w:rPr>
                          <w:color w:val="FFFFFF" w:themeColor="background1"/>
                        </w:rPr>
                        <w:t xml:space="preserve"> </w:t>
                      </w:r>
                    </w:p>
                  </w:txbxContent>
                </v:textbox>
              </v:oval>
            </w:pict>
          </mc:Fallback>
        </mc:AlternateContent>
      </w:r>
    </w:p>
    <w:p w14:paraId="521F8FAA" w14:textId="4306CED0" w:rsidR="000E4CC6" w:rsidRDefault="00382E8C">
      <w:r>
        <w:rPr>
          <w:noProof/>
          <w:lang w:eastAsia="fr-FR"/>
        </w:rPr>
        <mc:AlternateContent>
          <mc:Choice Requires="wps">
            <w:drawing>
              <wp:anchor distT="0" distB="0" distL="114300" distR="114300" simplePos="0" relativeHeight="252902400" behindDoc="0" locked="0" layoutInCell="1" allowOverlap="1" wp14:anchorId="4F03967A" wp14:editId="42740D50">
                <wp:simplePos x="0" y="0"/>
                <wp:positionH relativeFrom="column">
                  <wp:posOffset>7080250</wp:posOffset>
                </wp:positionH>
                <wp:positionV relativeFrom="paragraph">
                  <wp:posOffset>107315</wp:posOffset>
                </wp:positionV>
                <wp:extent cx="661035" cy="342900"/>
                <wp:effectExtent l="0" t="0" r="24765" b="38100"/>
                <wp:wrapThrough wrapText="bothSides">
                  <wp:wrapPolygon edited="0">
                    <wp:start x="0" y="0"/>
                    <wp:lineTo x="0" y="22400"/>
                    <wp:lineTo x="21579" y="22400"/>
                    <wp:lineTo x="21579" y="0"/>
                    <wp:lineTo x="0" y="0"/>
                  </wp:wrapPolygon>
                </wp:wrapThrough>
                <wp:docPr id="680" name="Rectangle à coins arrondis 680"/>
                <wp:cNvGraphicFramePr/>
                <a:graphic xmlns:a="http://schemas.openxmlformats.org/drawingml/2006/main">
                  <a:graphicData uri="http://schemas.microsoft.com/office/word/2010/wordprocessingShape">
                    <wps:wsp>
                      <wps:cNvSpPr/>
                      <wps:spPr>
                        <a:xfrm>
                          <a:off x="0" y="0"/>
                          <a:ext cx="661035" cy="342900"/>
                        </a:xfrm>
                        <a:prstGeom prst="roundRect">
                          <a:avLst/>
                        </a:prstGeom>
                        <a:solidFill>
                          <a:schemeClr val="accent4"/>
                        </a:solidFill>
                        <a:ln>
                          <a:solidFill>
                            <a:schemeClr val="tx1"/>
                          </a:solidFill>
                        </a:ln>
                      </wps:spPr>
                      <wps:style>
                        <a:lnRef idx="3">
                          <a:schemeClr val="lt1"/>
                        </a:lnRef>
                        <a:fillRef idx="1">
                          <a:schemeClr val="dk1"/>
                        </a:fillRef>
                        <a:effectRef idx="1">
                          <a:schemeClr val="dk1"/>
                        </a:effectRef>
                        <a:fontRef idx="minor">
                          <a:schemeClr val="lt1"/>
                        </a:fontRef>
                      </wps:style>
                      <wps:txbx>
                        <w:txbxContent>
                          <w:p w14:paraId="17D997C8" w14:textId="52EA2076" w:rsidR="00573C95" w:rsidRPr="00FE2EB4" w:rsidRDefault="00573C95" w:rsidP="00740203">
                            <w:pPr>
                              <w:jc w:val="center"/>
                              <w:rPr>
                                <w:color w:val="000000" w:themeColor="text1"/>
                              </w:rPr>
                            </w:pPr>
                            <w:r>
                              <w:rPr>
                                <w:color w:val="000000" w:themeColor="text1"/>
                              </w:rPr>
                              <w:t>AOÛT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80" o:spid="_x0000_s1429" style="position:absolute;margin-left:557.5pt;margin-top:8.45pt;width:52.05pt;height:27pt;z-index:2529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" fillcolor="#909465 [3207]" strokecolor="black [3213]" strokeweight="1.75pt">
                <v:textbox>
                  <w:txbxContent>
                    <w:p w14:paraId="17D997C8" w14:textId="52EA2076" w:rsidR="001501D6" w:rsidRPr="00FE2EB4" w:rsidRDefault="001501D6" w:rsidP="00740203">
                      <w:pPr>
                        <w:jc w:val="center"/>
                        <w:rPr>
                          <w:color w:val="000000" w:themeColor="text1"/>
                        </w:rPr>
                      </w:pPr>
                      <w:r>
                        <w:rPr>
                          <w:color w:val="000000" w:themeColor="text1"/>
                        </w:rPr>
                        <w:t>AOÛT</w:t>
                      </w:r>
                    </w:p>
                  </w:txbxContent>
                </v:textbox>
                <w10:wrap type="through"/>
              </v:roundrect>
            </w:pict>
          </mc:Fallback>
        </mc:AlternateContent>
      </w:r>
      <w:r w:rsidR="00DB3C17">
        <w:rPr>
          <w:noProof/>
          <w:lang w:eastAsia="fr-FR"/>
        </w:rPr>
        <mc:AlternateContent>
          <mc:Choice Requires="wps">
            <w:drawing>
              <wp:anchor distT="0" distB="0" distL="114300" distR="114300" simplePos="0" relativeHeight="252901376" behindDoc="0" locked="0" layoutInCell="1" allowOverlap="1" wp14:anchorId="698D833D" wp14:editId="307CE543">
                <wp:simplePos x="0" y="0"/>
                <wp:positionH relativeFrom="column">
                  <wp:posOffset>7080250</wp:posOffset>
                </wp:positionH>
                <wp:positionV relativeFrom="paragraph">
                  <wp:posOffset>221615</wp:posOffset>
                </wp:positionV>
                <wp:extent cx="661035" cy="685800"/>
                <wp:effectExtent l="50800" t="76200" r="50165" b="76200"/>
                <wp:wrapThrough wrapText="bothSides">
                  <wp:wrapPolygon edited="0">
                    <wp:start x="-1660" y="-2400"/>
                    <wp:lineTo x="-1660" y="23200"/>
                    <wp:lineTo x="22409" y="23200"/>
                    <wp:lineTo x="22409" y="-2400"/>
                    <wp:lineTo x="-1660" y="-2400"/>
                  </wp:wrapPolygon>
                </wp:wrapThrough>
                <wp:docPr id="679" name="Rectangle à coins arrondis 679"/>
                <wp:cNvGraphicFramePr/>
                <a:graphic xmlns:a="http://schemas.openxmlformats.org/drawingml/2006/main">
                  <a:graphicData uri="http://schemas.microsoft.com/office/word/2010/wordprocessingShape">
                    <wps:wsp>
                      <wps:cNvSpPr/>
                      <wps:spPr>
                        <a:xfrm>
                          <a:off x="0" y="0"/>
                          <a:ext cx="661035" cy="685800"/>
                        </a:xfrm>
                        <a:prstGeom prst="round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0A0DE62" w14:textId="4B967ED7" w:rsidR="00573C95" w:rsidRDefault="00573C95" w:rsidP="00740203">
                            <w:pPr>
                              <w:jc w:val="center"/>
                            </w:pPr>
                            <w:r>
                              <w:t>2323</w:t>
                            </w:r>
                          </w:p>
                          <w:p w14:paraId="1680453F" w14:textId="21EBE916" w:rsidR="00573C95" w:rsidRPr="00FE2EB4" w:rsidRDefault="00573C95" w:rsidP="00740203">
                            <w:pPr>
                              <w:jc w:val="center"/>
                              <w:rPr>
                                <w:sz w:val="44"/>
                                <w:szCs w:val="44"/>
                              </w:rPr>
                            </w:pPr>
                            <w:r>
                              <w:rPr>
                                <w:sz w:val="44"/>
                                <w:szCs w:val="44"/>
                              </w:rPr>
                              <w:t>23</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79" o:spid="_x0000_s1430" style="position:absolute;margin-left:557.5pt;margin-top:17.45pt;width:52.05pt;height:54pt;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" fillcolor="maroon">
                <v:textbox>
                  <w:txbxContent>
                    <w:p w14:paraId="60A0DE62" w14:textId="4B967ED7" w:rsidR="001501D6" w:rsidRDefault="001501D6" w:rsidP="00740203">
                      <w:pPr>
                        <w:jc w:val="center"/>
                      </w:pPr>
                      <w:r>
                        <w:t>2323</w:t>
                      </w:r>
                    </w:p>
                    <w:p w14:paraId="1680453F" w14:textId="21EBE916" w:rsidR="001501D6" w:rsidRPr="00FE2EB4" w:rsidRDefault="001501D6" w:rsidP="00740203">
                      <w:pPr>
                        <w:jc w:val="center"/>
                        <w:rPr>
                          <w:sz w:val="44"/>
                          <w:szCs w:val="44"/>
                        </w:rPr>
                      </w:pPr>
                      <w:r>
                        <w:rPr>
                          <w:sz w:val="44"/>
                          <w:szCs w:val="44"/>
                        </w:rPr>
                        <w:t>23</w:t>
                      </w:r>
                    </w:p>
                  </w:txbxContent>
                </v:textbox>
                <w10:wrap type="through"/>
              </v:roundrect>
            </w:pict>
          </mc:Fallback>
        </mc:AlternateContent>
      </w:r>
      <w:r w:rsidR="000E4CC6">
        <w:t>L'ACHAT</w:t>
      </w:r>
    </w:p>
    <w:p w14:paraId="1FD744CD" w14:textId="7B7B0BFE" w:rsidR="000E4CC6" w:rsidRDefault="000E4CC6"/>
    <w:p w14:paraId="2077305C" w14:textId="0F0225F2" w:rsidR="000E4CC6" w:rsidRDefault="000E4CC6"/>
    <w:p w14:paraId="238D3D35" w14:textId="44E73D3E" w:rsidR="000E4CC6" w:rsidRDefault="000E4CC6">
      <w:pPr>
        <w:rPr>
          <w:color w:val="FF6700" w:themeColor="accent3"/>
        </w:rPr>
      </w:pPr>
      <w:r>
        <w:rPr>
          <w:noProof/>
          <w:lang w:eastAsia="fr-FR"/>
        </w:rPr>
        <mc:AlternateContent>
          <mc:Choice Requires="wps">
            <w:drawing>
              <wp:anchor distT="0" distB="0" distL="114300" distR="114300" simplePos="0" relativeHeight="252904448" behindDoc="0" locked="0" layoutInCell="1" allowOverlap="1" wp14:anchorId="3A96DF9C" wp14:editId="510DE3E7">
                <wp:simplePos x="0" y="0"/>
                <wp:positionH relativeFrom="column">
                  <wp:posOffset>4457700</wp:posOffset>
                </wp:positionH>
                <wp:positionV relativeFrom="paragraph">
                  <wp:posOffset>-254635</wp:posOffset>
                </wp:positionV>
                <wp:extent cx="457200" cy="342900"/>
                <wp:effectExtent l="0" t="0" r="0" b="12700"/>
                <wp:wrapNone/>
                <wp:docPr id="12"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457200" cy="342900"/>
                        </a:xfrm>
                        <a:custGeom>
                          <a:avLst/>
                          <a:gdLst>
                            <a:gd name="T0" fmla="*/ 2522 w 3590"/>
                            <a:gd name="T1" fmla="*/ 2926 h 3380"/>
                            <a:gd name="T2" fmla="*/ 2480 w 3590"/>
                            <a:gd name="T3" fmla="*/ 3066 h 3380"/>
                            <a:gd name="T4" fmla="*/ 2570 w 3590"/>
                            <a:gd name="T5" fmla="*/ 3176 h 3380"/>
                            <a:gd name="T6" fmla="*/ 2716 w 3590"/>
                            <a:gd name="T7" fmla="*/ 3162 h 3380"/>
                            <a:gd name="T8" fmla="*/ 2784 w 3590"/>
                            <a:gd name="T9" fmla="*/ 3034 h 3380"/>
                            <a:gd name="T10" fmla="*/ 2716 w 3590"/>
                            <a:gd name="T11" fmla="*/ 2907 h 3380"/>
                            <a:gd name="T12" fmla="*/ 1332 w 3590"/>
                            <a:gd name="T13" fmla="*/ 2884 h 3380"/>
                            <a:gd name="T14" fmla="*/ 1222 w 3590"/>
                            <a:gd name="T15" fmla="*/ 2974 h 3380"/>
                            <a:gd name="T16" fmla="*/ 1236 w 3590"/>
                            <a:gd name="T17" fmla="*/ 3120 h 3380"/>
                            <a:gd name="T18" fmla="*/ 1364 w 3590"/>
                            <a:gd name="T19" fmla="*/ 3188 h 3380"/>
                            <a:gd name="T20" fmla="*/ 1490 w 3590"/>
                            <a:gd name="T21" fmla="*/ 3120 h 3380"/>
                            <a:gd name="T22" fmla="*/ 1504 w 3590"/>
                            <a:gd name="T23" fmla="*/ 2974 h 3380"/>
                            <a:gd name="T24" fmla="*/ 1394 w 3590"/>
                            <a:gd name="T25" fmla="*/ 2884 h 3380"/>
                            <a:gd name="T26" fmla="*/ 2991 w 3590"/>
                            <a:gd name="T27" fmla="*/ 1844 h 3380"/>
                            <a:gd name="T28" fmla="*/ 2416 w 3590"/>
                            <a:gd name="T29" fmla="*/ 1844 h 3380"/>
                            <a:gd name="T30" fmla="*/ 1654 w 3590"/>
                            <a:gd name="T31" fmla="*/ 1844 h 3380"/>
                            <a:gd name="T32" fmla="*/ 3160 w 3590"/>
                            <a:gd name="T33" fmla="*/ 1316 h 3380"/>
                            <a:gd name="T34" fmla="*/ 2416 w 3590"/>
                            <a:gd name="T35" fmla="*/ 1316 h 3380"/>
                            <a:gd name="T36" fmla="*/ 1654 w 3590"/>
                            <a:gd name="T37" fmla="*/ 1316 h 3380"/>
                            <a:gd name="T38" fmla="*/ 3317 w 3590"/>
                            <a:gd name="T39" fmla="*/ 826 h 3380"/>
                            <a:gd name="T40" fmla="*/ 2416 w 3590"/>
                            <a:gd name="T41" fmla="*/ 826 h 3380"/>
                            <a:gd name="T42" fmla="*/ 1654 w 3590"/>
                            <a:gd name="T43" fmla="*/ 826 h 3380"/>
                            <a:gd name="T44" fmla="*/ 695 w 3590"/>
                            <a:gd name="T45" fmla="*/ 220 h 3380"/>
                            <a:gd name="T46" fmla="*/ 868 w 3590"/>
                            <a:gd name="T47" fmla="*/ 597 h 3380"/>
                            <a:gd name="T48" fmla="*/ 3517 w 3590"/>
                            <a:gd name="T49" fmla="*/ 604 h 3380"/>
                            <a:gd name="T50" fmla="*/ 3587 w 3590"/>
                            <a:gd name="T51" fmla="*/ 682 h 3380"/>
                            <a:gd name="T52" fmla="*/ 3095 w 3590"/>
                            <a:gd name="T53" fmla="*/ 2266 h 3380"/>
                            <a:gd name="T54" fmla="*/ 2996 w 3590"/>
                            <a:gd name="T55" fmla="*/ 2324 h 3380"/>
                            <a:gd name="T56" fmla="*/ 2996 w 3590"/>
                            <a:gd name="T57" fmla="*/ 2612 h 3380"/>
                            <a:gd name="T58" fmla="*/ 3082 w 3590"/>
                            <a:gd name="T59" fmla="*/ 2665 h 3380"/>
                            <a:gd name="T60" fmla="*/ 3070 w 3590"/>
                            <a:gd name="T61" fmla="*/ 2768 h 3380"/>
                            <a:gd name="T62" fmla="*/ 2888 w 3590"/>
                            <a:gd name="T63" fmla="*/ 2804 h 3380"/>
                            <a:gd name="T64" fmla="*/ 2973 w 3590"/>
                            <a:gd name="T65" fmla="*/ 2991 h 3380"/>
                            <a:gd name="T66" fmla="*/ 2929 w 3590"/>
                            <a:gd name="T67" fmla="*/ 3209 h 3380"/>
                            <a:gd name="T68" fmla="*/ 2764 w 3590"/>
                            <a:gd name="T69" fmla="*/ 3353 h 3380"/>
                            <a:gd name="T70" fmla="*/ 2539 w 3590"/>
                            <a:gd name="T71" fmla="*/ 3368 h 3380"/>
                            <a:gd name="T72" fmla="*/ 2357 w 3590"/>
                            <a:gd name="T73" fmla="*/ 3246 h 3380"/>
                            <a:gd name="T74" fmla="*/ 2284 w 3590"/>
                            <a:gd name="T75" fmla="*/ 3034 h 3380"/>
                            <a:gd name="T76" fmla="*/ 2348 w 3590"/>
                            <a:gd name="T77" fmla="*/ 2836 h 3380"/>
                            <a:gd name="T78" fmla="*/ 1685 w 3590"/>
                            <a:gd name="T79" fmla="*/ 2909 h 3380"/>
                            <a:gd name="T80" fmla="*/ 1696 w 3590"/>
                            <a:gd name="T81" fmla="*/ 3126 h 3380"/>
                            <a:gd name="T82" fmla="*/ 1574 w 3590"/>
                            <a:gd name="T83" fmla="*/ 3308 h 3380"/>
                            <a:gd name="T84" fmla="*/ 1364 w 3590"/>
                            <a:gd name="T85" fmla="*/ 3380 h 3380"/>
                            <a:gd name="T86" fmla="*/ 1152 w 3590"/>
                            <a:gd name="T87" fmla="*/ 3308 h 3380"/>
                            <a:gd name="T88" fmla="*/ 1030 w 3590"/>
                            <a:gd name="T89" fmla="*/ 3126 h 3380"/>
                            <a:gd name="T90" fmla="*/ 1042 w 3590"/>
                            <a:gd name="T91" fmla="*/ 2909 h 3380"/>
                            <a:gd name="T92" fmla="*/ 995 w 3590"/>
                            <a:gd name="T93" fmla="*/ 2801 h 3380"/>
                            <a:gd name="T94" fmla="*/ 923 w 3590"/>
                            <a:gd name="T95" fmla="*/ 2721 h 3380"/>
                            <a:gd name="T96" fmla="*/ 1124 w 3590"/>
                            <a:gd name="T97" fmla="*/ 2159 h 3380"/>
                            <a:gd name="T98" fmla="*/ 52 w 3590"/>
                            <a:gd name="T99" fmla="*/ 212 h 3380"/>
                            <a:gd name="T100" fmla="*/ 0 w 3590"/>
                            <a:gd name="T101" fmla="*/ 119 h 3380"/>
                            <a:gd name="T102" fmla="*/ 50 w 3590"/>
                            <a:gd name="T103" fmla="*/ 21 h 33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590" h="3380">
                              <a:moveTo>
                                <a:pt x="2630" y="2880"/>
                              </a:moveTo>
                              <a:lnTo>
                                <a:pt x="2600" y="2884"/>
                              </a:lnTo>
                              <a:lnTo>
                                <a:pt x="2570" y="2892"/>
                              </a:lnTo>
                              <a:lnTo>
                                <a:pt x="2545" y="2907"/>
                              </a:lnTo>
                              <a:lnTo>
                                <a:pt x="2522" y="2926"/>
                              </a:lnTo>
                              <a:lnTo>
                                <a:pt x="2504" y="2948"/>
                              </a:lnTo>
                              <a:lnTo>
                                <a:pt x="2489" y="2974"/>
                              </a:lnTo>
                              <a:lnTo>
                                <a:pt x="2480" y="3004"/>
                              </a:lnTo>
                              <a:lnTo>
                                <a:pt x="2476" y="3034"/>
                              </a:lnTo>
                              <a:lnTo>
                                <a:pt x="2480" y="3066"/>
                              </a:lnTo>
                              <a:lnTo>
                                <a:pt x="2489" y="3094"/>
                              </a:lnTo>
                              <a:lnTo>
                                <a:pt x="2504" y="3120"/>
                              </a:lnTo>
                              <a:lnTo>
                                <a:pt x="2522" y="3143"/>
                              </a:lnTo>
                              <a:lnTo>
                                <a:pt x="2545" y="3162"/>
                              </a:lnTo>
                              <a:lnTo>
                                <a:pt x="2570" y="3176"/>
                              </a:lnTo>
                              <a:lnTo>
                                <a:pt x="2600" y="3185"/>
                              </a:lnTo>
                              <a:lnTo>
                                <a:pt x="2630" y="3188"/>
                              </a:lnTo>
                              <a:lnTo>
                                <a:pt x="2662" y="3185"/>
                              </a:lnTo>
                              <a:lnTo>
                                <a:pt x="2690" y="3176"/>
                              </a:lnTo>
                              <a:lnTo>
                                <a:pt x="2716" y="3162"/>
                              </a:lnTo>
                              <a:lnTo>
                                <a:pt x="2739" y="3143"/>
                              </a:lnTo>
                              <a:lnTo>
                                <a:pt x="2758" y="3120"/>
                              </a:lnTo>
                              <a:lnTo>
                                <a:pt x="2772" y="3094"/>
                              </a:lnTo>
                              <a:lnTo>
                                <a:pt x="2781" y="3066"/>
                              </a:lnTo>
                              <a:lnTo>
                                <a:pt x="2784" y="3034"/>
                              </a:lnTo>
                              <a:lnTo>
                                <a:pt x="2781" y="3004"/>
                              </a:lnTo>
                              <a:lnTo>
                                <a:pt x="2772" y="2974"/>
                              </a:lnTo>
                              <a:lnTo>
                                <a:pt x="2758" y="2948"/>
                              </a:lnTo>
                              <a:lnTo>
                                <a:pt x="2739" y="2926"/>
                              </a:lnTo>
                              <a:lnTo>
                                <a:pt x="2716" y="2907"/>
                              </a:lnTo>
                              <a:lnTo>
                                <a:pt x="2690" y="2892"/>
                              </a:lnTo>
                              <a:lnTo>
                                <a:pt x="2662" y="2884"/>
                              </a:lnTo>
                              <a:lnTo>
                                <a:pt x="2630" y="2880"/>
                              </a:lnTo>
                              <a:close/>
                              <a:moveTo>
                                <a:pt x="1364" y="2880"/>
                              </a:moveTo>
                              <a:lnTo>
                                <a:pt x="1332" y="2884"/>
                              </a:lnTo>
                              <a:lnTo>
                                <a:pt x="1304" y="2892"/>
                              </a:lnTo>
                              <a:lnTo>
                                <a:pt x="1277" y="2907"/>
                              </a:lnTo>
                              <a:lnTo>
                                <a:pt x="1255" y="2926"/>
                              </a:lnTo>
                              <a:lnTo>
                                <a:pt x="1236" y="2948"/>
                              </a:lnTo>
                              <a:lnTo>
                                <a:pt x="1222" y="2974"/>
                              </a:lnTo>
                              <a:lnTo>
                                <a:pt x="1213" y="3004"/>
                              </a:lnTo>
                              <a:lnTo>
                                <a:pt x="1210" y="3034"/>
                              </a:lnTo>
                              <a:lnTo>
                                <a:pt x="1213" y="3066"/>
                              </a:lnTo>
                              <a:lnTo>
                                <a:pt x="1222" y="3094"/>
                              </a:lnTo>
                              <a:lnTo>
                                <a:pt x="1236" y="3120"/>
                              </a:lnTo>
                              <a:lnTo>
                                <a:pt x="1255" y="3143"/>
                              </a:lnTo>
                              <a:lnTo>
                                <a:pt x="1277" y="3162"/>
                              </a:lnTo>
                              <a:lnTo>
                                <a:pt x="1304" y="3176"/>
                              </a:lnTo>
                              <a:lnTo>
                                <a:pt x="1332" y="3185"/>
                              </a:lnTo>
                              <a:lnTo>
                                <a:pt x="1364" y="3188"/>
                              </a:lnTo>
                              <a:lnTo>
                                <a:pt x="1394" y="3185"/>
                              </a:lnTo>
                              <a:lnTo>
                                <a:pt x="1423" y="3176"/>
                              </a:lnTo>
                              <a:lnTo>
                                <a:pt x="1449" y="3162"/>
                              </a:lnTo>
                              <a:lnTo>
                                <a:pt x="1472" y="3143"/>
                              </a:lnTo>
                              <a:lnTo>
                                <a:pt x="1490" y="3120"/>
                              </a:lnTo>
                              <a:lnTo>
                                <a:pt x="1504" y="3094"/>
                              </a:lnTo>
                              <a:lnTo>
                                <a:pt x="1514" y="3066"/>
                              </a:lnTo>
                              <a:lnTo>
                                <a:pt x="1516" y="3034"/>
                              </a:lnTo>
                              <a:lnTo>
                                <a:pt x="1514" y="3004"/>
                              </a:lnTo>
                              <a:lnTo>
                                <a:pt x="1504" y="2974"/>
                              </a:lnTo>
                              <a:lnTo>
                                <a:pt x="1490" y="2948"/>
                              </a:lnTo>
                              <a:lnTo>
                                <a:pt x="1472" y="2926"/>
                              </a:lnTo>
                              <a:lnTo>
                                <a:pt x="1449" y="2907"/>
                              </a:lnTo>
                              <a:lnTo>
                                <a:pt x="1423" y="2892"/>
                              </a:lnTo>
                              <a:lnTo>
                                <a:pt x="1394" y="2884"/>
                              </a:lnTo>
                              <a:lnTo>
                                <a:pt x="1364" y="2880"/>
                              </a:lnTo>
                              <a:close/>
                              <a:moveTo>
                                <a:pt x="2647" y="1844"/>
                              </a:moveTo>
                              <a:lnTo>
                                <a:pt x="2647" y="2094"/>
                              </a:lnTo>
                              <a:lnTo>
                                <a:pt x="2912" y="2094"/>
                              </a:lnTo>
                              <a:lnTo>
                                <a:pt x="2991" y="1844"/>
                              </a:lnTo>
                              <a:lnTo>
                                <a:pt x="2647" y="1844"/>
                              </a:lnTo>
                              <a:close/>
                              <a:moveTo>
                                <a:pt x="1885" y="1844"/>
                              </a:moveTo>
                              <a:lnTo>
                                <a:pt x="1885" y="2094"/>
                              </a:lnTo>
                              <a:lnTo>
                                <a:pt x="2416" y="2094"/>
                              </a:lnTo>
                              <a:lnTo>
                                <a:pt x="2416" y="1844"/>
                              </a:lnTo>
                              <a:lnTo>
                                <a:pt x="1885" y="1844"/>
                              </a:lnTo>
                              <a:close/>
                              <a:moveTo>
                                <a:pt x="1301" y="1844"/>
                              </a:moveTo>
                              <a:lnTo>
                                <a:pt x="1388" y="2094"/>
                              </a:lnTo>
                              <a:lnTo>
                                <a:pt x="1654" y="2094"/>
                              </a:lnTo>
                              <a:lnTo>
                                <a:pt x="1654" y="1844"/>
                              </a:lnTo>
                              <a:lnTo>
                                <a:pt x="1301" y="1844"/>
                              </a:lnTo>
                              <a:close/>
                              <a:moveTo>
                                <a:pt x="2647" y="1316"/>
                              </a:moveTo>
                              <a:lnTo>
                                <a:pt x="2647" y="1614"/>
                              </a:lnTo>
                              <a:lnTo>
                                <a:pt x="3065" y="1614"/>
                              </a:lnTo>
                              <a:lnTo>
                                <a:pt x="3160" y="1316"/>
                              </a:lnTo>
                              <a:lnTo>
                                <a:pt x="2647" y="1316"/>
                              </a:lnTo>
                              <a:close/>
                              <a:moveTo>
                                <a:pt x="1885" y="1316"/>
                              </a:moveTo>
                              <a:lnTo>
                                <a:pt x="1885" y="1614"/>
                              </a:lnTo>
                              <a:lnTo>
                                <a:pt x="2416" y="1614"/>
                              </a:lnTo>
                              <a:lnTo>
                                <a:pt x="2416" y="1316"/>
                              </a:lnTo>
                              <a:lnTo>
                                <a:pt x="1885" y="1316"/>
                              </a:lnTo>
                              <a:close/>
                              <a:moveTo>
                                <a:pt x="1118" y="1316"/>
                              </a:moveTo>
                              <a:lnTo>
                                <a:pt x="1221" y="1614"/>
                              </a:lnTo>
                              <a:lnTo>
                                <a:pt x="1654" y="1614"/>
                              </a:lnTo>
                              <a:lnTo>
                                <a:pt x="1654" y="1316"/>
                              </a:lnTo>
                              <a:lnTo>
                                <a:pt x="1118" y="1316"/>
                              </a:lnTo>
                              <a:close/>
                              <a:moveTo>
                                <a:pt x="2647" y="826"/>
                              </a:moveTo>
                              <a:lnTo>
                                <a:pt x="2647" y="1086"/>
                              </a:lnTo>
                              <a:lnTo>
                                <a:pt x="3235" y="1086"/>
                              </a:lnTo>
                              <a:lnTo>
                                <a:pt x="3317" y="826"/>
                              </a:lnTo>
                              <a:lnTo>
                                <a:pt x="2647" y="826"/>
                              </a:lnTo>
                              <a:close/>
                              <a:moveTo>
                                <a:pt x="1885" y="826"/>
                              </a:moveTo>
                              <a:lnTo>
                                <a:pt x="1885" y="1086"/>
                              </a:lnTo>
                              <a:lnTo>
                                <a:pt x="2416" y="1086"/>
                              </a:lnTo>
                              <a:lnTo>
                                <a:pt x="2416" y="826"/>
                              </a:lnTo>
                              <a:lnTo>
                                <a:pt x="1885" y="826"/>
                              </a:lnTo>
                              <a:close/>
                              <a:moveTo>
                                <a:pt x="948" y="826"/>
                              </a:moveTo>
                              <a:lnTo>
                                <a:pt x="1037" y="1086"/>
                              </a:lnTo>
                              <a:lnTo>
                                <a:pt x="1654" y="1086"/>
                              </a:lnTo>
                              <a:lnTo>
                                <a:pt x="1654" y="826"/>
                              </a:lnTo>
                              <a:lnTo>
                                <a:pt x="948" y="826"/>
                              </a:lnTo>
                              <a:close/>
                              <a:moveTo>
                                <a:pt x="112" y="0"/>
                              </a:moveTo>
                              <a:lnTo>
                                <a:pt x="135" y="3"/>
                              </a:lnTo>
                              <a:lnTo>
                                <a:pt x="157" y="9"/>
                              </a:lnTo>
                              <a:lnTo>
                                <a:pt x="695" y="220"/>
                              </a:lnTo>
                              <a:lnTo>
                                <a:pt x="717" y="232"/>
                              </a:lnTo>
                              <a:lnTo>
                                <a:pt x="736" y="247"/>
                              </a:lnTo>
                              <a:lnTo>
                                <a:pt x="751" y="267"/>
                              </a:lnTo>
                              <a:lnTo>
                                <a:pt x="761" y="289"/>
                              </a:lnTo>
                              <a:lnTo>
                                <a:pt x="868" y="597"/>
                              </a:lnTo>
                              <a:lnTo>
                                <a:pt x="876" y="596"/>
                              </a:lnTo>
                              <a:lnTo>
                                <a:pt x="884" y="596"/>
                              </a:lnTo>
                              <a:lnTo>
                                <a:pt x="3476" y="596"/>
                              </a:lnTo>
                              <a:lnTo>
                                <a:pt x="3496" y="598"/>
                              </a:lnTo>
                              <a:lnTo>
                                <a:pt x="3517" y="604"/>
                              </a:lnTo>
                              <a:lnTo>
                                <a:pt x="3537" y="613"/>
                              </a:lnTo>
                              <a:lnTo>
                                <a:pt x="3554" y="627"/>
                              </a:lnTo>
                              <a:lnTo>
                                <a:pt x="3568" y="643"/>
                              </a:lnTo>
                              <a:lnTo>
                                <a:pt x="3579" y="663"/>
                              </a:lnTo>
                              <a:lnTo>
                                <a:pt x="3587" y="682"/>
                              </a:lnTo>
                              <a:lnTo>
                                <a:pt x="3590" y="704"/>
                              </a:lnTo>
                              <a:lnTo>
                                <a:pt x="3589" y="725"/>
                              </a:lnTo>
                              <a:lnTo>
                                <a:pt x="3585" y="747"/>
                              </a:lnTo>
                              <a:lnTo>
                                <a:pt x="3105" y="2244"/>
                              </a:lnTo>
                              <a:lnTo>
                                <a:pt x="3095" y="2266"/>
                              </a:lnTo>
                              <a:lnTo>
                                <a:pt x="3081" y="2286"/>
                              </a:lnTo>
                              <a:lnTo>
                                <a:pt x="3063" y="2302"/>
                              </a:lnTo>
                              <a:lnTo>
                                <a:pt x="3043" y="2314"/>
                              </a:lnTo>
                              <a:lnTo>
                                <a:pt x="3020" y="2322"/>
                              </a:lnTo>
                              <a:lnTo>
                                <a:pt x="2996" y="2324"/>
                              </a:lnTo>
                              <a:lnTo>
                                <a:pt x="1306" y="2324"/>
                              </a:lnTo>
                              <a:lnTo>
                                <a:pt x="1283" y="2322"/>
                              </a:lnTo>
                              <a:lnTo>
                                <a:pt x="1261" y="2315"/>
                              </a:lnTo>
                              <a:lnTo>
                                <a:pt x="1154" y="2612"/>
                              </a:lnTo>
                              <a:lnTo>
                                <a:pt x="2996" y="2612"/>
                              </a:lnTo>
                              <a:lnTo>
                                <a:pt x="3017" y="2614"/>
                              </a:lnTo>
                              <a:lnTo>
                                <a:pt x="3037" y="2622"/>
                              </a:lnTo>
                              <a:lnTo>
                                <a:pt x="3056" y="2633"/>
                              </a:lnTo>
                              <a:lnTo>
                                <a:pt x="3070" y="2648"/>
                              </a:lnTo>
                              <a:lnTo>
                                <a:pt x="3082" y="2665"/>
                              </a:lnTo>
                              <a:lnTo>
                                <a:pt x="3088" y="2686"/>
                              </a:lnTo>
                              <a:lnTo>
                                <a:pt x="3092" y="2708"/>
                              </a:lnTo>
                              <a:lnTo>
                                <a:pt x="3088" y="2730"/>
                              </a:lnTo>
                              <a:lnTo>
                                <a:pt x="3082" y="2751"/>
                              </a:lnTo>
                              <a:lnTo>
                                <a:pt x="3070" y="2768"/>
                              </a:lnTo>
                              <a:lnTo>
                                <a:pt x="3056" y="2783"/>
                              </a:lnTo>
                              <a:lnTo>
                                <a:pt x="3037" y="2794"/>
                              </a:lnTo>
                              <a:lnTo>
                                <a:pt x="3017" y="2802"/>
                              </a:lnTo>
                              <a:lnTo>
                                <a:pt x="2996" y="2804"/>
                              </a:lnTo>
                              <a:lnTo>
                                <a:pt x="2888" y="2804"/>
                              </a:lnTo>
                              <a:lnTo>
                                <a:pt x="2913" y="2836"/>
                              </a:lnTo>
                              <a:lnTo>
                                <a:pt x="2935" y="2872"/>
                              </a:lnTo>
                              <a:lnTo>
                                <a:pt x="2952" y="2909"/>
                              </a:lnTo>
                              <a:lnTo>
                                <a:pt x="2965" y="2949"/>
                              </a:lnTo>
                              <a:lnTo>
                                <a:pt x="2973" y="2991"/>
                              </a:lnTo>
                              <a:lnTo>
                                <a:pt x="2976" y="3034"/>
                              </a:lnTo>
                              <a:lnTo>
                                <a:pt x="2973" y="3081"/>
                              </a:lnTo>
                              <a:lnTo>
                                <a:pt x="2964" y="3126"/>
                              </a:lnTo>
                              <a:lnTo>
                                <a:pt x="2949" y="3168"/>
                              </a:lnTo>
                              <a:lnTo>
                                <a:pt x="2929" y="3209"/>
                              </a:lnTo>
                              <a:lnTo>
                                <a:pt x="2904" y="3246"/>
                              </a:lnTo>
                              <a:lnTo>
                                <a:pt x="2875" y="3279"/>
                              </a:lnTo>
                              <a:lnTo>
                                <a:pt x="2842" y="3308"/>
                              </a:lnTo>
                              <a:lnTo>
                                <a:pt x="2805" y="3333"/>
                              </a:lnTo>
                              <a:lnTo>
                                <a:pt x="2764" y="3353"/>
                              </a:lnTo>
                              <a:lnTo>
                                <a:pt x="2722" y="3368"/>
                              </a:lnTo>
                              <a:lnTo>
                                <a:pt x="2677" y="3377"/>
                              </a:lnTo>
                              <a:lnTo>
                                <a:pt x="2630" y="3380"/>
                              </a:lnTo>
                              <a:lnTo>
                                <a:pt x="2583" y="3377"/>
                              </a:lnTo>
                              <a:lnTo>
                                <a:pt x="2539" y="3368"/>
                              </a:lnTo>
                              <a:lnTo>
                                <a:pt x="2496" y="3353"/>
                              </a:lnTo>
                              <a:lnTo>
                                <a:pt x="2456" y="3333"/>
                              </a:lnTo>
                              <a:lnTo>
                                <a:pt x="2420" y="3308"/>
                              </a:lnTo>
                              <a:lnTo>
                                <a:pt x="2386" y="3279"/>
                              </a:lnTo>
                              <a:lnTo>
                                <a:pt x="2357" y="3246"/>
                              </a:lnTo>
                              <a:lnTo>
                                <a:pt x="2332" y="3209"/>
                              </a:lnTo>
                              <a:lnTo>
                                <a:pt x="2312" y="3168"/>
                              </a:lnTo>
                              <a:lnTo>
                                <a:pt x="2297" y="3126"/>
                              </a:lnTo>
                              <a:lnTo>
                                <a:pt x="2288" y="3081"/>
                              </a:lnTo>
                              <a:lnTo>
                                <a:pt x="2284" y="3034"/>
                              </a:lnTo>
                              <a:lnTo>
                                <a:pt x="2288" y="2991"/>
                              </a:lnTo>
                              <a:lnTo>
                                <a:pt x="2295" y="2949"/>
                              </a:lnTo>
                              <a:lnTo>
                                <a:pt x="2308" y="2909"/>
                              </a:lnTo>
                              <a:lnTo>
                                <a:pt x="2326" y="2872"/>
                              </a:lnTo>
                              <a:lnTo>
                                <a:pt x="2348" y="2836"/>
                              </a:lnTo>
                              <a:lnTo>
                                <a:pt x="2374" y="2804"/>
                              </a:lnTo>
                              <a:lnTo>
                                <a:pt x="1620" y="2804"/>
                              </a:lnTo>
                              <a:lnTo>
                                <a:pt x="1646" y="2836"/>
                              </a:lnTo>
                              <a:lnTo>
                                <a:pt x="1668" y="2872"/>
                              </a:lnTo>
                              <a:lnTo>
                                <a:pt x="1685" y="2909"/>
                              </a:lnTo>
                              <a:lnTo>
                                <a:pt x="1699" y="2949"/>
                              </a:lnTo>
                              <a:lnTo>
                                <a:pt x="1706" y="2991"/>
                              </a:lnTo>
                              <a:lnTo>
                                <a:pt x="1708" y="3034"/>
                              </a:lnTo>
                              <a:lnTo>
                                <a:pt x="1706" y="3081"/>
                              </a:lnTo>
                              <a:lnTo>
                                <a:pt x="1696" y="3126"/>
                              </a:lnTo>
                              <a:lnTo>
                                <a:pt x="1682" y="3168"/>
                              </a:lnTo>
                              <a:lnTo>
                                <a:pt x="1661" y="3209"/>
                              </a:lnTo>
                              <a:lnTo>
                                <a:pt x="1636" y="3246"/>
                              </a:lnTo>
                              <a:lnTo>
                                <a:pt x="1608" y="3279"/>
                              </a:lnTo>
                              <a:lnTo>
                                <a:pt x="1574" y="3308"/>
                              </a:lnTo>
                              <a:lnTo>
                                <a:pt x="1537" y="3333"/>
                              </a:lnTo>
                              <a:lnTo>
                                <a:pt x="1498" y="3353"/>
                              </a:lnTo>
                              <a:lnTo>
                                <a:pt x="1455" y="3368"/>
                              </a:lnTo>
                              <a:lnTo>
                                <a:pt x="1409" y="3377"/>
                              </a:lnTo>
                              <a:lnTo>
                                <a:pt x="1364" y="3380"/>
                              </a:lnTo>
                              <a:lnTo>
                                <a:pt x="1317" y="3377"/>
                              </a:lnTo>
                              <a:lnTo>
                                <a:pt x="1271" y="3368"/>
                              </a:lnTo>
                              <a:lnTo>
                                <a:pt x="1228" y="3353"/>
                              </a:lnTo>
                              <a:lnTo>
                                <a:pt x="1189" y="3333"/>
                              </a:lnTo>
                              <a:lnTo>
                                <a:pt x="1152" y="3308"/>
                              </a:lnTo>
                              <a:lnTo>
                                <a:pt x="1119" y="3279"/>
                              </a:lnTo>
                              <a:lnTo>
                                <a:pt x="1090" y="3246"/>
                              </a:lnTo>
                              <a:lnTo>
                                <a:pt x="1065" y="3209"/>
                              </a:lnTo>
                              <a:lnTo>
                                <a:pt x="1045" y="3168"/>
                              </a:lnTo>
                              <a:lnTo>
                                <a:pt x="1030" y="3126"/>
                              </a:lnTo>
                              <a:lnTo>
                                <a:pt x="1021" y="3081"/>
                              </a:lnTo>
                              <a:lnTo>
                                <a:pt x="1018" y="3034"/>
                              </a:lnTo>
                              <a:lnTo>
                                <a:pt x="1020" y="2991"/>
                              </a:lnTo>
                              <a:lnTo>
                                <a:pt x="1029" y="2949"/>
                              </a:lnTo>
                              <a:lnTo>
                                <a:pt x="1042" y="2909"/>
                              </a:lnTo>
                              <a:lnTo>
                                <a:pt x="1059" y="2872"/>
                              </a:lnTo>
                              <a:lnTo>
                                <a:pt x="1081" y="2836"/>
                              </a:lnTo>
                              <a:lnTo>
                                <a:pt x="1106" y="2804"/>
                              </a:lnTo>
                              <a:lnTo>
                                <a:pt x="1018" y="2804"/>
                              </a:lnTo>
                              <a:lnTo>
                                <a:pt x="995" y="2801"/>
                              </a:lnTo>
                              <a:lnTo>
                                <a:pt x="973" y="2793"/>
                              </a:lnTo>
                              <a:lnTo>
                                <a:pt x="955" y="2780"/>
                              </a:lnTo>
                              <a:lnTo>
                                <a:pt x="939" y="2764"/>
                              </a:lnTo>
                              <a:lnTo>
                                <a:pt x="928" y="2743"/>
                              </a:lnTo>
                              <a:lnTo>
                                <a:pt x="923" y="2721"/>
                              </a:lnTo>
                              <a:lnTo>
                                <a:pt x="922" y="2698"/>
                              </a:lnTo>
                              <a:lnTo>
                                <a:pt x="927" y="2675"/>
                              </a:lnTo>
                              <a:lnTo>
                                <a:pt x="1100" y="2195"/>
                              </a:lnTo>
                              <a:lnTo>
                                <a:pt x="1109" y="2176"/>
                              </a:lnTo>
                              <a:lnTo>
                                <a:pt x="1124" y="2159"/>
                              </a:lnTo>
                              <a:lnTo>
                                <a:pt x="1140" y="2146"/>
                              </a:lnTo>
                              <a:lnTo>
                                <a:pt x="1159" y="2137"/>
                              </a:lnTo>
                              <a:lnTo>
                                <a:pt x="562" y="415"/>
                              </a:lnTo>
                              <a:lnTo>
                                <a:pt x="73" y="223"/>
                              </a:lnTo>
                              <a:lnTo>
                                <a:pt x="52" y="212"/>
                              </a:lnTo>
                              <a:lnTo>
                                <a:pt x="35" y="199"/>
                              </a:lnTo>
                              <a:lnTo>
                                <a:pt x="21" y="181"/>
                              </a:lnTo>
                              <a:lnTo>
                                <a:pt x="10" y="162"/>
                              </a:lnTo>
                              <a:lnTo>
                                <a:pt x="3" y="141"/>
                              </a:lnTo>
                              <a:lnTo>
                                <a:pt x="0" y="119"/>
                              </a:lnTo>
                              <a:lnTo>
                                <a:pt x="2" y="96"/>
                              </a:lnTo>
                              <a:lnTo>
                                <a:pt x="8" y="73"/>
                              </a:lnTo>
                              <a:lnTo>
                                <a:pt x="19" y="53"/>
                              </a:lnTo>
                              <a:lnTo>
                                <a:pt x="33" y="35"/>
                              </a:lnTo>
                              <a:lnTo>
                                <a:pt x="50" y="21"/>
                              </a:lnTo>
                              <a:lnTo>
                                <a:pt x="69" y="10"/>
                              </a:lnTo>
                              <a:lnTo>
                                <a:pt x="91" y="4"/>
                              </a:lnTo>
                              <a:lnTo>
                                <a:pt x="112" y="0"/>
                              </a:lnTo>
                              <a:close/>
                            </a:path>
                          </a:pathLst>
                        </a:custGeom>
                        <a:solidFill>
                          <a:srgbClr val="7D801D"/>
                        </a:solidFill>
                        <a:ln w="0">
                          <a:noFill/>
                          <a:prstDash val="solid"/>
                          <a:round/>
                          <a:headEnd/>
                          <a:tailEnd/>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reeform 6" o:spid="_x0000_s1026" style="position:absolute;margin-left:351pt;margin-top:-20pt;width:36pt;height:27pt;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90,33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" path="m2630,2880l2600,2884,2570,2892,2545,2907,2522,2926,2504,2948,2489,2974,2480,3004,2476,3034,2480,3066,2489,3094,2504,3120,2522,3143,2545,3162,2570,3176,2600,3185,2630,3188,2662,3185,2690,3176,2716,3162,2739,3143,2758,3120,2772,3094,2781,3066,2784,3034,2781,3004,2772,2974,2758,2948,2739,2926,2716,2907,2690,2892,2662,2884,2630,2880xm1364,2880l1332,2884,1304,2892,1277,2907,1255,2926,1236,2948,1222,2974,1213,3004,1210,3034,1213,3066,1222,3094,1236,3120,1255,3143,1277,3162,1304,3176,1332,3185,1364,3188,1394,3185,1423,3176,1449,3162,1472,3143,1490,3120,1504,3094,1514,3066,1516,3034,1514,3004,1504,2974,1490,2948,1472,2926,1449,2907,1423,2892,1394,2884,1364,2880xm2647,1844l2647,2094,2912,2094,2991,1844,2647,1844xm1885,1844l1885,2094,2416,2094,2416,1844,1885,1844xm1301,1844l1388,2094,1654,2094,1654,1844,1301,1844xm2647,1316l2647,1614,3065,1614,3160,1316,2647,1316xm1885,1316l1885,1614,2416,1614,2416,1316,1885,1316xm1118,1316l1221,1614,1654,1614,1654,1316,1118,1316xm2647,826l2647,1086,3235,1086,3317,826,2647,826xm1885,826l1885,1086,2416,1086,2416,826,1885,826xm948,826l1037,1086,1654,1086,1654,826,948,826xm112,0l135,3,157,9,695,220,717,232,736,247,751,267,761,289,868,597,876,596,884,596,3476,596,3496,598,3517,604,3537,613,3554,627,3568,643,3579,663,3587,682,3590,704,3589,725,3585,747,3105,2244,3095,2266,3081,2286,3063,2302,3043,2314,3020,2322,2996,2324,1306,2324,1283,2322,1261,2315,1154,2612,2996,2612,3017,2614,3037,2622,3056,2633,3070,2648,3082,2665,3088,2686,3092,2708,3088,2730,3082,2751,3070,2768,3056,2783,3037,2794,3017,2802,2996,2804,2888,2804,2913,2836,2935,2872,2952,2909,2965,2949,2973,2991,2976,3034,2973,3081,2964,3126,2949,3168,2929,3209,2904,3246,2875,3279,2842,3308,2805,3333,2764,3353,2722,3368,2677,3377,2630,3380,2583,3377,2539,3368,2496,3353,2456,3333,2420,3308,2386,3279,2357,3246,2332,3209,2312,3168,2297,3126,2288,3081,2284,3034,2288,2991,2295,2949,2308,2909,2326,2872,2348,2836,2374,2804,1620,2804,1646,2836,1668,2872,1685,2909,1699,2949,1706,2991,1708,3034,1706,3081,1696,3126,1682,3168,1661,3209,1636,3246,1608,3279,1574,3308,1537,3333,1498,3353,1455,3368,1409,3377,1364,3380,1317,3377,1271,3368,1228,3353,1189,3333,1152,3308,1119,3279,1090,3246,1065,3209,1045,3168,1030,3126,1021,3081,1018,3034,1020,2991,1029,2949,1042,2909,1059,2872,1081,2836,1106,2804,1018,2804,995,2801,973,2793,955,2780,939,2764,928,2743,923,2721,922,2698,927,2675,1100,2195,1109,2176,1124,2159,1140,2146,1159,2137,562,415,73,223,52,212,35,199,21,181,10,162,3,141,,119,2,96,8,73,19,53,33,35,50,21,69,10,91,4,112,0xe" fillcolor="#7d801d" stroked="f" strokeweight="0">
                <v:path arrowok="t" o:connecttype="custom" o:connectlocs="321186,296842;315837,311045;327299,322204;345893,320784;354553,307798;345893,294914;169635,292581;155626,301711;157409,316523;173711,323422;189757,316523;191540,301711;177531,292581;380915,187073;307687,187073;210643,187073;402438,133508;307687,133508;210643,133508;422432,83797;307687,83797;210643,83797;88511,22319;110543,60565;447903,61276;456818,69189;394160,229885;381552,235769;381552,264987;392504,270363;390976,280813;367798,284465;378623,303436;373019,325552;352006,340161;323351,341683;300173,329306;290876,307798;299027,287711;214591,295117;215992,317132;200455,335596;173711,342900;146712,335596;131174,317132;132703,295117;126717,284161;117548,276045;143146,219030;6622,21507;0,12073;6368,2130" o:connectangles="0,0,0,0,0,0,0,0,0,0,0,0,0,0,0,0,0,0,0,0,0,0,0,0,0,0,0,0,0,0,0,0,0,0,0,0,0,0,0,0,0,0,0,0,0,0,0,0,0,0,0,0"/>
                <o:lock v:ext="edit" verticies="t"/>
              </v:shape>
            </w:pict>
          </mc:Fallback>
        </mc:AlternateContent>
      </w:r>
      <w:r>
        <w:rPr>
          <w:noProof/>
          <w:lang w:eastAsia="fr-FR"/>
        </w:rPr>
        <mc:AlternateContent>
          <mc:Choice Requires="wps">
            <w:drawing>
              <wp:anchor distT="0" distB="0" distL="114300" distR="114300" simplePos="0" relativeHeight="252898304" behindDoc="0" locked="0" layoutInCell="1" allowOverlap="1" wp14:anchorId="53F67D5C" wp14:editId="5A6F16EB">
                <wp:simplePos x="0" y="0"/>
                <wp:positionH relativeFrom="column">
                  <wp:posOffset>5943600</wp:posOffset>
                </wp:positionH>
                <wp:positionV relativeFrom="paragraph">
                  <wp:posOffset>-426720</wp:posOffset>
                </wp:positionV>
                <wp:extent cx="342900" cy="998220"/>
                <wp:effectExtent l="76200" t="76200" r="63500" b="68580"/>
                <wp:wrapThrough wrapText="bothSides">
                  <wp:wrapPolygon edited="0">
                    <wp:start x="-4800" y="-1649"/>
                    <wp:lineTo x="-4800" y="22534"/>
                    <wp:lineTo x="24000" y="22534"/>
                    <wp:lineTo x="24000" y="-1649"/>
                    <wp:lineTo x="-4800" y="-1649"/>
                  </wp:wrapPolygon>
                </wp:wrapThrough>
                <wp:docPr id="676" name="Rectangle à coins arrondis 676"/>
                <wp:cNvGraphicFramePr/>
                <a:graphic xmlns:a="http://schemas.openxmlformats.org/drawingml/2006/main">
                  <a:graphicData uri="http://schemas.microsoft.com/office/word/2010/wordprocessingShape">
                    <wps:wsp>
                      <wps:cNvSpPr/>
                      <wps:spPr>
                        <a:xfrm>
                          <a:off x="0" y="0"/>
                          <a:ext cx="342900" cy="998220"/>
                        </a:xfrm>
                        <a:prstGeom prst="roundRect">
                          <a:avLst/>
                        </a:prstGeom>
                        <a:solidFill>
                          <a:srgbClr val="628D8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D2092E8" w14:textId="0BCC84B3" w:rsidR="00573C95" w:rsidRDefault="00573C95" w:rsidP="00740203">
                            <w:pPr>
                              <w:jc w:val="center"/>
                            </w:pPr>
                            <w:r>
                              <w:t>22 000 $</w:t>
                            </w:r>
                          </w:p>
                        </w:txbxContent>
                      </wps:txbx>
                      <wps:bodyPr vert="vert270"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76" o:spid="_x0000_s1431" style="position:absolute;margin-left:468pt;margin-top:-33.55pt;width:27pt;height:78.6pt;z-index:2528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" fillcolor="#628d81">
                <v:textbox style="layout-flow:vertical;mso-layout-flow-alt:bottom-to-top">
                  <w:txbxContent>
                    <w:p w14:paraId="1D2092E8" w14:textId="0BCC84B3" w:rsidR="001501D6" w:rsidRDefault="001501D6" w:rsidP="00740203">
                      <w:pPr>
                        <w:jc w:val="center"/>
                      </w:pPr>
                      <w:r>
                        <w:t>22 000 $</w:t>
                      </w:r>
                    </w:p>
                  </w:txbxContent>
                </v:textbox>
                <w10:wrap type="through"/>
              </v:roundrect>
            </w:pict>
          </mc:Fallback>
        </mc:AlternateContent>
      </w:r>
      <w:r>
        <w:rPr>
          <w:noProof/>
          <w:lang w:eastAsia="fr-FR"/>
        </w:rPr>
        <mc:AlternateContent>
          <mc:Choice Requires="wps">
            <w:drawing>
              <wp:anchor distT="0" distB="0" distL="114300" distR="114300" simplePos="0" relativeHeight="252897280" behindDoc="0" locked="0" layoutInCell="1" allowOverlap="1" wp14:anchorId="6AF1FB89" wp14:editId="67FE8989">
                <wp:simplePos x="0" y="0"/>
                <wp:positionH relativeFrom="column">
                  <wp:posOffset>2400300</wp:posOffset>
                </wp:positionH>
                <wp:positionV relativeFrom="paragraph">
                  <wp:posOffset>-113665</wp:posOffset>
                </wp:positionV>
                <wp:extent cx="1828800" cy="571500"/>
                <wp:effectExtent l="76200" t="76200" r="50800" b="63500"/>
                <wp:wrapThrough wrapText="bothSides">
                  <wp:wrapPolygon edited="0">
                    <wp:start x="17400" y="-2880"/>
                    <wp:lineTo x="-900" y="-960"/>
                    <wp:lineTo x="-900" y="14400"/>
                    <wp:lineTo x="17100" y="21120"/>
                    <wp:lineTo x="17400" y="23040"/>
                    <wp:lineTo x="19200" y="23040"/>
                    <wp:lineTo x="19500" y="21120"/>
                    <wp:lineTo x="21900" y="12480"/>
                    <wp:lineTo x="21000" y="5760"/>
                    <wp:lineTo x="19200" y="-2880"/>
                    <wp:lineTo x="17400" y="-2880"/>
                  </wp:wrapPolygon>
                </wp:wrapThrough>
                <wp:docPr id="675" name="Flèche vers la droite 675"/>
                <wp:cNvGraphicFramePr/>
                <a:graphic xmlns:a="http://schemas.openxmlformats.org/drawingml/2006/main">
                  <a:graphicData uri="http://schemas.microsoft.com/office/word/2010/wordprocessingShape">
                    <wps:wsp>
                      <wps:cNvSpPr/>
                      <wps:spPr>
                        <a:xfrm>
                          <a:off x="0" y="0"/>
                          <a:ext cx="1828800" cy="571500"/>
                        </a:xfrm>
                        <a:prstGeom prst="rightArrow">
                          <a:avLst/>
                        </a:prstGeom>
                        <a:solidFill>
                          <a:schemeClr val="accent3"/>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4246C61" w14:textId="2D882137" w:rsidR="00573C95" w:rsidRPr="00FE2EB4" w:rsidRDefault="00573C95" w:rsidP="00740203">
                            <w:pPr>
                              <w:jc w:val="center"/>
                              <w:rPr>
                                <w:sz w:val="20"/>
                                <w:szCs w:val="20"/>
                              </w:rPr>
                            </w:pPr>
                            <w:r>
                              <w:rPr>
                                <w:sz w:val="20"/>
                                <w:szCs w:val="20"/>
                              </w:rPr>
                              <w:t>Dollars déboursés actions</w:t>
                            </w:r>
                          </w:p>
                        </w:txbxContent>
                      </wps:txbx>
                      <wps:bodyPr/>
                    </wps:wsp>
                  </a:graphicData>
                </a:graphic>
                <wp14:sizeRelH relativeFrom="margin">
                  <wp14:pctWidth>0</wp14:pctWidth>
                </wp14:sizeRelH>
                <wp14:sizeRelV relativeFrom="margin">
                  <wp14:pctHeight>0</wp14:pctHeight>
                </wp14:sizeRelV>
              </wp:anchor>
            </w:drawing>
          </mc:Choice>
          <mc:Fallback>
            <w:pict>
              <v:shape id="Flèche vers la droite 675" o:spid="_x0000_s1432" type="#_x0000_t13" style="position:absolute;margin-left:189pt;margin-top:-8.9pt;width:2in;height:45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" adj="18225" fillcolor="#ff6700 [3206]">
                <v:textbox>
                  <w:txbxContent>
                    <w:p w14:paraId="64246C61" w14:textId="2D882137" w:rsidR="001501D6" w:rsidRPr="00FE2EB4" w:rsidRDefault="001501D6" w:rsidP="00740203">
                      <w:pPr>
                        <w:jc w:val="center"/>
                        <w:rPr>
                          <w:sz w:val="20"/>
                          <w:szCs w:val="20"/>
                        </w:rPr>
                      </w:pPr>
                      <w:r>
                        <w:rPr>
                          <w:sz w:val="20"/>
                          <w:szCs w:val="20"/>
                        </w:rPr>
                        <w:t>Dollars déboursés actions</w:t>
                      </w:r>
                    </w:p>
                  </w:txbxContent>
                </v:textbox>
                <w10:wrap type="through"/>
              </v:shape>
            </w:pict>
          </mc:Fallback>
        </mc:AlternateContent>
      </w:r>
      <w:r w:rsidRPr="006C0266">
        <w:rPr>
          <w:noProof/>
          <w:lang w:eastAsia="fr-FR"/>
        </w:rPr>
        <mc:AlternateContent>
          <mc:Choice Requires="wpg">
            <w:drawing>
              <wp:anchor distT="0" distB="0" distL="114300" distR="114300" simplePos="0" relativeHeight="252903424" behindDoc="0" locked="0" layoutInCell="1" allowOverlap="1" wp14:anchorId="314470CE" wp14:editId="11F2E4FE">
                <wp:simplePos x="0" y="0"/>
                <wp:positionH relativeFrom="column">
                  <wp:posOffset>1600200</wp:posOffset>
                </wp:positionH>
                <wp:positionV relativeFrom="paragraph">
                  <wp:posOffset>-368935</wp:posOffset>
                </wp:positionV>
                <wp:extent cx="457200" cy="467995"/>
                <wp:effectExtent l="0" t="0" r="25400" b="14605"/>
                <wp:wrapNone/>
                <wp:docPr id="681" name="Group 4"/>
                <wp:cNvGraphicFramePr/>
                <a:graphic xmlns:a="http://schemas.openxmlformats.org/drawingml/2006/main">
                  <a:graphicData uri="http://schemas.microsoft.com/office/word/2010/wordprocessingGroup">
                    <wpg:wgp>
                      <wpg:cNvGrpSpPr/>
                      <wpg:grpSpPr bwMode="auto">
                        <a:xfrm>
                          <a:off x="0" y="0"/>
                          <a:ext cx="457200" cy="467995"/>
                          <a:chOff x="0" y="0"/>
                          <a:chExt cx="1110" cy="1434"/>
                        </a:xfrm>
                        <a:solidFill>
                          <a:schemeClr val="accent3"/>
                        </a:solidFill>
                        <a:extLst>
                          <a:ext uri="{0CCBE362-F206-4b92-989A-16890622DB6E}">
                            <ma14:wrappingTextBoxFlag xmlns:ma14="http://schemas.microsoft.com/office/mac/drawingml/2011/main"/>
                          </a:ext>
                        </a:extLst>
                      </wpg:grpSpPr>
                      <wps:wsp>
                        <wps:cNvPr id="682" name="Freeform 6"/>
                        <wps:cNvSpPr>
                          <a:spLocks noEditPoints="1"/>
                        </wps:cNvSpPr>
                        <wps:spPr bwMode="auto">
                          <a:xfrm>
                            <a:off x="0" y="663"/>
                            <a:ext cx="1110" cy="771"/>
                          </a:xfrm>
                          <a:custGeom>
                            <a:avLst/>
                            <a:gdLst>
                              <a:gd name="T0" fmla="*/ 1627 w 3331"/>
                              <a:gd name="T1" fmla="*/ 200 h 2313"/>
                              <a:gd name="T2" fmla="*/ 1472 w 3331"/>
                              <a:gd name="T3" fmla="*/ 330 h 2313"/>
                              <a:gd name="T4" fmla="*/ 1505 w 3331"/>
                              <a:gd name="T5" fmla="*/ 1654 h 2313"/>
                              <a:gd name="T6" fmla="*/ 1619 w 3331"/>
                              <a:gd name="T7" fmla="*/ 1862 h 2313"/>
                              <a:gd name="T8" fmla="*/ 1666 w 3331"/>
                              <a:gd name="T9" fmla="*/ 1882 h 2313"/>
                              <a:gd name="T10" fmla="*/ 1714 w 3331"/>
                              <a:gd name="T11" fmla="*/ 1862 h 2313"/>
                              <a:gd name="T12" fmla="*/ 1827 w 3331"/>
                              <a:gd name="T13" fmla="*/ 1654 h 2313"/>
                              <a:gd name="T14" fmla="*/ 1860 w 3331"/>
                              <a:gd name="T15" fmla="*/ 330 h 2313"/>
                              <a:gd name="T16" fmla="*/ 1705 w 3331"/>
                              <a:gd name="T17" fmla="*/ 200 h 2313"/>
                              <a:gd name="T18" fmla="*/ 1482 w 3331"/>
                              <a:gd name="T19" fmla="*/ 0 h 2313"/>
                              <a:gd name="T20" fmla="*/ 1548 w 3331"/>
                              <a:gd name="T21" fmla="*/ 23 h 2313"/>
                              <a:gd name="T22" fmla="*/ 1608 w 3331"/>
                              <a:gd name="T23" fmla="*/ 89 h 2313"/>
                              <a:gd name="T24" fmla="*/ 1666 w 3331"/>
                              <a:gd name="T25" fmla="*/ 134 h 2313"/>
                              <a:gd name="T26" fmla="*/ 1725 w 3331"/>
                              <a:gd name="T27" fmla="*/ 89 h 2313"/>
                              <a:gd name="T28" fmla="*/ 1784 w 3331"/>
                              <a:gd name="T29" fmla="*/ 23 h 2313"/>
                              <a:gd name="T30" fmla="*/ 1850 w 3331"/>
                              <a:gd name="T31" fmla="*/ 0 h 2313"/>
                              <a:gd name="T32" fmla="*/ 2167 w 3331"/>
                              <a:gd name="T33" fmla="*/ 41 h 2313"/>
                              <a:gd name="T34" fmla="*/ 2446 w 3331"/>
                              <a:gd name="T35" fmla="*/ 115 h 2313"/>
                              <a:gd name="T36" fmla="*/ 2682 w 3331"/>
                              <a:gd name="T37" fmla="*/ 217 h 2313"/>
                              <a:gd name="T38" fmla="*/ 2869 w 3331"/>
                              <a:gd name="T39" fmla="*/ 345 h 2313"/>
                              <a:gd name="T40" fmla="*/ 2999 w 3331"/>
                              <a:gd name="T41" fmla="*/ 496 h 2313"/>
                              <a:gd name="T42" fmla="*/ 3016 w 3331"/>
                              <a:gd name="T43" fmla="*/ 528 h 2313"/>
                              <a:gd name="T44" fmla="*/ 3058 w 3331"/>
                              <a:gd name="T45" fmla="*/ 610 h 2313"/>
                              <a:gd name="T46" fmla="*/ 3115 w 3331"/>
                              <a:gd name="T47" fmla="*/ 736 h 2313"/>
                              <a:gd name="T48" fmla="*/ 3179 w 3331"/>
                              <a:gd name="T49" fmla="*/ 896 h 2313"/>
                              <a:gd name="T50" fmla="*/ 3241 w 3331"/>
                              <a:gd name="T51" fmla="*/ 1083 h 2313"/>
                              <a:gd name="T52" fmla="*/ 3293 w 3331"/>
                              <a:gd name="T53" fmla="*/ 1290 h 2313"/>
                              <a:gd name="T54" fmla="*/ 3326 w 3331"/>
                              <a:gd name="T55" fmla="*/ 1508 h 2313"/>
                              <a:gd name="T56" fmla="*/ 3329 w 3331"/>
                              <a:gd name="T57" fmla="*/ 1730 h 2313"/>
                              <a:gd name="T58" fmla="*/ 3296 w 3331"/>
                              <a:gd name="T59" fmla="*/ 1949 h 2313"/>
                              <a:gd name="T60" fmla="*/ 3217 w 3331"/>
                              <a:gd name="T61" fmla="*/ 2153 h 2313"/>
                              <a:gd name="T62" fmla="*/ 3121 w 3331"/>
                              <a:gd name="T63" fmla="*/ 2294 h 2313"/>
                              <a:gd name="T64" fmla="*/ 3065 w 3331"/>
                              <a:gd name="T65" fmla="*/ 2313 h 2313"/>
                              <a:gd name="T66" fmla="*/ 229 w 3331"/>
                              <a:gd name="T67" fmla="*/ 2304 h 2313"/>
                              <a:gd name="T68" fmla="*/ 152 w 3331"/>
                              <a:gd name="T69" fmla="*/ 2216 h 2313"/>
                              <a:gd name="T70" fmla="*/ 56 w 3331"/>
                              <a:gd name="T71" fmla="*/ 2013 h 2313"/>
                              <a:gd name="T72" fmla="*/ 8 w 3331"/>
                              <a:gd name="T73" fmla="*/ 1795 h 2313"/>
                              <a:gd name="T74" fmla="*/ 0 w 3331"/>
                              <a:gd name="T75" fmla="*/ 1642 h 2313"/>
                              <a:gd name="T76" fmla="*/ 16 w 3331"/>
                              <a:gd name="T77" fmla="*/ 1421 h 2313"/>
                              <a:gd name="T78" fmla="*/ 57 w 3331"/>
                              <a:gd name="T79" fmla="*/ 1204 h 2313"/>
                              <a:gd name="T80" fmla="*/ 115 w 3331"/>
                              <a:gd name="T81" fmla="*/ 1001 h 2313"/>
                              <a:gd name="T82" fmla="*/ 180 w 3331"/>
                              <a:gd name="T83" fmla="*/ 822 h 2313"/>
                              <a:gd name="T84" fmla="*/ 244 w 3331"/>
                              <a:gd name="T85" fmla="*/ 675 h 2313"/>
                              <a:gd name="T86" fmla="*/ 295 w 3331"/>
                              <a:gd name="T87" fmla="*/ 567 h 2313"/>
                              <a:gd name="T88" fmla="*/ 326 w 3331"/>
                              <a:gd name="T89" fmla="*/ 508 h 2313"/>
                              <a:gd name="T90" fmla="*/ 412 w 3331"/>
                              <a:gd name="T91" fmla="*/ 396 h 2313"/>
                              <a:gd name="T92" fmla="*/ 581 w 3331"/>
                              <a:gd name="T93" fmla="*/ 259 h 2313"/>
                              <a:gd name="T94" fmla="*/ 803 w 3331"/>
                              <a:gd name="T95" fmla="*/ 146 h 2313"/>
                              <a:gd name="T96" fmla="*/ 1068 w 3331"/>
                              <a:gd name="T97" fmla="*/ 62 h 2313"/>
                              <a:gd name="T98" fmla="*/ 1374 w 3331"/>
                              <a:gd name="T99" fmla="*/ 9 h 2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31" h="2313">
                                <a:moveTo>
                                  <a:pt x="1666" y="187"/>
                                </a:moveTo>
                                <a:lnTo>
                                  <a:pt x="1645" y="191"/>
                                </a:lnTo>
                                <a:lnTo>
                                  <a:pt x="1627" y="200"/>
                                </a:lnTo>
                                <a:lnTo>
                                  <a:pt x="1495" y="296"/>
                                </a:lnTo>
                                <a:lnTo>
                                  <a:pt x="1481" y="310"/>
                                </a:lnTo>
                                <a:lnTo>
                                  <a:pt x="1472" y="330"/>
                                </a:lnTo>
                                <a:lnTo>
                                  <a:pt x="1469" y="351"/>
                                </a:lnTo>
                                <a:lnTo>
                                  <a:pt x="1503" y="1638"/>
                                </a:lnTo>
                                <a:lnTo>
                                  <a:pt x="1505" y="1654"/>
                                </a:lnTo>
                                <a:lnTo>
                                  <a:pt x="1511" y="1669"/>
                                </a:lnTo>
                                <a:lnTo>
                                  <a:pt x="1607" y="1848"/>
                                </a:lnTo>
                                <a:lnTo>
                                  <a:pt x="1619" y="1862"/>
                                </a:lnTo>
                                <a:lnTo>
                                  <a:pt x="1632" y="1873"/>
                                </a:lnTo>
                                <a:lnTo>
                                  <a:pt x="1648" y="1881"/>
                                </a:lnTo>
                                <a:lnTo>
                                  <a:pt x="1666" y="1882"/>
                                </a:lnTo>
                                <a:lnTo>
                                  <a:pt x="1684" y="1881"/>
                                </a:lnTo>
                                <a:lnTo>
                                  <a:pt x="1699" y="1873"/>
                                </a:lnTo>
                                <a:lnTo>
                                  <a:pt x="1714" y="1862"/>
                                </a:lnTo>
                                <a:lnTo>
                                  <a:pt x="1725" y="1848"/>
                                </a:lnTo>
                                <a:lnTo>
                                  <a:pt x="1821" y="1669"/>
                                </a:lnTo>
                                <a:lnTo>
                                  <a:pt x="1827" y="1654"/>
                                </a:lnTo>
                                <a:lnTo>
                                  <a:pt x="1829" y="1638"/>
                                </a:lnTo>
                                <a:lnTo>
                                  <a:pt x="1862" y="351"/>
                                </a:lnTo>
                                <a:lnTo>
                                  <a:pt x="1860" y="330"/>
                                </a:lnTo>
                                <a:lnTo>
                                  <a:pt x="1850" y="310"/>
                                </a:lnTo>
                                <a:lnTo>
                                  <a:pt x="1836" y="296"/>
                                </a:lnTo>
                                <a:lnTo>
                                  <a:pt x="1705" y="200"/>
                                </a:lnTo>
                                <a:lnTo>
                                  <a:pt x="1686" y="191"/>
                                </a:lnTo>
                                <a:lnTo>
                                  <a:pt x="1666" y="187"/>
                                </a:lnTo>
                                <a:close/>
                                <a:moveTo>
                                  <a:pt x="1482" y="0"/>
                                </a:moveTo>
                                <a:lnTo>
                                  <a:pt x="1506" y="1"/>
                                </a:lnTo>
                                <a:lnTo>
                                  <a:pt x="1529" y="9"/>
                                </a:lnTo>
                                <a:lnTo>
                                  <a:pt x="1548" y="23"/>
                                </a:lnTo>
                                <a:lnTo>
                                  <a:pt x="1567" y="43"/>
                                </a:lnTo>
                                <a:lnTo>
                                  <a:pt x="1588" y="65"/>
                                </a:lnTo>
                                <a:lnTo>
                                  <a:pt x="1608" y="89"/>
                                </a:lnTo>
                                <a:lnTo>
                                  <a:pt x="1628" y="109"/>
                                </a:lnTo>
                                <a:lnTo>
                                  <a:pt x="1646" y="125"/>
                                </a:lnTo>
                                <a:lnTo>
                                  <a:pt x="1666" y="134"/>
                                </a:lnTo>
                                <a:lnTo>
                                  <a:pt x="1686" y="125"/>
                                </a:lnTo>
                                <a:lnTo>
                                  <a:pt x="1705" y="109"/>
                                </a:lnTo>
                                <a:lnTo>
                                  <a:pt x="1725" y="89"/>
                                </a:lnTo>
                                <a:lnTo>
                                  <a:pt x="1743" y="68"/>
                                </a:lnTo>
                                <a:lnTo>
                                  <a:pt x="1764" y="43"/>
                                </a:lnTo>
                                <a:lnTo>
                                  <a:pt x="1784" y="23"/>
                                </a:lnTo>
                                <a:lnTo>
                                  <a:pt x="1804" y="9"/>
                                </a:lnTo>
                                <a:lnTo>
                                  <a:pt x="1827" y="1"/>
                                </a:lnTo>
                                <a:lnTo>
                                  <a:pt x="1850" y="0"/>
                                </a:lnTo>
                                <a:lnTo>
                                  <a:pt x="1960" y="11"/>
                                </a:lnTo>
                                <a:lnTo>
                                  <a:pt x="2065" y="24"/>
                                </a:lnTo>
                                <a:lnTo>
                                  <a:pt x="2167" y="41"/>
                                </a:lnTo>
                                <a:lnTo>
                                  <a:pt x="2265" y="62"/>
                                </a:lnTo>
                                <a:lnTo>
                                  <a:pt x="2358" y="88"/>
                                </a:lnTo>
                                <a:lnTo>
                                  <a:pt x="2446" y="115"/>
                                </a:lnTo>
                                <a:lnTo>
                                  <a:pt x="2530" y="146"/>
                                </a:lnTo>
                                <a:lnTo>
                                  <a:pt x="2609" y="180"/>
                                </a:lnTo>
                                <a:lnTo>
                                  <a:pt x="2682" y="217"/>
                                </a:lnTo>
                                <a:lnTo>
                                  <a:pt x="2751" y="257"/>
                                </a:lnTo>
                                <a:lnTo>
                                  <a:pt x="2813" y="300"/>
                                </a:lnTo>
                                <a:lnTo>
                                  <a:pt x="2869" y="345"/>
                                </a:lnTo>
                                <a:lnTo>
                                  <a:pt x="2919" y="392"/>
                                </a:lnTo>
                                <a:lnTo>
                                  <a:pt x="2963" y="443"/>
                                </a:lnTo>
                                <a:lnTo>
                                  <a:pt x="2999" y="496"/>
                                </a:lnTo>
                                <a:lnTo>
                                  <a:pt x="3001" y="500"/>
                                </a:lnTo>
                                <a:lnTo>
                                  <a:pt x="3007" y="510"/>
                                </a:lnTo>
                                <a:lnTo>
                                  <a:pt x="3016" y="528"/>
                                </a:lnTo>
                                <a:lnTo>
                                  <a:pt x="3028" y="549"/>
                                </a:lnTo>
                                <a:lnTo>
                                  <a:pt x="3043" y="577"/>
                                </a:lnTo>
                                <a:lnTo>
                                  <a:pt x="3058" y="610"/>
                                </a:lnTo>
                                <a:lnTo>
                                  <a:pt x="3076" y="647"/>
                                </a:lnTo>
                                <a:lnTo>
                                  <a:pt x="3096" y="689"/>
                                </a:lnTo>
                                <a:lnTo>
                                  <a:pt x="3115" y="736"/>
                                </a:lnTo>
                                <a:lnTo>
                                  <a:pt x="3137" y="785"/>
                                </a:lnTo>
                                <a:lnTo>
                                  <a:pt x="3158" y="839"/>
                                </a:lnTo>
                                <a:lnTo>
                                  <a:pt x="3179" y="896"/>
                                </a:lnTo>
                                <a:lnTo>
                                  <a:pt x="3201" y="956"/>
                                </a:lnTo>
                                <a:lnTo>
                                  <a:pt x="3221" y="1018"/>
                                </a:lnTo>
                                <a:lnTo>
                                  <a:pt x="3241" y="1083"/>
                                </a:lnTo>
                                <a:lnTo>
                                  <a:pt x="3261" y="1151"/>
                                </a:lnTo>
                                <a:lnTo>
                                  <a:pt x="3278" y="1220"/>
                                </a:lnTo>
                                <a:lnTo>
                                  <a:pt x="3293" y="1290"/>
                                </a:lnTo>
                                <a:lnTo>
                                  <a:pt x="3306" y="1363"/>
                                </a:lnTo>
                                <a:lnTo>
                                  <a:pt x="3318" y="1436"/>
                                </a:lnTo>
                                <a:lnTo>
                                  <a:pt x="3326" y="1508"/>
                                </a:lnTo>
                                <a:lnTo>
                                  <a:pt x="3330" y="1583"/>
                                </a:lnTo>
                                <a:lnTo>
                                  <a:pt x="3331" y="1657"/>
                                </a:lnTo>
                                <a:lnTo>
                                  <a:pt x="3329" y="1730"/>
                                </a:lnTo>
                                <a:lnTo>
                                  <a:pt x="3323" y="1804"/>
                                </a:lnTo>
                                <a:lnTo>
                                  <a:pt x="3311" y="1877"/>
                                </a:lnTo>
                                <a:lnTo>
                                  <a:pt x="3296" y="1949"/>
                                </a:lnTo>
                                <a:lnTo>
                                  <a:pt x="3276" y="2019"/>
                                </a:lnTo>
                                <a:lnTo>
                                  <a:pt x="3249" y="2086"/>
                                </a:lnTo>
                                <a:lnTo>
                                  <a:pt x="3217" y="2153"/>
                                </a:lnTo>
                                <a:lnTo>
                                  <a:pt x="3179" y="2218"/>
                                </a:lnTo>
                                <a:lnTo>
                                  <a:pt x="3135" y="2280"/>
                                </a:lnTo>
                                <a:lnTo>
                                  <a:pt x="3121" y="2294"/>
                                </a:lnTo>
                                <a:lnTo>
                                  <a:pt x="3103" y="2304"/>
                                </a:lnTo>
                                <a:lnTo>
                                  <a:pt x="3085" y="2310"/>
                                </a:lnTo>
                                <a:lnTo>
                                  <a:pt x="3065" y="2313"/>
                                </a:lnTo>
                                <a:lnTo>
                                  <a:pt x="268" y="2313"/>
                                </a:lnTo>
                                <a:lnTo>
                                  <a:pt x="248" y="2310"/>
                                </a:lnTo>
                                <a:lnTo>
                                  <a:pt x="229" y="2304"/>
                                </a:lnTo>
                                <a:lnTo>
                                  <a:pt x="212" y="2293"/>
                                </a:lnTo>
                                <a:lnTo>
                                  <a:pt x="197" y="2280"/>
                                </a:lnTo>
                                <a:lnTo>
                                  <a:pt x="152" y="2216"/>
                                </a:lnTo>
                                <a:lnTo>
                                  <a:pt x="114" y="2151"/>
                                </a:lnTo>
                                <a:lnTo>
                                  <a:pt x="82" y="2082"/>
                                </a:lnTo>
                                <a:lnTo>
                                  <a:pt x="56" y="2013"/>
                                </a:lnTo>
                                <a:lnTo>
                                  <a:pt x="34" y="1942"/>
                                </a:lnTo>
                                <a:lnTo>
                                  <a:pt x="19" y="1869"/>
                                </a:lnTo>
                                <a:lnTo>
                                  <a:pt x="8" y="1795"/>
                                </a:lnTo>
                                <a:lnTo>
                                  <a:pt x="1" y="1721"/>
                                </a:lnTo>
                                <a:lnTo>
                                  <a:pt x="0" y="1648"/>
                                </a:lnTo>
                                <a:lnTo>
                                  <a:pt x="0" y="1642"/>
                                </a:lnTo>
                                <a:lnTo>
                                  <a:pt x="1" y="1571"/>
                                </a:lnTo>
                                <a:lnTo>
                                  <a:pt x="7" y="1495"/>
                                </a:lnTo>
                                <a:lnTo>
                                  <a:pt x="16" y="1421"/>
                                </a:lnTo>
                                <a:lnTo>
                                  <a:pt x="28" y="1347"/>
                                </a:lnTo>
                                <a:lnTo>
                                  <a:pt x="41" y="1275"/>
                                </a:lnTo>
                                <a:lnTo>
                                  <a:pt x="57" y="1204"/>
                                </a:lnTo>
                                <a:lnTo>
                                  <a:pt x="76" y="1133"/>
                                </a:lnTo>
                                <a:lnTo>
                                  <a:pt x="94" y="1066"/>
                                </a:lnTo>
                                <a:lnTo>
                                  <a:pt x="115" y="1001"/>
                                </a:lnTo>
                                <a:lnTo>
                                  <a:pt x="136" y="939"/>
                                </a:lnTo>
                                <a:lnTo>
                                  <a:pt x="159" y="879"/>
                                </a:lnTo>
                                <a:lnTo>
                                  <a:pt x="180" y="822"/>
                                </a:lnTo>
                                <a:lnTo>
                                  <a:pt x="201" y="769"/>
                                </a:lnTo>
                                <a:lnTo>
                                  <a:pt x="223" y="720"/>
                                </a:lnTo>
                                <a:lnTo>
                                  <a:pt x="244" y="675"/>
                                </a:lnTo>
                                <a:lnTo>
                                  <a:pt x="262" y="635"/>
                                </a:lnTo>
                                <a:lnTo>
                                  <a:pt x="279" y="599"/>
                                </a:lnTo>
                                <a:lnTo>
                                  <a:pt x="295" y="567"/>
                                </a:lnTo>
                                <a:lnTo>
                                  <a:pt x="309" y="542"/>
                                </a:lnTo>
                                <a:lnTo>
                                  <a:pt x="319" y="522"/>
                                </a:lnTo>
                                <a:lnTo>
                                  <a:pt x="326" y="508"/>
                                </a:lnTo>
                                <a:lnTo>
                                  <a:pt x="331" y="501"/>
                                </a:lnTo>
                                <a:lnTo>
                                  <a:pt x="368" y="447"/>
                                </a:lnTo>
                                <a:lnTo>
                                  <a:pt x="412" y="396"/>
                                </a:lnTo>
                                <a:lnTo>
                                  <a:pt x="462" y="347"/>
                                </a:lnTo>
                                <a:lnTo>
                                  <a:pt x="518" y="302"/>
                                </a:lnTo>
                                <a:lnTo>
                                  <a:pt x="581" y="259"/>
                                </a:lnTo>
                                <a:lnTo>
                                  <a:pt x="649" y="219"/>
                                </a:lnTo>
                                <a:lnTo>
                                  <a:pt x="723" y="180"/>
                                </a:lnTo>
                                <a:lnTo>
                                  <a:pt x="803" y="146"/>
                                </a:lnTo>
                                <a:lnTo>
                                  <a:pt x="886" y="115"/>
                                </a:lnTo>
                                <a:lnTo>
                                  <a:pt x="975" y="88"/>
                                </a:lnTo>
                                <a:lnTo>
                                  <a:pt x="1068" y="62"/>
                                </a:lnTo>
                                <a:lnTo>
                                  <a:pt x="1166" y="41"/>
                                </a:lnTo>
                                <a:lnTo>
                                  <a:pt x="1268" y="24"/>
                                </a:lnTo>
                                <a:lnTo>
                                  <a:pt x="1374" y="9"/>
                                </a:lnTo>
                                <a:lnTo>
                                  <a:pt x="1482" y="0"/>
                                </a:lnTo>
                                <a:close/>
                              </a:path>
                            </a:pathLst>
                          </a:custGeom>
                          <a:grpFill/>
                          <a:ln w="0">
                            <a:solidFill>
                              <a:srgbClr val="FFFFFF"/>
                            </a:solidFill>
                            <a:prstDash val="solid"/>
                            <a:round/>
                            <a:headEnd/>
                            <a:tailEnd/>
                          </a:ln>
                        </wps:spPr>
                        <wps:txbx>
                          <w:txbxContent>
                            <w:p w14:paraId="59865154" w14:textId="77777777" w:rsidR="00573C95" w:rsidRDefault="00573C95" w:rsidP="00740203">
                              <w:pPr>
                                <w:rPr>
                                  <w:rFonts w:eastAsia="Times New Roman"/>
                                </w:rPr>
                              </w:pPr>
                            </w:p>
                          </w:txbxContent>
                        </wps:txbx>
                        <wps:bodyPr vert="horz" wrap="square" lIns="91440" tIns="45720" rIns="91440" bIns="45720" numCol="1" anchor="t" anchorCtr="0" compatLnSpc="1">
                          <a:prstTxWarp prst="textNoShape">
                            <a:avLst/>
                          </a:prstTxWarp>
                        </wps:bodyPr>
                      </wps:wsp>
                      <wps:wsp>
                        <wps:cNvPr id="683" name="Freeform 7"/>
                        <wps:cNvSpPr>
                          <a:spLocks/>
                        </wps:cNvSpPr>
                        <wps:spPr bwMode="auto">
                          <a:xfrm>
                            <a:off x="237" y="0"/>
                            <a:ext cx="626" cy="626"/>
                          </a:xfrm>
                          <a:custGeom>
                            <a:avLst/>
                            <a:gdLst>
                              <a:gd name="T0" fmla="*/ 939 w 1877"/>
                              <a:gd name="T1" fmla="*/ 0 h 1878"/>
                              <a:gd name="T2" fmla="*/ 1108 w 1877"/>
                              <a:gd name="T3" fmla="*/ 15 h 1878"/>
                              <a:gd name="T4" fmla="*/ 1267 w 1877"/>
                              <a:gd name="T5" fmla="*/ 59 h 1878"/>
                              <a:gd name="T6" fmla="*/ 1412 w 1877"/>
                              <a:gd name="T7" fmla="*/ 128 h 1878"/>
                              <a:gd name="T8" fmla="*/ 1543 w 1877"/>
                              <a:gd name="T9" fmla="*/ 221 h 1878"/>
                              <a:gd name="T10" fmla="*/ 1657 w 1877"/>
                              <a:gd name="T11" fmla="*/ 335 h 1878"/>
                              <a:gd name="T12" fmla="*/ 1750 w 1877"/>
                              <a:gd name="T13" fmla="*/ 466 h 1878"/>
                              <a:gd name="T14" fmla="*/ 1819 w 1877"/>
                              <a:gd name="T15" fmla="*/ 612 h 1878"/>
                              <a:gd name="T16" fmla="*/ 1863 w 1877"/>
                              <a:gd name="T17" fmla="*/ 771 h 1878"/>
                              <a:gd name="T18" fmla="*/ 1877 w 1877"/>
                              <a:gd name="T19" fmla="*/ 939 h 1878"/>
                              <a:gd name="T20" fmla="*/ 1863 w 1877"/>
                              <a:gd name="T21" fmla="*/ 1108 h 1878"/>
                              <a:gd name="T22" fmla="*/ 1819 w 1877"/>
                              <a:gd name="T23" fmla="*/ 1267 h 1878"/>
                              <a:gd name="T24" fmla="*/ 1750 w 1877"/>
                              <a:gd name="T25" fmla="*/ 1413 h 1878"/>
                              <a:gd name="T26" fmla="*/ 1657 w 1877"/>
                              <a:gd name="T27" fmla="*/ 1544 h 1878"/>
                              <a:gd name="T28" fmla="*/ 1543 w 1877"/>
                              <a:gd name="T29" fmla="*/ 1656 h 1878"/>
                              <a:gd name="T30" fmla="*/ 1412 w 1877"/>
                              <a:gd name="T31" fmla="*/ 1749 h 1878"/>
                              <a:gd name="T32" fmla="*/ 1267 w 1877"/>
                              <a:gd name="T33" fmla="*/ 1819 h 1878"/>
                              <a:gd name="T34" fmla="*/ 1108 w 1877"/>
                              <a:gd name="T35" fmla="*/ 1863 h 1878"/>
                              <a:gd name="T36" fmla="*/ 939 w 1877"/>
                              <a:gd name="T37" fmla="*/ 1878 h 1878"/>
                              <a:gd name="T38" fmla="*/ 771 w 1877"/>
                              <a:gd name="T39" fmla="*/ 1863 h 1878"/>
                              <a:gd name="T40" fmla="*/ 612 w 1877"/>
                              <a:gd name="T41" fmla="*/ 1819 h 1878"/>
                              <a:gd name="T42" fmla="*/ 467 w 1877"/>
                              <a:gd name="T43" fmla="*/ 1749 h 1878"/>
                              <a:gd name="T44" fmla="*/ 335 w 1877"/>
                              <a:gd name="T45" fmla="*/ 1656 h 1878"/>
                              <a:gd name="T46" fmla="*/ 221 w 1877"/>
                              <a:gd name="T47" fmla="*/ 1544 h 1878"/>
                              <a:gd name="T48" fmla="*/ 129 w 1877"/>
                              <a:gd name="T49" fmla="*/ 1413 h 1878"/>
                              <a:gd name="T50" fmla="*/ 60 w 1877"/>
                              <a:gd name="T51" fmla="*/ 1267 h 1878"/>
                              <a:gd name="T52" fmla="*/ 16 w 1877"/>
                              <a:gd name="T53" fmla="*/ 1108 h 1878"/>
                              <a:gd name="T54" fmla="*/ 0 w 1877"/>
                              <a:gd name="T55" fmla="*/ 939 h 1878"/>
                              <a:gd name="T56" fmla="*/ 16 w 1877"/>
                              <a:gd name="T57" fmla="*/ 771 h 1878"/>
                              <a:gd name="T58" fmla="*/ 60 w 1877"/>
                              <a:gd name="T59" fmla="*/ 612 h 1878"/>
                              <a:gd name="T60" fmla="*/ 129 w 1877"/>
                              <a:gd name="T61" fmla="*/ 466 h 1878"/>
                              <a:gd name="T62" fmla="*/ 221 w 1877"/>
                              <a:gd name="T63" fmla="*/ 335 h 1878"/>
                              <a:gd name="T64" fmla="*/ 335 w 1877"/>
                              <a:gd name="T65" fmla="*/ 221 h 1878"/>
                              <a:gd name="T66" fmla="*/ 467 w 1877"/>
                              <a:gd name="T67" fmla="*/ 128 h 1878"/>
                              <a:gd name="T68" fmla="*/ 612 w 1877"/>
                              <a:gd name="T69" fmla="*/ 59 h 1878"/>
                              <a:gd name="T70" fmla="*/ 771 w 1877"/>
                              <a:gd name="T71" fmla="*/ 15 h 1878"/>
                              <a:gd name="T72" fmla="*/ 939 w 1877"/>
                              <a:gd name="T73" fmla="*/ 0 h 18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77" h="1878">
                                <a:moveTo>
                                  <a:pt x="939" y="0"/>
                                </a:moveTo>
                                <a:lnTo>
                                  <a:pt x="939" y="0"/>
                                </a:lnTo>
                                <a:lnTo>
                                  <a:pt x="1024" y="4"/>
                                </a:lnTo>
                                <a:lnTo>
                                  <a:pt x="1108" y="15"/>
                                </a:lnTo>
                                <a:lnTo>
                                  <a:pt x="1188" y="34"/>
                                </a:lnTo>
                                <a:lnTo>
                                  <a:pt x="1267" y="59"/>
                                </a:lnTo>
                                <a:lnTo>
                                  <a:pt x="1341" y="91"/>
                                </a:lnTo>
                                <a:lnTo>
                                  <a:pt x="1412" y="128"/>
                                </a:lnTo>
                                <a:lnTo>
                                  <a:pt x="1480" y="172"/>
                                </a:lnTo>
                                <a:lnTo>
                                  <a:pt x="1543" y="221"/>
                                </a:lnTo>
                                <a:lnTo>
                                  <a:pt x="1603" y="275"/>
                                </a:lnTo>
                                <a:lnTo>
                                  <a:pt x="1657" y="335"/>
                                </a:lnTo>
                                <a:lnTo>
                                  <a:pt x="1706" y="399"/>
                                </a:lnTo>
                                <a:lnTo>
                                  <a:pt x="1750" y="466"/>
                                </a:lnTo>
                                <a:lnTo>
                                  <a:pt x="1787" y="538"/>
                                </a:lnTo>
                                <a:lnTo>
                                  <a:pt x="1819" y="612"/>
                                </a:lnTo>
                                <a:lnTo>
                                  <a:pt x="1844" y="690"/>
                                </a:lnTo>
                                <a:lnTo>
                                  <a:pt x="1863" y="771"/>
                                </a:lnTo>
                                <a:lnTo>
                                  <a:pt x="1875" y="853"/>
                                </a:lnTo>
                                <a:lnTo>
                                  <a:pt x="1877" y="939"/>
                                </a:lnTo>
                                <a:lnTo>
                                  <a:pt x="1875" y="1024"/>
                                </a:lnTo>
                                <a:lnTo>
                                  <a:pt x="1863" y="1108"/>
                                </a:lnTo>
                                <a:lnTo>
                                  <a:pt x="1844" y="1189"/>
                                </a:lnTo>
                                <a:lnTo>
                                  <a:pt x="1819" y="1267"/>
                                </a:lnTo>
                                <a:lnTo>
                                  <a:pt x="1787" y="1341"/>
                                </a:lnTo>
                                <a:lnTo>
                                  <a:pt x="1750" y="1413"/>
                                </a:lnTo>
                                <a:lnTo>
                                  <a:pt x="1706" y="1480"/>
                                </a:lnTo>
                                <a:lnTo>
                                  <a:pt x="1657" y="1544"/>
                                </a:lnTo>
                                <a:lnTo>
                                  <a:pt x="1603" y="1603"/>
                                </a:lnTo>
                                <a:lnTo>
                                  <a:pt x="1543" y="1656"/>
                                </a:lnTo>
                                <a:lnTo>
                                  <a:pt x="1480" y="1707"/>
                                </a:lnTo>
                                <a:lnTo>
                                  <a:pt x="1412" y="1749"/>
                                </a:lnTo>
                                <a:lnTo>
                                  <a:pt x="1341" y="1788"/>
                                </a:lnTo>
                                <a:lnTo>
                                  <a:pt x="1267" y="1819"/>
                                </a:lnTo>
                                <a:lnTo>
                                  <a:pt x="1188" y="1845"/>
                                </a:lnTo>
                                <a:lnTo>
                                  <a:pt x="1108" y="1863"/>
                                </a:lnTo>
                                <a:lnTo>
                                  <a:pt x="1024" y="1874"/>
                                </a:lnTo>
                                <a:lnTo>
                                  <a:pt x="939" y="1878"/>
                                </a:lnTo>
                                <a:lnTo>
                                  <a:pt x="855" y="1874"/>
                                </a:lnTo>
                                <a:lnTo>
                                  <a:pt x="771" y="1863"/>
                                </a:lnTo>
                                <a:lnTo>
                                  <a:pt x="690" y="1845"/>
                                </a:lnTo>
                                <a:lnTo>
                                  <a:pt x="612" y="1819"/>
                                </a:lnTo>
                                <a:lnTo>
                                  <a:pt x="538" y="1788"/>
                                </a:lnTo>
                                <a:lnTo>
                                  <a:pt x="467" y="1749"/>
                                </a:lnTo>
                                <a:lnTo>
                                  <a:pt x="399" y="1707"/>
                                </a:lnTo>
                                <a:lnTo>
                                  <a:pt x="335" y="1656"/>
                                </a:lnTo>
                                <a:lnTo>
                                  <a:pt x="276" y="1603"/>
                                </a:lnTo>
                                <a:lnTo>
                                  <a:pt x="221" y="1544"/>
                                </a:lnTo>
                                <a:lnTo>
                                  <a:pt x="172" y="1480"/>
                                </a:lnTo>
                                <a:lnTo>
                                  <a:pt x="129" y="1413"/>
                                </a:lnTo>
                                <a:lnTo>
                                  <a:pt x="92" y="1341"/>
                                </a:lnTo>
                                <a:lnTo>
                                  <a:pt x="60" y="1267"/>
                                </a:lnTo>
                                <a:lnTo>
                                  <a:pt x="35" y="1189"/>
                                </a:lnTo>
                                <a:lnTo>
                                  <a:pt x="16" y="1108"/>
                                </a:lnTo>
                                <a:lnTo>
                                  <a:pt x="4" y="1024"/>
                                </a:lnTo>
                                <a:lnTo>
                                  <a:pt x="0" y="939"/>
                                </a:lnTo>
                                <a:lnTo>
                                  <a:pt x="4" y="853"/>
                                </a:lnTo>
                                <a:lnTo>
                                  <a:pt x="16" y="771"/>
                                </a:lnTo>
                                <a:lnTo>
                                  <a:pt x="35" y="690"/>
                                </a:lnTo>
                                <a:lnTo>
                                  <a:pt x="60" y="612"/>
                                </a:lnTo>
                                <a:lnTo>
                                  <a:pt x="92" y="538"/>
                                </a:lnTo>
                                <a:lnTo>
                                  <a:pt x="129" y="466"/>
                                </a:lnTo>
                                <a:lnTo>
                                  <a:pt x="172" y="399"/>
                                </a:lnTo>
                                <a:lnTo>
                                  <a:pt x="221" y="335"/>
                                </a:lnTo>
                                <a:lnTo>
                                  <a:pt x="276" y="275"/>
                                </a:lnTo>
                                <a:lnTo>
                                  <a:pt x="335" y="221"/>
                                </a:lnTo>
                                <a:lnTo>
                                  <a:pt x="399" y="172"/>
                                </a:lnTo>
                                <a:lnTo>
                                  <a:pt x="467" y="128"/>
                                </a:lnTo>
                                <a:lnTo>
                                  <a:pt x="538" y="91"/>
                                </a:lnTo>
                                <a:lnTo>
                                  <a:pt x="612" y="59"/>
                                </a:lnTo>
                                <a:lnTo>
                                  <a:pt x="690" y="34"/>
                                </a:lnTo>
                                <a:lnTo>
                                  <a:pt x="771" y="15"/>
                                </a:lnTo>
                                <a:lnTo>
                                  <a:pt x="855" y="4"/>
                                </a:lnTo>
                                <a:lnTo>
                                  <a:pt x="939" y="0"/>
                                </a:lnTo>
                                <a:close/>
                              </a:path>
                            </a:pathLst>
                          </a:custGeom>
                          <a:grpFill/>
                          <a:ln w="0">
                            <a:solidFill>
                              <a:srgbClr val="FFFFFF"/>
                            </a:solidFill>
                            <a:prstDash val="solid"/>
                            <a:round/>
                            <a:headEnd/>
                            <a:tailEnd/>
                          </a:ln>
                        </wps:spPr>
                        <wps:txbx>
                          <w:txbxContent>
                            <w:p w14:paraId="1F2EE73B" w14:textId="77777777" w:rsidR="00573C95" w:rsidRDefault="00573C95" w:rsidP="00740203">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id="_x0000_s1433" style="position:absolute;margin-left:126pt;margin-top:-29pt;width:36pt;height:36.85pt;z-index:252903424" coordsize="1110,143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">
                <v:shape id="Freeform 6" o:spid="_x0000_s1434" style="position:absolute;top:663;width:1110;height:771;visibility:visible;mso-wrap-style:square;v-text-anchor:top" coordsize="3331,2313"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uSTfxQAA&#10;ANwAAAAPAAAAZHJzL2Rvd25yZXYueG1sRI9PawIxFMTvhX6H8ITeatYVrK5GKYLQQy/+AfH23Lzu&#10;xm5eliTq1k9vhILHYWZ+w8wWnW3EhXwwjhUM+hkI4tJpw5WC3Xb1PgYRIrLGxjEp+KMAi/nrywwL&#10;7a68pssmViJBOBSooI6xLaQMZU0WQ9+1xMn7cd5iTNJXUnu8JrhtZJ5lI2nRcFqosaVlTeXv5mwV&#10;fNzM6ZQf/Wr4PdnvTIeH4dYflHrrdZ9TEJG6+Az/t7+0gtE4h8eZdATk/A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65JN/FAAAA3AAAAA8AAAAAAAAAAAAAAAAAlwIAAGRycy9k&#10;b3ducmV2LnhtbFBLBQYAAAAABAAEAPUAAACJAwAAAAA=&#10;" adj="-11796480,,5400" path="m1666,187l1645,191,1627,200,1495,296,1481,310,1472,330,1469,351,1503,1638,1505,1654,1511,1669,1607,1848,1619,1862,1632,1873,1648,1881,1666,1882,1684,1881,1699,1873,1714,1862,1725,1848,1821,1669,1827,1654,1829,1638,1862,351,1860,330,1850,310,1836,296,1705,200,1686,191,1666,187xm1482,0l1506,1,1529,9,1548,23,1567,43,1588,65,1608,89,1628,109,1646,125,1666,134,1686,125,1705,109,1725,89,1743,68,1764,43,1784,23,1804,9,1827,1,1850,,1960,11,2065,24,2167,41,2265,62,2358,88,2446,115,2530,146,2609,180,2682,217,2751,257,2813,300,2869,345,2919,392,2963,443,2999,496,3001,500,3007,510,3016,528,3028,549,3043,577,3058,610,3076,647,3096,689,3115,736,3137,785,3158,839,3179,896,3201,956,3221,1018,3241,1083,3261,1151,3278,1220,3293,1290,3306,1363,3318,1436,3326,1508,3330,1583,3331,1657,3329,1730,3323,1804,3311,1877,3296,1949,3276,2019,3249,2086,3217,2153,3179,2218,3135,2280,3121,2294,3103,2304,3085,2310,3065,2313,268,2313,248,2310,229,2304,212,2293,197,2280,152,2216,114,2151,82,2082,56,2013,34,1942,19,1869,8,1795,1,1721,,1648,,1642,1,1571,7,1495,16,1421,28,1347,41,1275,57,1204,76,1133,94,1066,115,1001,136,939,159,879,180,822,201,769,223,720,244,675,262,635,279,599,295,567,309,542,319,522,326,508,331,501,368,447,412,396,462,347,518,302,581,259,649,219,723,180,803,146,886,115,975,88,1068,62,1166,41,1268,24,1374,9,1482,0xe" filled="f" strokecolor="white" strokeweight="0">
                  <v:stroke joinstyle="round"/>
                  <v:formulas/>
                  <v:path arrowok="t" o:connecttype="custom" o:connectlocs="542,67;491,110;502,551;540,621;555,627;571,621;609,551;620,110;568,67;494,0;516,8;536,30;555,45;575,30;594,8;616,0;722,14;815,38;894,72;956,115;999,165;1005,176;1019,203;1038,245;1059,299;1080,361;1097,430;1108,503;1109,577;1098,650;1072,718;1040,765;1021,771;76,768;51,739;19,671;3,598;0,547;5,474;19,401;38,334;60,274;81,225;98,189;109,169;137,132;194,86;268,49;356,21;458,3" o:connectangles="0,0,0,0,0,0,0,0,0,0,0,0,0,0,0,0,0,0,0,0,0,0,0,0,0,0,0,0,0,0,0,0,0,0,0,0,0,0,0,0,0,0,0,0,0,0,0,0,0,0" textboxrect="0,0,3331,2313"/>
                  <o:lock v:ext="edit" verticies="t"/>
                  <v:textbox>
                    <w:txbxContent>
                      <w:p w14:paraId="59865154" w14:textId="77777777" w:rsidR="001501D6" w:rsidRDefault="001501D6" w:rsidP="00740203">
                        <w:pPr>
                          <w:rPr>
                            <w:rFonts w:eastAsia="Times New Roman"/>
                          </w:rPr>
                        </w:pPr>
                      </w:p>
                    </w:txbxContent>
                  </v:textbox>
                </v:shape>
                <v:shape id="Freeform 7" o:spid="_x0000_s1435" style="position:absolute;left:237;width:626;height:626;visibility:visible;mso-wrap-style:square;v-text-anchor:top" coordsize="1877,1878"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akJaxAAA&#10;ANwAAAAPAAAAZHJzL2Rvd25yZXYueG1sRI/BasMwEETvgf6D2EIuoZFbgwluFGNCXHKtG0iPi7Wx&#10;3FgrY6mO8/dVodDjMDNvmG0x215MNPrOsYLndQKCuHG641bB6aN62oDwAVlj75gU3MlDsXtYbDHX&#10;7sbvNNWhFRHCPkcFJoQhl9I3hiz6tRuIo3dxo8UQ5dhKPeItwm0vX5IkkxY7jgsGB9obaq71t1Vw&#10;kOnKX1Ee3SfVF3N+67/KpFJq+TiXryACzeE//Nc+agXZJoXfM/EIyN0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GpCWsQAAADcAAAADwAAAAAAAAAAAAAAAACXAgAAZHJzL2Rv&#10;d25yZXYueG1sUEsFBgAAAAAEAAQA9QAAAIgDAAAAAA==&#10;" adj="-11796480,,5400" path="m939,0l939,,1024,4,1108,15,1188,34,1267,59,1341,91,1412,128,1480,172,1543,221,1603,275,1657,335,1706,399,1750,466,1787,538,1819,612,1844,690,1863,771,1875,853,1877,939,1875,1024,1863,1108,1844,1189,1819,1267,1787,1341,1750,1413,1706,1480,1657,1544,1603,1603,1543,1656,1480,1707,1412,1749,1341,1788,1267,1819,1188,1845,1108,1863,1024,1874,939,1878,855,1874,771,1863,690,1845,612,1819,538,1788,467,1749,399,1707,335,1656,276,1603,221,1544,172,1480,129,1413,92,1341,60,1267,35,1189,16,1108,4,1024,,939,4,853,16,771,35,690,60,612,92,538,129,466,172,399,221,335,276,275,335,221,399,172,467,128,538,91,612,59,690,34,771,15,855,4,939,0xe" filled="f" strokecolor="white" strokeweight="0">
                  <v:stroke joinstyle="round"/>
                  <v:formulas/>
                  <v:path arrowok="t" o:connecttype="custom" o:connectlocs="313,0;370,5;423,20;471,43;515,74;553,112;584,155;607,204;621,257;626,313;621,369;607,422;584,471;553,515;515,552;471,583;423,606;370,621;313,626;257,621;204,606;156,583;112,552;74,515;43,471;20,422;5,369;0,313;5,257;20,204;43,155;74,112;112,74;156,43;204,20;257,5;313,0" o:connectangles="0,0,0,0,0,0,0,0,0,0,0,0,0,0,0,0,0,0,0,0,0,0,0,0,0,0,0,0,0,0,0,0,0,0,0,0,0" textboxrect="0,0,1877,1878"/>
                  <v:textbox>
                    <w:txbxContent>
                      <w:p w14:paraId="1F2EE73B" w14:textId="77777777" w:rsidR="001501D6" w:rsidRDefault="001501D6" w:rsidP="00740203">
                        <w:pPr>
                          <w:rPr>
                            <w:rFonts w:eastAsia="Times New Roman"/>
                          </w:rPr>
                        </w:pPr>
                      </w:p>
                    </w:txbxContent>
                  </v:textbox>
                </v:shape>
              </v:group>
            </w:pict>
          </mc:Fallback>
        </mc:AlternateContent>
      </w:r>
      <w:r>
        <w:rPr>
          <w:noProof/>
          <w:lang w:eastAsia="fr-FR"/>
        </w:rPr>
        <mc:AlternateContent>
          <mc:Choice Requires="wps">
            <w:drawing>
              <wp:anchor distT="0" distB="0" distL="114300" distR="114300" simplePos="0" relativeHeight="252896256" behindDoc="0" locked="0" layoutInCell="1" allowOverlap="1" wp14:anchorId="5D06D519" wp14:editId="1CECE95D">
                <wp:simplePos x="0" y="0"/>
                <wp:positionH relativeFrom="column">
                  <wp:posOffset>2286000</wp:posOffset>
                </wp:positionH>
                <wp:positionV relativeFrom="paragraph">
                  <wp:posOffset>-698500</wp:posOffset>
                </wp:positionV>
                <wp:extent cx="1828800" cy="571500"/>
                <wp:effectExtent l="76200" t="76200" r="76200" b="63500"/>
                <wp:wrapNone/>
                <wp:docPr id="674" name="Flèche vers la gauche 674"/>
                <wp:cNvGraphicFramePr/>
                <a:graphic xmlns:a="http://schemas.openxmlformats.org/drawingml/2006/main">
                  <a:graphicData uri="http://schemas.microsoft.com/office/word/2010/wordprocessingShape">
                    <wps:wsp>
                      <wps:cNvSpPr/>
                      <wps:spPr>
                        <a:xfrm>
                          <a:off x="0" y="0"/>
                          <a:ext cx="1828800" cy="571500"/>
                        </a:xfrm>
                        <a:prstGeom prst="leftArrow">
                          <a:avLst/>
                        </a:prstGeom>
                        <a:solidFill>
                          <a:srgbClr val="7D801D"/>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748A241" w14:textId="52507032" w:rsidR="00573C95" w:rsidRPr="00B015A9" w:rsidRDefault="00573C95" w:rsidP="00740203">
                            <w:pPr>
                              <w:jc w:val="center"/>
                              <w:rPr>
                                <w:sz w:val="20"/>
                                <w:szCs w:val="20"/>
                              </w:rPr>
                            </w:pPr>
                            <w:r>
                              <w:rPr>
                                <w:sz w:val="20"/>
                                <w:szCs w:val="20"/>
                              </w:rPr>
                              <w:t>Achat des actions</w:t>
                            </w:r>
                            <w:r w:rsidRPr="00B015A9">
                              <w:rPr>
                                <w:sz w:val="20"/>
                                <w:szCs w:val="20"/>
                              </w:rPr>
                              <w:t xml:space="preserve"> empruntées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674" o:spid="_x0000_s1436" type="#_x0000_t66" style="position:absolute;margin-left:180pt;margin-top:-54.95pt;width:2in;height:45pt;z-index:2528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" adj="3375" fillcolor="#7d801d">
                <v:textbox>
                  <w:txbxContent>
                    <w:p w14:paraId="6748A241" w14:textId="52507032" w:rsidR="001501D6" w:rsidRPr="00B015A9" w:rsidRDefault="001501D6" w:rsidP="00740203">
                      <w:pPr>
                        <w:jc w:val="center"/>
                        <w:rPr>
                          <w:sz w:val="20"/>
                          <w:szCs w:val="20"/>
                        </w:rPr>
                      </w:pPr>
                      <w:r>
                        <w:rPr>
                          <w:sz w:val="20"/>
                          <w:szCs w:val="20"/>
                        </w:rPr>
                        <w:t>Achat des actions</w:t>
                      </w:r>
                      <w:r w:rsidRPr="00B015A9">
                        <w:rPr>
                          <w:sz w:val="20"/>
                          <w:szCs w:val="20"/>
                        </w:rPr>
                        <w:t xml:space="preserve"> empruntées</w:t>
                      </w:r>
                    </w:p>
                  </w:txbxContent>
                </v:textbox>
              </v:shape>
            </w:pict>
          </mc:Fallback>
        </mc:AlternateContent>
      </w:r>
    </w:p>
    <w:p w14:paraId="51178682" w14:textId="77777777" w:rsidR="000E4CC6" w:rsidRDefault="000E4CC6">
      <w:pPr>
        <w:rPr>
          <w:color w:val="FF6700" w:themeColor="accent3"/>
        </w:rPr>
      </w:pPr>
    </w:p>
    <w:p w14:paraId="7F1CD18D" w14:textId="77777777" w:rsidR="00B91005" w:rsidRDefault="00B91005">
      <w:pPr>
        <w:rPr>
          <w:color w:val="FF6700" w:themeColor="accent3"/>
        </w:rPr>
      </w:pPr>
    </w:p>
    <w:p w14:paraId="0FA005BD" w14:textId="77777777" w:rsidR="00B91005" w:rsidRDefault="00B91005">
      <w:pPr>
        <w:rPr>
          <w:color w:val="FF6700" w:themeColor="accent3"/>
        </w:rPr>
      </w:pPr>
    </w:p>
    <w:p w14:paraId="0908CC5A" w14:textId="77777777" w:rsidR="00B91005" w:rsidRDefault="00B91005">
      <w:pPr>
        <w:rPr>
          <w:color w:val="FF6700" w:themeColor="accent3"/>
        </w:rPr>
      </w:pPr>
    </w:p>
    <w:p w14:paraId="31943E03" w14:textId="7E40EA3F" w:rsidR="00B91005" w:rsidRDefault="00B91005">
      <w:pPr>
        <w:rPr>
          <w:color w:val="FF6700" w:themeColor="accent3"/>
        </w:rPr>
      </w:pPr>
      <w:r>
        <w:rPr>
          <w:noProof/>
          <w:lang w:eastAsia="fr-FR"/>
        </w:rPr>
        <mc:AlternateContent>
          <mc:Choice Requires="wps">
            <w:drawing>
              <wp:anchor distT="0" distB="0" distL="114300" distR="114300" simplePos="0" relativeHeight="252914688" behindDoc="0" locked="0" layoutInCell="1" allowOverlap="1" wp14:anchorId="1327D433" wp14:editId="5112D7C7">
                <wp:simplePos x="0" y="0"/>
                <wp:positionH relativeFrom="column">
                  <wp:posOffset>6629400</wp:posOffset>
                </wp:positionH>
                <wp:positionV relativeFrom="paragraph">
                  <wp:posOffset>147320</wp:posOffset>
                </wp:positionV>
                <wp:extent cx="1485900" cy="914400"/>
                <wp:effectExtent l="0" t="0" r="0" b="0"/>
                <wp:wrapSquare wrapText="bothSides"/>
                <wp:docPr id="710" name="Zone de texte 710"/>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0278C9" w14:textId="36F385B6" w:rsidR="00573C95" w:rsidRDefault="00573C95" w:rsidP="000E4CC6">
                            <w:pPr>
                              <w:jc w:val="center"/>
                            </w:pPr>
                            <w:r>
                              <w:t>Date du remboursement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10" o:spid="_x0000_s1437" type="#_x0000_t202" style="position:absolute;margin-left:522pt;margin-top:11.6pt;width:117pt;height:1in;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" filled="f" stroked="f">
                <v:textbox>
                  <w:txbxContent>
                    <w:p w14:paraId="5F0278C9" w14:textId="36F385B6" w:rsidR="001501D6" w:rsidRDefault="001501D6" w:rsidP="000E4CC6">
                      <w:pPr>
                        <w:jc w:val="center"/>
                      </w:pPr>
                      <w:r>
                        <w:t>Date du remboursement</w:t>
                      </w:r>
                    </w:p>
                  </w:txbxContent>
                </v:textbox>
                <w10:wrap type="square"/>
              </v:shape>
            </w:pict>
          </mc:Fallback>
        </mc:AlternateContent>
      </w:r>
    </w:p>
    <w:p w14:paraId="0E90071D" w14:textId="51F7BE38" w:rsidR="000E4CC6" w:rsidRDefault="004308CC">
      <w:pPr>
        <w:rPr>
          <w:color w:val="FF6700" w:themeColor="accent3"/>
        </w:rPr>
      </w:pPr>
      <w:r>
        <w:rPr>
          <w:noProof/>
          <w:lang w:eastAsia="fr-FR"/>
        </w:rPr>
        <mc:AlternateContent>
          <mc:Choice Requires="wps">
            <w:drawing>
              <wp:anchor distT="0" distB="0" distL="114300" distR="114300" simplePos="0" relativeHeight="252907520" behindDoc="0" locked="0" layoutInCell="1" allowOverlap="1" wp14:anchorId="09F910E5" wp14:editId="1A87E00B">
                <wp:simplePos x="0" y="0"/>
                <wp:positionH relativeFrom="column">
                  <wp:posOffset>-571500</wp:posOffset>
                </wp:positionH>
                <wp:positionV relativeFrom="paragraph">
                  <wp:posOffset>718185</wp:posOffset>
                </wp:positionV>
                <wp:extent cx="457200" cy="457200"/>
                <wp:effectExtent l="0" t="0" r="25400" b="25400"/>
                <wp:wrapNone/>
                <wp:docPr id="703" name="Ellipse 703"/>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DB014A7" w14:textId="224AD67D" w:rsidR="00573C95" w:rsidRPr="00BF5FC4" w:rsidRDefault="00573C95" w:rsidP="000E4CC6">
                            <w:pPr>
                              <w:jc w:val="center"/>
                              <w:rPr>
                                <w:color w:val="FFFFFF" w:themeColor="background1"/>
                              </w:rPr>
                            </w:pPr>
                            <w:r>
                              <w:rPr>
                                <w:color w:val="FFFFFF" w:themeColor="background1"/>
                              </w:rPr>
                              <w:t>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03" o:spid="_x0000_s1438" style="position:absolute;margin-left:-44.95pt;margin-top:56.55pt;width:36pt;height:36pt;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" fillcolor="black [3200]" strokecolor="white [3201]" strokeweight="1.75pt">
                <v:textbox>
                  <w:txbxContent>
                    <w:p w14:paraId="5DB014A7" w14:textId="224AD67D" w:rsidR="001501D6" w:rsidRPr="00BF5FC4" w:rsidRDefault="001501D6" w:rsidP="000E4CC6">
                      <w:pPr>
                        <w:jc w:val="center"/>
                        <w:rPr>
                          <w:color w:val="FFFFFF" w:themeColor="background1"/>
                        </w:rPr>
                      </w:pPr>
                      <w:r>
                        <w:rPr>
                          <w:color w:val="FFFFFF" w:themeColor="background1"/>
                        </w:rPr>
                        <w:t>4</w:t>
                      </w:r>
                      <w:r w:rsidRPr="00BF5FC4">
                        <w:rPr>
                          <w:color w:val="FFFFFF" w:themeColor="background1"/>
                        </w:rPr>
                        <w:t xml:space="preserve"> </w:t>
                      </w:r>
                    </w:p>
                  </w:txbxContent>
                </v:textbox>
              </v:oval>
            </w:pict>
          </mc:Fallback>
        </mc:AlternateContent>
      </w:r>
      <w:r w:rsidRPr="006C0266">
        <w:rPr>
          <w:noProof/>
          <w:lang w:eastAsia="fr-FR"/>
        </w:rPr>
        <mc:AlternateContent>
          <mc:Choice Requires="wpg">
            <w:drawing>
              <wp:anchor distT="0" distB="0" distL="114300" distR="114300" simplePos="0" relativeHeight="252916736" behindDoc="0" locked="0" layoutInCell="1" allowOverlap="1" wp14:anchorId="6A5F79D7" wp14:editId="6923B948">
                <wp:simplePos x="0" y="0"/>
                <wp:positionH relativeFrom="column">
                  <wp:posOffset>1600200</wp:posOffset>
                </wp:positionH>
                <wp:positionV relativeFrom="paragraph">
                  <wp:posOffset>760095</wp:posOffset>
                </wp:positionV>
                <wp:extent cx="457200" cy="467995"/>
                <wp:effectExtent l="0" t="0" r="25400" b="14605"/>
                <wp:wrapNone/>
                <wp:docPr id="711" name="Group 4"/>
                <wp:cNvGraphicFramePr/>
                <a:graphic xmlns:a="http://schemas.openxmlformats.org/drawingml/2006/main">
                  <a:graphicData uri="http://schemas.microsoft.com/office/word/2010/wordprocessingGroup">
                    <wpg:wgp>
                      <wpg:cNvGrpSpPr/>
                      <wpg:grpSpPr bwMode="auto">
                        <a:xfrm>
                          <a:off x="0" y="0"/>
                          <a:ext cx="457200" cy="467995"/>
                          <a:chOff x="0" y="0"/>
                          <a:chExt cx="1110" cy="1434"/>
                        </a:xfrm>
                        <a:solidFill>
                          <a:schemeClr val="accent3"/>
                        </a:solidFill>
                        <a:extLst>
                          <a:ext uri="{0CCBE362-F206-4b92-989A-16890622DB6E}">
                            <ma14:wrappingTextBoxFlag xmlns:ma14="http://schemas.microsoft.com/office/mac/drawingml/2011/main"/>
                          </a:ext>
                        </a:extLst>
                      </wpg:grpSpPr>
                      <wps:wsp>
                        <wps:cNvPr id="712" name="Freeform 6"/>
                        <wps:cNvSpPr>
                          <a:spLocks noEditPoints="1"/>
                        </wps:cNvSpPr>
                        <wps:spPr bwMode="auto">
                          <a:xfrm>
                            <a:off x="0" y="663"/>
                            <a:ext cx="1110" cy="771"/>
                          </a:xfrm>
                          <a:custGeom>
                            <a:avLst/>
                            <a:gdLst>
                              <a:gd name="T0" fmla="*/ 1627 w 3331"/>
                              <a:gd name="T1" fmla="*/ 200 h 2313"/>
                              <a:gd name="T2" fmla="*/ 1472 w 3331"/>
                              <a:gd name="T3" fmla="*/ 330 h 2313"/>
                              <a:gd name="T4" fmla="*/ 1505 w 3331"/>
                              <a:gd name="T5" fmla="*/ 1654 h 2313"/>
                              <a:gd name="T6" fmla="*/ 1619 w 3331"/>
                              <a:gd name="T7" fmla="*/ 1862 h 2313"/>
                              <a:gd name="T8" fmla="*/ 1666 w 3331"/>
                              <a:gd name="T9" fmla="*/ 1882 h 2313"/>
                              <a:gd name="T10" fmla="*/ 1714 w 3331"/>
                              <a:gd name="T11" fmla="*/ 1862 h 2313"/>
                              <a:gd name="T12" fmla="*/ 1827 w 3331"/>
                              <a:gd name="T13" fmla="*/ 1654 h 2313"/>
                              <a:gd name="T14" fmla="*/ 1860 w 3331"/>
                              <a:gd name="T15" fmla="*/ 330 h 2313"/>
                              <a:gd name="T16" fmla="*/ 1705 w 3331"/>
                              <a:gd name="T17" fmla="*/ 200 h 2313"/>
                              <a:gd name="T18" fmla="*/ 1482 w 3331"/>
                              <a:gd name="T19" fmla="*/ 0 h 2313"/>
                              <a:gd name="T20" fmla="*/ 1548 w 3331"/>
                              <a:gd name="T21" fmla="*/ 23 h 2313"/>
                              <a:gd name="T22" fmla="*/ 1608 w 3331"/>
                              <a:gd name="T23" fmla="*/ 89 h 2313"/>
                              <a:gd name="T24" fmla="*/ 1666 w 3331"/>
                              <a:gd name="T25" fmla="*/ 134 h 2313"/>
                              <a:gd name="T26" fmla="*/ 1725 w 3331"/>
                              <a:gd name="T27" fmla="*/ 89 h 2313"/>
                              <a:gd name="T28" fmla="*/ 1784 w 3331"/>
                              <a:gd name="T29" fmla="*/ 23 h 2313"/>
                              <a:gd name="T30" fmla="*/ 1850 w 3331"/>
                              <a:gd name="T31" fmla="*/ 0 h 2313"/>
                              <a:gd name="T32" fmla="*/ 2167 w 3331"/>
                              <a:gd name="T33" fmla="*/ 41 h 2313"/>
                              <a:gd name="T34" fmla="*/ 2446 w 3331"/>
                              <a:gd name="T35" fmla="*/ 115 h 2313"/>
                              <a:gd name="T36" fmla="*/ 2682 w 3331"/>
                              <a:gd name="T37" fmla="*/ 217 h 2313"/>
                              <a:gd name="T38" fmla="*/ 2869 w 3331"/>
                              <a:gd name="T39" fmla="*/ 345 h 2313"/>
                              <a:gd name="T40" fmla="*/ 2999 w 3331"/>
                              <a:gd name="T41" fmla="*/ 496 h 2313"/>
                              <a:gd name="T42" fmla="*/ 3016 w 3331"/>
                              <a:gd name="T43" fmla="*/ 528 h 2313"/>
                              <a:gd name="T44" fmla="*/ 3058 w 3331"/>
                              <a:gd name="T45" fmla="*/ 610 h 2313"/>
                              <a:gd name="T46" fmla="*/ 3115 w 3331"/>
                              <a:gd name="T47" fmla="*/ 736 h 2313"/>
                              <a:gd name="T48" fmla="*/ 3179 w 3331"/>
                              <a:gd name="T49" fmla="*/ 896 h 2313"/>
                              <a:gd name="T50" fmla="*/ 3241 w 3331"/>
                              <a:gd name="T51" fmla="*/ 1083 h 2313"/>
                              <a:gd name="T52" fmla="*/ 3293 w 3331"/>
                              <a:gd name="T53" fmla="*/ 1290 h 2313"/>
                              <a:gd name="T54" fmla="*/ 3326 w 3331"/>
                              <a:gd name="T55" fmla="*/ 1508 h 2313"/>
                              <a:gd name="T56" fmla="*/ 3329 w 3331"/>
                              <a:gd name="T57" fmla="*/ 1730 h 2313"/>
                              <a:gd name="T58" fmla="*/ 3296 w 3331"/>
                              <a:gd name="T59" fmla="*/ 1949 h 2313"/>
                              <a:gd name="T60" fmla="*/ 3217 w 3331"/>
                              <a:gd name="T61" fmla="*/ 2153 h 2313"/>
                              <a:gd name="T62" fmla="*/ 3121 w 3331"/>
                              <a:gd name="T63" fmla="*/ 2294 h 2313"/>
                              <a:gd name="T64" fmla="*/ 3065 w 3331"/>
                              <a:gd name="T65" fmla="*/ 2313 h 2313"/>
                              <a:gd name="T66" fmla="*/ 229 w 3331"/>
                              <a:gd name="T67" fmla="*/ 2304 h 2313"/>
                              <a:gd name="T68" fmla="*/ 152 w 3331"/>
                              <a:gd name="T69" fmla="*/ 2216 h 2313"/>
                              <a:gd name="T70" fmla="*/ 56 w 3331"/>
                              <a:gd name="T71" fmla="*/ 2013 h 2313"/>
                              <a:gd name="T72" fmla="*/ 8 w 3331"/>
                              <a:gd name="T73" fmla="*/ 1795 h 2313"/>
                              <a:gd name="T74" fmla="*/ 0 w 3331"/>
                              <a:gd name="T75" fmla="*/ 1642 h 2313"/>
                              <a:gd name="T76" fmla="*/ 16 w 3331"/>
                              <a:gd name="T77" fmla="*/ 1421 h 2313"/>
                              <a:gd name="T78" fmla="*/ 57 w 3331"/>
                              <a:gd name="T79" fmla="*/ 1204 h 2313"/>
                              <a:gd name="T80" fmla="*/ 115 w 3331"/>
                              <a:gd name="T81" fmla="*/ 1001 h 2313"/>
                              <a:gd name="T82" fmla="*/ 180 w 3331"/>
                              <a:gd name="T83" fmla="*/ 822 h 2313"/>
                              <a:gd name="T84" fmla="*/ 244 w 3331"/>
                              <a:gd name="T85" fmla="*/ 675 h 2313"/>
                              <a:gd name="T86" fmla="*/ 295 w 3331"/>
                              <a:gd name="T87" fmla="*/ 567 h 2313"/>
                              <a:gd name="T88" fmla="*/ 326 w 3331"/>
                              <a:gd name="T89" fmla="*/ 508 h 2313"/>
                              <a:gd name="T90" fmla="*/ 412 w 3331"/>
                              <a:gd name="T91" fmla="*/ 396 h 2313"/>
                              <a:gd name="T92" fmla="*/ 581 w 3331"/>
                              <a:gd name="T93" fmla="*/ 259 h 2313"/>
                              <a:gd name="T94" fmla="*/ 803 w 3331"/>
                              <a:gd name="T95" fmla="*/ 146 h 2313"/>
                              <a:gd name="T96" fmla="*/ 1068 w 3331"/>
                              <a:gd name="T97" fmla="*/ 62 h 2313"/>
                              <a:gd name="T98" fmla="*/ 1374 w 3331"/>
                              <a:gd name="T99" fmla="*/ 9 h 2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31" h="2313">
                                <a:moveTo>
                                  <a:pt x="1666" y="187"/>
                                </a:moveTo>
                                <a:lnTo>
                                  <a:pt x="1645" y="191"/>
                                </a:lnTo>
                                <a:lnTo>
                                  <a:pt x="1627" y="200"/>
                                </a:lnTo>
                                <a:lnTo>
                                  <a:pt x="1495" y="296"/>
                                </a:lnTo>
                                <a:lnTo>
                                  <a:pt x="1481" y="310"/>
                                </a:lnTo>
                                <a:lnTo>
                                  <a:pt x="1472" y="330"/>
                                </a:lnTo>
                                <a:lnTo>
                                  <a:pt x="1469" y="351"/>
                                </a:lnTo>
                                <a:lnTo>
                                  <a:pt x="1503" y="1638"/>
                                </a:lnTo>
                                <a:lnTo>
                                  <a:pt x="1505" y="1654"/>
                                </a:lnTo>
                                <a:lnTo>
                                  <a:pt x="1511" y="1669"/>
                                </a:lnTo>
                                <a:lnTo>
                                  <a:pt x="1607" y="1848"/>
                                </a:lnTo>
                                <a:lnTo>
                                  <a:pt x="1619" y="1862"/>
                                </a:lnTo>
                                <a:lnTo>
                                  <a:pt x="1632" y="1873"/>
                                </a:lnTo>
                                <a:lnTo>
                                  <a:pt x="1648" y="1881"/>
                                </a:lnTo>
                                <a:lnTo>
                                  <a:pt x="1666" y="1882"/>
                                </a:lnTo>
                                <a:lnTo>
                                  <a:pt x="1684" y="1881"/>
                                </a:lnTo>
                                <a:lnTo>
                                  <a:pt x="1699" y="1873"/>
                                </a:lnTo>
                                <a:lnTo>
                                  <a:pt x="1714" y="1862"/>
                                </a:lnTo>
                                <a:lnTo>
                                  <a:pt x="1725" y="1848"/>
                                </a:lnTo>
                                <a:lnTo>
                                  <a:pt x="1821" y="1669"/>
                                </a:lnTo>
                                <a:lnTo>
                                  <a:pt x="1827" y="1654"/>
                                </a:lnTo>
                                <a:lnTo>
                                  <a:pt x="1829" y="1638"/>
                                </a:lnTo>
                                <a:lnTo>
                                  <a:pt x="1862" y="351"/>
                                </a:lnTo>
                                <a:lnTo>
                                  <a:pt x="1860" y="330"/>
                                </a:lnTo>
                                <a:lnTo>
                                  <a:pt x="1850" y="310"/>
                                </a:lnTo>
                                <a:lnTo>
                                  <a:pt x="1836" y="296"/>
                                </a:lnTo>
                                <a:lnTo>
                                  <a:pt x="1705" y="200"/>
                                </a:lnTo>
                                <a:lnTo>
                                  <a:pt x="1686" y="191"/>
                                </a:lnTo>
                                <a:lnTo>
                                  <a:pt x="1666" y="187"/>
                                </a:lnTo>
                                <a:close/>
                                <a:moveTo>
                                  <a:pt x="1482" y="0"/>
                                </a:moveTo>
                                <a:lnTo>
                                  <a:pt x="1506" y="1"/>
                                </a:lnTo>
                                <a:lnTo>
                                  <a:pt x="1529" y="9"/>
                                </a:lnTo>
                                <a:lnTo>
                                  <a:pt x="1548" y="23"/>
                                </a:lnTo>
                                <a:lnTo>
                                  <a:pt x="1567" y="43"/>
                                </a:lnTo>
                                <a:lnTo>
                                  <a:pt x="1588" y="65"/>
                                </a:lnTo>
                                <a:lnTo>
                                  <a:pt x="1608" y="89"/>
                                </a:lnTo>
                                <a:lnTo>
                                  <a:pt x="1628" y="109"/>
                                </a:lnTo>
                                <a:lnTo>
                                  <a:pt x="1646" y="125"/>
                                </a:lnTo>
                                <a:lnTo>
                                  <a:pt x="1666" y="134"/>
                                </a:lnTo>
                                <a:lnTo>
                                  <a:pt x="1686" y="125"/>
                                </a:lnTo>
                                <a:lnTo>
                                  <a:pt x="1705" y="109"/>
                                </a:lnTo>
                                <a:lnTo>
                                  <a:pt x="1725" y="89"/>
                                </a:lnTo>
                                <a:lnTo>
                                  <a:pt x="1743" y="68"/>
                                </a:lnTo>
                                <a:lnTo>
                                  <a:pt x="1764" y="43"/>
                                </a:lnTo>
                                <a:lnTo>
                                  <a:pt x="1784" y="23"/>
                                </a:lnTo>
                                <a:lnTo>
                                  <a:pt x="1804" y="9"/>
                                </a:lnTo>
                                <a:lnTo>
                                  <a:pt x="1827" y="1"/>
                                </a:lnTo>
                                <a:lnTo>
                                  <a:pt x="1850" y="0"/>
                                </a:lnTo>
                                <a:lnTo>
                                  <a:pt x="1960" y="11"/>
                                </a:lnTo>
                                <a:lnTo>
                                  <a:pt x="2065" y="24"/>
                                </a:lnTo>
                                <a:lnTo>
                                  <a:pt x="2167" y="41"/>
                                </a:lnTo>
                                <a:lnTo>
                                  <a:pt x="2265" y="62"/>
                                </a:lnTo>
                                <a:lnTo>
                                  <a:pt x="2358" y="88"/>
                                </a:lnTo>
                                <a:lnTo>
                                  <a:pt x="2446" y="115"/>
                                </a:lnTo>
                                <a:lnTo>
                                  <a:pt x="2530" y="146"/>
                                </a:lnTo>
                                <a:lnTo>
                                  <a:pt x="2609" y="180"/>
                                </a:lnTo>
                                <a:lnTo>
                                  <a:pt x="2682" y="217"/>
                                </a:lnTo>
                                <a:lnTo>
                                  <a:pt x="2751" y="257"/>
                                </a:lnTo>
                                <a:lnTo>
                                  <a:pt x="2813" y="300"/>
                                </a:lnTo>
                                <a:lnTo>
                                  <a:pt x="2869" y="345"/>
                                </a:lnTo>
                                <a:lnTo>
                                  <a:pt x="2919" y="392"/>
                                </a:lnTo>
                                <a:lnTo>
                                  <a:pt x="2963" y="443"/>
                                </a:lnTo>
                                <a:lnTo>
                                  <a:pt x="2999" y="496"/>
                                </a:lnTo>
                                <a:lnTo>
                                  <a:pt x="3001" y="500"/>
                                </a:lnTo>
                                <a:lnTo>
                                  <a:pt x="3007" y="510"/>
                                </a:lnTo>
                                <a:lnTo>
                                  <a:pt x="3016" y="528"/>
                                </a:lnTo>
                                <a:lnTo>
                                  <a:pt x="3028" y="549"/>
                                </a:lnTo>
                                <a:lnTo>
                                  <a:pt x="3043" y="577"/>
                                </a:lnTo>
                                <a:lnTo>
                                  <a:pt x="3058" y="610"/>
                                </a:lnTo>
                                <a:lnTo>
                                  <a:pt x="3076" y="647"/>
                                </a:lnTo>
                                <a:lnTo>
                                  <a:pt x="3096" y="689"/>
                                </a:lnTo>
                                <a:lnTo>
                                  <a:pt x="3115" y="736"/>
                                </a:lnTo>
                                <a:lnTo>
                                  <a:pt x="3137" y="785"/>
                                </a:lnTo>
                                <a:lnTo>
                                  <a:pt x="3158" y="839"/>
                                </a:lnTo>
                                <a:lnTo>
                                  <a:pt x="3179" y="896"/>
                                </a:lnTo>
                                <a:lnTo>
                                  <a:pt x="3201" y="956"/>
                                </a:lnTo>
                                <a:lnTo>
                                  <a:pt x="3221" y="1018"/>
                                </a:lnTo>
                                <a:lnTo>
                                  <a:pt x="3241" y="1083"/>
                                </a:lnTo>
                                <a:lnTo>
                                  <a:pt x="3261" y="1151"/>
                                </a:lnTo>
                                <a:lnTo>
                                  <a:pt x="3278" y="1220"/>
                                </a:lnTo>
                                <a:lnTo>
                                  <a:pt x="3293" y="1290"/>
                                </a:lnTo>
                                <a:lnTo>
                                  <a:pt x="3306" y="1363"/>
                                </a:lnTo>
                                <a:lnTo>
                                  <a:pt x="3318" y="1436"/>
                                </a:lnTo>
                                <a:lnTo>
                                  <a:pt x="3326" y="1508"/>
                                </a:lnTo>
                                <a:lnTo>
                                  <a:pt x="3330" y="1583"/>
                                </a:lnTo>
                                <a:lnTo>
                                  <a:pt x="3331" y="1657"/>
                                </a:lnTo>
                                <a:lnTo>
                                  <a:pt x="3329" y="1730"/>
                                </a:lnTo>
                                <a:lnTo>
                                  <a:pt x="3323" y="1804"/>
                                </a:lnTo>
                                <a:lnTo>
                                  <a:pt x="3311" y="1877"/>
                                </a:lnTo>
                                <a:lnTo>
                                  <a:pt x="3296" y="1949"/>
                                </a:lnTo>
                                <a:lnTo>
                                  <a:pt x="3276" y="2019"/>
                                </a:lnTo>
                                <a:lnTo>
                                  <a:pt x="3249" y="2086"/>
                                </a:lnTo>
                                <a:lnTo>
                                  <a:pt x="3217" y="2153"/>
                                </a:lnTo>
                                <a:lnTo>
                                  <a:pt x="3179" y="2218"/>
                                </a:lnTo>
                                <a:lnTo>
                                  <a:pt x="3135" y="2280"/>
                                </a:lnTo>
                                <a:lnTo>
                                  <a:pt x="3121" y="2294"/>
                                </a:lnTo>
                                <a:lnTo>
                                  <a:pt x="3103" y="2304"/>
                                </a:lnTo>
                                <a:lnTo>
                                  <a:pt x="3085" y="2310"/>
                                </a:lnTo>
                                <a:lnTo>
                                  <a:pt x="3065" y="2313"/>
                                </a:lnTo>
                                <a:lnTo>
                                  <a:pt x="268" y="2313"/>
                                </a:lnTo>
                                <a:lnTo>
                                  <a:pt x="248" y="2310"/>
                                </a:lnTo>
                                <a:lnTo>
                                  <a:pt x="229" y="2304"/>
                                </a:lnTo>
                                <a:lnTo>
                                  <a:pt x="212" y="2293"/>
                                </a:lnTo>
                                <a:lnTo>
                                  <a:pt x="197" y="2280"/>
                                </a:lnTo>
                                <a:lnTo>
                                  <a:pt x="152" y="2216"/>
                                </a:lnTo>
                                <a:lnTo>
                                  <a:pt x="114" y="2151"/>
                                </a:lnTo>
                                <a:lnTo>
                                  <a:pt x="82" y="2082"/>
                                </a:lnTo>
                                <a:lnTo>
                                  <a:pt x="56" y="2013"/>
                                </a:lnTo>
                                <a:lnTo>
                                  <a:pt x="34" y="1942"/>
                                </a:lnTo>
                                <a:lnTo>
                                  <a:pt x="19" y="1869"/>
                                </a:lnTo>
                                <a:lnTo>
                                  <a:pt x="8" y="1795"/>
                                </a:lnTo>
                                <a:lnTo>
                                  <a:pt x="1" y="1721"/>
                                </a:lnTo>
                                <a:lnTo>
                                  <a:pt x="0" y="1648"/>
                                </a:lnTo>
                                <a:lnTo>
                                  <a:pt x="0" y="1642"/>
                                </a:lnTo>
                                <a:lnTo>
                                  <a:pt x="1" y="1571"/>
                                </a:lnTo>
                                <a:lnTo>
                                  <a:pt x="7" y="1495"/>
                                </a:lnTo>
                                <a:lnTo>
                                  <a:pt x="16" y="1421"/>
                                </a:lnTo>
                                <a:lnTo>
                                  <a:pt x="28" y="1347"/>
                                </a:lnTo>
                                <a:lnTo>
                                  <a:pt x="41" y="1275"/>
                                </a:lnTo>
                                <a:lnTo>
                                  <a:pt x="57" y="1204"/>
                                </a:lnTo>
                                <a:lnTo>
                                  <a:pt x="76" y="1133"/>
                                </a:lnTo>
                                <a:lnTo>
                                  <a:pt x="94" y="1066"/>
                                </a:lnTo>
                                <a:lnTo>
                                  <a:pt x="115" y="1001"/>
                                </a:lnTo>
                                <a:lnTo>
                                  <a:pt x="136" y="939"/>
                                </a:lnTo>
                                <a:lnTo>
                                  <a:pt x="159" y="879"/>
                                </a:lnTo>
                                <a:lnTo>
                                  <a:pt x="180" y="822"/>
                                </a:lnTo>
                                <a:lnTo>
                                  <a:pt x="201" y="769"/>
                                </a:lnTo>
                                <a:lnTo>
                                  <a:pt x="223" y="720"/>
                                </a:lnTo>
                                <a:lnTo>
                                  <a:pt x="244" y="675"/>
                                </a:lnTo>
                                <a:lnTo>
                                  <a:pt x="262" y="635"/>
                                </a:lnTo>
                                <a:lnTo>
                                  <a:pt x="279" y="599"/>
                                </a:lnTo>
                                <a:lnTo>
                                  <a:pt x="295" y="567"/>
                                </a:lnTo>
                                <a:lnTo>
                                  <a:pt x="309" y="542"/>
                                </a:lnTo>
                                <a:lnTo>
                                  <a:pt x="319" y="522"/>
                                </a:lnTo>
                                <a:lnTo>
                                  <a:pt x="326" y="508"/>
                                </a:lnTo>
                                <a:lnTo>
                                  <a:pt x="331" y="501"/>
                                </a:lnTo>
                                <a:lnTo>
                                  <a:pt x="368" y="447"/>
                                </a:lnTo>
                                <a:lnTo>
                                  <a:pt x="412" y="396"/>
                                </a:lnTo>
                                <a:lnTo>
                                  <a:pt x="462" y="347"/>
                                </a:lnTo>
                                <a:lnTo>
                                  <a:pt x="518" y="302"/>
                                </a:lnTo>
                                <a:lnTo>
                                  <a:pt x="581" y="259"/>
                                </a:lnTo>
                                <a:lnTo>
                                  <a:pt x="649" y="219"/>
                                </a:lnTo>
                                <a:lnTo>
                                  <a:pt x="723" y="180"/>
                                </a:lnTo>
                                <a:lnTo>
                                  <a:pt x="803" y="146"/>
                                </a:lnTo>
                                <a:lnTo>
                                  <a:pt x="886" y="115"/>
                                </a:lnTo>
                                <a:lnTo>
                                  <a:pt x="975" y="88"/>
                                </a:lnTo>
                                <a:lnTo>
                                  <a:pt x="1068" y="62"/>
                                </a:lnTo>
                                <a:lnTo>
                                  <a:pt x="1166" y="41"/>
                                </a:lnTo>
                                <a:lnTo>
                                  <a:pt x="1268" y="24"/>
                                </a:lnTo>
                                <a:lnTo>
                                  <a:pt x="1374" y="9"/>
                                </a:lnTo>
                                <a:lnTo>
                                  <a:pt x="1482" y="0"/>
                                </a:lnTo>
                                <a:close/>
                              </a:path>
                            </a:pathLst>
                          </a:custGeom>
                          <a:grpFill/>
                          <a:ln w="0">
                            <a:solidFill>
                              <a:srgbClr val="FFFFFF"/>
                            </a:solidFill>
                            <a:prstDash val="solid"/>
                            <a:round/>
                            <a:headEnd/>
                            <a:tailEnd/>
                          </a:ln>
                        </wps:spPr>
                        <wps:txbx>
                          <w:txbxContent>
                            <w:p w14:paraId="38213737" w14:textId="77777777" w:rsidR="00573C95" w:rsidRDefault="00573C95" w:rsidP="00B91005">
                              <w:pPr>
                                <w:rPr>
                                  <w:rFonts w:eastAsia="Times New Roman"/>
                                </w:rPr>
                              </w:pPr>
                            </w:p>
                          </w:txbxContent>
                        </wps:txbx>
                        <wps:bodyPr vert="horz" wrap="square" lIns="91440" tIns="45720" rIns="91440" bIns="45720" numCol="1" anchor="t" anchorCtr="0" compatLnSpc="1">
                          <a:prstTxWarp prst="textNoShape">
                            <a:avLst/>
                          </a:prstTxWarp>
                        </wps:bodyPr>
                      </wps:wsp>
                      <wps:wsp>
                        <wps:cNvPr id="713" name="Freeform 7"/>
                        <wps:cNvSpPr>
                          <a:spLocks/>
                        </wps:cNvSpPr>
                        <wps:spPr bwMode="auto">
                          <a:xfrm>
                            <a:off x="237" y="0"/>
                            <a:ext cx="626" cy="626"/>
                          </a:xfrm>
                          <a:custGeom>
                            <a:avLst/>
                            <a:gdLst>
                              <a:gd name="T0" fmla="*/ 939 w 1877"/>
                              <a:gd name="T1" fmla="*/ 0 h 1878"/>
                              <a:gd name="T2" fmla="*/ 1108 w 1877"/>
                              <a:gd name="T3" fmla="*/ 15 h 1878"/>
                              <a:gd name="T4" fmla="*/ 1267 w 1877"/>
                              <a:gd name="T5" fmla="*/ 59 h 1878"/>
                              <a:gd name="T6" fmla="*/ 1412 w 1877"/>
                              <a:gd name="T7" fmla="*/ 128 h 1878"/>
                              <a:gd name="T8" fmla="*/ 1543 w 1877"/>
                              <a:gd name="T9" fmla="*/ 221 h 1878"/>
                              <a:gd name="T10" fmla="*/ 1657 w 1877"/>
                              <a:gd name="T11" fmla="*/ 335 h 1878"/>
                              <a:gd name="T12" fmla="*/ 1750 w 1877"/>
                              <a:gd name="T13" fmla="*/ 466 h 1878"/>
                              <a:gd name="T14" fmla="*/ 1819 w 1877"/>
                              <a:gd name="T15" fmla="*/ 612 h 1878"/>
                              <a:gd name="T16" fmla="*/ 1863 w 1877"/>
                              <a:gd name="T17" fmla="*/ 771 h 1878"/>
                              <a:gd name="T18" fmla="*/ 1877 w 1877"/>
                              <a:gd name="T19" fmla="*/ 939 h 1878"/>
                              <a:gd name="T20" fmla="*/ 1863 w 1877"/>
                              <a:gd name="T21" fmla="*/ 1108 h 1878"/>
                              <a:gd name="T22" fmla="*/ 1819 w 1877"/>
                              <a:gd name="T23" fmla="*/ 1267 h 1878"/>
                              <a:gd name="T24" fmla="*/ 1750 w 1877"/>
                              <a:gd name="T25" fmla="*/ 1413 h 1878"/>
                              <a:gd name="T26" fmla="*/ 1657 w 1877"/>
                              <a:gd name="T27" fmla="*/ 1544 h 1878"/>
                              <a:gd name="T28" fmla="*/ 1543 w 1877"/>
                              <a:gd name="T29" fmla="*/ 1656 h 1878"/>
                              <a:gd name="T30" fmla="*/ 1412 w 1877"/>
                              <a:gd name="T31" fmla="*/ 1749 h 1878"/>
                              <a:gd name="T32" fmla="*/ 1267 w 1877"/>
                              <a:gd name="T33" fmla="*/ 1819 h 1878"/>
                              <a:gd name="T34" fmla="*/ 1108 w 1877"/>
                              <a:gd name="T35" fmla="*/ 1863 h 1878"/>
                              <a:gd name="T36" fmla="*/ 939 w 1877"/>
                              <a:gd name="T37" fmla="*/ 1878 h 1878"/>
                              <a:gd name="T38" fmla="*/ 771 w 1877"/>
                              <a:gd name="T39" fmla="*/ 1863 h 1878"/>
                              <a:gd name="T40" fmla="*/ 612 w 1877"/>
                              <a:gd name="T41" fmla="*/ 1819 h 1878"/>
                              <a:gd name="T42" fmla="*/ 467 w 1877"/>
                              <a:gd name="T43" fmla="*/ 1749 h 1878"/>
                              <a:gd name="T44" fmla="*/ 335 w 1877"/>
                              <a:gd name="T45" fmla="*/ 1656 h 1878"/>
                              <a:gd name="T46" fmla="*/ 221 w 1877"/>
                              <a:gd name="T47" fmla="*/ 1544 h 1878"/>
                              <a:gd name="T48" fmla="*/ 129 w 1877"/>
                              <a:gd name="T49" fmla="*/ 1413 h 1878"/>
                              <a:gd name="T50" fmla="*/ 60 w 1877"/>
                              <a:gd name="T51" fmla="*/ 1267 h 1878"/>
                              <a:gd name="T52" fmla="*/ 16 w 1877"/>
                              <a:gd name="T53" fmla="*/ 1108 h 1878"/>
                              <a:gd name="T54" fmla="*/ 0 w 1877"/>
                              <a:gd name="T55" fmla="*/ 939 h 1878"/>
                              <a:gd name="T56" fmla="*/ 16 w 1877"/>
                              <a:gd name="T57" fmla="*/ 771 h 1878"/>
                              <a:gd name="T58" fmla="*/ 60 w 1877"/>
                              <a:gd name="T59" fmla="*/ 612 h 1878"/>
                              <a:gd name="T60" fmla="*/ 129 w 1877"/>
                              <a:gd name="T61" fmla="*/ 466 h 1878"/>
                              <a:gd name="T62" fmla="*/ 221 w 1877"/>
                              <a:gd name="T63" fmla="*/ 335 h 1878"/>
                              <a:gd name="T64" fmla="*/ 335 w 1877"/>
                              <a:gd name="T65" fmla="*/ 221 h 1878"/>
                              <a:gd name="T66" fmla="*/ 467 w 1877"/>
                              <a:gd name="T67" fmla="*/ 128 h 1878"/>
                              <a:gd name="T68" fmla="*/ 612 w 1877"/>
                              <a:gd name="T69" fmla="*/ 59 h 1878"/>
                              <a:gd name="T70" fmla="*/ 771 w 1877"/>
                              <a:gd name="T71" fmla="*/ 15 h 1878"/>
                              <a:gd name="T72" fmla="*/ 939 w 1877"/>
                              <a:gd name="T73" fmla="*/ 0 h 18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77" h="1878">
                                <a:moveTo>
                                  <a:pt x="939" y="0"/>
                                </a:moveTo>
                                <a:lnTo>
                                  <a:pt x="939" y="0"/>
                                </a:lnTo>
                                <a:lnTo>
                                  <a:pt x="1024" y="4"/>
                                </a:lnTo>
                                <a:lnTo>
                                  <a:pt x="1108" y="15"/>
                                </a:lnTo>
                                <a:lnTo>
                                  <a:pt x="1188" y="34"/>
                                </a:lnTo>
                                <a:lnTo>
                                  <a:pt x="1267" y="59"/>
                                </a:lnTo>
                                <a:lnTo>
                                  <a:pt x="1341" y="91"/>
                                </a:lnTo>
                                <a:lnTo>
                                  <a:pt x="1412" y="128"/>
                                </a:lnTo>
                                <a:lnTo>
                                  <a:pt x="1480" y="172"/>
                                </a:lnTo>
                                <a:lnTo>
                                  <a:pt x="1543" y="221"/>
                                </a:lnTo>
                                <a:lnTo>
                                  <a:pt x="1603" y="275"/>
                                </a:lnTo>
                                <a:lnTo>
                                  <a:pt x="1657" y="335"/>
                                </a:lnTo>
                                <a:lnTo>
                                  <a:pt x="1706" y="399"/>
                                </a:lnTo>
                                <a:lnTo>
                                  <a:pt x="1750" y="466"/>
                                </a:lnTo>
                                <a:lnTo>
                                  <a:pt x="1787" y="538"/>
                                </a:lnTo>
                                <a:lnTo>
                                  <a:pt x="1819" y="612"/>
                                </a:lnTo>
                                <a:lnTo>
                                  <a:pt x="1844" y="690"/>
                                </a:lnTo>
                                <a:lnTo>
                                  <a:pt x="1863" y="771"/>
                                </a:lnTo>
                                <a:lnTo>
                                  <a:pt x="1875" y="853"/>
                                </a:lnTo>
                                <a:lnTo>
                                  <a:pt x="1877" y="939"/>
                                </a:lnTo>
                                <a:lnTo>
                                  <a:pt x="1875" y="1024"/>
                                </a:lnTo>
                                <a:lnTo>
                                  <a:pt x="1863" y="1108"/>
                                </a:lnTo>
                                <a:lnTo>
                                  <a:pt x="1844" y="1189"/>
                                </a:lnTo>
                                <a:lnTo>
                                  <a:pt x="1819" y="1267"/>
                                </a:lnTo>
                                <a:lnTo>
                                  <a:pt x="1787" y="1341"/>
                                </a:lnTo>
                                <a:lnTo>
                                  <a:pt x="1750" y="1413"/>
                                </a:lnTo>
                                <a:lnTo>
                                  <a:pt x="1706" y="1480"/>
                                </a:lnTo>
                                <a:lnTo>
                                  <a:pt x="1657" y="1544"/>
                                </a:lnTo>
                                <a:lnTo>
                                  <a:pt x="1603" y="1603"/>
                                </a:lnTo>
                                <a:lnTo>
                                  <a:pt x="1543" y="1656"/>
                                </a:lnTo>
                                <a:lnTo>
                                  <a:pt x="1480" y="1707"/>
                                </a:lnTo>
                                <a:lnTo>
                                  <a:pt x="1412" y="1749"/>
                                </a:lnTo>
                                <a:lnTo>
                                  <a:pt x="1341" y="1788"/>
                                </a:lnTo>
                                <a:lnTo>
                                  <a:pt x="1267" y="1819"/>
                                </a:lnTo>
                                <a:lnTo>
                                  <a:pt x="1188" y="1845"/>
                                </a:lnTo>
                                <a:lnTo>
                                  <a:pt x="1108" y="1863"/>
                                </a:lnTo>
                                <a:lnTo>
                                  <a:pt x="1024" y="1874"/>
                                </a:lnTo>
                                <a:lnTo>
                                  <a:pt x="939" y="1878"/>
                                </a:lnTo>
                                <a:lnTo>
                                  <a:pt x="855" y="1874"/>
                                </a:lnTo>
                                <a:lnTo>
                                  <a:pt x="771" y="1863"/>
                                </a:lnTo>
                                <a:lnTo>
                                  <a:pt x="690" y="1845"/>
                                </a:lnTo>
                                <a:lnTo>
                                  <a:pt x="612" y="1819"/>
                                </a:lnTo>
                                <a:lnTo>
                                  <a:pt x="538" y="1788"/>
                                </a:lnTo>
                                <a:lnTo>
                                  <a:pt x="467" y="1749"/>
                                </a:lnTo>
                                <a:lnTo>
                                  <a:pt x="399" y="1707"/>
                                </a:lnTo>
                                <a:lnTo>
                                  <a:pt x="335" y="1656"/>
                                </a:lnTo>
                                <a:lnTo>
                                  <a:pt x="276" y="1603"/>
                                </a:lnTo>
                                <a:lnTo>
                                  <a:pt x="221" y="1544"/>
                                </a:lnTo>
                                <a:lnTo>
                                  <a:pt x="172" y="1480"/>
                                </a:lnTo>
                                <a:lnTo>
                                  <a:pt x="129" y="1413"/>
                                </a:lnTo>
                                <a:lnTo>
                                  <a:pt x="92" y="1341"/>
                                </a:lnTo>
                                <a:lnTo>
                                  <a:pt x="60" y="1267"/>
                                </a:lnTo>
                                <a:lnTo>
                                  <a:pt x="35" y="1189"/>
                                </a:lnTo>
                                <a:lnTo>
                                  <a:pt x="16" y="1108"/>
                                </a:lnTo>
                                <a:lnTo>
                                  <a:pt x="4" y="1024"/>
                                </a:lnTo>
                                <a:lnTo>
                                  <a:pt x="0" y="939"/>
                                </a:lnTo>
                                <a:lnTo>
                                  <a:pt x="4" y="853"/>
                                </a:lnTo>
                                <a:lnTo>
                                  <a:pt x="16" y="771"/>
                                </a:lnTo>
                                <a:lnTo>
                                  <a:pt x="35" y="690"/>
                                </a:lnTo>
                                <a:lnTo>
                                  <a:pt x="60" y="612"/>
                                </a:lnTo>
                                <a:lnTo>
                                  <a:pt x="92" y="538"/>
                                </a:lnTo>
                                <a:lnTo>
                                  <a:pt x="129" y="466"/>
                                </a:lnTo>
                                <a:lnTo>
                                  <a:pt x="172" y="399"/>
                                </a:lnTo>
                                <a:lnTo>
                                  <a:pt x="221" y="335"/>
                                </a:lnTo>
                                <a:lnTo>
                                  <a:pt x="276" y="275"/>
                                </a:lnTo>
                                <a:lnTo>
                                  <a:pt x="335" y="221"/>
                                </a:lnTo>
                                <a:lnTo>
                                  <a:pt x="399" y="172"/>
                                </a:lnTo>
                                <a:lnTo>
                                  <a:pt x="467" y="128"/>
                                </a:lnTo>
                                <a:lnTo>
                                  <a:pt x="538" y="91"/>
                                </a:lnTo>
                                <a:lnTo>
                                  <a:pt x="612" y="59"/>
                                </a:lnTo>
                                <a:lnTo>
                                  <a:pt x="690" y="34"/>
                                </a:lnTo>
                                <a:lnTo>
                                  <a:pt x="771" y="15"/>
                                </a:lnTo>
                                <a:lnTo>
                                  <a:pt x="855" y="4"/>
                                </a:lnTo>
                                <a:lnTo>
                                  <a:pt x="939" y="0"/>
                                </a:lnTo>
                                <a:close/>
                              </a:path>
                            </a:pathLst>
                          </a:custGeom>
                          <a:grpFill/>
                          <a:ln w="0">
                            <a:solidFill>
                              <a:srgbClr val="FFFFFF"/>
                            </a:solidFill>
                            <a:prstDash val="solid"/>
                            <a:round/>
                            <a:headEnd/>
                            <a:tailEnd/>
                          </a:ln>
                        </wps:spPr>
                        <wps:txbx>
                          <w:txbxContent>
                            <w:p w14:paraId="6D50101F" w14:textId="77777777" w:rsidR="00573C95" w:rsidRDefault="00573C95" w:rsidP="00B91005">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id="_x0000_s1439" style="position:absolute;margin-left:126pt;margin-top:59.85pt;width:36pt;height:36.85pt;z-index:252916736" coordsize="1110,143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">
                <v:shape id="Freeform 6" o:spid="_x0000_s1440" style="position:absolute;top:663;width:1110;height:771;visibility:visible;mso-wrap-style:square;v-text-anchor:top" coordsize="3331,2313"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Ur7FxQAA&#10;ANwAAAAPAAAAZHJzL2Rvd25yZXYueG1sRI9PawIxFMTvBb9DeIK3mnUFbbdGEUHw4MU/ULy9bl53&#10;YzcvSxJ1209vBKHHYeY3w8wWnW3ElXwwjhWMhhkI4tJpw5WC42H9+gYiRGSNjWNS8EsBFvPeywwL&#10;7W68o+s+ViKVcChQQR1jW0gZyposhqFriZP37bzFmKSvpPZ4S+W2kXmWTaRFw2mhxpZWNZU/+4tV&#10;MP0z53P+5dfj7fvn0XR4Gh/8SalBv1t+gIjUxf/wk97oxI1yeJxJR0D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BSvsXFAAAA3AAAAA8AAAAAAAAAAAAAAAAAlwIAAGRycy9k&#10;b3ducmV2LnhtbFBLBQYAAAAABAAEAPUAAACJAwAAAAA=&#10;" adj="-11796480,,5400" path="m1666,187l1645,191,1627,200,1495,296,1481,310,1472,330,1469,351,1503,1638,1505,1654,1511,1669,1607,1848,1619,1862,1632,1873,1648,1881,1666,1882,1684,1881,1699,1873,1714,1862,1725,1848,1821,1669,1827,1654,1829,1638,1862,351,1860,330,1850,310,1836,296,1705,200,1686,191,1666,187xm1482,0l1506,1,1529,9,1548,23,1567,43,1588,65,1608,89,1628,109,1646,125,1666,134,1686,125,1705,109,1725,89,1743,68,1764,43,1784,23,1804,9,1827,1,1850,,1960,11,2065,24,2167,41,2265,62,2358,88,2446,115,2530,146,2609,180,2682,217,2751,257,2813,300,2869,345,2919,392,2963,443,2999,496,3001,500,3007,510,3016,528,3028,549,3043,577,3058,610,3076,647,3096,689,3115,736,3137,785,3158,839,3179,896,3201,956,3221,1018,3241,1083,3261,1151,3278,1220,3293,1290,3306,1363,3318,1436,3326,1508,3330,1583,3331,1657,3329,1730,3323,1804,3311,1877,3296,1949,3276,2019,3249,2086,3217,2153,3179,2218,3135,2280,3121,2294,3103,2304,3085,2310,3065,2313,268,2313,248,2310,229,2304,212,2293,197,2280,152,2216,114,2151,82,2082,56,2013,34,1942,19,1869,8,1795,1,1721,,1648,,1642,1,1571,7,1495,16,1421,28,1347,41,1275,57,1204,76,1133,94,1066,115,1001,136,939,159,879,180,822,201,769,223,720,244,675,262,635,279,599,295,567,309,542,319,522,326,508,331,501,368,447,412,396,462,347,518,302,581,259,649,219,723,180,803,146,886,115,975,88,1068,62,1166,41,1268,24,1374,9,1482,0xe" filled="f" strokecolor="white" strokeweight="0">
                  <v:stroke joinstyle="round"/>
                  <v:formulas/>
                  <v:path arrowok="t" o:connecttype="custom" o:connectlocs="542,67;491,110;502,551;540,621;555,627;571,621;609,551;620,110;568,67;494,0;516,8;536,30;555,45;575,30;594,8;616,0;722,14;815,38;894,72;956,115;999,165;1005,176;1019,203;1038,245;1059,299;1080,361;1097,430;1108,503;1109,577;1098,650;1072,718;1040,765;1021,771;76,768;51,739;19,671;3,598;0,547;5,474;19,401;38,334;60,274;81,225;98,189;109,169;137,132;194,86;268,49;356,21;458,3" o:connectangles="0,0,0,0,0,0,0,0,0,0,0,0,0,0,0,0,0,0,0,0,0,0,0,0,0,0,0,0,0,0,0,0,0,0,0,0,0,0,0,0,0,0,0,0,0,0,0,0,0,0" textboxrect="0,0,3331,2313"/>
                  <o:lock v:ext="edit" verticies="t"/>
                  <v:textbox>
                    <w:txbxContent>
                      <w:p w14:paraId="38213737" w14:textId="77777777" w:rsidR="001501D6" w:rsidRDefault="001501D6" w:rsidP="00B91005">
                        <w:pPr>
                          <w:rPr>
                            <w:rFonts w:eastAsia="Times New Roman"/>
                          </w:rPr>
                        </w:pPr>
                      </w:p>
                    </w:txbxContent>
                  </v:textbox>
                </v:shape>
                <v:shape id="Freeform 7" o:spid="_x0000_s1441" style="position:absolute;left:237;width:626;height:626;visibility:visible;mso-wrap-style:square;v-text-anchor:top" coordsize="1877,1878"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gdhAwQAA&#10;ANwAAAAPAAAAZHJzL2Rvd25yZXYueG1sRI9Bi8IwFITvgv8hvAUvoqkKu1KNIqLi1Sqsx0fzbLo2&#10;L6WJWv+9EYQ9DjPzDTNftrYSd2p86VjBaJiAIM6dLrlQcDpuB1MQPiBrrByTgid5WC66nTmm2j34&#10;QPcsFCJC2KeowIRQp1L63JBFP3Q1cfQurrEYomwKqRt8RLit5DhJvqXFkuOCwZrWhvJrdrMKNnLS&#10;91eUe3em7GJ+d9XfKtkq1ftqVzMQgdrwH/6091rBz2gC7zPxCMjF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HYQMEAAADcAAAADwAAAAAAAAAAAAAAAACXAgAAZHJzL2Rvd25y&#10;ZXYueG1sUEsFBgAAAAAEAAQA9QAAAIUDAAAAAA==&#10;" adj="-11796480,,5400" path="m939,0l939,,1024,4,1108,15,1188,34,1267,59,1341,91,1412,128,1480,172,1543,221,1603,275,1657,335,1706,399,1750,466,1787,538,1819,612,1844,690,1863,771,1875,853,1877,939,1875,1024,1863,1108,1844,1189,1819,1267,1787,1341,1750,1413,1706,1480,1657,1544,1603,1603,1543,1656,1480,1707,1412,1749,1341,1788,1267,1819,1188,1845,1108,1863,1024,1874,939,1878,855,1874,771,1863,690,1845,612,1819,538,1788,467,1749,399,1707,335,1656,276,1603,221,1544,172,1480,129,1413,92,1341,60,1267,35,1189,16,1108,4,1024,,939,4,853,16,771,35,690,60,612,92,538,129,466,172,399,221,335,276,275,335,221,399,172,467,128,538,91,612,59,690,34,771,15,855,4,939,0xe" filled="f" strokecolor="white" strokeweight="0">
                  <v:stroke joinstyle="round"/>
                  <v:formulas/>
                  <v:path arrowok="t" o:connecttype="custom" o:connectlocs="313,0;370,5;423,20;471,43;515,74;553,112;584,155;607,204;621,257;626,313;621,369;607,422;584,471;553,515;515,552;471,583;423,606;370,621;313,626;257,621;204,606;156,583;112,552;74,515;43,471;20,422;5,369;0,313;5,257;20,204;43,155;74,112;112,74;156,43;204,20;257,5;313,0" o:connectangles="0,0,0,0,0,0,0,0,0,0,0,0,0,0,0,0,0,0,0,0,0,0,0,0,0,0,0,0,0,0,0,0,0,0,0,0,0" textboxrect="0,0,1877,1878"/>
                  <v:textbox>
                    <w:txbxContent>
                      <w:p w14:paraId="6D50101F" w14:textId="77777777" w:rsidR="001501D6" w:rsidRDefault="001501D6" w:rsidP="00B91005">
                        <w:pPr>
                          <w:rPr>
                            <w:rFonts w:eastAsia="Times New Roman"/>
                          </w:rPr>
                        </w:pPr>
                      </w:p>
                    </w:txbxContent>
                  </v:textbox>
                </v:shape>
              </v:group>
            </w:pict>
          </mc:Fallback>
        </mc:AlternateContent>
      </w:r>
      <w:r w:rsidRPr="006D3797">
        <w:rPr>
          <w:rFonts w:cstheme="minorBidi"/>
          <w:noProof/>
          <w:lang w:eastAsia="fr-FR"/>
        </w:rPr>
        <mc:AlternateContent>
          <mc:Choice Requires="wpg">
            <w:drawing>
              <wp:anchor distT="0" distB="0" distL="114300" distR="114300" simplePos="0" relativeHeight="252906496" behindDoc="0" locked="0" layoutInCell="1" allowOverlap="1" wp14:anchorId="4FF98462" wp14:editId="625B71A5">
                <wp:simplePos x="0" y="0"/>
                <wp:positionH relativeFrom="column">
                  <wp:posOffset>4457700</wp:posOffset>
                </wp:positionH>
                <wp:positionV relativeFrom="paragraph">
                  <wp:posOffset>680085</wp:posOffset>
                </wp:positionV>
                <wp:extent cx="457200" cy="571500"/>
                <wp:effectExtent l="0" t="0" r="0" b="12700"/>
                <wp:wrapNone/>
                <wp:docPr id="699" name="Group 141"/>
                <wp:cNvGraphicFramePr/>
                <a:graphic xmlns:a="http://schemas.openxmlformats.org/drawingml/2006/main">
                  <a:graphicData uri="http://schemas.microsoft.com/office/word/2010/wordprocessingGroup">
                    <wpg:wgp>
                      <wpg:cNvGrpSpPr/>
                      <wpg:grpSpPr>
                        <a:xfrm>
                          <a:off x="0" y="0"/>
                          <a:ext cx="457200" cy="571500"/>
                          <a:chOff x="0" y="0"/>
                          <a:chExt cx="811213" cy="947738"/>
                        </a:xfrm>
                        <a:solidFill>
                          <a:srgbClr val="008000"/>
                        </a:solidFill>
                        <a:effectLst/>
                        <a:extLst>
                          <a:ext uri="{0CCBE362-F206-4b92-989A-16890622DB6E}">
                            <ma14:wrappingTextBoxFlag xmlns:ma14="http://schemas.microsoft.com/office/mac/drawingml/2011/main"/>
                          </a:ext>
                        </a:extLst>
                      </wpg:grpSpPr>
                      <wps:wsp>
                        <wps:cNvPr id="700" name="Freeform 27"/>
                        <wps:cNvSpPr>
                          <a:spLocks/>
                        </wps:cNvSpPr>
                        <wps:spPr bwMode="auto">
                          <a:xfrm>
                            <a:off x="0" y="527050"/>
                            <a:ext cx="811213" cy="420688"/>
                          </a:xfrm>
                          <a:custGeom>
                            <a:avLst/>
                            <a:gdLst/>
                            <a:ahLst/>
                            <a:cxnLst>
                              <a:cxn ang="0">
                                <a:pos x="124" y="0"/>
                              </a:cxn>
                              <a:cxn ang="0">
                                <a:pos x="170" y="0"/>
                              </a:cxn>
                              <a:cxn ang="0">
                                <a:pos x="172" y="0"/>
                              </a:cxn>
                              <a:cxn ang="0">
                                <a:pos x="173" y="0"/>
                              </a:cxn>
                              <a:cxn ang="0">
                                <a:pos x="174" y="0"/>
                              </a:cxn>
                              <a:cxn ang="0">
                                <a:pos x="176" y="1"/>
                              </a:cxn>
                              <a:cxn ang="0">
                                <a:pos x="186" y="33"/>
                              </a:cxn>
                              <a:cxn ang="0">
                                <a:pos x="196" y="66"/>
                              </a:cxn>
                              <a:cxn ang="0">
                                <a:pos x="215" y="132"/>
                              </a:cxn>
                              <a:cxn ang="0">
                                <a:pos x="218" y="132"/>
                              </a:cxn>
                              <a:cxn ang="0">
                                <a:pos x="220" y="133"/>
                              </a:cxn>
                              <a:cxn ang="0">
                                <a:pos x="233" y="100"/>
                              </a:cxn>
                              <a:cxn ang="0">
                                <a:pos x="248" y="66"/>
                              </a:cxn>
                              <a:cxn ang="0">
                                <a:pos x="237" y="52"/>
                              </a:cxn>
                              <a:cxn ang="0">
                                <a:pos x="225" y="37"/>
                              </a:cxn>
                              <a:cxn ang="0">
                                <a:pos x="213" y="20"/>
                              </a:cxn>
                              <a:cxn ang="0">
                                <a:pos x="296" y="20"/>
                              </a:cxn>
                              <a:cxn ang="0">
                                <a:pos x="263" y="65"/>
                              </a:cxn>
                              <a:cxn ang="0">
                                <a:pos x="270" y="81"/>
                              </a:cxn>
                              <a:cxn ang="0">
                                <a:pos x="278" y="98"/>
                              </a:cxn>
                              <a:cxn ang="0">
                                <a:pos x="285" y="116"/>
                              </a:cxn>
                              <a:cxn ang="0">
                                <a:pos x="294" y="135"/>
                              </a:cxn>
                              <a:cxn ang="0">
                                <a:pos x="308" y="89"/>
                              </a:cxn>
                              <a:cxn ang="0">
                                <a:pos x="321" y="45"/>
                              </a:cxn>
                              <a:cxn ang="0">
                                <a:pos x="334" y="1"/>
                              </a:cxn>
                              <a:cxn ang="0">
                                <a:pos x="353" y="1"/>
                              </a:cxn>
                              <a:cxn ang="0">
                                <a:pos x="371" y="0"/>
                              </a:cxn>
                              <a:cxn ang="0">
                                <a:pos x="388" y="0"/>
                              </a:cxn>
                              <a:cxn ang="0">
                                <a:pos x="406" y="2"/>
                              </a:cxn>
                              <a:cxn ang="0">
                                <a:pos x="423" y="5"/>
                              </a:cxn>
                              <a:cxn ang="0">
                                <a:pos x="438" y="11"/>
                              </a:cxn>
                              <a:cxn ang="0">
                                <a:pos x="453" y="19"/>
                              </a:cxn>
                              <a:cxn ang="0">
                                <a:pos x="466" y="28"/>
                              </a:cxn>
                              <a:cxn ang="0">
                                <a:pos x="478" y="39"/>
                              </a:cxn>
                              <a:cxn ang="0">
                                <a:pos x="489" y="52"/>
                              </a:cxn>
                              <a:cxn ang="0">
                                <a:pos x="497" y="66"/>
                              </a:cxn>
                              <a:cxn ang="0">
                                <a:pos x="503" y="81"/>
                              </a:cxn>
                              <a:cxn ang="0">
                                <a:pos x="508" y="98"/>
                              </a:cxn>
                              <a:cxn ang="0">
                                <a:pos x="510" y="115"/>
                              </a:cxn>
                              <a:cxn ang="0">
                                <a:pos x="511" y="162"/>
                              </a:cxn>
                              <a:cxn ang="0">
                                <a:pos x="511" y="210"/>
                              </a:cxn>
                              <a:cxn ang="0">
                                <a:pos x="511" y="257"/>
                              </a:cxn>
                              <a:cxn ang="0">
                                <a:pos x="510" y="261"/>
                              </a:cxn>
                              <a:cxn ang="0">
                                <a:pos x="509" y="265"/>
                              </a:cxn>
                              <a:cxn ang="0">
                                <a:pos x="1" y="265"/>
                              </a:cxn>
                              <a:cxn ang="0">
                                <a:pos x="0" y="258"/>
                              </a:cxn>
                              <a:cxn ang="0">
                                <a:pos x="0" y="252"/>
                              </a:cxn>
                              <a:cxn ang="0">
                                <a:pos x="0" y="125"/>
                              </a:cxn>
                              <a:cxn ang="0">
                                <a:pos x="1" y="106"/>
                              </a:cxn>
                              <a:cxn ang="0">
                                <a:pos x="5" y="88"/>
                              </a:cxn>
                              <a:cxn ang="0">
                                <a:pos x="11" y="72"/>
                              </a:cxn>
                              <a:cxn ang="0">
                                <a:pos x="19" y="56"/>
                              </a:cxn>
                              <a:cxn ang="0">
                                <a:pos x="30" y="42"/>
                              </a:cxn>
                              <a:cxn ang="0">
                                <a:pos x="42" y="30"/>
                              </a:cxn>
                              <a:cxn ang="0">
                                <a:pos x="56" y="20"/>
                              </a:cxn>
                              <a:cxn ang="0">
                                <a:pos x="71" y="11"/>
                              </a:cxn>
                              <a:cxn ang="0">
                                <a:pos x="88" y="5"/>
                              </a:cxn>
                              <a:cxn ang="0">
                                <a:pos x="105" y="1"/>
                              </a:cxn>
                              <a:cxn ang="0">
                                <a:pos x="124" y="0"/>
                              </a:cxn>
                            </a:cxnLst>
                            <a:rect l="0" t="0" r="r" b="b"/>
                            <a:pathLst>
                              <a:path w="511" h="265">
                                <a:moveTo>
                                  <a:pt x="124" y="0"/>
                                </a:moveTo>
                                <a:lnTo>
                                  <a:pt x="170" y="0"/>
                                </a:lnTo>
                                <a:lnTo>
                                  <a:pt x="172" y="0"/>
                                </a:lnTo>
                                <a:lnTo>
                                  <a:pt x="173" y="0"/>
                                </a:lnTo>
                                <a:lnTo>
                                  <a:pt x="174" y="0"/>
                                </a:lnTo>
                                <a:lnTo>
                                  <a:pt x="176" y="1"/>
                                </a:lnTo>
                                <a:lnTo>
                                  <a:pt x="186" y="33"/>
                                </a:lnTo>
                                <a:lnTo>
                                  <a:pt x="196" y="66"/>
                                </a:lnTo>
                                <a:lnTo>
                                  <a:pt x="215" y="132"/>
                                </a:lnTo>
                                <a:lnTo>
                                  <a:pt x="218" y="132"/>
                                </a:lnTo>
                                <a:lnTo>
                                  <a:pt x="220" y="133"/>
                                </a:lnTo>
                                <a:lnTo>
                                  <a:pt x="233" y="100"/>
                                </a:lnTo>
                                <a:lnTo>
                                  <a:pt x="248" y="66"/>
                                </a:lnTo>
                                <a:lnTo>
                                  <a:pt x="237" y="52"/>
                                </a:lnTo>
                                <a:lnTo>
                                  <a:pt x="225" y="37"/>
                                </a:lnTo>
                                <a:lnTo>
                                  <a:pt x="213" y="20"/>
                                </a:lnTo>
                                <a:lnTo>
                                  <a:pt x="296" y="20"/>
                                </a:lnTo>
                                <a:lnTo>
                                  <a:pt x="263" y="65"/>
                                </a:lnTo>
                                <a:lnTo>
                                  <a:pt x="270" y="81"/>
                                </a:lnTo>
                                <a:lnTo>
                                  <a:pt x="278" y="98"/>
                                </a:lnTo>
                                <a:lnTo>
                                  <a:pt x="285" y="116"/>
                                </a:lnTo>
                                <a:lnTo>
                                  <a:pt x="294" y="135"/>
                                </a:lnTo>
                                <a:lnTo>
                                  <a:pt x="308" y="89"/>
                                </a:lnTo>
                                <a:lnTo>
                                  <a:pt x="321" y="45"/>
                                </a:lnTo>
                                <a:lnTo>
                                  <a:pt x="334" y="1"/>
                                </a:lnTo>
                                <a:lnTo>
                                  <a:pt x="353" y="1"/>
                                </a:lnTo>
                                <a:lnTo>
                                  <a:pt x="371" y="0"/>
                                </a:lnTo>
                                <a:lnTo>
                                  <a:pt x="388" y="0"/>
                                </a:lnTo>
                                <a:lnTo>
                                  <a:pt x="406" y="2"/>
                                </a:lnTo>
                                <a:lnTo>
                                  <a:pt x="423" y="5"/>
                                </a:lnTo>
                                <a:lnTo>
                                  <a:pt x="438" y="11"/>
                                </a:lnTo>
                                <a:lnTo>
                                  <a:pt x="453" y="19"/>
                                </a:lnTo>
                                <a:lnTo>
                                  <a:pt x="466" y="28"/>
                                </a:lnTo>
                                <a:lnTo>
                                  <a:pt x="478" y="39"/>
                                </a:lnTo>
                                <a:lnTo>
                                  <a:pt x="489" y="52"/>
                                </a:lnTo>
                                <a:lnTo>
                                  <a:pt x="497" y="66"/>
                                </a:lnTo>
                                <a:lnTo>
                                  <a:pt x="503" y="81"/>
                                </a:lnTo>
                                <a:lnTo>
                                  <a:pt x="508" y="98"/>
                                </a:lnTo>
                                <a:lnTo>
                                  <a:pt x="510" y="115"/>
                                </a:lnTo>
                                <a:lnTo>
                                  <a:pt x="511" y="162"/>
                                </a:lnTo>
                                <a:lnTo>
                                  <a:pt x="511" y="210"/>
                                </a:lnTo>
                                <a:lnTo>
                                  <a:pt x="511" y="257"/>
                                </a:lnTo>
                                <a:lnTo>
                                  <a:pt x="510" y="261"/>
                                </a:lnTo>
                                <a:lnTo>
                                  <a:pt x="509" y="265"/>
                                </a:lnTo>
                                <a:lnTo>
                                  <a:pt x="1" y="265"/>
                                </a:lnTo>
                                <a:lnTo>
                                  <a:pt x="0" y="258"/>
                                </a:lnTo>
                                <a:lnTo>
                                  <a:pt x="0" y="252"/>
                                </a:lnTo>
                                <a:lnTo>
                                  <a:pt x="0" y="125"/>
                                </a:lnTo>
                                <a:lnTo>
                                  <a:pt x="1" y="106"/>
                                </a:lnTo>
                                <a:lnTo>
                                  <a:pt x="5" y="88"/>
                                </a:lnTo>
                                <a:lnTo>
                                  <a:pt x="11" y="72"/>
                                </a:lnTo>
                                <a:lnTo>
                                  <a:pt x="19" y="56"/>
                                </a:lnTo>
                                <a:lnTo>
                                  <a:pt x="30" y="42"/>
                                </a:lnTo>
                                <a:lnTo>
                                  <a:pt x="42" y="30"/>
                                </a:lnTo>
                                <a:lnTo>
                                  <a:pt x="56" y="20"/>
                                </a:lnTo>
                                <a:lnTo>
                                  <a:pt x="71" y="11"/>
                                </a:lnTo>
                                <a:lnTo>
                                  <a:pt x="88" y="5"/>
                                </a:lnTo>
                                <a:lnTo>
                                  <a:pt x="105" y="1"/>
                                </a:lnTo>
                                <a:lnTo>
                                  <a:pt x="124" y="0"/>
                                </a:lnTo>
                                <a:close/>
                              </a:path>
                            </a:pathLst>
                          </a:custGeom>
                          <a:grpFill/>
                          <a:ln w="0">
                            <a:noFill/>
                            <a:prstDash val="solid"/>
                            <a:round/>
                            <a:headEnd/>
                            <a:tailEnd/>
                          </a:ln>
                        </wps:spPr>
                        <wps:txbx>
                          <w:txbxContent>
                            <w:p w14:paraId="466DADDD" w14:textId="77777777" w:rsidR="00573C95" w:rsidRDefault="00573C95" w:rsidP="000E4CC6">
                              <w:pPr>
                                <w:rPr>
                                  <w:rFonts w:eastAsia="Times New Roman"/>
                                </w:rPr>
                              </w:pPr>
                            </w:p>
                          </w:txbxContent>
                        </wps:txbx>
                        <wps:bodyPr vert="horz" wrap="square" lIns="91440" tIns="45720" rIns="91440" bIns="45720" numCol="1" anchor="t" anchorCtr="0" compatLnSpc="1">
                          <a:prstTxWarp prst="textNoShape">
                            <a:avLst/>
                          </a:prstTxWarp>
                        </wps:bodyPr>
                      </wps:wsp>
                      <wps:wsp>
                        <wps:cNvPr id="701" name="Freeform 31"/>
                        <wps:cNvSpPr>
                          <a:spLocks noEditPoints="1"/>
                        </wps:cNvSpPr>
                        <wps:spPr bwMode="auto">
                          <a:xfrm>
                            <a:off x="160338" y="0"/>
                            <a:ext cx="490538" cy="523875"/>
                          </a:xfrm>
                          <a:custGeom>
                            <a:avLst/>
                            <a:gdLst/>
                            <a:ahLst/>
                            <a:cxnLst>
                              <a:cxn ang="0">
                                <a:pos x="131" y="53"/>
                              </a:cxn>
                              <a:cxn ang="0">
                                <a:pos x="116" y="70"/>
                              </a:cxn>
                              <a:cxn ang="0">
                                <a:pos x="106" y="87"/>
                              </a:cxn>
                              <a:cxn ang="0">
                                <a:pos x="86" y="84"/>
                              </a:cxn>
                              <a:cxn ang="0">
                                <a:pos x="74" y="105"/>
                              </a:cxn>
                              <a:cxn ang="0">
                                <a:pos x="86" y="128"/>
                              </a:cxn>
                              <a:cxn ang="0">
                                <a:pos x="73" y="138"/>
                              </a:cxn>
                              <a:cxn ang="0">
                                <a:pos x="77" y="178"/>
                              </a:cxn>
                              <a:cxn ang="0">
                                <a:pos x="96" y="173"/>
                              </a:cxn>
                              <a:cxn ang="0">
                                <a:pos x="100" y="191"/>
                              </a:cxn>
                              <a:cxn ang="0">
                                <a:pos x="111" y="212"/>
                              </a:cxn>
                              <a:cxn ang="0">
                                <a:pos x="138" y="204"/>
                              </a:cxn>
                              <a:cxn ang="0">
                                <a:pos x="154" y="212"/>
                              </a:cxn>
                              <a:cxn ang="0">
                                <a:pos x="177" y="220"/>
                              </a:cxn>
                              <a:cxn ang="0">
                                <a:pos x="190" y="196"/>
                              </a:cxn>
                              <a:cxn ang="0">
                                <a:pos x="212" y="193"/>
                              </a:cxn>
                              <a:cxn ang="0">
                                <a:pos x="239" y="162"/>
                              </a:cxn>
                              <a:cxn ang="0">
                                <a:pos x="223" y="146"/>
                              </a:cxn>
                              <a:cxn ang="0">
                                <a:pos x="240" y="134"/>
                              </a:cxn>
                              <a:cxn ang="0">
                                <a:pos x="237" y="109"/>
                              </a:cxn>
                              <a:cxn ang="0">
                                <a:pos x="221" y="98"/>
                              </a:cxn>
                              <a:cxn ang="0">
                                <a:pos x="204" y="88"/>
                              </a:cxn>
                              <a:cxn ang="0">
                                <a:pos x="205" y="67"/>
                              </a:cxn>
                              <a:cxn ang="0">
                                <a:pos x="178" y="55"/>
                              </a:cxn>
                              <a:cxn ang="0">
                                <a:pos x="163" y="68"/>
                              </a:cxn>
                              <a:cxn ang="0">
                                <a:pos x="153" y="56"/>
                              </a:cxn>
                              <a:cxn ang="0">
                                <a:pos x="176" y="1"/>
                              </a:cxn>
                              <a:cxn ang="0">
                                <a:pos x="223" y="16"/>
                              </a:cxn>
                              <a:cxn ang="0">
                                <a:pos x="258" y="48"/>
                              </a:cxn>
                              <a:cxn ang="0">
                                <a:pos x="279" y="98"/>
                              </a:cxn>
                              <a:cxn ang="0">
                                <a:pos x="300" y="135"/>
                              </a:cxn>
                              <a:cxn ang="0">
                                <a:pos x="309" y="164"/>
                              </a:cxn>
                              <a:cxn ang="0">
                                <a:pos x="302" y="194"/>
                              </a:cxn>
                              <a:cxn ang="0">
                                <a:pos x="282" y="209"/>
                              </a:cxn>
                              <a:cxn ang="0">
                                <a:pos x="260" y="240"/>
                              </a:cxn>
                              <a:cxn ang="0">
                                <a:pos x="236" y="278"/>
                              </a:cxn>
                              <a:cxn ang="0">
                                <a:pos x="202" y="312"/>
                              </a:cxn>
                              <a:cxn ang="0">
                                <a:pos x="161" y="330"/>
                              </a:cxn>
                              <a:cxn ang="0">
                                <a:pos x="119" y="321"/>
                              </a:cxn>
                              <a:cxn ang="0">
                                <a:pos x="83" y="292"/>
                              </a:cxn>
                              <a:cxn ang="0">
                                <a:pos x="57" y="255"/>
                              </a:cxn>
                              <a:cxn ang="0">
                                <a:pos x="28" y="210"/>
                              </a:cxn>
                              <a:cxn ang="0">
                                <a:pos x="8" y="194"/>
                              </a:cxn>
                              <a:cxn ang="0">
                                <a:pos x="0" y="168"/>
                              </a:cxn>
                              <a:cxn ang="0">
                                <a:pos x="4" y="141"/>
                              </a:cxn>
                              <a:cxn ang="0">
                                <a:pos x="24" y="120"/>
                              </a:cxn>
                              <a:cxn ang="0">
                                <a:pos x="37" y="69"/>
                              </a:cxn>
                              <a:cxn ang="0">
                                <a:pos x="63" y="32"/>
                              </a:cxn>
                              <a:cxn ang="0">
                                <a:pos x="102" y="9"/>
                              </a:cxn>
                              <a:cxn ang="0">
                                <a:pos x="156" y="0"/>
                              </a:cxn>
                            </a:cxnLst>
                            <a:rect l="0" t="0" r="r" b="b"/>
                            <a:pathLst>
                              <a:path w="309" h="330">
                                <a:moveTo>
                                  <a:pt x="151" y="50"/>
                                </a:moveTo>
                                <a:lnTo>
                                  <a:pt x="141" y="51"/>
                                </a:lnTo>
                                <a:lnTo>
                                  <a:pt x="131" y="53"/>
                                </a:lnTo>
                                <a:lnTo>
                                  <a:pt x="122" y="56"/>
                                </a:lnTo>
                                <a:lnTo>
                                  <a:pt x="113" y="63"/>
                                </a:lnTo>
                                <a:lnTo>
                                  <a:pt x="116" y="70"/>
                                </a:lnTo>
                                <a:lnTo>
                                  <a:pt x="119" y="77"/>
                                </a:lnTo>
                                <a:lnTo>
                                  <a:pt x="113" y="82"/>
                                </a:lnTo>
                                <a:lnTo>
                                  <a:pt x="106" y="87"/>
                                </a:lnTo>
                                <a:lnTo>
                                  <a:pt x="99" y="82"/>
                                </a:lnTo>
                                <a:lnTo>
                                  <a:pt x="91" y="77"/>
                                </a:lnTo>
                                <a:lnTo>
                                  <a:pt x="86" y="84"/>
                                </a:lnTo>
                                <a:lnTo>
                                  <a:pt x="80" y="90"/>
                                </a:lnTo>
                                <a:lnTo>
                                  <a:pt x="77" y="97"/>
                                </a:lnTo>
                                <a:lnTo>
                                  <a:pt x="74" y="105"/>
                                </a:lnTo>
                                <a:lnTo>
                                  <a:pt x="73" y="113"/>
                                </a:lnTo>
                                <a:lnTo>
                                  <a:pt x="87" y="120"/>
                                </a:lnTo>
                                <a:lnTo>
                                  <a:pt x="86" y="128"/>
                                </a:lnTo>
                                <a:lnTo>
                                  <a:pt x="84" y="135"/>
                                </a:lnTo>
                                <a:lnTo>
                                  <a:pt x="78" y="137"/>
                                </a:lnTo>
                                <a:lnTo>
                                  <a:pt x="73" y="138"/>
                                </a:lnTo>
                                <a:lnTo>
                                  <a:pt x="66" y="140"/>
                                </a:lnTo>
                                <a:lnTo>
                                  <a:pt x="71" y="159"/>
                                </a:lnTo>
                                <a:lnTo>
                                  <a:pt x="77" y="178"/>
                                </a:lnTo>
                                <a:lnTo>
                                  <a:pt x="84" y="176"/>
                                </a:lnTo>
                                <a:lnTo>
                                  <a:pt x="90" y="174"/>
                                </a:lnTo>
                                <a:lnTo>
                                  <a:pt x="96" y="173"/>
                                </a:lnTo>
                                <a:lnTo>
                                  <a:pt x="100" y="179"/>
                                </a:lnTo>
                                <a:lnTo>
                                  <a:pt x="105" y="185"/>
                                </a:lnTo>
                                <a:lnTo>
                                  <a:pt x="100" y="191"/>
                                </a:lnTo>
                                <a:lnTo>
                                  <a:pt x="95" y="198"/>
                                </a:lnTo>
                                <a:lnTo>
                                  <a:pt x="102" y="206"/>
                                </a:lnTo>
                                <a:lnTo>
                                  <a:pt x="111" y="212"/>
                                </a:lnTo>
                                <a:lnTo>
                                  <a:pt x="120" y="216"/>
                                </a:lnTo>
                                <a:lnTo>
                                  <a:pt x="131" y="218"/>
                                </a:lnTo>
                                <a:lnTo>
                                  <a:pt x="138" y="204"/>
                                </a:lnTo>
                                <a:lnTo>
                                  <a:pt x="146" y="205"/>
                                </a:lnTo>
                                <a:lnTo>
                                  <a:pt x="153" y="207"/>
                                </a:lnTo>
                                <a:lnTo>
                                  <a:pt x="154" y="212"/>
                                </a:lnTo>
                                <a:lnTo>
                                  <a:pt x="156" y="218"/>
                                </a:lnTo>
                                <a:lnTo>
                                  <a:pt x="157" y="225"/>
                                </a:lnTo>
                                <a:lnTo>
                                  <a:pt x="177" y="220"/>
                                </a:lnTo>
                                <a:lnTo>
                                  <a:pt x="196" y="214"/>
                                </a:lnTo>
                                <a:lnTo>
                                  <a:pt x="194" y="207"/>
                                </a:lnTo>
                                <a:lnTo>
                                  <a:pt x="190" y="196"/>
                                </a:lnTo>
                                <a:lnTo>
                                  <a:pt x="202" y="187"/>
                                </a:lnTo>
                                <a:lnTo>
                                  <a:pt x="207" y="189"/>
                                </a:lnTo>
                                <a:lnTo>
                                  <a:pt x="212" y="193"/>
                                </a:lnTo>
                                <a:lnTo>
                                  <a:pt x="218" y="197"/>
                                </a:lnTo>
                                <a:lnTo>
                                  <a:pt x="228" y="180"/>
                                </a:lnTo>
                                <a:lnTo>
                                  <a:pt x="239" y="162"/>
                                </a:lnTo>
                                <a:lnTo>
                                  <a:pt x="227" y="156"/>
                                </a:lnTo>
                                <a:lnTo>
                                  <a:pt x="221" y="153"/>
                                </a:lnTo>
                                <a:lnTo>
                                  <a:pt x="223" y="146"/>
                                </a:lnTo>
                                <a:lnTo>
                                  <a:pt x="224" y="138"/>
                                </a:lnTo>
                                <a:lnTo>
                                  <a:pt x="232" y="136"/>
                                </a:lnTo>
                                <a:lnTo>
                                  <a:pt x="240" y="134"/>
                                </a:lnTo>
                                <a:lnTo>
                                  <a:pt x="240" y="125"/>
                                </a:lnTo>
                                <a:lnTo>
                                  <a:pt x="239" y="117"/>
                                </a:lnTo>
                                <a:lnTo>
                                  <a:pt x="237" y="109"/>
                                </a:lnTo>
                                <a:lnTo>
                                  <a:pt x="234" y="102"/>
                                </a:lnTo>
                                <a:lnTo>
                                  <a:pt x="228" y="96"/>
                                </a:lnTo>
                                <a:lnTo>
                                  <a:pt x="221" y="98"/>
                                </a:lnTo>
                                <a:lnTo>
                                  <a:pt x="214" y="102"/>
                                </a:lnTo>
                                <a:lnTo>
                                  <a:pt x="209" y="95"/>
                                </a:lnTo>
                                <a:lnTo>
                                  <a:pt x="204" y="88"/>
                                </a:lnTo>
                                <a:lnTo>
                                  <a:pt x="209" y="81"/>
                                </a:lnTo>
                                <a:lnTo>
                                  <a:pt x="213" y="74"/>
                                </a:lnTo>
                                <a:lnTo>
                                  <a:pt x="205" y="67"/>
                                </a:lnTo>
                                <a:lnTo>
                                  <a:pt x="197" y="61"/>
                                </a:lnTo>
                                <a:lnTo>
                                  <a:pt x="188" y="57"/>
                                </a:lnTo>
                                <a:lnTo>
                                  <a:pt x="178" y="55"/>
                                </a:lnTo>
                                <a:lnTo>
                                  <a:pt x="174" y="62"/>
                                </a:lnTo>
                                <a:lnTo>
                                  <a:pt x="170" y="69"/>
                                </a:lnTo>
                                <a:lnTo>
                                  <a:pt x="163" y="68"/>
                                </a:lnTo>
                                <a:lnTo>
                                  <a:pt x="157" y="67"/>
                                </a:lnTo>
                                <a:lnTo>
                                  <a:pt x="155" y="61"/>
                                </a:lnTo>
                                <a:lnTo>
                                  <a:pt x="153" y="56"/>
                                </a:lnTo>
                                <a:lnTo>
                                  <a:pt x="151" y="50"/>
                                </a:lnTo>
                                <a:close/>
                                <a:moveTo>
                                  <a:pt x="156" y="0"/>
                                </a:moveTo>
                                <a:lnTo>
                                  <a:pt x="176" y="1"/>
                                </a:lnTo>
                                <a:lnTo>
                                  <a:pt x="193" y="4"/>
                                </a:lnTo>
                                <a:lnTo>
                                  <a:pt x="209" y="9"/>
                                </a:lnTo>
                                <a:lnTo>
                                  <a:pt x="223" y="16"/>
                                </a:lnTo>
                                <a:lnTo>
                                  <a:pt x="236" y="24"/>
                                </a:lnTo>
                                <a:lnTo>
                                  <a:pt x="248" y="35"/>
                                </a:lnTo>
                                <a:lnTo>
                                  <a:pt x="258" y="48"/>
                                </a:lnTo>
                                <a:lnTo>
                                  <a:pt x="266" y="63"/>
                                </a:lnTo>
                                <a:lnTo>
                                  <a:pt x="273" y="79"/>
                                </a:lnTo>
                                <a:lnTo>
                                  <a:pt x="279" y="98"/>
                                </a:lnTo>
                                <a:lnTo>
                                  <a:pt x="284" y="119"/>
                                </a:lnTo>
                                <a:lnTo>
                                  <a:pt x="293" y="126"/>
                                </a:lnTo>
                                <a:lnTo>
                                  <a:pt x="300" y="135"/>
                                </a:lnTo>
                                <a:lnTo>
                                  <a:pt x="305" y="143"/>
                                </a:lnTo>
                                <a:lnTo>
                                  <a:pt x="308" y="153"/>
                                </a:lnTo>
                                <a:lnTo>
                                  <a:pt x="309" y="164"/>
                                </a:lnTo>
                                <a:lnTo>
                                  <a:pt x="308" y="176"/>
                                </a:lnTo>
                                <a:lnTo>
                                  <a:pt x="305" y="186"/>
                                </a:lnTo>
                                <a:lnTo>
                                  <a:pt x="302" y="194"/>
                                </a:lnTo>
                                <a:lnTo>
                                  <a:pt x="297" y="200"/>
                                </a:lnTo>
                                <a:lnTo>
                                  <a:pt x="291" y="205"/>
                                </a:lnTo>
                                <a:lnTo>
                                  <a:pt x="282" y="209"/>
                                </a:lnTo>
                                <a:lnTo>
                                  <a:pt x="272" y="213"/>
                                </a:lnTo>
                                <a:lnTo>
                                  <a:pt x="266" y="227"/>
                                </a:lnTo>
                                <a:lnTo>
                                  <a:pt x="260" y="240"/>
                                </a:lnTo>
                                <a:lnTo>
                                  <a:pt x="253" y="253"/>
                                </a:lnTo>
                                <a:lnTo>
                                  <a:pt x="245" y="265"/>
                                </a:lnTo>
                                <a:lnTo>
                                  <a:pt x="236" y="278"/>
                                </a:lnTo>
                                <a:lnTo>
                                  <a:pt x="225" y="290"/>
                                </a:lnTo>
                                <a:lnTo>
                                  <a:pt x="214" y="302"/>
                                </a:lnTo>
                                <a:lnTo>
                                  <a:pt x="202" y="312"/>
                                </a:lnTo>
                                <a:lnTo>
                                  <a:pt x="189" y="321"/>
                                </a:lnTo>
                                <a:lnTo>
                                  <a:pt x="175" y="327"/>
                                </a:lnTo>
                                <a:lnTo>
                                  <a:pt x="161" y="330"/>
                                </a:lnTo>
                                <a:lnTo>
                                  <a:pt x="147" y="329"/>
                                </a:lnTo>
                                <a:lnTo>
                                  <a:pt x="133" y="326"/>
                                </a:lnTo>
                                <a:lnTo>
                                  <a:pt x="119" y="321"/>
                                </a:lnTo>
                                <a:lnTo>
                                  <a:pt x="106" y="312"/>
                                </a:lnTo>
                                <a:lnTo>
                                  <a:pt x="93" y="303"/>
                                </a:lnTo>
                                <a:lnTo>
                                  <a:pt x="83" y="292"/>
                                </a:lnTo>
                                <a:lnTo>
                                  <a:pt x="73" y="281"/>
                                </a:lnTo>
                                <a:lnTo>
                                  <a:pt x="65" y="268"/>
                                </a:lnTo>
                                <a:lnTo>
                                  <a:pt x="57" y="255"/>
                                </a:lnTo>
                                <a:lnTo>
                                  <a:pt x="50" y="241"/>
                                </a:lnTo>
                                <a:lnTo>
                                  <a:pt x="37" y="212"/>
                                </a:lnTo>
                                <a:lnTo>
                                  <a:pt x="28" y="210"/>
                                </a:lnTo>
                                <a:lnTo>
                                  <a:pt x="19" y="207"/>
                                </a:lnTo>
                                <a:lnTo>
                                  <a:pt x="13" y="201"/>
                                </a:lnTo>
                                <a:lnTo>
                                  <a:pt x="8" y="194"/>
                                </a:lnTo>
                                <a:lnTo>
                                  <a:pt x="4" y="187"/>
                                </a:lnTo>
                                <a:lnTo>
                                  <a:pt x="1" y="177"/>
                                </a:lnTo>
                                <a:lnTo>
                                  <a:pt x="0" y="168"/>
                                </a:lnTo>
                                <a:lnTo>
                                  <a:pt x="0" y="158"/>
                                </a:lnTo>
                                <a:lnTo>
                                  <a:pt x="1" y="149"/>
                                </a:lnTo>
                                <a:lnTo>
                                  <a:pt x="4" y="141"/>
                                </a:lnTo>
                                <a:lnTo>
                                  <a:pt x="9" y="133"/>
                                </a:lnTo>
                                <a:lnTo>
                                  <a:pt x="16" y="126"/>
                                </a:lnTo>
                                <a:lnTo>
                                  <a:pt x="24" y="120"/>
                                </a:lnTo>
                                <a:lnTo>
                                  <a:pt x="27" y="102"/>
                                </a:lnTo>
                                <a:lnTo>
                                  <a:pt x="31" y="84"/>
                                </a:lnTo>
                                <a:lnTo>
                                  <a:pt x="37" y="69"/>
                                </a:lnTo>
                                <a:lnTo>
                                  <a:pt x="44" y="55"/>
                                </a:lnTo>
                                <a:lnTo>
                                  <a:pt x="53" y="43"/>
                                </a:lnTo>
                                <a:lnTo>
                                  <a:pt x="63" y="32"/>
                                </a:lnTo>
                                <a:lnTo>
                                  <a:pt x="74" y="23"/>
                                </a:lnTo>
                                <a:lnTo>
                                  <a:pt x="87" y="15"/>
                                </a:lnTo>
                                <a:lnTo>
                                  <a:pt x="102" y="9"/>
                                </a:lnTo>
                                <a:lnTo>
                                  <a:pt x="119" y="4"/>
                                </a:lnTo>
                                <a:lnTo>
                                  <a:pt x="137" y="1"/>
                                </a:lnTo>
                                <a:lnTo>
                                  <a:pt x="156" y="0"/>
                                </a:lnTo>
                                <a:close/>
                              </a:path>
                            </a:pathLst>
                          </a:custGeom>
                          <a:grpFill/>
                          <a:ln w="0">
                            <a:noFill/>
                            <a:prstDash val="solid"/>
                            <a:round/>
                            <a:headEnd/>
                            <a:tailEnd/>
                          </a:ln>
                        </wps:spPr>
                        <wps:txbx>
                          <w:txbxContent>
                            <w:p w14:paraId="78B3D850" w14:textId="77777777" w:rsidR="00573C95" w:rsidRDefault="00573C95" w:rsidP="000E4CC6">
                              <w:pPr>
                                <w:rPr>
                                  <w:rFonts w:eastAsia="Times New Roman"/>
                                </w:rPr>
                              </w:pPr>
                            </w:p>
                          </w:txbxContent>
                        </wps:txbx>
                        <wps:bodyPr vert="horz" wrap="square" lIns="91440" tIns="45720" rIns="91440" bIns="45720" numCol="1" anchor="t" anchorCtr="0" compatLnSpc="1">
                          <a:prstTxWarp prst="textNoShape">
                            <a:avLst/>
                          </a:prstTxWarp>
                        </wps:bodyPr>
                      </wps:wsp>
                      <wps:wsp>
                        <wps:cNvPr id="702" name="Freeform 39"/>
                        <wps:cNvSpPr>
                          <a:spLocks/>
                        </wps:cNvSpPr>
                        <wps:spPr bwMode="auto">
                          <a:xfrm>
                            <a:off x="346075" y="157162"/>
                            <a:ext cx="117475" cy="119063"/>
                          </a:xfrm>
                          <a:custGeom>
                            <a:avLst/>
                            <a:gdLst/>
                            <a:ahLst/>
                            <a:cxnLst>
                              <a:cxn ang="0">
                                <a:pos x="38" y="0"/>
                              </a:cxn>
                              <a:cxn ang="0">
                                <a:pos x="48" y="2"/>
                              </a:cxn>
                              <a:cxn ang="0">
                                <a:pos x="57" y="6"/>
                              </a:cxn>
                              <a:cxn ang="0">
                                <a:pos x="65" y="12"/>
                              </a:cxn>
                              <a:cxn ang="0">
                                <a:pos x="70" y="20"/>
                              </a:cxn>
                              <a:cxn ang="0">
                                <a:pos x="73" y="29"/>
                              </a:cxn>
                              <a:cxn ang="0">
                                <a:pos x="74" y="39"/>
                              </a:cxn>
                              <a:cxn ang="0">
                                <a:pos x="72" y="49"/>
                              </a:cxn>
                              <a:cxn ang="0">
                                <a:pos x="69" y="58"/>
                              </a:cxn>
                              <a:cxn ang="0">
                                <a:pos x="63" y="65"/>
                              </a:cxn>
                              <a:cxn ang="0">
                                <a:pos x="55" y="70"/>
                              </a:cxn>
                              <a:cxn ang="0">
                                <a:pos x="46" y="74"/>
                              </a:cxn>
                              <a:cxn ang="0">
                                <a:pos x="36" y="75"/>
                              </a:cxn>
                              <a:cxn ang="0">
                                <a:pos x="26" y="74"/>
                              </a:cxn>
                              <a:cxn ang="0">
                                <a:pos x="17" y="69"/>
                              </a:cxn>
                              <a:cxn ang="0">
                                <a:pos x="10" y="63"/>
                              </a:cxn>
                              <a:cxn ang="0">
                                <a:pos x="4" y="56"/>
                              </a:cxn>
                              <a:cxn ang="0">
                                <a:pos x="1" y="46"/>
                              </a:cxn>
                              <a:cxn ang="0">
                                <a:pos x="0" y="36"/>
                              </a:cxn>
                              <a:cxn ang="0">
                                <a:pos x="2" y="26"/>
                              </a:cxn>
                              <a:cxn ang="0">
                                <a:pos x="6" y="18"/>
                              </a:cxn>
                              <a:cxn ang="0">
                                <a:pos x="12" y="10"/>
                              </a:cxn>
                              <a:cxn ang="0">
                                <a:pos x="19" y="5"/>
                              </a:cxn>
                              <a:cxn ang="0">
                                <a:pos x="28" y="1"/>
                              </a:cxn>
                              <a:cxn ang="0">
                                <a:pos x="38" y="0"/>
                              </a:cxn>
                            </a:cxnLst>
                            <a:rect l="0" t="0" r="r" b="b"/>
                            <a:pathLst>
                              <a:path w="74" h="75">
                                <a:moveTo>
                                  <a:pt x="38" y="0"/>
                                </a:moveTo>
                                <a:lnTo>
                                  <a:pt x="48" y="2"/>
                                </a:lnTo>
                                <a:lnTo>
                                  <a:pt x="57" y="6"/>
                                </a:lnTo>
                                <a:lnTo>
                                  <a:pt x="65" y="12"/>
                                </a:lnTo>
                                <a:lnTo>
                                  <a:pt x="70" y="20"/>
                                </a:lnTo>
                                <a:lnTo>
                                  <a:pt x="73" y="29"/>
                                </a:lnTo>
                                <a:lnTo>
                                  <a:pt x="74" y="39"/>
                                </a:lnTo>
                                <a:lnTo>
                                  <a:pt x="72" y="49"/>
                                </a:lnTo>
                                <a:lnTo>
                                  <a:pt x="69" y="58"/>
                                </a:lnTo>
                                <a:lnTo>
                                  <a:pt x="63" y="65"/>
                                </a:lnTo>
                                <a:lnTo>
                                  <a:pt x="55" y="70"/>
                                </a:lnTo>
                                <a:lnTo>
                                  <a:pt x="46" y="74"/>
                                </a:lnTo>
                                <a:lnTo>
                                  <a:pt x="36" y="75"/>
                                </a:lnTo>
                                <a:lnTo>
                                  <a:pt x="26" y="74"/>
                                </a:lnTo>
                                <a:lnTo>
                                  <a:pt x="17" y="69"/>
                                </a:lnTo>
                                <a:lnTo>
                                  <a:pt x="10" y="63"/>
                                </a:lnTo>
                                <a:lnTo>
                                  <a:pt x="4" y="56"/>
                                </a:lnTo>
                                <a:lnTo>
                                  <a:pt x="1" y="46"/>
                                </a:lnTo>
                                <a:lnTo>
                                  <a:pt x="0" y="36"/>
                                </a:lnTo>
                                <a:lnTo>
                                  <a:pt x="2" y="26"/>
                                </a:lnTo>
                                <a:lnTo>
                                  <a:pt x="6" y="18"/>
                                </a:lnTo>
                                <a:lnTo>
                                  <a:pt x="12" y="10"/>
                                </a:lnTo>
                                <a:lnTo>
                                  <a:pt x="19" y="5"/>
                                </a:lnTo>
                                <a:lnTo>
                                  <a:pt x="28" y="1"/>
                                </a:lnTo>
                                <a:lnTo>
                                  <a:pt x="38" y="0"/>
                                </a:lnTo>
                                <a:close/>
                              </a:path>
                            </a:pathLst>
                          </a:custGeom>
                          <a:grpFill/>
                          <a:ln w="0">
                            <a:noFill/>
                            <a:prstDash val="solid"/>
                            <a:round/>
                            <a:headEnd/>
                            <a:tailEnd/>
                          </a:ln>
                        </wps:spPr>
                        <wps:txbx>
                          <w:txbxContent>
                            <w:p w14:paraId="267E7DE2" w14:textId="77777777" w:rsidR="00573C95" w:rsidRDefault="00573C95" w:rsidP="000E4CC6">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id="_x0000_s1442" style="position:absolute;margin-left:351pt;margin-top:53.55pt;width:36pt;height:45pt;z-index:252906496" coordsize="811213,94773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">
                <v:shape id="Freeform 27" o:spid="_x0000_s1443" style="position:absolute;top:527050;width:811213;height:420688;visibility:visible;mso-wrap-style:square;v-text-anchor:top" coordsize="511,265"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G3NfwAAA&#10;ANwAAAAPAAAAZHJzL2Rvd25yZXYueG1sRE+7igIxFO0X/IdwBbs12SlURqPsCoKNoKON3WVy58FO&#10;boYk6rhfvykEy8N5rzaD7cSdfGgda/iaKhDEpTMt1xou593nAkSIyAY7x6ThSQE269HHCnPjHnyi&#10;exFrkUI45KihibHPpQxlQxbD1PXEiauctxgT9LU0Hh8p3HYyU2omLbacGhrsadtQ+VvcrIaf4tY/&#10;/VxR6NQ1O/pDldV/ldaT8fC9BBFpiG/xy703GuYqzU9n0hGQ63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ZG3NfwAAAANwAAAAPAAAAAAAAAAAAAAAAAJcCAABkcnMvZG93bnJl&#10;di54bWxQSwUGAAAAAAQABAD1AAAAhAMAAAAA&#10;" adj="-11796480,,5400" path="m124,0l170,,172,,173,,174,,176,1,186,33,196,66,215,132,218,132,220,133,233,100,248,66,237,52,225,37,213,20,296,20,263,65,270,81,278,98,285,116,294,135,308,89,321,45,334,1,353,1,371,,388,,406,2,423,5,438,11,453,19,466,28,478,39,489,52,497,66,503,81,508,98,510,115,511,162,511,210,511,257,510,261,509,265,1,265,,258,,252,,125,1,106,5,88,11,72,19,56,30,42,42,30,56,20,71,11,88,5,105,1,124,0xe" filled="f" stroked="f" strokeweight="0">
                  <v:stroke joinstyle="round"/>
                  <v:formulas/>
                  <v:path arrowok="t" o:connecttype="custom" o:connectlocs="124,0;170,0;172,0;173,0;174,0;176,1;186,33;196,66;215,132;218,132;220,133;233,100;248,66;237,52;225,37;213,20;296,20;263,65;270,81;278,98;285,116;294,135;308,89;321,45;334,1;353,1;371,0;388,0;406,2;423,5;438,11;453,19;466,28;478,39;489,52;497,66;503,81;508,98;510,115;511,162;511,210;511,257;510,261;509,265;1,265;0,258;0,252;0,125;1,106;5,88;11,72;19,56;30,42;42,30;56,20;71,11;88,5;105,1;124,0" o:connectangles="0,0,0,0,0,0,0,0,0,0,0,0,0,0,0,0,0,0,0,0,0,0,0,0,0,0,0,0,0,0,0,0,0,0,0,0,0,0,0,0,0,0,0,0,0,0,0,0,0,0,0,0,0,0,0,0,0,0,0" textboxrect="0,0,511,265"/>
                  <v:textbox>
                    <w:txbxContent>
                      <w:p w14:paraId="466DADDD" w14:textId="77777777" w:rsidR="001501D6" w:rsidRDefault="001501D6" w:rsidP="000E4CC6">
                        <w:pPr>
                          <w:rPr>
                            <w:rFonts w:eastAsia="Times New Roman"/>
                          </w:rPr>
                        </w:pPr>
                      </w:p>
                    </w:txbxContent>
                  </v:textbox>
                </v:shape>
                <v:shape id="Freeform 31" o:spid="_x0000_s1444" style="position:absolute;left:160338;width:490538;height:523875;visibility:visible;mso-wrap-style:square;v-text-anchor:top" coordsize="309,33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7i1IxwAA&#10;ANwAAAAPAAAAZHJzL2Rvd25yZXYueG1sRI9Ba8JAFITvBf/D8gq9SN1YbavRVUSwCh5KkxY9PrOv&#10;STD7NmS3Gv+9Kwg9DjPzDTOdt6YSJ2pcaVlBvxeBIM6sLjlX8J2unkcgnEfWWFkmBRdyMJ91HqYY&#10;a3vmLzolPhcBwi5GBYX3dSylywoy6Hq2Jg7er20M+iCbXOoGzwFuKvkSRW/SYMlhocCalgVlx+TP&#10;KOgetx8/yeq13JnxYT34JNvdp0Olnh7bxQSEp9b/h+/tjVbwHvXhdiYcATm7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Je4tSMcAAADcAAAADwAAAAAAAAAAAAAAAACXAgAAZHJz&#10;L2Rvd25yZXYueG1sUEsFBgAAAAAEAAQA9QAAAIsDAAAAAA==&#10;" adj="-11796480,,5400" path="m151,50l141,51,131,53,122,56,113,63,116,70,119,77,113,82,106,87,99,82,91,77,86,84,80,90,77,97,74,105,73,113,87,120,86,128,84,135,78,137,73,138,66,140,71,159,77,178,84,176,90,174,96,173,100,179,105,185,100,191,95,198,102,206,111,212,120,216,131,218,138,204,146,205,153,207,154,212,156,218,157,225,177,220,196,214,194,207,190,196,202,187,207,189,212,193,218,197,228,180,239,162,227,156,221,153,223,146,224,138,232,136,240,134,240,125,239,117,237,109,234,102,228,96,221,98,214,102,209,95,204,88,209,81,213,74,205,67,197,61,188,57,178,55,174,62,170,69,163,68,157,67,155,61,153,56,151,50xm156,0l176,1,193,4,209,9,223,16,236,24,248,35,258,48,266,63,273,79,279,98,284,119,293,126,300,135,305,143,308,153,309,164,308,176,305,186,302,194,297,200,291,205,282,209,272,213,266,227,260,240,253,253,245,265,236,278,225,290,214,302,202,312,189,321,175,327,161,330,147,329,133,326,119,321,106,312,93,303,83,292,73,281,65,268,57,255,50,241,37,212,28,210,19,207,13,201,8,194,4,187,1,177,,168,,158,1,149,4,141,9,133,16,126,24,120,27,102,31,84,37,69,44,55,53,43,63,32,74,23,87,15,102,9,119,4,137,1,156,0xe" filled="f" stroked="f" strokeweight="0">
                  <v:stroke joinstyle="round"/>
                  <v:formulas/>
                  <v:path arrowok="t" o:connecttype="custom" o:connectlocs="131,53;116,70;106,87;86,84;74,105;86,128;73,138;77,178;96,173;100,191;111,212;138,204;154,212;177,220;190,196;212,193;239,162;223,146;240,134;237,109;221,98;204,88;205,67;178,55;163,68;153,56;176,1;223,16;258,48;279,98;300,135;309,164;302,194;282,209;260,240;236,278;202,312;161,330;119,321;83,292;57,255;28,210;8,194;0,168;4,141;24,120;37,69;63,32;102,9;156,0" o:connectangles="0,0,0,0,0,0,0,0,0,0,0,0,0,0,0,0,0,0,0,0,0,0,0,0,0,0,0,0,0,0,0,0,0,0,0,0,0,0,0,0,0,0,0,0,0,0,0,0,0,0" textboxrect="0,0,309,330"/>
                  <o:lock v:ext="edit" verticies="t"/>
                  <v:textbox>
                    <w:txbxContent>
                      <w:p w14:paraId="78B3D850" w14:textId="77777777" w:rsidR="001501D6" w:rsidRDefault="001501D6" w:rsidP="000E4CC6">
                        <w:pPr>
                          <w:rPr>
                            <w:rFonts w:eastAsia="Times New Roman"/>
                          </w:rPr>
                        </w:pPr>
                      </w:p>
                    </w:txbxContent>
                  </v:textbox>
                </v:shape>
                <v:shape id="Freeform 39" o:spid="_x0000_s1445" style="position:absolute;left:346075;top:157162;width:117475;height:119063;visibility:visible;mso-wrap-style:square;v-text-anchor:top" coordsize="74,75"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oJBWxAAA&#10;ANwAAAAPAAAAZHJzL2Rvd25yZXYueG1sRI/RagIxFETfhf5DuIW+aVIfWtkaZWlRBOmC2g+4bK67&#10;Szc3IYnutl9vCgUfh5k5wyzXo+3FlULsHGt4nikQxLUzHTcavk6b6QJETMgGe8ek4YcirFcPkyUW&#10;xg18oOsxNSJDOBaooU3JF1LGuiWLceY8cfbOLlhMWYZGmoBDhttezpV6kRY7zgstenpvqf4+XqwG&#10;/7tdqH01VONlW/ny8yOU6hy0fnocyzcQicZ0D/+3d0bDq5rD35l8BOTq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XqCQVsQAAADcAAAADwAAAAAAAAAAAAAAAACXAgAAZHJzL2Rv&#10;d25yZXYueG1sUEsFBgAAAAAEAAQA9QAAAIgDAAAAAA==&#10;" adj="-11796480,,5400" path="m38,0l48,2,57,6,65,12,70,20,73,29,74,39,72,49,69,58,63,65,55,70,46,74,36,75,26,74,17,69,10,63,4,56,1,46,,36,2,26,6,18,12,10,19,5,28,1,38,0xe" filled="f" stroked="f" strokeweight="0">
                  <v:stroke joinstyle="round"/>
                  <v:formulas/>
                  <v:path arrowok="t" o:connecttype="custom" o:connectlocs="38,0;48,2;57,6;65,12;70,20;73,29;74,39;72,49;69,58;63,65;55,70;46,74;36,75;26,74;17,69;10,63;4,56;1,46;0,36;2,26;6,18;12,10;19,5;28,1;38,0" o:connectangles="0,0,0,0,0,0,0,0,0,0,0,0,0,0,0,0,0,0,0,0,0,0,0,0,0" textboxrect="0,0,74,75"/>
                  <v:textbox>
                    <w:txbxContent>
                      <w:p w14:paraId="267E7DE2" w14:textId="77777777" w:rsidR="001501D6" w:rsidRDefault="001501D6" w:rsidP="000E4CC6">
                        <w:pPr>
                          <w:rPr>
                            <w:rFonts w:eastAsia="Times New Roman"/>
                          </w:rPr>
                        </w:pPr>
                      </w:p>
                    </w:txbxContent>
                  </v:textbox>
                </v:shape>
              </v:group>
            </w:pict>
          </mc:Fallback>
        </mc:AlternateContent>
      </w:r>
      <w:r>
        <w:rPr>
          <w:noProof/>
          <w:lang w:eastAsia="fr-FR"/>
        </w:rPr>
        <mc:AlternateContent>
          <mc:Choice Requires="wps">
            <w:drawing>
              <wp:anchor distT="0" distB="0" distL="114300" distR="114300" simplePos="0" relativeHeight="252910592" behindDoc="0" locked="0" layoutInCell="1" allowOverlap="1" wp14:anchorId="672A07E9" wp14:editId="30C07529">
                <wp:simplePos x="0" y="0"/>
                <wp:positionH relativeFrom="column">
                  <wp:posOffset>2286000</wp:posOffset>
                </wp:positionH>
                <wp:positionV relativeFrom="paragraph">
                  <wp:posOffset>417195</wp:posOffset>
                </wp:positionV>
                <wp:extent cx="1828800" cy="571500"/>
                <wp:effectExtent l="76200" t="76200" r="76200" b="63500"/>
                <wp:wrapNone/>
                <wp:docPr id="706" name="Flèche vers la gauche 706"/>
                <wp:cNvGraphicFramePr/>
                <a:graphic xmlns:a="http://schemas.openxmlformats.org/drawingml/2006/main">
                  <a:graphicData uri="http://schemas.microsoft.com/office/word/2010/wordprocessingShape">
                    <wps:wsp>
                      <wps:cNvSpPr/>
                      <wps:spPr>
                        <a:xfrm>
                          <a:off x="0" y="0"/>
                          <a:ext cx="1828800" cy="571500"/>
                        </a:xfrm>
                        <a:prstGeom prst="leftArrow">
                          <a:avLst/>
                        </a:prstGeom>
                        <a:solidFill>
                          <a:srgbClr val="008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A19C70E" w14:textId="3CFE858E" w:rsidR="00573C95" w:rsidRPr="00B015A9" w:rsidRDefault="00573C95" w:rsidP="000E4CC6">
                            <w:pPr>
                              <w:jc w:val="center"/>
                              <w:rPr>
                                <w:sz w:val="20"/>
                                <w:szCs w:val="20"/>
                              </w:rPr>
                            </w:pPr>
                            <w:r>
                              <w:rPr>
                                <w:sz w:val="20"/>
                                <w:szCs w:val="20"/>
                              </w:rPr>
                              <w:t>Annulation de la dette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706" o:spid="_x0000_s1446" type="#_x0000_t66" style="position:absolute;margin-left:180pt;margin-top:32.85pt;width:2in;height:45pt;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" adj="3375" fillcolor="green">
                <v:textbox>
                  <w:txbxContent>
                    <w:p w14:paraId="1A19C70E" w14:textId="3CFE858E" w:rsidR="001501D6" w:rsidRPr="00B015A9" w:rsidRDefault="001501D6" w:rsidP="000E4CC6">
                      <w:pPr>
                        <w:jc w:val="center"/>
                        <w:rPr>
                          <w:sz w:val="20"/>
                          <w:szCs w:val="20"/>
                        </w:rPr>
                      </w:pPr>
                      <w:r>
                        <w:rPr>
                          <w:sz w:val="20"/>
                          <w:szCs w:val="20"/>
                        </w:rPr>
                        <w:t>Annulation de la dette</w:t>
                      </w:r>
                    </w:p>
                  </w:txbxContent>
                </v:textbox>
              </v:shape>
            </w:pict>
          </mc:Fallback>
        </mc:AlternateContent>
      </w:r>
      <w:r>
        <w:rPr>
          <w:noProof/>
          <w:lang w:eastAsia="fr-FR"/>
        </w:rPr>
        <mc:AlternateContent>
          <mc:Choice Requires="wps">
            <w:drawing>
              <wp:anchor distT="0" distB="0" distL="114300" distR="114300" simplePos="0" relativeHeight="252909568" behindDoc="0" locked="0" layoutInCell="1" allowOverlap="1" wp14:anchorId="35E740A8" wp14:editId="6DF024CB">
                <wp:simplePos x="0" y="0"/>
                <wp:positionH relativeFrom="column">
                  <wp:posOffset>1143000</wp:posOffset>
                </wp:positionH>
                <wp:positionV relativeFrom="paragraph">
                  <wp:posOffset>127000</wp:posOffset>
                </wp:positionV>
                <wp:extent cx="1485900" cy="914400"/>
                <wp:effectExtent l="0" t="0" r="0" b="0"/>
                <wp:wrapNone/>
                <wp:docPr id="705" name="Zone de texte 705"/>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238108" w14:textId="77777777" w:rsidR="00573C95" w:rsidRDefault="00573C95" w:rsidP="000E4CC6">
                            <w:pPr>
                              <w:jc w:val="center"/>
                            </w:pPr>
                            <w:r>
                              <w:t>Investisseur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05" o:spid="_x0000_s1447" type="#_x0000_t202" style="position:absolute;margin-left:90pt;margin-top:10pt;width:117pt;height:1in;z-index:2529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" filled="f" stroked="f">
                <v:textbox>
                  <w:txbxContent>
                    <w:p w14:paraId="11238108" w14:textId="77777777" w:rsidR="001501D6" w:rsidRDefault="001501D6" w:rsidP="000E4CC6">
                      <w:pPr>
                        <w:jc w:val="center"/>
                      </w:pPr>
                      <w:r>
                        <w:t>Investisseur</w:t>
                      </w:r>
                    </w:p>
                  </w:txbxContent>
                </v:textbox>
              </v:shape>
            </w:pict>
          </mc:Fallback>
        </mc:AlternateContent>
      </w:r>
      <w:r>
        <w:rPr>
          <w:noProof/>
          <w:lang w:eastAsia="fr-FR"/>
        </w:rPr>
        <mc:AlternateContent>
          <mc:Choice Requires="wps">
            <w:drawing>
              <wp:anchor distT="0" distB="0" distL="114300" distR="114300" simplePos="0" relativeHeight="252908544" behindDoc="0" locked="0" layoutInCell="1" allowOverlap="1" wp14:anchorId="1D471DBE" wp14:editId="0CD54CCE">
                <wp:simplePos x="0" y="0"/>
                <wp:positionH relativeFrom="column">
                  <wp:posOffset>4000500</wp:posOffset>
                </wp:positionH>
                <wp:positionV relativeFrom="paragraph">
                  <wp:posOffset>127000</wp:posOffset>
                </wp:positionV>
                <wp:extent cx="1485900" cy="914400"/>
                <wp:effectExtent l="0" t="0" r="0" b="0"/>
                <wp:wrapSquare wrapText="bothSides"/>
                <wp:docPr id="704" name="Zone de texte 704"/>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15246F" w14:textId="77777777" w:rsidR="00573C95" w:rsidRDefault="00573C95" w:rsidP="000E4CC6">
                            <w:pPr>
                              <w:jc w:val="center"/>
                            </w:pPr>
                            <w:r>
                              <w:t>Courtier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04" o:spid="_x0000_s1448" type="#_x0000_t202" style="position:absolute;margin-left:315pt;margin-top:10pt;width:117pt;height:1in;z-index:2529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" filled="f" stroked="f">
                <v:textbox>
                  <w:txbxContent>
                    <w:p w14:paraId="4715246F" w14:textId="77777777" w:rsidR="001501D6" w:rsidRDefault="001501D6" w:rsidP="000E4CC6">
                      <w:pPr>
                        <w:jc w:val="center"/>
                      </w:pPr>
                      <w:r>
                        <w:t>Courtier</w:t>
                      </w:r>
                    </w:p>
                  </w:txbxContent>
                </v:textbox>
                <w10:wrap type="square"/>
              </v:shape>
            </w:pict>
          </mc:Fallback>
        </mc:AlternateContent>
      </w:r>
      <w:r w:rsidR="00B91005">
        <w:rPr>
          <w:noProof/>
          <w:lang w:eastAsia="fr-FR"/>
        </w:rPr>
        <mc:AlternateContent>
          <mc:Choice Requires="wps">
            <w:drawing>
              <wp:anchor distT="0" distB="0" distL="114300" distR="114300" simplePos="0" relativeHeight="252913664" behindDoc="0" locked="0" layoutInCell="1" allowOverlap="1" wp14:anchorId="77462613" wp14:editId="782E5B4E">
                <wp:simplePos x="0" y="0"/>
                <wp:positionH relativeFrom="column">
                  <wp:posOffset>5372100</wp:posOffset>
                </wp:positionH>
                <wp:positionV relativeFrom="paragraph">
                  <wp:posOffset>74295</wp:posOffset>
                </wp:positionV>
                <wp:extent cx="1485900" cy="914400"/>
                <wp:effectExtent l="0" t="0" r="0" b="0"/>
                <wp:wrapSquare wrapText="bothSides"/>
                <wp:docPr id="709" name="Zone de texte 709"/>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B3F673" w14:textId="77777777" w:rsidR="00573C95" w:rsidRDefault="00573C95" w:rsidP="000E4CC6">
                            <w:pPr>
                              <w:jc w:val="center"/>
                            </w:pPr>
                            <w:r>
                              <w:t>JVM des actions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09" o:spid="_x0000_s1449" type="#_x0000_t202" style="position:absolute;margin-left:423pt;margin-top:5.85pt;width:117pt;height:1in;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" filled="f" stroked="f">
                <v:textbox>
                  <w:txbxContent>
                    <w:p w14:paraId="3CB3F673" w14:textId="77777777" w:rsidR="001501D6" w:rsidRDefault="001501D6" w:rsidP="000E4CC6">
                      <w:pPr>
                        <w:jc w:val="center"/>
                      </w:pPr>
                      <w:r>
                        <w:t>JVM des actions</w:t>
                      </w:r>
                    </w:p>
                  </w:txbxContent>
                </v:textbox>
                <w10:wrap type="square"/>
              </v:shape>
            </w:pict>
          </mc:Fallback>
        </mc:AlternateContent>
      </w:r>
    </w:p>
    <w:p w14:paraId="78A7F4F7" w14:textId="3DD952AA" w:rsidR="00B91005" w:rsidRDefault="00B91005">
      <w:pPr>
        <w:rPr>
          <w:color w:val="FF6700" w:themeColor="accent3"/>
        </w:rPr>
      </w:pPr>
    </w:p>
    <w:p w14:paraId="514B80C1" w14:textId="77777777" w:rsidR="00B91005" w:rsidRDefault="00B91005">
      <w:pPr>
        <w:rPr>
          <w:color w:val="FF6700" w:themeColor="accent3"/>
        </w:rPr>
      </w:pPr>
    </w:p>
    <w:p w14:paraId="5E6D8D7C" w14:textId="29703D98" w:rsidR="00B91005" w:rsidRDefault="00B91005">
      <w:pPr>
        <w:rPr>
          <w:color w:val="FF6700" w:themeColor="accent3"/>
        </w:rPr>
      </w:pPr>
      <w:r>
        <w:rPr>
          <w:noProof/>
          <w:lang w:eastAsia="fr-FR"/>
        </w:rPr>
        <mc:AlternateContent>
          <mc:Choice Requires="wps">
            <w:drawing>
              <wp:anchor distT="0" distB="0" distL="114300" distR="114300" simplePos="0" relativeHeight="252919808" behindDoc="0" locked="0" layoutInCell="1" allowOverlap="1" wp14:anchorId="6D959D6A" wp14:editId="2571A7CA">
                <wp:simplePos x="0" y="0"/>
                <wp:positionH relativeFrom="column">
                  <wp:posOffset>7086600</wp:posOffset>
                </wp:positionH>
                <wp:positionV relativeFrom="paragraph">
                  <wp:posOffset>85725</wp:posOffset>
                </wp:positionV>
                <wp:extent cx="661035" cy="342900"/>
                <wp:effectExtent l="0" t="0" r="24765" b="38100"/>
                <wp:wrapThrough wrapText="bothSides">
                  <wp:wrapPolygon edited="0">
                    <wp:start x="0" y="0"/>
                    <wp:lineTo x="0" y="22400"/>
                    <wp:lineTo x="21579" y="22400"/>
                    <wp:lineTo x="21579" y="0"/>
                    <wp:lineTo x="0" y="0"/>
                  </wp:wrapPolygon>
                </wp:wrapThrough>
                <wp:docPr id="715" name="Rectangle à coins arrondis 715"/>
                <wp:cNvGraphicFramePr/>
                <a:graphic xmlns:a="http://schemas.openxmlformats.org/drawingml/2006/main">
                  <a:graphicData uri="http://schemas.microsoft.com/office/word/2010/wordprocessingShape">
                    <wps:wsp>
                      <wps:cNvSpPr/>
                      <wps:spPr>
                        <a:xfrm>
                          <a:off x="0" y="0"/>
                          <a:ext cx="661035" cy="342900"/>
                        </a:xfrm>
                        <a:prstGeom prst="roundRect">
                          <a:avLst/>
                        </a:prstGeom>
                        <a:solidFill>
                          <a:schemeClr val="accent4"/>
                        </a:solidFill>
                        <a:ln>
                          <a:solidFill>
                            <a:schemeClr val="tx1"/>
                          </a:solidFill>
                        </a:ln>
                      </wps:spPr>
                      <wps:style>
                        <a:lnRef idx="3">
                          <a:schemeClr val="lt1"/>
                        </a:lnRef>
                        <a:fillRef idx="1">
                          <a:schemeClr val="dk1"/>
                        </a:fillRef>
                        <a:effectRef idx="1">
                          <a:schemeClr val="dk1"/>
                        </a:effectRef>
                        <a:fontRef idx="minor">
                          <a:schemeClr val="lt1"/>
                        </a:fontRef>
                      </wps:style>
                      <wps:txbx>
                        <w:txbxContent>
                          <w:p w14:paraId="34416A1A" w14:textId="77777777" w:rsidR="00573C95" w:rsidRPr="00FE2EB4" w:rsidRDefault="00573C95" w:rsidP="00B91005">
                            <w:pPr>
                              <w:jc w:val="center"/>
                              <w:rPr>
                                <w:color w:val="000000" w:themeColor="text1"/>
                              </w:rPr>
                            </w:pPr>
                            <w:r>
                              <w:rPr>
                                <w:color w:val="000000" w:themeColor="text1"/>
                              </w:rPr>
                              <w:t>AOÛT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15" o:spid="_x0000_s1450" style="position:absolute;margin-left:558pt;margin-top:6.75pt;width:52.05pt;height:27pt;z-index:25291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" fillcolor="#909465 [3207]" strokecolor="black [3213]" strokeweight="1.75pt">
                <v:textbox>
                  <w:txbxContent>
                    <w:p w14:paraId="34416A1A" w14:textId="77777777" w:rsidR="001501D6" w:rsidRPr="00FE2EB4" w:rsidRDefault="001501D6" w:rsidP="00B91005">
                      <w:pPr>
                        <w:jc w:val="center"/>
                        <w:rPr>
                          <w:color w:val="000000" w:themeColor="text1"/>
                        </w:rPr>
                      </w:pPr>
                      <w:r>
                        <w:rPr>
                          <w:color w:val="000000" w:themeColor="text1"/>
                        </w:rPr>
                        <w:t>AOÛT</w:t>
                      </w:r>
                    </w:p>
                  </w:txbxContent>
                </v:textbox>
                <w10:wrap type="through"/>
              </v:roundrect>
            </w:pict>
          </mc:Fallback>
        </mc:AlternateContent>
      </w:r>
      <w:r>
        <w:rPr>
          <w:noProof/>
          <w:lang w:eastAsia="fr-FR"/>
        </w:rPr>
        <mc:AlternateContent>
          <mc:Choice Requires="wps">
            <w:drawing>
              <wp:anchor distT="0" distB="0" distL="114300" distR="114300" simplePos="0" relativeHeight="252918784" behindDoc="0" locked="0" layoutInCell="1" allowOverlap="1" wp14:anchorId="52ACFBA4" wp14:editId="143EABF4">
                <wp:simplePos x="0" y="0"/>
                <wp:positionH relativeFrom="column">
                  <wp:posOffset>7086600</wp:posOffset>
                </wp:positionH>
                <wp:positionV relativeFrom="paragraph">
                  <wp:posOffset>200025</wp:posOffset>
                </wp:positionV>
                <wp:extent cx="661035" cy="685800"/>
                <wp:effectExtent l="50800" t="76200" r="50165" b="76200"/>
                <wp:wrapThrough wrapText="bothSides">
                  <wp:wrapPolygon edited="0">
                    <wp:start x="-1660" y="-2400"/>
                    <wp:lineTo x="-1660" y="23200"/>
                    <wp:lineTo x="22409" y="23200"/>
                    <wp:lineTo x="22409" y="-2400"/>
                    <wp:lineTo x="-1660" y="-2400"/>
                  </wp:wrapPolygon>
                </wp:wrapThrough>
                <wp:docPr id="714" name="Rectangle à coins arrondis 714"/>
                <wp:cNvGraphicFramePr/>
                <a:graphic xmlns:a="http://schemas.openxmlformats.org/drawingml/2006/main">
                  <a:graphicData uri="http://schemas.microsoft.com/office/word/2010/wordprocessingShape">
                    <wps:wsp>
                      <wps:cNvSpPr/>
                      <wps:spPr>
                        <a:xfrm>
                          <a:off x="0" y="0"/>
                          <a:ext cx="661035" cy="685800"/>
                        </a:xfrm>
                        <a:prstGeom prst="round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23CEB25" w14:textId="77777777" w:rsidR="00573C95" w:rsidRDefault="00573C95" w:rsidP="00B91005">
                            <w:pPr>
                              <w:jc w:val="center"/>
                            </w:pPr>
                            <w:r>
                              <w:t>2323</w:t>
                            </w:r>
                          </w:p>
                          <w:p w14:paraId="76158FFA" w14:textId="77777777" w:rsidR="00573C95" w:rsidRPr="00FE2EB4" w:rsidRDefault="00573C95" w:rsidP="00B91005">
                            <w:pPr>
                              <w:jc w:val="center"/>
                              <w:rPr>
                                <w:sz w:val="44"/>
                                <w:szCs w:val="44"/>
                              </w:rPr>
                            </w:pPr>
                            <w:r>
                              <w:rPr>
                                <w:sz w:val="44"/>
                                <w:szCs w:val="44"/>
                              </w:rPr>
                              <w:t>23</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14" o:spid="_x0000_s1451" style="position:absolute;margin-left:558pt;margin-top:15.75pt;width:52.05pt;height:54pt;z-index:2529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" fillcolor="maroon">
                <v:textbox>
                  <w:txbxContent>
                    <w:p w14:paraId="023CEB25" w14:textId="77777777" w:rsidR="001501D6" w:rsidRDefault="001501D6" w:rsidP="00B91005">
                      <w:pPr>
                        <w:jc w:val="center"/>
                      </w:pPr>
                      <w:r>
                        <w:t>2323</w:t>
                      </w:r>
                    </w:p>
                    <w:p w14:paraId="76158FFA" w14:textId="77777777" w:rsidR="001501D6" w:rsidRPr="00FE2EB4" w:rsidRDefault="001501D6" w:rsidP="00B91005">
                      <w:pPr>
                        <w:jc w:val="center"/>
                        <w:rPr>
                          <w:sz w:val="44"/>
                          <w:szCs w:val="44"/>
                        </w:rPr>
                      </w:pPr>
                      <w:r>
                        <w:rPr>
                          <w:sz w:val="44"/>
                          <w:szCs w:val="44"/>
                        </w:rPr>
                        <w:t>23</w:t>
                      </w:r>
                    </w:p>
                  </w:txbxContent>
                </v:textbox>
                <w10:wrap type="through"/>
              </v:roundrect>
            </w:pict>
          </mc:Fallback>
        </mc:AlternateContent>
      </w:r>
      <w:r>
        <w:rPr>
          <w:noProof/>
          <w:lang w:eastAsia="fr-FR"/>
        </w:rPr>
        <mc:AlternateContent>
          <mc:Choice Requires="wps">
            <w:drawing>
              <wp:anchor distT="0" distB="0" distL="114300" distR="114300" simplePos="0" relativeHeight="252912640" behindDoc="0" locked="0" layoutInCell="1" allowOverlap="1" wp14:anchorId="347C4499" wp14:editId="435772A0">
                <wp:simplePos x="0" y="0"/>
                <wp:positionH relativeFrom="column">
                  <wp:posOffset>5943600</wp:posOffset>
                </wp:positionH>
                <wp:positionV relativeFrom="paragraph">
                  <wp:posOffset>67310</wp:posOffset>
                </wp:positionV>
                <wp:extent cx="342900" cy="998220"/>
                <wp:effectExtent l="76200" t="76200" r="63500" b="68580"/>
                <wp:wrapThrough wrapText="bothSides">
                  <wp:wrapPolygon edited="0">
                    <wp:start x="-4800" y="-1649"/>
                    <wp:lineTo x="-4800" y="22534"/>
                    <wp:lineTo x="24000" y="22534"/>
                    <wp:lineTo x="24000" y="-1649"/>
                    <wp:lineTo x="-4800" y="-1649"/>
                  </wp:wrapPolygon>
                </wp:wrapThrough>
                <wp:docPr id="708" name="Rectangle à coins arrondis 708"/>
                <wp:cNvGraphicFramePr/>
                <a:graphic xmlns:a="http://schemas.openxmlformats.org/drawingml/2006/main">
                  <a:graphicData uri="http://schemas.microsoft.com/office/word/2010/wordprocessingShape">
                    <wps:wsp>
                      <wps:cNvSpPr/>
                      <wps:spPr>
                        <a:xfrm>
                          <a:off x="0" y="0"/>
                          <a:ext cx="342900" cy="998220"/>
                        </a:xfrm>
                        <a:prstGeom prst="roundRect">
                          <a:avLst/>
                        </a:prstGeom>
                        <a:solidFill>
                          <a:srgbClr val="628D8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4E69377" w14:textId="63E3A618" w:rsidR="00573C95" w:rsidRDefault="00573C95" w:rsidP="000E4CC6">
                            <w:pPr>
                              <w:jc w:val="center"/>
                            </w:pPr>
                            <w:r>
                              <w:t>22 000 $</w:t>
                            </w:r>
                          </w:p>
                        </w:txbxContent>
                      </wps:txbx>
                      <wps:bodyPr vert="vert270"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08" o:spid="_x0000_s1452" style="position:absolute;margin-left:468pt;margin-top:5.3pt;width:27pt;height:78.6pt;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" fillcolor="#628d81">
                <v:textbox style="layout-flow:vertical;mso-layout-flow-alt:bottom-to-top">
                  <w:txbxContent>
                    <w:p w14:paraId="24E69377" w14:textId="63E3A618" w:rsidR="001501D6" w:rsidRDefault="001501D6" w:rsidP="000E4CC6">
                      <w:pPr>
                        <w:jc w:val="center"/>
                      </w:pPr>
                      <w:r>
                        <w:t>22 000 $</w:t>
                      </w:r>
                    </w:p>
                  </w:txbxContent>
                </v:textbox>
                <w10:wrap type="through"/>
              </v:roundrect>
            </w:pict>
          </mc:Fallback>
        </mc:AlternateContent>
      </w:r>
    </w:p>
    <w:p w14:paraId="61D90C27" w14:textId="6FC006E5" w:rsidR="00E3405C" w:rsidRDefault="004308CC">
      <w:pPr>
        <w:rPr>
          <w:color w:val="000000" w:themeColor="text1"/>
        </w:rPr>
      </w:pPr>
      <w:r>
        <w:rPr>
          <w:noProof/>
          <w:lang w:eastAsia="fr-FR"/>
        </w:rPr>
        <mc:AlternateContent>
          <mc:Choice Requires="wps">
            <w:drawing>
              <wp:anchor distT="0" distB="0" distL="114300" distR="114300" simplePos="0" relativeHeight="252922880" behindDoc="0" locked="0" layoutInCell="1" allowOverlap="1" wp14:anchorId="76FD2E1C" wp14:editId="36837915">
                <wp:simplePos x="0" y="0"/>
                <wp:positionH relativeFrom="column">
                  <wp:posOffset>-571500</wp:posOffset>
                </wp:positionH>
                <wp:positionV relativeFrom="paragraph">
                  <wp:posOffset>1841500</wp:posOffset>
                </wp:positionV>
                <wp:extent cx="457200" cy="457200"/>
                <wp:effectExtent l="0" t="0" r="25400" b="25400"/>
                <wp:wrapNone/>
                <wp:docPr id="720" name="Ellipse 720"/>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906E79E" w14:textId="029BC1BF" w:rsidR="00573C95" w:rsidRPr="00BF5FC4" w:rsidRDefault="00573C95" w:rsidP="004308CC">
                            <w:pPr>
                              <w:jc w:val="center"/>
                              <w:rPr>
                                <w:color w:val="FFFFFF" w:themeColor="background1"/>
                              </w:rPr>
                            </w:pPr>
                            <w:r>
                              <w:rPr>
                                <w:color w:val="FFFFFF" w:themeColor="background1"/>
                              </w:rPr>
                              <w:t>5</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20" o:spid="_x0000_s1453" style="position:absolute;margin-left:-44.95pt;margin-top:145pt;width:36pt;height:36pt;z-index:2529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" fillcolor="black [3200]" strokecolor="white [3201]" strokeweight="1.75pt">
                <v:textbox>
                  <w:txbxContent>
                    <w:p w14:paraId="3906E79E" w14:textId="029BC1BF" w:rsidR="001501D6" w:rsidRPr="00BF5FC4" w:rsidRDefault="001501D6" w:rsidP="004308CC">
                      <w:pPr>
                        <w:jc w:val="center"/>
                        <w:rPr>
                          <w:color w:val="FFFFFF" w:themeColor="background1"/>
                        </w:rPr>
                      </w:pPr>
                      <w:r>
                        <w:rPr>
                          <w:color w:val="FFFFFF" w:themeColor="background1"/>
                        </w:rPr>
                        <w:t>5</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2924928" behindDoc="0" locked="0" layoutInCell="1" allowOverlap="1" wp14:anchorId="6AEDFEB3" wp14:editId="79634707">
                <wp:simplePos x="0" y="0"/>
                <wp:positionH relativeFrom="column">
                  <wp:posOffset>1143000</wp:posOffset>
                </wp:positionH>
                <wp:positionV relativeFrom="paragraph">
                  <wp:posOffset>1250315</wp:posOffset>
                </wp:positionV>
                <wp:extent cx="1485900" cy="914400"/>
                <wp:effectExtent l="0" t="0" r="0" b="0"/>
                <wp:wrapNone/>
                <wp:docPr id="722" name="Zone de texte 722"/>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04976F" w14:textId="77777777" w:rsidR="00573C95" w:rsidRDefault="00573C95" w:rsidP="004308CC">
                            <w:pPr>
                              <w:jc w:val="center"/>
                            </w:pPr>
                            <w:r>
                              <w:t>Investisseur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22" o:spid="_x0000_s1454" type="#_x0000_t202" style="position:absolute;margin-left:90pt;margin-top:98.45pt;width:117pt;height:1in;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" filled="f" stroked="f">
                <v:textbox>
                  <w:txbxContent>
                    <w:p w14:paraId="6C04976F" w14:textId="77777777" w:rsidR="001501D6" w:rsidRDefault="001501D6" w:rsidP="004308CC">
                      <w:pPr>
                        <w:jc w:val="center"/>
                      </w:pPr>
                      <w:r>
                        <w:t>Investisseur</w:t>
                      </w:r>
                    </w:p>
                  </w:txbxContent>
                </v:textbox>
              </v:shape>
            </w:pict>
          </mc:Fallback>
        </mc:AlternateContent>
      </w:r>
      <w:r>
        <w:rPr>
          <w:noProof/>
          <w:lang w:eastAsia="fr-FR"/>
        </w:rPr>
        <mc:AlternateContent>
          <mc:Choice Requires="wps">
            <w:drawing>
              <wp:anchor distT="0" distB="0" distL="114300" distR="114300" simplePos="0" relativeHeight="252925952" behindDoc="0" locked="0" layoutInCell="1" allowOverlap="1" wp14:anchorId="0B61B3B5" wp14:editId="198A58B9">
                <wp:simplePos x="0" y="0"/>
                <wp:positionH relativeFrom="column">
                  <wp:posOffset>2286000</wp:posOffset>
                </wp:positionH>
                <wp:positionV relativeFrom="paragraph">
                  <wp:posOffset>1540510</wp:posOffset>
                </wp:positionV>
                <wp:extent cx="1828800" cy="571500"/>
                <wp:effectExtent l="76200" t="76200" r="76200" b="63500"/>
                <wp:wrapNone/>
                <wp:docPr id="723" name="Flèche vers la gauche 723"/>
                <wp:cNvGraphicFramePr/>
                <a:graphic xmlns:a="http://schemas.openxmlformats.org/drawingml/2006/main">
                  <a:graphicData uri="http://schemas.microsoft.com/office/word/2010/wordprocessingShape">
                    <wps:wsp>
                      <wps:cNvSpPr/>
                      <wps:spPr>
                        <a:xfrm>
                          <a:off x="0" y="0"/>
                          <a:ext cx="1828800" cy="571500"/>
                        </a:xfrm>
                        <a:prstGeom prst="leftArrow">
                          <a:avLst/>
                        </a:prstGeom>
                        <a:solidFill>
                          <a:srgbClr val="FF0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5434119" w14:textId="2430882F" w:rsidR="00573C95" w:rsidRPr="00B015A9" w:rsidRDefault="00573C95" w:rsidP="004308CC">
                            <w:pPr>
                              <w:jc w:val="center"/>
                              <w:rPr>
                                <w:sz w:val="20"/>
                                <w:szCs w:val="20"/>
                              </w:rPr>
                            </w:pPr>
                            <w:r>
                              <w:rPr>
                                <w:sz w:val="20"/>
                                <w:szCs w:val="20"/>
                              </w:rPr>
                              <w:t>Avance de la marge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Flèche vers la gauche 723" o:spid="_x0000_s1455" type="#_x0000_t66" style="position:absolute;margin-left:180pt;margin-top:121.3pt;width:2in;height:45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" adj="3375" fillcolor="red">
                <v:textbox>
                  <w:txbxContent>
                    <w:p w14:paraId="35434119" w14:textId="2430882F" w:rsidR="001501D6" w:rsidRPr="00B015A9" w:rsidRDefault="001501D6" w:rsidP="004308CC">
                      <w:pPr>
                        <w:jc w:val="center"/>
                        <w:rPr>
                          <w:sz w:val="20"/>
                          <w:szCs w:val="20"/>
                        </w:rPr>
                      </w:pPr>
                      <w:r>
                        <w:rPr>
                          <w:sz w:val="20"/>
                          <w:szCs w:val="20"/>
                        </w:rPr>
                        <w:t>Avance de la marge</w:t>
                      </w:r>
                    </w:p>
                  </w:txbxContent>
                </v:textbox>
              </v:shape>
            </w:pict>
          </mc:Fallback>
        </mc:AlternateContent>
      </w:r>
      <w:r>
        <w:rPr>
          <w:noProof/>
          <w:lang w:eastAsia="fr-FR"/>
        </w:rPr>
        <mc:AlternateContent>
          <mc:Choice Requires="wps">
            <w:drawing>
              <wp:anchor distT="0" distB="0" distL="114300" distR="114300" simplePos="0" relativeHeight="252926976" behindDoc="0" locked="0" layoutInCell="1" allowOverlap="1" wp14:anchorId="7F517FE3" wp14:editId="205AB837">
                <wp:simplePos x="0" y="0"/>
                <wp:positionH relativeFrom="column">
                  <wp:posOffset>2286000</wp:posOffset>
                </wp:positionH>
                <wp:positionV relativeFrom="paragraph">
                  <wp:posOffset>2173605</wp:posOffset>
                </wp:positionV>
                <wp:extent cx="1828800" cy="571500"/>
                <wp:effectExtent l="76200" t="76200" r="50800" b="63500"/>
                <wp:wrapThrough wrapText="bothSides">
                  <wp:wrapPolygon edited="0">
                    <wp:start x="17400" y="-2880"/>
                    <wp:lineTo x="-900" y="-960"/>
                    <wp:lineTo x="-900" y="14400"/>
                    <wp:lineTo x="17100" y="21120"/>
                    <wp:lineTo x="17400" y="23040"/>
                    <wp:lineTo x="19200" y="23040"/>
                    <wp:lineTo x="19500" y="21120"/>
                    <wp:lineTo x="21900" y="12480"/>
                    <wp:lineTo x="21000" y="5760"/>
                    <wp:lineTo x="19200" y="-2880"/>
                    <wp:lineTo x="17400" y="-2880"/>
                  </wp:wrapPolygon>
                </wp:wrapThrough>
                <wp:docPr id="724" name="Flèche vers la droite 724"/>
                <wp:cNvGraphicFramePr/>
                <a:graphic xmlns:a="http://schemas.openxmlformats.org/drawingml/2006/main">
                  <a:graphicData uri="http://schemas.microsoft.com/office/word/2010/wordprocessingShape">
                    <wps:wsp>
                      <wps:cNvSpPr/>
                      <wps:spPr>
                        <a:xfrm>
                          <a:off x="0" y="0"/>
                          <a:ext cx="1828800" cy="571500"/>
                        </a:xfrm>
                        <a:prstGeom prst="rightArrow">
                          <a:avLst/>
                        </a:prstGeom>
                        <a:solidFill>
                          <a:schemeClr val="accent3"/>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D6A5DBA" w14:textId="6C5B64F1" w:rsidR="00573C95" w:rsidRPr="00FE2EB4" w:rsidRDefault="00573C95" w:rsidP="004308CC">
                            <w:pPr>
                              <w:jc w:val="center"/>
                              <w:rPr>
                                <w:sz w:val="20"/>
                                <w:szCs w:val="20"/>
                              </w:rPr>
                            </w:pPr>
                            <w:r>
                              <w:rPr>
                                <w:sz w:val="20"/>
                                <w:szCs w:val="20"/>
                              </w:rPr>
                              <w:t>Dette sur la marge</w:t>
                            </w:r>
                          </w:p>
                        </w:txbxContent>
                      </wps:txbx>
                      <wps:bodyPr/>
                    </wps:wsp>
                  </a:graphicData>
                </a:graphic>
                <wp14:sizeRelH relativeFrom="margin">
                  <wp14:pctWidth>0</wp14:pctWidth>
                </wp14:sizeRelH>
                <wp14:sizeRelV relativeFrom="margin">
                  <wp14:pctHeight>0</wp14:pctHeight>
                </wp14:sizeRelV>
              </wp:anchor>
            </w:drawing>
          </mc:Choice>
          <mc:Fallback>
            <w:pict>
              <v:shape id="Flèche vers la droite 724" o:spid="_x0000_s1456" type="#_x0000_t13" style="position:absolute;margin-left:180pt;margin-top:171.15pt;width:2in;height:45pt;z-index:2529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" adj="18225" fillcolor="#ff6700 [3206]">
                <v:textbox>
                  <w:txbxContent>
                    <w:p w14:paraId="5D6A5DBA" w14:textId="6C5B64F1" w:rsidR="001501D6" w:rsidRPr="00FE2EB4" w:rsidRDefault="001501D6" w:rsidP="004308CC">
                      <w:pPr>
                        <w:jc w:val="center"/>
                        <w:rPr>
                          <w:sz w:val="20"/>
                          <w:szCs w:val="20"/>
                        </w:rPr>
                      </w:pPr>
                      <w:r>
                        <w:rPr>
                          <w:sz w:val="20"/>
                          <w:szCs w:val="20"/>
                        </w:rPr>
                        <w:t>Dette sur la marge</w:t>
                      </w:r>
                    </w:p>
                  </w:txbxContent>
                </v:textbox>
                <w10:wrap type="through"/>
              </v:shape>
            </w:pict>
          </mc:Fallback>
        </mc:AlternateContent>
      </w:r>
      <w:r>
        <w:rPr>
          <w:noProof/>
          <w:lang w:eastAsia="fr-FR"/>
        </w:rPr>
        <mc:AlternateContent>
          <mc:Choice Requires="wps">
            <w:drawing>
              <wp:anchor distT="0" distB="0" distL="114300" distR="114300" simplePos="0" relativeHeight="252929024" behindDoc="0" locked="0" layoutInCell="1" allowOverlap="1" wp14:anchorId="53A985F5" wp14:editId="6BB5526B">
                <wp:simplePos x="0" y="0"/>
                <wp:positionH relativeFrom="column">
                  <wp:posOffset>5372100</wp:posOffset>
                </wp:positionH>
                <wp:positionV relativeFrom="paragraph">
                  <wp:posOffset>1197610</wp:posOffset>
                </wp:positionV>
                <wp:extent cx="1485900" cy="914400"/>
                <wp:effectExtent l="0" t="0" r="0" b="0"/>
                <wp:wrapSquare wrapText="bothSides"/>
                <wp:docPr id="726" name="Zone de texte 726"/>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F79553" w14:textId="4CEB7490" w:rsidR="00573C95" w:rsidRDefault="00573C95" w:rsidP="004308CC">
                            <w:pPr>
                              <w:jc w:val="center"/>
                            </w:pPr>
                            <w:r>
                              <w:t>Emprunt sur la marge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26" o:spid="_x0000_s1457" type="#_x0000_t202" style="position:absolute;margin-left:423pt;margin-top:94.3pt;width:117pt;height:1in;z-index:2529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" filled="f" stroked="f">
                <v:textbox>
                  <w:txbxContent>
                    <w:p w14:paraId="77F79553" w14:textId="4CEB7490" w:rsidR="001501D6" w:rsidRDefault="001501D6" w:rsidP="004308CC">
                      <w:pPr>
                        <w:jc w:val="center"/>
                      </w:pPr>
                      <w:r>
                        <w:t>Emprunt sur la marge</w:t>
                      </w:r>
                    </w:p>
                  </w:txbxContent>
                </v:textbox>
                <w10:wrap type="square"/>
              </v:shape>
            </w:pict>
          </mc:Fallback>
        </mc:AlternateContent>
      </w:r>
      <w:r>
        <w:rPr>
          <w:noProof/>
          <w:lang w:eastAsia="fr-FR"/>
        </w:rPr>
        <mc:AlternateContent>
          <mc:Choice Requires="wps">
            <w:drawing>
              <wp:anchor distT="0" distB="0" distL="114300" distR="114300" simplePos="0" relativeHeight="252930048" behindDoc="0" locked="0" layoutInCell="1" allowOverlap="1" wp14:anchorId="6B659B4B" wp14:editId="59D34560">
                <wp:simplePos x="0" y="0"/>
                <wp:positionH relativeFrom="column">
                  <wp:posOffset>6629400</wp:posOffset>
                </wp:positionH>
                <wp:positionV relativeFrom="paragraph">
                  <wp:posOffset>1083310</wp:posOffset>
                </wp:positionV>
                <wp:extent cx="1485900" cy="914400"/>
                <wp:effectExtent l="0" t="0" r="0" b="0"/>
                <wp:wrapSquare wrapText="bothSides"/>
                <wp:docPr id="727" name="Zone de texte 727"/>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B91DAA" w14:textId="098EB7BB" w:rsidR="00573C95" w:rsidRDefault="00573C95" w:rsidP="004308CC">
                            <w:pPr>
                              <w:jc w:val="center"/>
                            </w:pPr>
                            <w:r>
                              <w:t>Date du financement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27" o:spid="_x0000_s1458" type="#_x0000_t202" style="position:absolute;margin-left:522pt;margin-top:85.3pt;width:117pt;height:1in;z-index:2529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" filled="f" stroked="f">
                <v:textbox>
                  <w:txbxContent>
                    <w:p w14:paraId="5FB91DAA" w14:textId="098EB7BB" w:rsidR="001501D6" w:rsidRDefault="001501D6" w:rsidP="004308CC">
                      <w:pPr>
                        <w:jc w:val="center"/>
                      </w:pPr>
                      <w:r>
                        <w:t>Date du financement</w:t>
                      </w:r>
                    </w:p>
                  </w:txbxContent>
                </v:textbox>
                <w10:wrap type="square"/>
              </v:shape>
            </w:pict>
          </mc:Fallback>
        </mc:AlternateContent>
      </w:r>
      <w:r w:rsidRPr="006C0266">
        <w:rPr>
          <w:noProof/>
          <w:lang w:eastAsia="fr-FR"/>
        </w:rPr>
        <mc:AlternateContent>
          <mc:Choice Requires="wpg">
            <w:drawing>
              <wp:anchor distT="0" distB="0" distL="114300" distR="114300" simplePos="0" relativeHeight="252931072" behindDoc="0" locked="0" layoutInCell="1" allowOverlap="1" wp14:anchorId="0261A0E1" wp14:editId="2886E386">
                <wp:simplePos x="0" y="0"/>
                <wp:positionH relativeFrom="column">
                  <wp:posOffset>1600200</wp:posOffset>
                </wp:positionH>
                <wp:positionV relativeFrom="paragraph">
                  <wp:posOffset>1883410</wp:posOffset>
                </wp:positionV>
                <wp:extent cx="457200" cy="467995"/>
                <wp:effectExtent l="0" t="0" r="25400" b="14605"/>
                <wp:wrapNone/>
                <wp:docPr id="728" name="Group 4"/>
                <wp:cNvGraphicFramePr/>
                <a:graphic xmlns:a="http://schemas.openxmlformats.org/drawingml/2006/main">
                  <a:graphicData uri="http://schemas.microsoft.com/office/word/2010/wordprocessingGroup">
                    <wpg:wgp>
                      <wpg:cNvGrpSpPr/>
                      <wpg:grpSpPr bwMode="auto">
                        <a:xfrm>
                          <a:off x="0" y="0"/>
                          <a:ext cx="457200" cy="467995"/>
                          <a:chOff x="0" y="0"/>
                          <a:chExt cx="1110" cy="1434"/>
                        </a:xfrm>
                        <a:solidFill>
                          <a:schemeClr val="accent3"/>
                        </a:solidFill>
                        <a:extLst>
                          <a:ext uri="{0CCBE362-F206-4b92-989A-16890622DB6E}">
                            <ma14:wrappingTextBoxFlag xmlns:ma14="http://schemas.microsoft.com/office/mac/drawingml/2011/main"/>
                          </a:ext>
                        </a:extLst>
                      </wpg:grpSpPr>
                      <wps:wsp>
                        <wps:cNvPr id="729" name="Freeform 6"/>
                        <wps:cNvSpPr>
                          <a:spLocks noEditPoints="1"/>
                        </wps:cNvSpPr>
                        <wps:spPr bwMode="auto">
                          <a:xfrm>
                            <a:off x="0" y="663"/>
                            <a:ext cx="1110" cy="771"/>
                          </a:xfrm>
                          <a:custGeom>
                            <a:avLst/>
                            <a:gdLst>
                              <a:gd name="T0" fmla="*/ 1627 w 3331"/>
                              <a:gd name="T1" fmla="*/ 200 h 2313"/>
                              <a:gd name="T2" fmla="*/ 1472 w 3331"/>
                              <a:gd name="T3" fmla="*/ 330 h 2313"/>
                              <a:gd name="T4" fmla="*/ 1505 w 3331"/>
                              <a:gd name="T5" fmla="*/ 1654 h 2313"/>
                              <a:gd name="T6" fmla="*/ 1619 w 3331"/>
                              <a:gd name="T7" fmla="*/ 1862 h 2313"/>
                              <a:gd name="T8" fmla="*/ 1666 w 3331"/>
                              <a:gd name="T9" fmla="*/ 1882 h 2313"/>
                              <a:gd name="T10" fmla="*/ 1714 w 3331"/>
                              <a:gd name="T11" fmla="*/ 1862 h 2313"/>
                              <a:gd name="T12" fmla="*/ 1827 w 3331"/>
                              <a:gd name="T13" fmla="*/ 1654 h 2313"/>
                              <a:gd name="T14" fmla="*/ 1860 w 3331"/>
                              <a:gd name="T15" fmla="*/ 330 h 2313"/>
                              <a:gd name="T16" fmla="*/ 1705 w 3331"/>
                              <a:gd name="T17" fmla="*/ 200 h 2313"/>
                              <a:gd name="T18" fmla="*/ 1482 w 3331"/>
                              <a:gd name="T19" fmla="*/ 0 h 2313"/>
                              <a:gd name="T20" fmla="*/ 1548 w 3331"/>
                              <a:gd name="T21" fmla="*/ 23 h 2313"/>
                              <a:gd name="T22" fmla="*/ 1608 w 3331"/>
                              <a:gd name="T23" fmla="*/ 89 h 2313"/>
                              <a:gd name="T24" fmla="*/ 1666 w 3331"/>
                              <a:gd name="T25" fmla="*/ 134 h 2313"/>
                              <a:gd name="T26" fmla="*/ 1725 w 3331"/>
                              <a:gd name="T27" fmla="*/ 89 h 2313"/>
                              <a:gd name="T28" fmla="*/ 1784 w 3331"/>
                              <a:gd name="T29" fmla="*/ 23 h 2313"/>
                              <a:gd name="T30" fmla="*/ 1850 w 3331"/>
                              <a:gd name="T31" fmla="*/ 0 h 2313"/>
                              <a:gd name="T32" fmla="*/ 2167 w 3331"/>
                              <a:gd name="T33" fmla="*/ 41 h 2313"/>
                              <a:gd name="T34" fmla="*/ 2446 w 3331"/>
                              <a:gd name="T35" fmla="*/ 115 h 2313"/>
                              <a:gd name="T36" fmla="*/ 2682 w 3331"/>
                              <a:gd name="T37" fmla="*/ 217 h 2313"/>
                              <a:gd name="T38" fmla="*/ 2869 w 3331"/>
                              <a:gd name="T39" fmla="*/ 345 h 2313"/>
                              <a:gd name="T40" fmla="*/ 2999 w 3331"/>
                              <a:gd name="T41" fmla="*/ 496 h 2313"/>
                              <a:gd name="T42" fmla="*/ 3016 w 3331"/>
                              <a:gd name="T43" fmla="*/ 528 h 2313"/>
                              <a:gd name="T44" fmla="*/ 3058 w 3331"/>
                              <a:gd name="T45" fmla="*/ 610 h 2313"/>
                              <a:gd name="T46" fmla="*/ 3115 w 3331"/>
                              <a:gd name="T47" fmla="*/ 736 h 2313"/>
                              <a:gd name="T48" fmla="*/ 3179 w 3331"/>
                              <a:gd name="T49" fmla="*/ 896 h 2313"/>
                              <a:gd name="T50" fmla="*/ 3241 w 3331"/>
                              <a:gd name="T51" fmla="*/ 1083 h 2313"/>
                              <a:gd name="T52" fmla="*/ 3293 w 3331"/>
                              <a:gd name="T53" fmla="*/ 1290 h 2313"/>
                              <a:gd name="T54" fmla="*/ 3326 w 3331"/>
                              <a:gd name="T55" fmla="*/ 1508 h 2313"/>
                              <a:gd name="T56" fmla="*/ 3329 w 3331"/>
                              <a:gd name="T57" fmla="*/ 1730 h 2313"/>
                              <a:gd name="T58" fmla="*/ 3296 w 3331"/>
                              <a:gd name="T59" fmla="*/ 1949 h 2313"/>
                              <a:gd name="T60" fmla="*/ 3217 w 3331"/>
                              <a:gd name="T61" fmla="*/ 2153 h 2313"/>
                              <a:gd name="T62" fmla="*/ 3121 w 3331"/>
                              <a:gd name="T63" fmla="*/ 2294 h 2313"/>
                              <a:gd name="T64" fmla="*/ 3065 w 3331"/>
                              <a:gd name="T65" fmla="*/ 2313 h 2313"/>
                              <a:gd name="T66" fmla="*/ 229 w 3331"/>
                              <a:gd name="T67" fmla="*/ 2304 h 2313"/>
                              <a:gd name="T68" fmla="*/ 152 w 3331"/>
                              <a:gd name="T69" fmla="*/ 2216 h 2313"/>
                              <a:gd name="T70" fmla="*/ 56 w 3331"/>
                              <a:gd name="T71" fmla="*/ 2013 h 2313"/>
                              <a:gd name="T72" fmla="*/ 8 w 3331"/>
                              <a:gd name="T73" fmla="*/ 1795 h 2313"/>
                              <a:gd name="T74" fmla="*/ 0 w 3331"/>
                              <a:gd name="T75" fmla="*/ 1642 h 2313"/>
                              <a:gd name="T76" fmla="*/ 16 w 3331"/>
                              <a:gd name="T77" fmla="*/ 1421 h 2313"/>
                              <a:gd name="T78" fmla="*/ 57 w 3331"/>
                              <a:gd name="T79" fmla="*/ 1204 h 2313"/>
                              <a:gd name="T80" fmla="*/ 115 w 3331"/>
                              <a:gd name="T81" fmla="*/ 1001 h 2313"/>
                              <a:gd name="T82" fmla="*/ 180 w 3331"/>
                              <a:gd name="T83" fmla="*/ 822 h 2313"/>
                              <a:gd name="T84" fmla="*/ 244 w 3331"/>
                              <a:gd name="T85" fmla="*/ 675 h 2313"/>
                              <a:gd name="T86" fmla="*/ 295 w 3331"/>
                              <a:gd name="T87" fmla="*/ 567 h 2313"/>
                              <a:gd name="T88" fmla="*/ 326 w 3331"/>
                              <a:gd name="T89" fmla="*/ 508 h 2313"/>
                              <a:gd name="T90" fmla="*/ 412 w 3331"/>
                              <a:gd name="T91" fmla="*/ 396 h 2313"/>
                              <a:gd name="T92" fmla="*/ 581 w 3331"/>
                              <a:gd name="T93" fmla="*/ 259 h 2313"/>
                              <a:gd name="T94" fmla="*/ 803 w 3331"/>
                              <a:gd name="T95" fmla="*/ 146 h 2313"/>
                              <a:gd name="T96" fmla="*/ 1068 w 3331"/>
                              <a:gd name="T97" fmla="*/ 62 h 2313"/>
                              <a:gd name="T98" fmla="*/ 1374 w 3331"/>
                              <a:gd name="T99" fmla="*/ 9 h 2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31" h="2313">
                                <a:moveTo>
                                  <a:pt x="1666" y="187"/>
                                </a:moveTo>
                                <a:lnTo>
                                  <a:pt x="1645" y="191"/>
                                </a:lnTo>
                                <a:lnTo>
                                  <a:pt x="1627" y="200"/>
                                </a:lnTo>
                                <a:lnTo>
                                  <a:pt x="1495" y="296"/>
                                </a:lnTo>
                                <a:lnTo>
                                  <a:pt x="1481" y="310"/>
                                </a:lnTo>
                                <a:lnTo>
                                  <a:pt x="1472" y="330"/>
                                </a:lnTo>
                                <a:lnTo>
                                  <a:pt x="1469" y="351"/>
                                </a:lnTo>
                                <a:lnTo>
                                  <a:pt x="1503" y="1638"/>
                                </a:lnTo>
                                <a:lnTo>
                                  <a:pt x="1505" y="1654"/>
                                </a:lnTo>
                                <a:lnTo>
                                  <a:pt x="1511" y="1669"/>
                                </a:lnTo>
                                <a:lnTo>
                                  <a:pt x="1607" y="1848"/>
                                </a:lnTo>
                                <a:lnTo>
                                  <a:pt x="1619" y="1862"/>
                                </a:lnTo>
                                <a:lnTo>
                                  <a:pt x="1632" y="1873"/>
                                </a:lnTo>
                                <a:lnTo>
                                  <a:pt x="1648" y="1881"/>
                                </a:lnTo>
                                <a:lnTo>
                                  <a:pt x="1666" y="1882"/>
                                </a:lnTo>
                                <a:lnTo>
                                  <a:pt x="1684" y="1881"/>
                                </a:lnTo>
                                <a:lnTo>
                                  <a:pt x="1699" y="1873"/>
                                </a:lnTo>
                                <a:lnTo>
                                  <a:pt x="1714" y="1862"/>
                                </a:lnTo>
                                <a:lnTo>
                                  <a:pt x="1725" y="1848"/>
                                </a:lnTo>
                                <a:lnTo>
                                  <a:pt x="1821" y="1669"/>
                                </a:lnTo>
                                <a:lnTo>
                                  <a:pt x="1827" y="1654"/>
                                </a:lnTo>
                                <a:lnTo>
                                  <a:pt x="1829" y="1638"/>
                                </a:lnTo>
                                <a:lnTo>
                                  <a:pt x="1862" y="351"/>
                                </a:lnTo>
                                <a:lnTo>
                                  <a:pt x="1860" y="330"/>
                                </a:lnTo>
                                <a:lnTo>
                                  <a:pt x="1850" y="310"/>
                                </a:lnTo>
                                <a:lnTo>
                                  <a:pt x="1836" y="296"/>
                                </a:lnTo>
                                <a:lnTo>
                                  <a:pt x="1705" y="200"/>
                                </a:lnTo>
                                <a:lnTo>
                                  <a:pt x="1686" y="191"/>
                                </a:lnTo>
                                <a:lnTo>
                                  <a:pt x="1666" y="187"/>
                                </a:lnTo>
                                <a:close/>
                                <a:moveTo>
                                  <a:pt x="1482" y="0"/>
                                </a:moveTo>
                                <a:lnTo>
                                  <a:pt x="1506" y="1"/>
                                </a:lnTo>
                                <a:lnTo>
                                  <a:pt x="1529" y="9"/>
                                </a:lnTo>
                                <a:lnTo>
                                  <a:pt x="1548" y="23"/>
                                </a:lnTo>
                                <a:lnTo>
                                  <a:pt x="1567" y="43"/>
                                </a:lnTo>
                                <a:lnTo>
                                  <a:pt x="1588" y="65"/>
                                </a:lnTo>
                                <a:lnTo>
                                  <a:pt x="1608" y="89"/>
                                </a:lnTo>
                                <a:lnTo>
                                  <a:pt x="1628" y="109"/>
                                </a:lnTo>
                                <a:lnTo>
                                  <a:pt x="1646" y="125"/>
                                </a:lnTo>
                                <a:lnTo>
                                  <a:pt x="1666" y="134"/>
                                </a:lnTo>
                                <a:lnTo>
                                  <a:pt x="1686" y="125"/>
                                </a:lnTo>
                                <a:lnTo>
                                  <a:pt x="1705" y="109"/>
                                </a:lnTo>
                                <a:lnTo>
                                  <a:pt x="1725" y="89"/>
                                </a:lnTo>
                                <a:lnTo>
                                  <a:pt x="1743" y="68"/>
                                </a:lnTo>
                                <a:lnTo>
                                  <a:pt x="1764" y="43"/>
                                </a:lnTo>
                                <a:lnTo>
                                  <a:pt x="1784" y="23"/>
                                </a:lnTo>
                                <a:lnTo>
                                  <a:pt x="1804" y="9"/>
                                </a:lnTo>
                                <a:lnTo>
                                  <a:pt x="1827" y="1"/>
                                </a:lnTo>
                                <a:lnTo>
                                  <a:pt x="1850" y="0"/>
                                </a:lnTo>
                                <a:lnTo>
                                  <a:pt x="1960" y="11"/>
                                </a:lnTo>
                                <a:lnTo>
                                  <a:pt x="2065" y="24"/>
                                </a:lnTo>
                                <a:lnTo>
                                  <a:pt x="2167" y="41"/>
                                </a:lnTo>
                                <a:lnTo>
                                  <a:pt x="2265" y="62"/>
                                </a:lnTo>
                                <a:lnTo>
                                  <a:pt x="2358" y="88"/>
                                </a:lnTo>
                                <a:lnTo>
                                  <a:pt x="2446" y="115"/>
                                </a:lnTo>
                                <a:lnTo>
                                  <a:pt x="2530" y="146"/>
                                </a:lnTo>
                                <a:lnTo>
                                  <a:pt x="2609" y="180"/>
                                </a:lnTo>
                                <a:lnTo>
                                  <a:pt x="2682" y="217"/>
                                </a:lnTo>
                                <a:lnTo>
                                  <a:pt x="2751" y="257"/>
                                </a:lnTo>
                                <a:lnTo>
                                  <a:pt x="2813" y="300"/>
                                </a:lnTo>
                                <a:lnTo>
                                  <a:pt x="2869" y="345"/>
                                </a:lnTo>
                                <a:lnTo>
                                  <a:pt x="2919" y="392"/>
                                </a:lnTo>
                                <a:lnTo>
                                  <a:pt x="2963" y="443"/>
                                </a:lnTo>
                                <a:lnTo>
                                  <a:pt x="2999" y="496"/>
                                </a:lnTo>
                                <a:lnTo>
                                  <a:pt x="3001" y="500"/>
                                </a:lnTo>
                                <a:lnTo>
                                  <a:pt x="3007" y="510"/>
                                </a:lnTo>
                                <a:lnTo>
                                  <a:pt x="3016" y="528"/>
                                </a:lnTo>
                                <a:lnTo>
                                  <a:pt x="3028" y="549"/>
                                </a:lnTo>
                                <a:lnTo>
                                  <a:pt x="3043" y="577"/>
                                </a:lnTo>
                                <a:lnTo>
                                  <a:pt x="3058" y="610"/>
                                </a:lnTo>
                                <a:lnTo>
                                  <a:pt x="3076" y="647"/>
                                </a:lnTo>
                                <a:lnTo>
                                  <a:pt x="3096" y="689"/>
                                </a:lnTo>
                                <a:lnTo>
                                  <a:pt x="3115" y="736"/>
                                </a:lnTo>
                                <a:lnTo>
                                  <a:pt x="3137" y="785"/>
                                </a:lnTo>
                                <a:lnTo>
                                  <a:pt x="3158" y="839"/>
                                </a:lnTo>
                                <a:lnTo>
                                  <a:pt x="3179" y="896"/>
                                </a:lnTo>
                                <a:lnTo>
                                  <a:pt x="3201" y="956"/>
                                </a:lnTo>
                                <a:lnTo>
                                  <a:pt x="3221" y="1018"/>
                                </a:lnTo>
                                <a:lnTo>
                                  <a:pt x="3241" y="1083"/>
                                </a:lnTo>
                                <a:lnTo>
                                  <a:pt x="3261" y="1151"/>
                                </a:lnTo>
                                <a:lnTo>
                                  <a:pt x="3278" y="1220"/>
                                </a:lnTo>
                                <a:lnTo>
                                  <a:pt x="3293" y="1290"/>
                                </a:lnTo>
                                <a:lnTo>
                                  <a:pt x="3306" y="1363"/>
                                </a:lnTo>
                                <a:lnTo>
                                  <a:pt x="3318" y="1436"/>
                                </a:lnTo>
                                <a:lnTo>
                                  <a:pt x="3326" y="1508"/>
                                </a:lnTo>
                                <a:lnTo>
                                  <a:pt x="3330" y="1583"/>
                                </a:lnTo>
                                <a:lnTo>
                                  <a:pt x="3331" y="1657"/>
                                </a:lnTo>
                                <a:lnTo>
                                  <a:pt x="3329" y="1730"/>
                                </a:lnTo>
                                <a:lnTo>
                                  <a:pt x="3323" y="1804"/>
                                </a:lnTo>
                                <a:lnTo>
                                  <a:pt x="3311" y="1877"/>
                                </a:lnTo>
                                <a:lnTo>
                                  <a:pt x="3296" y="1949"/>
                                </a:lnTo>
                                <a:lnTo>
                                  <a:pt x="3276" y="2019"/>
                                </a:lnTo>
                                <a:lnTo>
                                  <a:pt x="3249" y="2086"/>
                                </a:lnTo>
                                <a:lnTo>
                                  <a:pt x="3217" y="2153"/>
                                </a:lnTo>
                                <a:lnTo>
                                  <a:pt x="3179" y="2218"/>
                                </a:lnTo>
                                <a:lnTo>
                                  <a:pt x="3135" y="2280"/>
                                </a:lnTo>
                                <a:lnTo>
                                  <a:pt x="3121" y="2294"/>
                                </a:lnTo>
                                <a:lnTo>
                                  <a:pt x="3103" y="2304"/>
                                </a:lnTo>
                                <a:lnTo>
                                  <a:pt x="3085" y="2310"/>
                                </a:lnTo>
                                <a:lnTo>
                                  <a:pt x="3065" y="2313"/>
                                </a:lnTo>
                                <a:lnTo>
                                  <a:pt x="268" y="2313"/>
                                </a:lnTo>
                                <a:lnTo>
                                  <a:pt x="248" y="2310"/>
                                </a:lnTo>
                                <a:lnTo>
                                  <a:pt x="229" y="2304"/>
                                </a:lnTo>
                                <a:lnTo>
                                  <a:pt x="212" y="2293"/>
                                </a:lnTo>
                                <a:lnTo>
                                  <a:pt x="197" y="2280"/>
                                </a:lnTo>
                                <a:lnTo>
                                  <a:pt x="152" y="2216"/>
                                </a:lnTo>
                                <a:lnTo>
                                  <a:pt x="114" y="2151"/>
                                </a:lnTo>
                                <a:lnTo>
                                  <a:pt x="82" y="2082"/>
                                </a:lnTo>
                                <a:lnTo>
                                  <a:pt x="56" y="2013"/>
                                </a:lnTo>
                                <a:lnTo>
                                  <a:pt x="34" y="1942"/>
                                </a:lnTo>
                                <a:lnTo>
                                  <a:pt x="19" y="1869"/>
                                </a:lnTo>
                                <a:lnTo>
                                  <a:pt x="8" y="1795"/>
                                </a:lnTo>
                                <a:lnTo>
                                  <a:pt x="1" y="1721"/>
                                </a:lnTo>
                                <a:lnTo>
                                  <a:pt x="0" y="1648"/>
                                </a:lnTo>
                                <a:lnTo>
                                  <a:pt x="0" y="1642"/>
                                </a:lnTo>
                                <a:lnTo>
                                  <a:pt x="1" y="1571"/>
                                </a:lnTo>
                                <a:lnTo>
                                  <a:pt x="7" y="1495"/>
                                </a:lnTo>
                                <a:lnTo>
                                  <a:pt x="16" y="1421"/>
                                </a:lnTo>
                                <a:lnTo>
                                  <a:pt x="28" y="1347"/>
                                </a:lnTo>
                                <a:lnTo>
                                  <a:pt x="41" y="1275"/>
                                </a:lnTo>
                                <a:lnTo>
                                  <a:pt x="57" y="1204"/>
                                </a:lnTo>
                                <a:lnTo>
                                  <a:pt x="76" y="1133"/>
                                </a:lnTo>
                                <a:lnTo>
                                  <a:pt x="94" y="1066"/>
                                </a:lnTo>
                                <a:lnTo>
                                  <a:pt x="115" y="1001"/>
                                </a:lnTo>
                                <a:lnTo>
                                  <a:pt x="136" y="939"/>
                                </a:lnTo>
                                <a:lnTo>
                                  <a:pt x="159" y="879"/>
                                </a:lnTo>
                                <a:lnTo>
                                  <a:pt x="180" y="822"/>
                                </a:lnTo>
                                <a:lnTo>
                                  <a:pt x="201" y="769"/>
                                </a:lnTo>
                                <a:lnTo>
                                  <a:pt x="223" y="720"/>
                                </a:lnTo>
                                <a:lnTo>
                                  <a:pt x="244" y="675"/>
                                </a:lnTo>
                                <a:lnTo>
                                  <a:pt x="262" y="635"/>
                                </a:lnTo>
                                <a:lnTo>
                                  <a:pt x="279" y="599"/>
                                </a:lnTo>
                                <a:lnTo>
                                  <a:pt x="295" y="567"/>
                                </a:lnTo>
                                <a:lnTo>
                                  <a:pt x="309" y="542"/>
                                </a:lnTo>
                                <a:lnTo>
                                  <a:pt x="319" y="522"/>
                                </a:lnTo>
                                <a:lnTo>
                                  <a:pt x="326" y="508"/>
                                </a:lnTo>
                                <a:lnTo>
                                  <a:pt x="331" y="501"/>
                                </a:lnTo>
                                <a:lnTo>
                                  <a:pt x="368" y="447"/>
                                </a:lnTo>
                                <a:lnTo>
                                  <a:pt x="412" y="396"/>
                                </a:lnTo>
                                <a:lnTo>
                                  <a:pt x="462" y="347"/>
                                </a:lnTo>
                                <a:lnTo>
                                  <a:pt x="518" y="302"/>
                                </a:lnTo>
                                <a:lnTo>
                                  <a:pt x="581" y="259"/>
                                </a:lnTo>
                                <a:lnTo>
                                  <a:pt x="649" y="219"/>
                                </a:lnTo>
                                <a:lnTo>
                                  <a:pt x="723" y="180"/>
                                </a:lnTo>
                                <a:lnTo>
                                  <a:pt x="803" y="146"/>
                                </a:lnTo>
                                <a:lnTo>
                                  <a:pt x="886" y="115"/>
                                </a:lnTo>
                                <a:lnTo>
                                  <a:pt x="975" y="88"/>
                                </a:lnTo>
                                <a:lnTo>
                                  <a:pt x="1068" y="62"/>
                                </a:lnTo>
                                <a:lnTo>
                                  <a:pt x="1166" y="41"/>
                                </a:lnTo>
                                <a:lnTo>
                                  <a:pt x="1268" y="24"/>
                                </a:lnTo>
                                <a:lnTo>
                                  <a:pt x="1374" y="9"/>
                                </a:lnTo>
                                <a:lnTo>
                                  <a:pt x="1482" y="0"/>
                                </a:lnTo>
                                <a:close/>
                              </a:path>
                            </a:pathLst>
                          </a:custGeom>
                          <a:grpFill/>
                          <a:ln w="0">
                            <a:solidFill>
                              <a:srgbClr val="FFFFFF"/>
                            </a:solidFill>
                            <a:prstDash val="solid"/>
                            <a:round/>
                            <a:headEnd/>
                            <a:tailEnd/>
                          </a:ln>
                        </wps:spPr>
                        <wps:txbx>
                          <w:txbxContent>
                            <w:p w14:paraId="225B7AA1" w14:textId="77777777" w:rsidR="00573C95" w:rsidRDefault="00573C95" w:rsidP="004308CC">
                              <w:pPr>
                                <w:rPr>
                                  <w:rFonts w:eastAsia="Times New Roman"/>
                                </w:rPr>
                              </w:pPr>
                            </w:p>
                          </w:txbxContent>
                        </wps:txbx>
                        <wps:bodyPr vert="horz" wrap="square" lIns="91440" tIns="45720" rIns="91440" bIns="45720" numCol="1" anchor="t" anchorCtr="0" compatLnSpc="1">
                          <a:prstTxWarp prst="textNoShape">
                            <a:avLst/>
                          </a:prstTxWarp>
                        </wps:bodyPr>
                      </wps:wsp>
                      <wps:wsp>
                        <wps:cNvPr id="730" name="Freeform 7"/>
                        <wps:cNvSpPr>
                          <a:spLocks/>
                        </wps:cNvSpPr>
                        <wps:spPr bwMode="auto">
                          <a:xfrm>
                            <a:off x="237" y="0"/>
                            <a:ext cx="626" cy="626"/>
                          </a:xfrm>
                          <a:custGeom>
                            <a:avLst/>
                            <a:gdLst>
                              <a:gd name="T0" fmla="*/ 939 w 1877"/>
                              <a:gd name="T1" fmla="*/ 0 h 1878"/>
                              <a:gd name="T2" fmla="*/ 1108 w 1877"/>
                              <a:gd name="T3" fmla="*/ 15 h 1878"/>
                              <a:gd name="T4" fmla="*/ 1267 w 1877"/>
                              <a:gd name="T5" fmla="*/ 59 h 1878"/>
                              <a:gd name="T6" fmla="*/ 1412 w 1877"/>
                              <a:gd name="T7" fmla="*/ 128 h 1878"/>
                              <a:gd name="T8" fmla="*/ 1543 w 1877"/>
                              <a:gd name="T9" fmla="*/ 221 h 1878"/>
                              <a:gd name="T10" fmla="*/ 1657 w 1877"/>
                              <a:gd name="T11" fmla="*/ 335 h 1878"/>
                              <a:gd name="T12" fmla="*/ 1750 w 1877"/>
                              <a:gd name="T13" fmla="*/ 466 h 1878"/>
                              <a:gd name="T14" fmla="*/ 1819 w 1877"/>
                              <a:gd name="T15" fmla="*/ 612 h 1878"/>
                              <a:gd name="T16" fmla="*/ 1863 w 1877"/>
                              <a:gd name="T17" fmla="*/ 771 h 1878"/>
                              <a:gd name="T18" fmla="*/ 1877 w 1877"/>
                              <a:gd name="T19" fmla="*/ 939 h 1878"/>
                              <a:gd name="T20" fmla="*/ 1863 w 1877"/>
                              <a:gd name="T21" fmla="*/ 1108 h 1878"/>
                              <a:gd name="T22" fmla="*/ 1819 w 1877"/>
                              <a:gd name="T23" fmla="*/ 1267 h 1878"/>
                              <a:gd name="T24" fmla="*/ 1750 w 1877"/>
                              <a:gd name="T25" fmla="*/ 1413 h 1878"/>
                              <a:gd name="T26" fmla="*/ 1657 w 1877"/>
                              <a:gd name="T27" fmla="*/ 1544 h 1878"/>
                              <a:gd name="T28" fmla="*/ 1543 w 1877"/>
                              <a:gd name="T29" fmla="*/ 1656 h 1878"/>
                              <a:gd name="T30" fmla="*/ 1412 w 1877"/>
                              <a:gd name="T31" fmla="*/ 1749 h 1878"/>
                              <a:gd name="T32" fmla="*/ 1267 w 1877"/>
                              <a:gd name="T33" fmla="*/ 1819 h 1878"/>
                              <a:gd name="T34" fmla="*/ 1108 w 1877"/>
                              <a:gd name="T35" fmla="*/ 1863 h 1878"/>
                              <a:gd name="T36" fmla="*/ 939 w 1877"/>
                              <a:gd name="T37" fmla="*/ 1878 h 1878"/>
                              <a:gd name="T38" fmla="*/ 771 w 1877"/>
                              <a:gd name="T39" fmla="*/ 1863 h 1878"/>
                              <a:gd name="T40" fmla="*/ 612 w 1877"/>
                              <a:gd name="T41" fmla="*/ 1819 h 1878"/>
                              <a:gd name="T42" fmla="*/ 467 w 1877"/>
                              <a:gd name="T43" fmla="*/ 1749 h 1878"/>
                              <a:gd name="T44" fmla="*/ 335 w 1877"/>
                              <a:gd name="T45" fmla="*/ 1656 h 1878"/>
                              <a:gd name="T46" fmla="*/ 221 w 1877"/>
                              <a:gd name="T47" fmla="*/ 1544 h 1878"/>
                              <a:gd name="T48" fmla="*/ 129 w 1877"/>
                              <a:gd name="T49" fmla="*/ 1413 h 1878"/>
                              <a:gd name="T50" fmla="*/ 60 w 1877"/>
                              <a:gd name="T51" fmla="*/ 1267 h 1878"/>
                              <a:gd name="T52" fmla="*/ 16 w 1877"/>
                              <a:gd name="T53" fmla="*/ 1108 h 1878"/>
                              <a:gd name="T54" fmla="*/ 0 w 1877"/>
                              <a:gd name="T55" fmla="*/ 939 h 1878"/>
                              <a:gd name="T56" fmla="*/ 16 w 1877"/>
                              <a:gd name="T57" fmla="*/ 771 h 1878"/>
                              <a:gd name="T58" fmla="*/ 60 w 1877"/>
                              <a:gd name="T59" fmla="*/ 612 h 1878"/>
                              <a:gd name="T60" fmla="*/ 129 w 1877"/>
                              <a:gd name="T61" fmla="*/ 466 h 1878"/>
                              <a:gd name="T62" fmla="*/ 221 w 1877"/>
                              <a:gd name="T63" fmla="*/ 335 h 1878"/>
                              <a:gd name="T64" fmla="*/ 335 w 1877"/>
                              <a:gd name="T65" fmla="*/ 221 h 1878"/>
                              <a:gd name="T66" fmla="*/ 467 w 1877"/>
                              <a:gd name="T67" fmla="*/ 128 h 1878"/>
                              <a:gd name="T68" fmla="*/ 612 w 1877"/>
                              <a:gd name="T69" fmla="*/ 59 h 1878"/>
                              <a:gd name="T70" fmla="*/ 771 w 1877"/>
                              <a:gd name="T71" fmla="*/ 15 h 1878"/>
                              <a:gd name="T72" fmla="*/ 939 w 1877"/>
                              <a:gd name="T73" fmla="*/ 0 h 18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77" h="1878">
                                <a:moveTo>
                                  <a:pt x="939" y="0"/>
                                </a:moveTo>
                                <a:lnTo>
                                  <a:pt x="939" y="0"/>
                                </a:lnTo>
                                <a:lnTo>
                                  <a:pt x="1024" y="4"/>
                                </a:lnTo>
                                <a:lnTo>
                                  <a:pt x="1108" y="15"/>
                                </a:lnTo>
                                <a:lnTo>
                                  <a:pt x="1188" y="34"/>
                                </a:lnTo>
                                <a:lnTo>
                                  <a:pt x="1267" y="59"/>
                                </a:lnTo>
                                <a:lnTo>
                                  <a:pt x="1341" y="91"/>
                                </a:lnTo>
                                <a:lnTo>
                                  <a:pt x="1412" y="128"/>
                                </a:lnTo>
                                <a:lnTo>
                                  <a:pt x="1480" y="172"/>
                                </a:lnTo>
                                <a:lnTo>
                                  <a:pt x="1543" y="221"/>
                                </a:lnTo>
                                <a:lnTo>
                                  <a:pt x="1603" y="275"/>
                                </a:lnTo>
                                <a:lnTo>
                                  <a:pt x="1657" y="335"/>
                                </a:lnTo>
                                <a:lnTo>
                                  <a:pt x="1706" y="399"/>
                                </a:lnTo>
                                <a:lnTo>
                                  <a:pt x="1750" y="466"/>
                                </a:lnTo>
                                <a:lnTo>
                                  <a:pt x="1787" y="538"/>
                                </a:lnTo>
                                <a:lnTo>
                                  <a:pt x="1819" y="612"/>
                                </a:lnTo>
                                <a:lnTo>
                                  <a:pt x="1844" y="690"/>
                                </a:lnTo>
                                <a:lnTo>
                                  <a:pt x="1863" y="771"/>
                                </a:lnTo>
                                <a:lnTo>
                                  <a:pt x="1875" y="853"/>
                                </a:lnTo>
                                <a:lnTo>
                                  <a:pt x="1877" y="939"/>
                                </a:lnTo>
                                <a:lnTo>
                                  <a:pt x="1875" y="1024"/>
                                </a:lnTo>
                                <a:lnTo>
                                  <a:pt x="1863" y="1108"/>
                                </a:lnTo>
                                <a:lnTo>
                                  <a:pt x="1844" y="1189"/>
                                </a:lnTo>
                                <a:lnTo>
                                  <a:pt x="1819" y="1267"/>
                                </a:lnTo>
                                <a:lnTo>
                                  <a:pt x="1787" y="1341"/>
                                </a:lnTo>
                                <a:lnTo>
                                  <a:pt x="1750" y="1413"/>
                                </a:lnTo>
                                <a:lnTo>
                                  <a:pt x="1706" y="1480"/>
                                </a:lnTo>
                                <a:lnTo>
                                  <a:pt x="1657" y="1544"/>
                                </a:lnTo>
                                <a:lnTo>
                                  <a:pt x="1603" y="1603"/>
                                </a:lnTo>
                                <a:lnTo>
                                  <a:pt x="1543" y="1656"/>
                                </a:lnTo>
                                <a:lnTo>
                                  <a:pt x="1480" y="1707"/>
                                </a:lnTo>
                                <a:lnTo>
                                  <a:pt x="1412" y="1749"/>
                                </a:lnTo>
                                <a:lnTo>
                                  <a:pt x="1341" y="1788"/>
                                </a:lnTo>
                                <a:lnTo>
                                  <a:pt x="1267" y="1819"/>
                                </a:lnTo>
                                <a:lnTo>
                                  <a:pt x="1188" y="1845"/>
                                </a:lnTo>
                                <a:lnTo>
                                  <a:pt x="1108" y="1863"/>
                                </a:lnTo>
                                <a:lnTo>
                                  <a:pt x="1024" y="1874"/>
                                </a:lnTo>
                                <a:lnTo>
                                  <a:pt x="939" y="1878"/>
                                </a:lnTo>
                                <a:lnTo>
                                  <a:pt x="855" y="1874"/>
                                </a:lnTo>
                                <a:lnTo>
                                  <a:pt x="771" y="1863"/>
                                </a:lnTo>
                                <a:lnTo>
                                  <a:pt x="690" y="1845"/>
                                </a:lnTo>
                                <a:lnTo>
                                  <a:pt x="612" y="1819"/>
                                </a:lnTo>
                                <a:lnTo>
                                  <a:pt x="538" y="1788"/>
                                </a:lnTo>
                                <a:lnTo>
                                  <a:pt x="467" y="1749"/>
                                </a:lnTo>
                                <a:lnTo>
                                  <a:pt x="399" y="1707"/>
                                </a:lnTo>
                                <a:lnTo>
                                  <a:pt x="335" y="1656"/>
                                </a:lnTo>
                                <a:lnTo>
                                  <a:pt x="276" y="1603"/>
                                </a:lnTo>
                                <a:lnTo>
                                  <a:pt x="221" y="1544"/>
                                </a:lnTo>
                                <a:lnTo>
                                  <a:pt x="172" y="1480"/>
                                </a:lnTo>
                                <a:lnTo>
                                  <a:pt x="129" y="1413"/>
                                </a:lnTo>
                                <a:lnTo>
                                  <a:pt x="92" y="1341"/>
                                </a:lnTo>
                                <a:lnTo>
                                  <a:pt x="60" y="1267"/>
                                </a:lnTo>
                                <a:lnTo>
                                  <a:pt x="35" y="1189"/>
                                </a:lnTo>
                                <a:lnTo>
                                  <a:pt x="16" y="1108"/>
                                </a:lnTo>
                                <a:lnTo>
                                  <a:pt x="4" y="1024"/>
                                </a:lnTo>
                                <a:lnTo>
                                  <a:pt x="0" y="939"/>
                                </a:lnTo>
                                <a:lnTo>
                                  <a:pt x="4" y="853"/>
                                </a:lnTo>
                                <a:lnTo>
                                  <a:pt x="16" y="771"/>
                                </a:lnTo>
                                <a:lnTo>
                                  <a:pt x="35" y="690"/>
                                </a:lnTo>
                                <a:lnTo>
                                  <a:pt x="60" y="612"/>
                                </a:lnTo>
                                <a:lnTo>
                                  <a:pt x="92" y="538"/>
                                </a:lnTo>
                                <a:lnTo>
                                  <a:pt x="129" y="466"/>
                                </a:lnTo>
                                <a:lnTo>
                                  <a:pt x="172" y="399"/>
                                </a:lnTo>
                                <a:lnTo>
                                  <a:pt x="221" y="335"/>
                                </a:lnTo>
                                <a:lnTo>
                                  <a:pt x="276" y="275"/>
                                </a:lnTo>
                                <a:lnTo>
                                  <a:pt x="335" y="221"/>
                                </a:lnTo>
                                <a:lnTo>
                                  <a:pt x="399" y="172"/>
                                </a:lnTo>
                                <a:lnTo>
                                  <a:pt x="467" y="128"/>
                                </a:lnTo>
                                <a:lnTo>
                                  <a:pt x="538" y="91"/>
                                </a:lnTo>
                                <a:lnTo>
                                  <a:pt x="612" y="59"/>
                                </a:lnTo>
                                <a:lnTo>
                                  <a:pt x="690" y="34"/>
                                </a:lnTo>
                                <a:lnTo>
                                  <a:pt x="771" y="15"/>
                                </a:lnTo>
                                <a:lnTo>
                                  <a:pt x="855" y="4"/>
                                </a:lnTo>
                                <a:lnTo>
                                  <a:pt x="939" y="0"/>
                                </a:lnTo>
                                <a:close/>
                              </a:path>
                            </a:pathLst>
                          </a:custGeom>
                          <a:grpFill/>
                          <a:ln w="0">
                            <a:solidFill>
                              <a:srgbClr val="FFFFFF"/>
                            </a:solidFill>
                            <a:prstDash val="solid"/>
                            <a:round/>
                            <a:headEnd/>
                            <a:tailEnd/>
                          </a:ln>
                        </wps:spPr>
                        <wps:txbx>
                          <w:txbxContent>
                            <w:p w14:paraId="7B38DED3" w14:textId="77777777" w:rsidR="00573C95" w:rsidRDefault="00573C95" w:rsidP="004308CC">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id="_x0000_s1459" style="position:absolute;margin-left:126pt;margin-top:148.3pt;width:36pt;height:36.85pt;z-index:252931072" coordsize="1110,143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">
                <v:shape id="Freeform 6" o:spid="_x0000_s1460" style="position:absolute;top:663;width:1110;height:771;visibility:visible;mso-wrap-style:square;v-text-anchor:top" coordsize="3331,2313"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muYJxQAA&#10;ANwAAAAPAAAAZHJzL2Rvd25yZXYueG1sRI/NawIxFMTvBf+H8ITeatYV/FiNUgpCD734AcXbc/Pc&#10;jW5eliTVbf96Iwg9DjO/GWax6mwjruSDcaxgOMhAEJdOG64U7HfrtymIEJE1No5JwS8FWC17Lwss&#10;tLvxhq7bWIlUwqFABXWMbSFlKGuyGAauJU7eyXmLMUlfSe3xlsptI/MsG0uLhtNCjS191FRetj9W&#10;weTPnM/50a9HX7PvvenwMNr5g1Kv/e59DiJSF//DT/pTJy6fweNMOgJye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Ca5gnFAAAA3AAAAA8AAAAAAAAAAAAAAAAAlwIAAGRycy9k&#10;b3ducmV2LnhtbFBLBQYAAAAABAAEAPUAAACJAwAAAAA=&#10;" adj="-11796480,,5400" path="m1666,187l1645,191,1627,200,1495,296,1481,310,1472,330,1469,351,1503,1638,1505,1654,1511,1669,1607,1848,1619,1862,1632,1873,1648,1881,1666,1882,1684,1881,1699,1873,1714,1862,1725,1848,1821,1669,1827,1654,1829,1638,1862,351,1860,330,1850,310,1836,296,1705,200,1686,191,1666,187xm1482,0l1506,1,1529,9,1548,23,1567,43,1588,65,1608,89,1628,109,1646,125,1666,134,1686,125,1705,109,1725,89,1743,68,1764,43,1784,23,1804,9,1827,1,1850,,1960,11,2065,24,2167,41,2265,62,2358,88,2446,115,2530,146,2609,180,2682,217,2751,257,2813,300,2869,345,2919,392,2963,443,2999,496,3001,500,3007,510,3016,528,3028,549,3043,577,3058,610,3076,647,3096,689,3115,736,3137,785,3158,839,3179,896,3201,956,3221,1018,3241,1083,3261,1151,3278,1220,3293,1290,3306,1363,3318,1436,3326,1508,3330,1583,3331,1657,3329,1730,3323,1804,3311,1877,3296,1949,3276,2019,3249,2086,3217,2153,3179,2218,3135,2280,3121,2294,3103,2304,3085,2310,3065,2313,268,2313,248,2310,229,2304,212,2293,197,2280,152,2216,114,2151,82,2082,56,2013,34,1942,19,1869,8,1795,1,1721,,1648,,1642,1,1571,7,1495,16,1421,28,1347,41,1275,57,1204,76,1133,94,1066,115,1001,136,939,159,879,180,822,201,769,223,720,244,675,262,635,279,599,295,567,309,542,319,522,326,508,331,501,368,447,412,396,462,347,518,302,581,259,649,219,723,180,803,146,886,115,975,88,1068,62,1166,41,1268,24,1374,9,1482,0xe" filled="f" strokecolor="white" strokeweight="0">
                  <v:stroke joinstyle="round"/>
                  <v:formulas/>
                  <v:path arrowok="t" o:connecttype="custom" o:connectlocs="542,67;491,110;502,551;540,621;555,627;571,621;609,551;620,110;568,67;494,0;516,8;536,30;555,45;575,30;594,8;616,0;722,14;815,38;894,72;956,115;999,165;1005,176;1019,203;1038,245;1059,299;1080,361;1097,430;1108,503;1109,577;1098,650;1072,718;1040,765;1021,771;76,768;51,739;19,671;3,598;0,547;5,474;19,401;38,334;60,274;81,225;98,189;109,169;137,132;194,86;268,49;356,21;458,3" o:connectangles="0,0,0,0,0,0,0,0,0,0,0,0,0,0,0,0,0,0,0,0,0,0,0,0,0,0,0,0,0,0,0,0,0,0,0,0,0,0,0,0,0,0,0,0,0,0,0,0,0,0" textboxrect="0,0,3331,2313"/>
                  <o:lock v:ext="edit" verticies="t"/>
                  <v:textbox>
                    <w:txbxContent>
                      <w:p w14:paraId="225B7AA1" w14:textId="77777777" w:rsidR="001501D6" w:rsidRDefault="001501D6" w:rsidP="004308CC">
                        <w:pPr>
                          <w:rPr>
                            <w:rFonts w:eastAsia="Times New Roman"/>
                          </w:rPr>
                        </w:pPr>
                      </w:p>
                    </w:txbxContent>
                  </v:textbox>
                </v:shape>
                <v:shape id="Freeform 7" o:spid="_x0000_s1461" style="position:absolute;left:237;width:626;height:626;visibility:visible;mso-wrap-style:square;v-text-anchor:top" coordsize="1877,1878"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5hpXwQAA&#10;ANwAAAAPAAAAZHJzL2Rvd25yZXYueG1sRE/Pa8IwFL4L/g/hDXYRm05hG7WpiMzhdVXYjo/mtels&#10;XkoStfvvl8Ngx4/vd7md7CBu5EPvWMFTloMgbpzuuVNwPh2WryBCRNY4OCYFPxRgW81nJRba3fmD&#10;bnXsRArhUKACE+NYSBkaQxZD5kbixLXOW4wJ+k5qj/cUbge5yvNnabHn1GBwpL2h5lJfrYI3uV6E&#10;C8qj+6K6NZ/vw/cuPyj1+DDtNiAiTfFf/Oc+agUv6zQ/nUlHQFa/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yeYaV8EAAADcAAAADwAAAAAAAAAAAAAAAACXAgAAZHJzL2Rvd25y&#10;ZXYueG1sUEsFBgAAAAAEAAQA9QAAAIUDAAAAAA==&#10;" adj="-11796480,,5400" path="m939,0l939,,1024,4,1108,15,1188,34,1267,59,1341,91,1412,128,1480,172,1543,221,1603,275,1657,335,1706,399,1750,466,1787,538,1819,612,1844,690,1863,771,1875,853,1877,939,1875,1024,1863,1108,1844,1189,1819,1267,1787,1341,1750,1413,1706,1480,1657,1544,1603,1603,1543,1656,1480,1707,1412,1749,1341,1788,1267,1819,1188,1845,1108,1863,1024,1874,939,1878,855,1874,771,1863,690,1845,612,1819,538,1788,467,1749,399,1707,335,1656,276,1603,221,1544,172,1480,129,1413,92,1341,60,1267,35,1189,16,1108,4,1024,,939,4,853,16,771,35,690,60,612,92,538,129,466,172,399,221,335,276,275,335,221,399,172,467,128,538,91,612,59,690,34,771,15,855,4,939,0xe" filled="f" strokecolor="white" strokeweight="0">
                  <v:stroke joinstyle="round"/>
                  <v:formulas/>
                  <v:path arrowok="t" o:connecttype="custom" o:connectlocs="313,0;370,5;423,20;471,43;515,74;553,112;584,155;607,204;621,257;626,313;621,369;607,422;584,471;553,515;515,552;471,583;423,606;370,621;313,626;257,621;204,606;156,583;112,552;74,515;43,471;20,422;5,369;0,313;5,257;20,204;43,155;74,112;112,74;156,43;204,20;257,5;313,0" o:connectangles="0,0,0,0,0,0,0,0,0,0,0,0,0,0,0,0,0,0,0,0,0,0,0,0,0,0,0,0,0,0,0,0,0,0,0,0,0" textboxrect="0,0,1877,1878"/>
                  <v:textbox>
                    <w:txbxContent>
                      <w:p w14:paraId="7B38DED3" w14:textId="77777777" w:rsidR="001501D6" w:rsidRDefault="001501D6" w:rsidP="004308CC">
                        <w:pPr>
                          <w:rPr>
                            <w:rFonts w:eastAsia="Times New Roman"/>
                          </w:rPr>
                        </w:pPr>
                      </w:p>
                    </w:txbxContent>
                  </v:textbox>
                </v:shape>
              </v:group>
            </w:pict>
          </mc:Fallback>
        </mc:AlternateContent>
      </w:r>
      <w:r>
        <w:rPr>
          <w:noProof/>
          <w:lang w:eastAsia="fr-FR"/>
        </w:rPr>
        <mc:AlternateContent>
          <mc:Choice Requires="wps">
            <w:drawing>
              <wp:anchor distT="0" distB="0" distL="114300" distR="114300" simplePos="0" relativeHeight="252932096" behindDoc="0" locked="0" layoutInCell="1" allowOverlap="1" wp14:anchorId="317224F5" wp14:editId="0B892CC3">
                <wp:simplePos x="0" y="0"/>
                <wp:positionH relativeFrom="column">
                  <wp:posOffset>7086600</wp:posOffset>
                </wp:positionH>
                <wp:positionV relativeFrom="paragraph">
                  <wp:posOffset>1883410</wp:posOffset>
                </wp:positionV>
                <wp:extent cx="661035" cy="685800"/>
                <wp:effectExtent l="50800" t="76200" r="50165" b="76200"/>
                <wp:wrapThrough wrapText="bothSides">
                  <wp:wrapPolygon edited="0">
                    <wp:start x="-1660" y="-2400"/>
                    <wp:lineTo x="-1660" y="23200"/>
                    <wp:lineTo x="22409" y="23200"/>
                    <wp:lineTo x="22409" y="-2400"/>
                    <wp:lineTo x="-1660" y="-2400"/>
                  </wp:wrapPolygon>
                </wp:wrapThrough>
                <wp:docPr id="731" name="Rectangle à coins arrondis 731"/>
                <wp:cNvGraphicFramePr/>
                <a:graphic xmlns:a="http://schemas.openxmlformats.org/drawingml/2006/main">
                  <a:graphicData uri="http://schemas.microsoft.com/office/word/2010/wordprocessingShape">
                    <wps:wsp>
                      <wps:cNvSpPr/>
                      <wps:spPr>
                        <a:xfrm>
                          <a:off x="0" y="0"/>
                          <a:ext cx="661035" cy="685800"/>
                        </a:xfrm>
                        <a:prstGeom prst="round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80FCF8B" w14:textId="77777777" w:rsidR="00573C95" w:rsidRDefault="00573C95" w:rsidP="004308CC">
                            <w:pPr>
                              <w:jc w:val="center"/>
                            </w:pPr>
                            <w:r>
                              <w:t>2323</w:t>
                            </w:r>
                          </w:p>
                          <w:p w14:paraId="1199FD23" w14:textId="77777777" w:rsidR="00573C95" w:rsidRPr="00FE2EB4" w:rsidRDefault="00573C95" w:rsidP="004308CC">
                            <w:pPr>
                              <w:jc w:val="center"/>
                              <w:rPr>
                                <w:sz w:val="44"/>
                                <w:szCs w:val="44"/>
                              </w:rPr>
                            </w:pPr>
                            <w:r>
                              <w:rPr>
                                <w:sz w:val="44"/>
                                <w:szCs w:val="44"/>
                              </w:rPr>
                              <w:t>23</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31" o:spid="_x0000_s1462" style="position:absolute;margin-left:558pt;margin-top:148.3pt;width:52.05pt;height:54pt;z-index:2529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" fillcolor="maroon">
                <v:textbox>
                  <w:txbxContent>
                    <w:p w14:paraId="780FCF8B" w14:textId="77777777" w:rsidR="001501D6" w:rsidRDefault="001501D6" w:rsidP="004308CC">
                      <w:pPr>
                        <w:jc w:val="center"/>
                      </w:pPr>
                      <w:r>
                        <w:t>2323</w:t>
                      </w:r>
                    </w:p>
                    <w:p w14:paraId="1199FD23" w14:textId="77777777" w:rsidR="001501D6" w:rsidRPr="00FE2EB4" w:rsidRDefault="001501D6" w:rsidP="004308CC">
                      <w:pPr>
                        <w:jc w:val="center"/>
                        <w:rPr>
                          <w:sz w:val="44"/>
                          <w:szCs w:val="44"/>
                        </w:rPr>
                      </w:pPr>
                      <w:r>
                        <w:rPr>
                          <w:sz w:val="44"/>
                          <w:szCs w:val="44"/>
                        </w:rPr>
                        <w:t>23</w:t>
                      </w:r>
                    </w:p>
                  </w:txbxContent>
                </v:textbox>
                <w10:wrap type="through"/>
              </v:roundrect>
            </w:pict>
          </mc:Fallback>
        </mc:AlternateContent>
      </w:r>
      <w:r>
        <w:rPr>
          <w:noProof/>
          <w:lang w:eastAsia="fr-FR"/>
        </w:rPr>
        <mc:AlternateContent>
          <mc:Choice Requires="wps">
            <w:drawing>
              <wp:anchor distT="0" distB="0" distL="114300" distR="114300" simplePos="0" relativeHeight="252933120" behindDoc="0" locked="0" layoutInCell="1" allowOverlap="1" wp14:anchorId="480EE32E" wp14:editId="7426B20A">
                <wp:simplePos x="0" y="0"/>
                <wp:positionH relativeFrom="column">
                  <wp:posOffset>7086600</wp:posOffset>
                </wp:positionH>
                <wp:positionV relativeFrom="paragraph">
                  <wp:posOffset>1769110</wp:posOffset>
                </wp:positionV>
                <wp:extent cx="661035" cy="342900"/>
                <wp:effectExtent l="0" t="0" r="24765" b="38100"/>
                <wp:wrapThrough wrapText="bothSides">
                  <wp:wrapPolygon edited="0">
                    <wp:start x="0" y="0"/>
                    <wp:lineTo x="0" y="22400"/>
                    <wp:lineTo x="21579" y="22400"/>
                    <wp:lineTo x="21579" y="0"/>
                    <wp:lineTo x="0" y="0"/>
                  </wp:wrapPolygon>
                </wp:wrapThrough>
                <wp:docPr id="732" name="Rectangle à coins arrondis 732"/>
                <wp:cNvGraphicFramePr/>
                <a:graphic xmlns:a="http://schemas.openxmlformats.org/drawingml/2006/main">
                  <a:graphicData uri="http://schemas.microsoft.com/office/word/2010/wordprocessingShape">
                    <wps:wsp>
                      <wps:cNvSpPr/>
                      <wps:spPr>
                        <a:xfrm>
                          <a:off x="0" y="0"/>
                          <a:ext cx="661035" cy="342900"/>
                        </a:xfrm>
                        <a:prstGeom prst="roundRect">
                          <a:avLst/>
                        </a:prstGeom>
                        <a:solidFill>
                          <a:schemeClr val="accent4"/>
                        </a:solidFill>
                        <a:ln>
                          <a:solidFill>
                            <a:schemeClr val="tx1"/>
                          </a:solidFill>
                        </a:ln>
                      </wps:spPr>
                      <wps:style>
                        <a:lnRef idx="3">
                          <a:schemeClr val="lt1"/>
                        </a:lnRef>
                        <a:fillRef idx="1">
                          <a:schemeClr val="dk1"/>
                        </a:fillRef>
                        <a:effectRef idx="1">
                          <a:schemeClr val="dk1"/>
                        </a:effectRef>
                        <a:fontRef idx="minor">
                          <a:schemeClr val="lt1"/>
                        </a:fontRef>
                      </wps:style>
                      <wps:txbx>
                        <w:txbxContent>
                          <w:p w14:paraId="603E2C93" w14:textId="77777777" w:rsidR="00573C95" w:rsidRPr="00FE2EB4" w:rsidRDefault="00573C95" w:rsidP="004308CC">
                            <w:pPr>
                              <w:jc w:val="center"/>
                              <w:rPr>
                                <w:color w:val="000000" w:themeColor="text1"/>
                              </w:rPr>
                            </w:pPr>
                            <w:r>
                              <w:rPr>
                                <w:color w:val="000000" w:themeColor="text1"/>
                              </w:rPr>
                              <w:t>AOÛT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32" o:spid="_x0000_s1463" style="position:absolute;margin-left:558pt;margin-top:139.3pt;width:52.05pt;height:27pt;z-index:2529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" fillcolor="#909465 [3207]" strokecolor="black [3213]" strokeweight="1.75pt">
                <v:textbox>
                  <w:txbxContent>
                    <w:p w14:paraId="603E2C93" w14:textId="77777777" w:rsidR="001501D6" w:rsidRPr="00FE2EB4" w:rsidRDefault="001501D6" w:rsidP="004308CC">
                      <w:pPr>
                        <w:jc w:val="center"/>
                        <w:rPr>
                          <w:color w:val="000000" w:themeColor="text1"/>
                        </w:rPr>
                      </w:pPr>
                      <w:r>
                        <w:rPr>
                          <w:color w:val="000000" w:themeColor="text1"/>
                        </w:rPr>
                        <w:t>AOÛT</w:t>
                      </w:r>
                    </w:p>
                  </w:txbxContent>
                </v:textbox>
                <w10:wrap type="through"/>
              </v:roundrect>
            </w:pict>
          </mc:Fallback>
        </mc:AlternateContent>
      </w:r>
      <w:r w:rsidR="00B91005">
        <w:rPr>
          <w:noProof/>
          <w:lang w:eastAsia="fr-FR"/>
        </w:rPr>
        <mc:AlternateContent>
          <mc:Choice Requires="wps">
            <w:drawing>
              <wp:anchor distT="0" distB="0" distL="114300" distR="114300" simplePos="0" relativeHeight="252911616" behindDoc="0" locked="0" layoutInCell="1" allowOverlap="1" wp14:anchorId="54430821" wp14:editId="651640A7">
                <wp:simplePos x="0" y="0"/>
                <wp:positionH relativeFrom="column">
                  <wp:posOffset>2286000</wp:posOffset>
                </wp:positionH>
                <wp:positionV relativeFrom="paragraph">
                  <wp:posOffset>302895</wp:posOffset>
                </wp:positionV>
                <wp:extent cx="1828800" cy="571500"/>
                <wp:effectExtent l="76200" t="76200" r="50800" b="63500"/>
                <wp:wrapThrough wrapText="bothSides">
                  <wp:wrapPolygon edited="0">
                    <wp:start x="17400" y="-2880"/>
                    <wp:lineTo x="-900" y="-960"/>
                    <wp:lineTo x="-900" y="14400"/>
                    <wp:lineTo x="17100" y="21120"/>
                    <wp:lineTo x="17400" y="23040"/>
                    <wp:lineTo x="19200" y="23040"/>
                    <wp:lineTo x="19500" y="21120"/>
                    <wp:lineTo x="21900" y="12480"/>
                    <wp:lineTo x="21000" y="5760"/>
                    <wp:lineTo x="19200" y="-2880"/>
                    <wp:lineTo x="17400" y="-2880"/>
                  </wp:wrapPolygon>
                </wp:wrapThrough>
                <wp:docPr id="707" name="Flèche vers la droite 707"/>
                <wp:cNvGraphicFramePr/>
                <a:graphic xmlns:a="http://schemas.openxmlformats.org/drawingml/2006/main">
                  <a:graphicData uri="http://schemas.microsoft.com/office/word/2010/wordprocessingShape">
                    <wps:wsp>
                      <wps:cNvSpPr/>
                      <wps:spPr>
                        <a:xfrm>
                          <a:off x="0" y="0"/>
                          <a:ext cx="1828800" cy="571500"/>
                        </a:xfrm>
                        <a:prstGeom prst="rightArrow">
                          <a:avLst/>
                        </a:prstGeom>
                        <a:solidFill>
                          <a:schemeClr val="accent3"/>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9F631EF" w14:textId="4C52A93E" w:rsidR="00573C95" w:rsidRPr="00FE2EB4" w:rsidRDefault="00573C95" w:rsidP="000E4CC6">
                            <w:pPr>
                              <w:jc w:val="center"/>
                              <w:rPr>
                                <w:sz w:val="20"/>
                                <w:szCs w:val="20"/>
                              </w:rPr>
                            </w:pPr>
                            <w:r>
                              <w:rPr>
                                <w:sz w:val="20"/>
                                <w:szCs w:val="20"/>
                              </w:rPr>
                              <w:t>Remise des</w:t>
                            </w:r>
                            <w:r w:rsidRPr="00FE2EB4">
                              <w:rPr>
                                <w:sz w:val="20"/>
                                <w:szCs w:val="20"/>
                              </w:rPr>
                              <w:t xml:space="preserve"> actions courtage</w:t>
                            </w:r>
                          </w:p>
                        </w:txbxContent>
                      </wps:txbx>
                      <wps:bodyPr/>
                    </wps:wsp>
                  </a:graphicData>
                </a:graphic>
                <wp14:sizeRelH relativeFrom="margin">
                  <wp14:pctWidth>0</wp14:pctWidth>
                </wp14:sizeRelH>
                <wp14:sizeRelV relativeFrom="margin">
                  <wp14:pctHeight>0</wp14:pctHeight>
                </wp14:sizeRelV>
              </wp:anchor>
            </w:drawing>
          </mc:Choice>
          <mc:Fallback>
            <w:pict>
              <v:shape id="Flèche vers la droite 707" o:spid="_x0000_s1464" type="#_x0000_t13" style="position:absolute;margin-left:180pt;margin-top:23.85pt;width:2in;height:45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" adj="18225" fillcolor="#ff6700 [3206]">
                <v:textbox>
                  <w:txbxContent>
                    <w:p w14:paraId="69F631EF" w14:textId="4C52A93E" w:rsidR="001501D6" w:rsidRPr="00FE2EB4" w:rsidRDefault="001501D6" w:rsidP="000E4CC6">
                      <w:pPr>
                        <w:jc w:val="center"/>
                        <w:rPr>
                          <w:sz w:val="20"/>
                          <w:szCs w:val="20"/>
                        </w:rPr>
                      </w:pPr>
                      <w:r>
                        <w:rPr>
                          <w:sz w:val="20"/>
                          <w:szCs w:val="20"/>
                        </w:rPr>
                        <w:t>Remise des</w:t>
                      </w:r>
                      <w:r w:rsidRPr="00FE2EB4">
                        <w:rPr>
                          <w:sz w:val="20"/>
                          <w:szCs w:val="20"/>
                        </w:rPr>
                        <w:t xml:space="preserve"> actions courtage</w:t>
                      </w:r>
                    </w:p>
                  </w:txbxContent>
                </v:textbox>
                <w10:wrap type="through"/>
              </v:shape>
            </w:pict>
          </mc:Fallback>
        </mc:AlternateContent>
      </w:r>
      <w:r w:rsidR="00B91005">
        <w:rPr>
          <w:color w:val="000000" w:themeColor="text1"/>
        </w:rPr>
        <w:t>LE REMBOURSEMENT</w:t>
      </w:r>
    </w:p>
    <w:p w14:paraId="419A9A13" w14:textId="77777777" w:rsidR="00E3405C" w:rsidRDefault="00E3405C">
      <w:pPr>
        <w:rPr>
          <w:color w:val="000000" w:themeColor="text1"/>
        </w:rPr>
      </w:pPr>
    </w:p>
    <w:p w14:paraId="63159322" w14:textId="77777777" w:rsidR="00E3405C" w:rsidRDefault="00E3405C">
      <w:pPr>
        <w:rPr>
          <w:color w:val="000000" w:themeColor="text1"/>
        </w:rPr>
      </w:pPr>
    </w:p>
    <w:p w14:paraId="4DBA5D16" w14:textId="77777777" w:rsidR="00E3405C" w:rsidRDefault="00E3405C">
      <w:pPr>
        <w:rPr>
          <w:color w:val="000000" w:themeColor="text1"/>
        </w:rPr>
      </w:pPr>
    </w:p>
    <w:p w14:paraId="0191F7C0" w14:textId="77777777" w:rsidR="00E3405C" w:rsidRDefault="00E3405C">
      <w:pPr>
        <w:rPr>
          <w:color w:val="000000" w:themeColor="text1"/>
        </w:rPr>
      </w:pPr>
    </w:p>
    <w:p w14:paraId="57DA43A9" w14:textId="77777777" w:rsidR="00E3405C" w:rsidRDefault="00E3405C">
      <w:pPr>
        <w:rPr>
          <w:color w:val="000000" w:themeColor="text1"/>
        </w:rPr>
      </w:pPr>
    </w:p>
    <w:p w14:paraId="6B628C1A" w14:textId="34D563D2" w:rsidR="00E3405C" w:rsidRDefault="008834A6">
      <w:pPr>
        <w:rPr>
          <w:color w:val="000000" w:themeColor="text1"/>
        </w:rPr>
      </w:pPr>
      <w:r>
        <w:rPr>
          <w:noProof/>
          <w:lang w:eastAsia="fr-FR"/>
        </w:rPr>
        <mc:AlternateContent>
          <mc:Choice Requires="wps">
            <w:drawing>
              <wp:anchor distT="0" distB="0" distL="114300" distR="114300" simplePos="0" relativeHeight="252923904" behindDoc="0" locked="0" layoutInCell="1" allowOverlap="1" wp14:anchorId="24D39BA9" wp14:editId="70A8CC47">
                <wp:simplePos x="0" y="0"/>
                <wp:positionH relativeFrom="column">
                  <wp:posOffset>4000500</wp:posOffset>
                </wp:positionH>
                <wp:positionV relativeFrom="paragraph">
                  <wp:posOffset>41910</wp:posOffset>
                </wp:positionV>
                <wp:extent cx="1485900" cy="914400"/>
                <wp:effectExtent l="0" t="0" r="0" b="0"/>
                <wp:wrapSquare wrapText="bothSides"/>
                <wp:docPr id="721" name="Zone de texte 721"/>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4AA324" w14:textId="62595E7A" w:rsidR="00573C95" w:rsidRDefault="00573C95" w:rsidP="004308CC">
                            <w:pPr>
                              <w:jc w:val="center"/>
                            </w:pPr>
                            <w:r>
                              <w:t>Marge chez le courtier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21" o:spid="_x0000_s1465" type="#_x0000_t202" style="position:absolute;margin-left:315pt;margin-top:3.3pt;width:117pt;height:1in;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" filled="f" stroked="f">
                <v:textbox>
                  <w:txbxContent>
                    <w:p w14:paraId="184AA324" w14:textId="62595E7A" w:rsidR="001501D6" w:rsidRDefault="001501D6" w:rsidP="004308CC">
                      <w:pPr>
                        <w:jc w:val="center"/>
                      </w:pPr>
                      <w:r>
                        <w:t>Marge chez le courtier</w:t>
                      </w:r>
                    </w:p>
                  </w:txbxContent>
                </v:textbox>
                <w10:wrap type="square"/>
              </v:shape>
            </w:pict>
          </mc:Fallback>
        </mc:AlternateContent>
      </w:r>
    </w:p>
    <w:p w14:paraId="3EA5A15B" w14:textId="77777777" w:rsidR="00E3405C" w:rsidRDefault="00E3405C">
      <w:pPr>
        <w:rPr>
          <w:color w:val="000000" w:themeColor="text1"/>
        </w:rPr>
      </w:pPr>
    </w:p>
    <w:p w14:paraId="732BE6B7" w14:textId="0205D88A" w:rsidR="00E3405C" w:rsidRDefault="00DB3C17">
      <w:pPr>
        <w:rPr>
          <w:color w:val="000000" w:themeColor="text1"/>
        </w:rPr>
      </w:pPr>
      <w:r>
        <w:rPr>
          <w:noProof/>
          <w:lang w:eastAsia="fr-FR"/>
        </w:rPr>
        <mc:AlternateContent>
          <mc:Choice Requires="wps">
            <w:drawing>
              <wp:anchor distT="0" distB="0" distL="114300" distR="114300" simplePos="0" relativeHeight="252935168" behindDoc="0" locked="0" layoutInCell="1" allowOverlap="1" wp14:anchorId="311E4B31" wp14:editId="0D92C309">
                <wp:simplePos x="0" y="0"/>
                <wp:positionH relativeFrom="column">
                  <wp:posOffset>5600700</wp:posOffset>
                </wp:positionH>
                <wp:positionV relativeFrom="paragraph">
                  <wp:posOffset>125095</wp:posOffset>
                </wp:positionV>
                <wp:extent cx="1028700" cy="1028700"/>
                <wp:effectExtent l="76200" t="76200" r="63500" b="63500"/>
                <wp:wrapNone/>
                <wp:docPr id="631" name="Ellipse 631"/>
                <wp:cNvGraphicFramePr/>
                <a:graphic xmlns:a="http://schemas.openxmlformats.org/drawingml/2006/main">
                  <a:graphicData uri="http://schemas.microsoft.com/office/word/2010/wordprocessingShape">
                    <wps:wsp>
                      <wps:cNvSpPr/>
                      <wps:spPr>
                        <a:xfrm>
                          <a:off x="0" y="0"/>
                          <a:ext cx="1028700" cy="1028700"/>
                        </a:xfrm>
                        <a:prstGeom prst="ellipse">
                          <a:avLst/>
                        </a:prstGeom>
                        <a:solidFill>
                          <a:srgbClr val="FF0000"/>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81CF6D3" w14:textId="2FAEA339" w:rsidR="00573C95" w:rsidRDefault="00573C95" w:rsidP="00DB3C17">
                            <w:pPr>
                              <w:jc w:val="center"/>
                            </w:pPr>
                            <w:r>
                              <w:t>2 000 $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631" o:spid="_x0000_s1466" style="position:absolute;margin-left:441pt;margin-top:9.85pt;width:81pt;height:81pt;z-index:2529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" fillcolor="red" strokecolor="black [3213]">
                <v:textbox>
                  <w:txbxContent>
                    <w:p w14:paraId="581CF6D3" w14:textId="2FAEA339" w:rsidR="001501D6" w:rsidRDefault="001501D6" w:rsidP="00DB3C17">
                      <w:pPr>
                        <w:jc w:val="center"/>
                      </w:pPr>
                      <w:r>
                        <w:t>2 000 $</w:t>
                      </w:r>
                    </w:p>
                  </w:txbxContent>
                </v:textbox>
              </v:oval>
            </w:pict>
          </mc:Fallback>
        </mc:AlternateContent>
      </w:r>
    </w:p>
    <w:p w14:paraId="1787592F" w14:textId="5423F1F3" w:rsidR="00E3405C" w:rsidRDefault="008834A6">
      <w:pPr>
        <w:rPr>
          <w:color w:val="000000" w:themeColor="text1"/>
        </w:rPr>
      </w:pPr>
      <w:r>
        <w:rPr>
          <w:noProof/>
          <w:lang w:eastAsia="fr-FR"/>
        </w:rPr>
        <mc:AlternateContent>
          <mc:Choice Requires="wps">
            <w:drawing>
              <wp:anchor distT="0" distB="0" distL="114300" distR="114300" simplePos="0" relativeHeight="252889088" behindDoc="0" locked="0" layoutInCell="1" allowOverlap="1" wp14:anchorId="2CD3C06D" wp14:editId="00B731C5">
                <wp:simplePos x="0" y="0"/>
                <wp:positionH relativeFrom="column">
                  <wp:posOffset>4457700</wp:posOffset>
                </wp:positionH>
                <wp:positionV relativeFrom="paragraph">
                  <wp:posOffset>167005</wp:posOffset>
                </wp:positionV>
                <wp:extent cx="731520" cy="470535"/>
                <wp:effectExtent l="0" t="0" r="5080" b="12065"/>
                <wp:wrapThrough wrapText="bothSides">
                  <wp:wrapPolygon edited="0">
                    <wp:start x="4500" y="0"/>
                    <wp:lineTo x="0" y="11660"/>
                    <wp:lineTo x="0" y="15158"/>
                    <wp:lineTo x="3750" y="20988"/>
                    <wp:lineTo x="21000" y="20988"/>
                    <wp:lineTo x="21000" y="10494"/>
                    <wp:lineTo x="15750" y="0"/>
                    <wp:lineTo x="4500" y="0"/>
                  </wp:wrapPolygon>
                </wp:wrapThrough>
                <wp:docPr id="14"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731520" cy="470535"/>
                        </a:xfrm>
                        <a:custGeom>
                          <a:avLst/>
                          <a:gdLst>
                            <a:gd name="T0" fmla="*/ 3925 w 5118"/>
                            <a:gd name="T1" fmla="*/ 2284 h 4004"/>
                            <a:gd name="T2" fmla="*/ 4139 w 5118"/>
                            <a:gd name="T3" fmla="*/ 2405 h 4004"/>
                            <a:gd name="T4" fmla="*/ 4088 w 5118"/>
                            <a:gd name="T5" fmla="*/ 3623 h 4004"/>
                            <a:gd name="T6" fmla="*/ 3231 w 5118"/>
                            <a:gd name="T7" fmla="*/ 3865 h 4004"/>
                            <a:gd name="T8" fmla="*/ 2382 w 5118"/>
                            <a:gd name="T9" fmla="*/ 4003 h 4004"/>
                            <a:gd name="T10" fmla="*/ 1697 w 5118"/>
                            <a:gd name="T11" fmla="*/ 3917 h 4004"/>
                            <a:gd name="T12" fmla="*/ 1069 w 5118"/>
                            <a:gd name="T13" fmla="*/ 3643 h 4004"/>
                            <a:gd name="T14" fmla="*/ 560 w 5118"/>
                            <a:gd name="T15" fmla="*/ 3140 h 4004"/>
                            <a:gd name="T16" fmla="*/ 177 w 5118"/>
                            <a:gd name="T17" fmla="*/ 2723 h 4004"/>
                            <a:gd name="T18" fmla="*/ 2 w 5118"/>
                            <a:gd name="T19" fmla="*/ 2438 h 4004"/>
                            <a:gd name="T20" fmla="*/ 124 w 5118"/>
                            <a:gd name="T21" fmla="*/ 2224 h 4004"/>
                            <a:gd name="T22" fmla="*/ 391 w 5118"/>
                            <a:gd name="T23" fmla="*/ 2335 h 4004"/>
                            <a:gd name="T24" fmla="*/ 754 w 5118"/>
                            <a:gd name="T25" fmla="*/ 2703 h 4004"/>
                            <a:gd name="T26" fmla="*/ 1177 w 5118"/>
                            <a:gd name="T27" fmla="*/ 3061 h 4004"/>
                            <a:gd name="T28" fmla="*/ 1487 w 5118"/>
                            <a:gd name="T29" fmla="*/ 3368 h 4004"/>
                            <a:gd name="T30" fmla="*/ 3065 w 5118"/>
                            <a:gd name="T31" fmla="*/ 3388 h 4004"/>
                            <a:gd name="T32" fmla="*/ 2913 w 5118"/>
                            <a:gd name="T33" fmla="*/ 3286 h 4004"/>
                            <a:gd name="T34" fmla="*/ 1535 w 5118"/>
                            <a:gd name="T35" fmla="*/ 3238 h 4004"/>
                            <a:gd name="T36" fmla="*/ 1328 w 5118"/>
                            <a:gd name="T37" fmla="*/ 3029 h 4004"/>
                            <a:gd name="T38" fmla="*/ 1340 w 5118"/>
                            <a:gd name="T39" fmla="*/ 2689 h 4004"/>
                            <a:gd name="T40" fmla="*/ 1534 w 5118"/>
                            <a:gd name="T41" fmla="*/ 2517 h 4004"/>
                            <a:gd name="T42" fmla="*/ 2725 w 5118"/>
                            <a:gd name="T43" fmla="*/ 2483 h 4004"/>
                            <a:gd name="T44" fmla="*/ 2878 w 5118"/>
                            <a:gd name="T45" fmla="*/ 2391 h 4004"/>
                            <a:gd name="T46" fmla="*/ 3243 w 5118"/>
                            <a:gd name="T47" fmla="*/ 2242 h 4004"/>
                            <a:gd name="T48" fmla="*/ 523 w 5118"/>
                            <a:gd name="T49" fmla="*/ 2065 h 4004"/>
                            <a:gd name="T50" fmla="*/ 796 w 5118"/>
                            <a:gd name="T51" fmla="*/ 2244 h 4004"/>
                            <a:gd name="T52" fmla="*/ 1107 w 5118"/>
                            <a:gd name="T53" fmla="*/ 2509 h 4004"/>
                            <a:gd name="T54" fmla="*/ 1236 w 5118"/>
                            <a:gd name="T55" fmla="*/ 2687 h 4004"/>
                            <a:gd name="T56" fmla="*/ 1115 w 5118"/>
                            <a:gd name="T57" fmla="*/ 2785 h 4004"/>
                            <a:gd name="T58" fmla="*/ 926 w 5118"/>
                            <a:gd name="T59" fmla="*/ 2621 h 4004"/>
                            <a:gd name="T60" fmla="*/ 636 w 5118"/>
                            <a:gd name="T61" fmla="*/ 2369 h 4004"/>
                            <a:gd name="T62" fmla="*/ 405 w 5118"/>
                            <a:gd name="T63" fmla="*/ 2166 h 4004"/>
                            <a:gd name="T64" fmla="*/ 366 w 5118"/>
                            <a:gd name="T65" fmla="*/ 2110 h 4004"/>
                            <a:gd name="T66" fmla="*/ 465 w 5118"/>
                            <a:gd name="T67" fmla="*/ 2052 h 4004"/>
                            <a:gd name="T68" fmla="*/ 5113 w 5118"/>
                            <a:gd name="T69" fmla="*/ 2097 h 4004"/>
                            <a:gd name="T70" fmla="*/ 5031 w 5118"/>
                            <a:gd name="T71" fmla="*/ 3896 h 4004"/>
                            <a:gd name="T72" fmla="*/ 4366 w 5118"/>
                            <a:gd name="T73" fmla="*/ 3812 h 4004"/>
                            <a:gd name="T74" fmla="*/ 4450 w 5118"/>
                            <a:gd name="T75" fmla="*/ 2013 h 4004"/>
                            <a:gd name="T76" fmla="*/ 923 w 5118"/>
                            <a:gd name="T77" fmla="*/ 1988 h 4004"/>
                            <a:gd name="T78" fmla="*/ 1230 w 5118"/>
                            <a:gd name="T79" fmla="*/ 2214 h 4004"/>
                            <a:gd name="T80" fmla="*/ 1373 w 5118"/>
                            <a:gd name="T81" fmla="*/ 2402 h 4004"/>
                            <a:gd name="T82" fmla="*/ 1252 w 5118"/>
                            <a:gd name="T83" fmla="*/ 2500 h 4004"/>
                            <a:gd name="T84" fmla="*/ 1064 w 5118"/>
                            <a:gd name="T85" fmla="*/ 2342 h 4004"/>
                            <a:gd name="T86" fmla="*/ 802 w 5118"/>
                            <a:gd name="T87" fmla="*/ 2123 h 4004"/>
                            <a:gd name="T88" fmla="*/ 647 w 5118"/>
                            <a:gd name="T89" fmla="*/ 1994 h 4004"/>
                            <a:gd name="T90" fmla="*/ 676 w 5118"/>
                            <a:gd name="T91" fmla="*/ 1940 h 4004"/>
                            <a:gd name="T92" fmla="*/ 2241 w 5118"/>
                            <a:gd name="T93" fmla="*/ 1068 h 4004"/>
                            <a:gd name="T94" fmla="*/ 2740 w 5118"/>
                            <a:gd name="T95" fmla="*/ 1070 h 4004"/>
                            <a:gd name="T96" fmla="*/ 2801 w 5118"/>
                            <a:gd name="T97" fmla="*/ 1071 h 4004"/>
                            <a:gd name="T98" fmla="*/ 3144 w 5118"/>
                            <a:gd name="T99" fmla="*/ 0 h 4004"/>
                            <a:gd name="T100" fmla="*/ 3472 w 5118"/>
                            <a:gd name="T101" fmla="*/ 198 h 4004"/>
                            <a:gd name="T102" fmla="*/ 3472 w 5118"/>
                            <a:gd name="T103" fmla="*/ 1768 h 4004"/>
                            <a:gd name="T104" fmla="*/ 3144 w 5118"/>
                            <a:gd name="T105" fmla="*/ 1968 h 4004"/>
                            <a:gd name="T106" fmla="*/ 1461 w 5118"/>
                            <a:gd name="T107" fmla="*/ 1816 h 4004"/>
                            <a:gd name="T108" fmla="*/ 1408 w 5118"/>
                            <a:gd name="T109" fmla="*/ 251 h 4004"/>
                            <a:gd name="T110" fmla="*/ 1698 w 5118"/>
                            <a:gd name="T111" fmla="*/ 4 h 40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118" h="4004">
                              <a:moveTo>
                                <a:pt x="3488" y="2208"/>
                              </a:moveTo>
                              <a:lnTo>
                                <a:pt x="3573" y="2211"/>
                              </a:lnTo>
                              <a:lnTo>
                                <a:pt x="3652" y="2219"/>
                              </a:lnTo>
                              <a:lnTo>
                                <a:pt x="3728" y="2231"/>
                              </a:lnTo>
                              <a:lnTo>
                                <a:pt x="3800" y="2247"/>
                              </a:lnTo>
                              <a:lnTo>
                                <a:pt x="3866" y="2264"/>
                              </a:lnTo>
                              <a:lnTo>
                                <a:pt x="3925" y="2284"/>
                              </a:lnTo>
                              <a:lnTo>
                                <a:pt x="3980" y="2303"/>
                              </a:lnTo>
                              <a:lnTo>
                                <a:pt x="4028" y="2323"/>
                              </a:lnTo>
                              <a:lnTo>
                                <a:pt x="4066" y="2340"/>
                              </a:lnTo>
                              <a:lnTo>
                                <a:pt x="4099" y="2357"/>
                              </a:lnTo>
                              <a:lnTo>
                                <a:pt x="4116" y="2369"/>
                              </a:lnTo>
                              <a:lnTo>
                                <a:pt x="4130" y="2385"/>
                              </a:lnTo>
                              <a:lnTo>
                                <a:pt x="4139" y="2405"/>
                              </a:lnTo>
                              <a:lnTo>
                                <a:pt x="4142" y="2427"/>
                              </a:lnTo>
                              <a:lnTo>
                                <a:pt x="4142" y="3547"/>
                              </a:lnTo>
                              <a:lnTo>
                                <a:pt x="4139" y="3567"/>
                              </a:lnTo>
                              <a:lnTo>
                                <a:pt x="4133" y="3587"/>
                              </a:lnTo>
                              <a:lnTo>
                                <a:pt x="4122" y="3603"/>
                              </a:lnTo>
                              <a:lnTo>
                                <a:pt x="4107" y="3615"/>
                              </a:lnTo>
                              <a:lnTo>
                                <a:pt x="4088" y="3623"/>
                              </a:lnTo>
                              <a:lnTo>
                                <a:pt x="3969" y="3646"/>
                              </a:lnTo>
                              <a:lnTo>
                                <a:pt x="3848" y="3674"/>
                              </a:lnTo>
                              <a:lnTo>
                                <a:pt x="3725" y="3708"/>
                              </a:lnTo>
                              <a:lnTo>
                                <a:pt x="3603" y="3745"/>
                              </a:lnTo>
                              <a:lnTo>
                                <a:pt x="3479" y="3786"/>
                              </a:lnTo>
                              <a:lnTo>
                                <a:pt x="3355" y="3826"/>
                              </a:lnTo>
                              <a:lnTo>
                                <a:pt x="3231" y="3865"/>
                              </a:lnTo>
                              <a:lnTo>
                                <a:pt x="3105" y="3902"/>
                              </a:lnTo>
                              <a:lnTo>
                                <a:pt x="2979" y="3934"/>
                              </a:lnTo>
                              <a:lnTo>
                                <a:pt x="2852" y="3962"/>
                              </a:lnTo>
                              <a:lnTo>
                                <a:pt x="2726" y="3986"/>
                              </a:lnTo>
                              <a:lnTo>
                                <a:pt x="2601" y="4000"/>
                              </a:lnTo>
                              <a:lnTo>
                                <a:pt x="2474" y="4004"/>
                              </a:lnTo>
                              <a:lnTo>
                                <a:pt x="2382" y="4003"/>
                              </a:lnTo>
                              <a:lnTo>
                                <a:pt x="2288" y="4000"/>
                              </a:lnTo>
                              <a:lnTo>
                                <a:pt x="2191" y="3993"/>
                              </a:lnTo>
                              <a:lnTo>
                                <a:pt x="2094" y="3984"/>
                              </a:lnTo>
                              <a:lnTo>
                                <a:pt x="1994" y="3973"/>
                              </a:lnTo>
                              <a:lnTo>
                                <a:pt x="1894" y="3958"/>
                              </a:lnTo>
                              <a:lnTo>
                                <a:pt x="1794" y="3939"/>
                              </a:lnTo>
                              <a:lnTo>
                                <a:pt x="1697" y="3917"/>
                              </a:lnTo>
                              <a:lnTo>
                                <a:pt x="1599" y="3891"/>
                              </a:lnTo>
                              <a:lnTo>
                                <a:pt x="1503" y="3862"/>
                              </a:lnTo>
                              <a:lnTo>
                                <a:pt x="1408" y="3827"/>
                              </a:lnTo>
                              <a:lnTo>
                                <a:pt x="1318" y="3789"/>
                              </a:lnTo>
                              <a:lnTo>
                                <a:pt x="1230" y="3745"/>
                              </a:lnTo>
                              <a:lnTo>
                                <a:pt x="1148" y="3696"/>
                              </a:lnTo>
                              <a:lnTo>
                                <a:pt x="1069" y="3643"/>
                              </a:lnTo>
                              <a:lnTo>
                                <a:pt x="994" y="3584"/>
                              </a:lnTo>
                              <a:lnTo>
                                <a:pt x="926" y="3520"/>
                              </a:lnTo>
                              <a:lnTo>
                                <a:pt x="848" y="3441"/>
                              </a:lnTo>
                              <a:lnTo>
                                <a:pt x="772" y="3364"/>
                              </a:lnTo>
                              <a:lnTo>
                                <a:pt x="699" y="3286"/>
                              </a:lnTo>
                              <a:lnTo>
                                <a:pt x="628" y="3213"/>
                              </a:lnTo>
                              <a:lnTo>
                                <a:pt x="560" y="3140"/>
                              </a:lnTo>
                              <a:lnTo>
                                <a:pt x="493" y="3071"/>
                              </a:lnTo>
                              <a:lnTo>
                                <a:pt x="431" y="3004"/>
                              </a:lnTo>
                              <a:lnTo>
                                <a:pt x="372" y="2940"/>
                              </a:lnTo>
                              <a:lnTo>
                                <a:pt x="316" y="2880"/>
                              </a:lnTo>
                              <a:lnTo>
                                <a:pt x="265" y="2824"/>
                              </a:lnTo>
                              <a:lnTo>
                                <a:pt x="219" y="2771"/>
                              </a:lnTo>
                              <a:lnTo>
                                <a:pt x="177" y="2723"/>
                              </a:lnTo>
                              <a:lnTo>
                                <a:pt x="140" y="2680"/>
                              </a:lnTo>
                              <a:lnTo>
                                <a:pt x="109" y="2641"/>
                              </a:lnTo>
                              <a:lnTo>
                                <a:pt x="82" y="2608"/>
                              </a:lnTo>
                              <a:lnTo>
                                <a:pt x="62" y="2580"/>
                              </a:lnTo>
                              <a:lnTo>
                                <a:pt x="31" y="2531"/>
                              </a:lnTo>
                              <a:lnTo>
                                <a:pt x="12" y="2483"/>
                              </a:lnTo>
                              <a:lnTo>
                                <a:pt x="2" y="2438"/>
                              </a:lnTo>
                              <a:lnTo>
                                <a:pt x="0" y="2394"/>
                              </a:lnTo>
                              <a:lnTo>
                                <a:pt x="6" y="2354"/>
                              </a:lnTo>
                              <a:lnTo>
                                <a:pt x="19" y="2318"/>
                              </a:lnTo>
                              <a:lnTo>
                                <a:pt x="39" y="2286"/>
                              </a:lnTo>
                              <a:lnTo>
                                <a:pt x="64" y="2259"/>
                              </a:lnTo>
                              <a:lnTo>
                                <a:pt x="92" y="2239"/>
                              </a:lnTo>
                              <a:lnTo>
                                <a:pt x="124" y="2224"/>
                              </a:lnTo>
                              <a:lnTo>
                                <a:pt x="160" y="2216"/>
                              </a:lnTo>
                              <a:lnTo>
                                <a:pt x="199" y="2214"/>
                              </a:lnTo>
                              <a:lnTo>
                                <a:pt x="237" y="2222"/>
                              </a:lnTo>
                              <a:lnTo>
                                <a:pt x="276" y="2238"/>
                              </a:lnTo>
                              <a:lnTo>
                                <a:pt x="316" y="2262"/>
                              </a:lnTo>
                              <a:lnTo>
                                <a:pt x="355" y="2297"/>
                              </a:lnTo>
                              <a:lnTo>
                                <a:pt x="391" y="2335"/>
                              </a:lnTo>
                              <a:lnTo>
                                <a:pt x="433" y="2379"/>
                              </a:lnTo>
                              <a:lnTo>
                                <a:pt x="479" y="2427"/>
                              </a:lnTo>
                              <a:lnTo>
                                <a:pt x="529" y="2478"/>
                              </a:lnTo>
                              <a:lnTo>
                                <a:pt x="582" y="2531"/>
                              </a:lnTo>
                              <a:lnTo>
                                <a:pt x="636" y="2588"/>
                              </a:lnTo>
                              <a:lnTo>
                                <a:pt x="695" y="2644"/>
                              </a:lnTo>
                              <a:lnTo>
                                <a:pt x="754" y="2703"/>
                              </a:lnTo>
                              <a:lnTo>
                                <a:pt x="814" y="2760"/>
                              </a:lnTo>
                              <a:lnTo>
                                <a:pt x="876" y="2818"/>
                              </a:lnTo>
                              <a:lnTo>
                                <a:pt x="938" y="2872"/>
                              </a:lnTo>
                              <a:lnTo>
                                <a:pt x="999" y="2925"/>
                              </a:lnTo>
                              <a:lnTo>
                                <a:pt x="1059" y="2974"/>
                              </a:lnTo>
                              <a:lnTo>
                                <a:pt x="1120" y="3019"/>
                              </a:lnTo>
                              <a:lnTo>
                                <a:pt x="1177" y="3061"/>
                              </a:lnTo>
                              <a:lnTo>
                                <a:pt x="1194" y="3114"/>
                              </a:lnTo>
                              <a:lnTo>
                                <a:pt x="1224" y="3165"/>
                              </a:lnTo>
                              <a:lnTo>
                                <a:pt x="1262" y="3215"/>
                              </a:lnTo>
                              <a:lnTo>
                                <a:pt x="1309" y="3261"/>
                              </a:lnTo>
                              <a:lnTo>
                                <a:pt x="1362" y="3302"/>
                              </a:lnTo>
                              <a:lnTo>
                                <a:pt x="1422" y="3339"/>
                              </a:lnTo>
                              <a:lnTo>
                                <a:pt x="1487" y="3368"/>
                              </a:lnTo>
                              <a:lnTo>
                                <a:pt x="1556" y="3390"/>
                              </a:lnTo>
                              <a:lnTo>
                                <a:pt x="1627" y="3404"/>
                              </a:lnTo>
                              <a:lnTo>
                                <a:pt x="1700" y="3410"/>
                              </a:lnTo>
                              <a:lnTo>
                                <a:pt x="3083" y="3410"/>
                              </a:lnTo>
                              <a:lnTo>
                                <a:pt x="3082" y="3407"/>
                              </a:lnTo>
                              <a:lnTo>
                                <a:pt x="3074" y="3399"/>
                              </a:lnTo>
                              <a:lnTo>
                                <a:pt x="3065" y="3388"/>
                              </a:lnTo>
                              <a:lnTo>
                                <a:pt x="3051" y="3373"/>
                              </a:lnTo>
                              <a:lnTo>
                                <a:pt x="3034" y="3357"/>
                              </a:lnTo>
                              <a:lnTo>
                                <a:pt x="3013" y="3340"/>
                              </a:lnTo>
                              <a:lnTo>
                                <a:pt x="2992" y="3323"/>
                              </a:lnTo>
                              <a:lnTo>
                                <a:pt x="2967" y="3309"/>
                              </a:lnTo>
                              <a:lnTo>
                                <a:pt x="2941" y="3295"/>
                              </a:lnTo>
                              <a:lnTo>
                                <a:pt x="2913" y="3286"/>
                              </a:lnTo>
                              <a:lnTo>
                                <a:pt x="2883" y="3280"/>
                              </a:lnTo>
                              <a:lnTo>
                                <a:pt x="1708" y="3280"/>
                              </a:lnTo>
                              <a:lnTo>
                                <a:pt x="1677" y="3278"/>
                              </a:lnTo>
                              <a:lnTo>
                                <a:pt x="1642" y="3274"/>
                              </a:lnTo>
                              <a:lnTo>
                                <a:pt x="1608" y="3266"/>
                              </a:lnTo>
                              <a:lnTo>
                                <a:pt x="1571" y="3254"/>
                              </a:lnTo>
                              <a:lnTo>
                                <a:pt x="1535" y="3238"/>
                              </a:lnTo>
                              <a:lnTo>
                                <a:pt x="1498" y="3219"/>
                              </a:lnTo>
                              <a:lnTo>
                                <a:pt x="1464" y="3196"/>
                              </a:lnTo>
                              <a:lnTo>
                                <a:pt x="1430" y="3171"/>
                              </a:lnTo>
                              <a:lnTo>
                                <a:pt x="1399" y="3140"/>
                              </a:lnTo>
                              <a:lnTo>
                                <a:pt x="1371" y="3108"/>
                              </a:lnTo>
                              <a:lnTo>
                                <a:pt x="1348" y="3071"/>
                              </a:lnTo>
                              <a:lnTo>
                                <a:pt x="1328" y="3029"/>
                              </a:lnTo>
                              <a:lnTo>
                                <a:pt x="1312" y="2984"/>
                              </a:lnTo>
                              <a:lnTo>
                                <a:pt x="1303" y="2934"/>
                              </a:lnTo>
                              <a:lnTo>
                                <a:pt x="1300" y="2881"/>
                              </a:lnTo>
                              <a:lnTo>
                                <a:pt x="1301" y="2825"/>
                              </a:lnTo>
                              <a:lnTo>
                                <a:pt x="1311" y="2776"/>
                              </a:lnTo>
                              <a:lnTo>
                                <a:pt x="1323" y="2731"/>
                              </a:lnTo>
                              <a:lnTo>
                                <a:pt x="1340" y="2689"/>
                              </a:lnTo>
                              <a:lnTo>
                                <a:pt x="1360" y="2653"/>
                              </a:lnTo>
                              <a:lnTo>
                                <a:pt x="1385" y="2622"/>
                              </a:lnTo>
                              <a:lnTo>
                                <a:pt x="1411" y="2593"/>
                              </a:lnTo>
                              <a:lnTo>
                                <a:pt x="1439" y="2570"/>
                              </a:lnTo>
                              <a:lnTo>
                                <a:pt x="1470" y="2549"/>
                              </a:lnTo>
                              <a:lnTo>
                                <a:pt x="1501" y="2531"/>
                              </a:lnTo>
                              <a:lnTo>
                                <a:pt x="1534" y="2517"/>
                              </a:lnTo>
                              <a:lnTo>
                                <a:pt x="1565" y="2506"/>
                              </a:lnTo>
                              <a:lnTo>
                                <a:pt x="1597" y="2497"/>
                              </a:lnTo>
                              <a:lnTo>
                                <a:pt x="1627" y="2490"/>
                              </a:lnTo>
                              <a:lnTo>
                                <a:pt x="1656" y="2486"/>
                              </a:lnTo>
                              <a:lnTo>
                                <a:pt x="1684" y="2484"/>
                              </a:lnTo>
                              <a:lnTo>
                                <a:pt x="1708" y="2483"/>
                              </a:lnTo>
                              <a:lnTo>
                                <a:pt x="2725" y="2483"/>
                              </a:lnTo>
                              <a:lnTo>
                                <a:pt x="2730" y="2481"/>
                              </a:lnTo>
                              <a:lnTo>
                                <a:pt x="2739" y="2473"/>
                              </a:lnTo>
                              <a:lnTo>
                                <a:pt x="2756" y="2463"/>
                              </a:lnTo>
                              <a:lnTo>
                                <a:pt x="2779" y="2449"/>
                              </a:lnTo>
                              <a:lnTo>
                                <a:pt x="2807" y="2432"/>
                              </a:lnTo>
                              <a:lnTo>
                                <a:pt x="2841" y="2411"/>
                              </a:lnTo>
                              <a:lnTo>
                                <a:pt x="2878" y="2391"/>
                              </a:lnTo>
                              <a:lnTo>
                                <a:pt x="2922" y="2368"/>
                              </a:lnTo>
                              <a:lnTo>
                                <a:pt x="2968" y="2346"/>
                              </a:lnTo>
                              <a:lnTo>
                                <a:pt x="3018" y="2323"/>
                              </a:lnTo>
                              <a:lnTo>
                                <a:pt x="3071" y="2300"/>
                              </a:lnTo>
                              <a:lnTo>
                                <a:pt x="3127" y="2280"/>
                              </a:lnTo>
                              <a:lnTo>
                                <a:pt x="3184" y="2259"/>
                              </a:lnTo>
                              <a:lnTo>
                                <a:pt x="3243" y="2242"/>
                              </a:lnTo>
                              <a:lnTo>
                                <a:pt x="3303" y="2228"/>
                              </a:lnTo>
                              <a:lnTo>
                                <a:pt x="3365" y="2217"/>
                              </a:lnTo>
                              <a:lnTo>
                                <a:pt x="3428" y="2210"/>
                              </a:lnTo>
                              <a:lnTo>
                                <a:pt x="3488" y="2208"/>
                              </a:lnTo>
                              <a:close/>
                              <a:moveTo>
                                <a:pt x="465" y="2052"/>
                              </a:moveTo>
                              <a:lnTo>
                                <a:pt x="492" y="2055"/>
                              </a:lnTo>
                              <a:lnTo>
                                <a:pt x="523" y="2065"/>
                              </a:lnTo>
                              <a:lnTo>
                                <a:pt x="552" y="2078"/>
                              </a:lnTo>
                              <a:lnTo>
                                <a:pt x="585" y="2097"/>
                              </a:lnTo>
                              <a:lnTo>
                                <a:pt x="622" y="2118"/>
                              </a:lnTo>
                              <a:lnTo>
                                <a:pt x="662" y="2146"/>
                              </a:lnTo>
                              <a:lnTo>
                                <a:pt x="704" y="2176"/>
                              </a:lnTo>
                              <a:lnTo>
                                <a:pt x="749" y="2208"/>
                              </a:lnTo>
                              <a:lnTo>
                                <a:pt x="796" y="2244"/>
                              </a:lnTo>
                              <a:lnTo>
                                <a:pt x="844" y="2281"/>
                              </a:lnTo>
                              <a:lnTo>
                                <a:pt x="890" y="2320"/>
                              </a:lnTo>
                              <a:lnTo>
                                <a:pt x="937" y="2359"/>
                              </a:lnTo>
                              <a:lnTo>
                                <a:pt x="983" y="2397"/>
                              </a:lnTo>
                              <a:lnTo>
                                <a:pt x="1027" y="2436"/>
                              </a:lnTo>
                              <a:lnTo>
                                <a:pt x="1069" y="2473"/>
                              </a:lnTo>
                              <a:lnTo>
                                <a:pt x="1107" y="2509"/>
                              </a:lnTo>
                              <a:lnTo>
                                <a:pt x="1141" y="2543"/>
                              </a:lnTo>
                              <a:lnTo>
                                <a:pt x="1172" y="2574"/>
                              </a:lnTo>
                              <a:lnTo>
                                <a:pt x="1197" y="2602"/>
                              </a:lnTo>
                              <a:lnTo>
                                <a:pt x="1217" y="2625"/>
                              </a:lnTo>
                              <a:lnTo>
                                <a:pt x="1230" y="2646"/>
                              </a:lnTo>
                              <a:lnTo>
                                <a:pt x="1238" y="2666"/>
                              </a:lnTo>
                              <a:lnTo>
                                <a:pt x="1236" y="2687"/>
                              </a:lnTo>
                              <a:lnTo>
                                <a:pt x="1228" y="2709"/>
                              </a:lnTo>
                              <a:lnTo>
                                <a:pt x="1214" y="2732"/>
                              </a:lnTo>
                              <a:lnTo>
                                <a:pt x="1197" y="2753"/>
                              </a:lnTo>
                              <a:lnTo>
                                <a:pt x="1174" y="2770"/>
                              </a:lnTo>
                              <a:lnTo>
                                <a:pt x="1151" y="2784"/>
                              </a:lnTo>
                              <a:lnTo>
                                <a:pt x="1124" y="2793"/>
                              </a:lnTo>
                              <a:lnTo>
                                <a:pt x="1115" y="2785"/>
                              </a:lnTo>
                              <a:lnTo>
                                <a:pt x="1101" y="2773"/>
                              </a:lnTo>
                              <a:lnTo>
                                <a:pt x="1081" y="2756"/>
                              </a:lnTo>
                              <a:lnTo>
                                <a:pt x="1058" y="2734"/>
                              </a:lnTo>
                              <a:lnTo>
                                <a:pt x="1030" y="2711"/>
                              </a:lnTo>
                              <a:lnTo>
                                <a:pt x="997" y="2683"/>
                              </a:lnTo>
                              <a:lnTo>
                                <a:pt x="963" y="2653"/>
                              </a:lnTo>
                              <a:lnTo>
                                <a:pt x="926" y="2621"/>
                              </a:lnTo>
                              <a:lnTo>
                                <a:pt x="887" y="2587"/>
                              </a:lnTo>
                              <a:lnTo>
                                <a:pt x="847" y="2553"/>
                              </a:lnTo>
                              <a:lnTo>
                                <a:pt x="805" y="2515"/>
                              </a:lnTo>
                              <a:lnTo>
                                <a:pt x="763" y="2478"/>
                              </a:lnTo>
                              <a:lnTo>
                                <a:pt x="720" y="2442"/>
                              </a:lnTo>
                              <a:lnTo>
                                <a:pt x="678" y="2405"/>
                              </a:lnTo>
                              <a:lnTo>
                                <a:pt x="636" y="2369"/>
                              </a:lnTo>
                              <a:lnTo>
                                <a:pt x="596" y="2334"/>
                              </a:lnTo>
                              <a:lnTo>
                                <a:pt x="557" y="2300"/>
                              </a:lnTo>
                              <a:lnTo>
                                <a:pt x="521" y="2269"/>
                              </a:lnTo>
                              <a:lnTo>
                                <a:pt x="487" y="2239"/>
                              </a:lnTo>
                              <a:lnTo>
                                <a:pt x="456" y="2211"/>
                              </a:lnTo>
                              <a:lnTo>
                                <a:pt x="428" y="2188"/>
                              </a:lnTo>
                              <a:lnTo>
                                <a:pt x="405" y="2166"/>
                              </a:lnTo>
                              <a:lnTo>
                                <a:pt x="385" y="2151"/>
                              </a:lnTo>
                              <a:lnTo>
                                <a:pt x="371" y="2138"/>
                              </a:lnTo>
                              <a:lnTo>
                                <a:pt x="361" y="2131"/>
                              </a:lnTo>
                              <a:lnTo>
                                <a:pt x="358" y="2128"/>
                              </a:lnTo>
                              <a:lnTo>
                                <a:pt x="360" y="2126"/>
                              </a:lnTo>
                              <a:lnTo>
                                <a:pt x="361" y="2120"/>
                              </a:lnTo>
                              <a:lnTo>
                                <a:pt x="366" y="2110"/>
                              </a:lnTo>
                              <a:lnTo>
                                <a:pt x="372" y="2100"/>
                              </a:lnTo>
                              <a:lnTo>
                                <a:pt x="380" y="2087"/>
                              </a:lnTo>
                              <a:lnTo>
                                <a:pt x="391" y="2076"/>
                              </a:lnTo>
                              <a:lnTo>
                                <a:pt x="405" y="2065"/>
                              </a:lnTo>
                              <a:lnTo>
                                <a:pt x="422" y="2058"/>
                              </a:lnTo>
                              <a:lnTo>
                                <a:pt x="440" y="2052"/>
                              </a:lnTo>
                              <a:lnTo>
                                <a:pt x="465" y="2052"/>
                              </a:lnTo>
                              <a:close/>
                              <a:moveTo>
                                <a:pt x="4481" y="2008"/>
                              </a:moveTo>
                              <a:lnTo>
                                <a:pt x="4999" y="2008"/>
                              </a:lnTo>
                              <a:lnTo>
                                <a:pt x="5031" y="2013"/>
                              </a:lnTo>
                              <a:lnTo>
                                <a:pt x="5059" y="2025"/>
                              </a:lnTo>
                              <a:lnTo>
                                <a:pt x="5082" y="2044"/>
                              </a:lnTo>
                              <a:lnTo>
                                <a:pt x="5102" y="2067"/>
                              </a:lnTo>
                              <a:lnTo>
                                <a:pt x="5113" y="2097"/>
                              </a:lnTo>
                              <a:lnTo>
                                <a:pt x="5118" y="2128"/>
                              </a:lnTo>
                              <a:lnTo>
                                <a:pt x="5118" y="3779"/>
                              </a:lnTo>
                              <a:lnTo>
                                <a:pt x="5113" y="3812"/>
                              </a:lnTo>
                              <a:lnTo>
                                <a:pt x="5102" y="3840"/>
                              </a:lnTo>
                              <a:lnTo>
                                <a:pt x="5082" y="3865"/>
                              </a:lnTo>
                              <a:lnTo>
                                <a:pt x="5059" y="3883"/>
                              </a:lnTo>
                              <a:lnTo>
                                <a:pt x="5031" y="3896"/>
                              </a:lnTo>
                              <a:lnTo>
                                <a:pt x="4999" y="3899"/>
                              </a:lnTo>
                              <a:lnTo>
                                <a:pt x="4481" y="3899"/>
                              </a:lnTo>
                              <a:lnTo>
                                <a:pt x="4450" y="3896"/>
                              </a:lnTo>
                              <a:lnTo>
                                <a:pt x="4420" y="3883"/>
                              </a:lnTo>
                              <a:lnTo>
                                <a:pt x="4397" y="3865"/>
                              </a:lnTo>
                              <a:lnTo>
                                <a:pt x="4378" y="3840"/>
                              </a:lnTo>
                              <a:lnTo>
                                <a:pt x="4366" y="3812"/>
                              </a:lnTo>
                              <a:lnTo>
                                <a:pt x="4361" y="3779"/>
                              </a:lnTo>
                              <a:lnTo>
                                <a:pt x="4361" y="2128"/>
                              </a:lnTo>
                              <a:lnTo>
                                <a:pt x="4366" y="2097"/>
                              </a:lnTo>
                              <a:lnTo>
                                <a:pt x="4378" y="2067"/>
                              </a:lnTo>
                              <a:lnTo>
                                <a:pt x="4397" y="2044"/>
                              </a:lnTo>
                              <a:lnTo>
                                <a:pt x="4420" y="2025"/>
                              </a:lnTo>
                              <a:lnTo>
                                <a:pt x="4450" y="2013"/>
                              </a:lnTo>
                              <a:lnTo>
                                <a:pt x="4481" y="2008"/>
                              </a:lnTo>
                              <a:close/>
                              <a:moveTo>
                                <a:pt x="749" y="1915"/>
                              </a:moveTo>
                              <a:lnTo>
                                <a:pt x="777" y="1918"/>
                              </a:lnTo>
                              <a:lnTo>
                                <a:pt x="808" y="1929"/>
                              </a:lnTo>
                              <a:lnTo>
                                <a:pt x="844" y="1945"/>
                              </a:lnTo>
                              <a:lnTo>
                                <a:pt x="882" y="1965"/>
                              </a:lnTo>
                              <a:lnTo>
                                <a:pt x="923" y="1988"/>
                              </a:lnTo>
                              <a:lnTo>
                                <a:pt x="966" y="2016"/>
                              </a:lnTo>
                              <a:lnTo>
                                <a:pt x="1011" y="2045"/>
                              </a:lnTo>
                              <a:lnTo>
                                <a:pt x="1058" y="2078"/>
                              </a:lnTo>
                              <a:lnTo>
                                <a:pt x="1103" y="2110"/>
                              </a:lnTo>
                              <a:lnTo>
                                <a:pt x="1148" y="2146"/>
                              </a:lnTo>
                              <a:lnTo>
                                <a:pt x="1190" y="2180"/>
                              </a:lnTo>
                              <a:lnTo>
                                <a:pt x="1230" y="2214"/>
                              </a:lnTo>
                              <a:lnTo>
                                <a:pt x="1267" y="2249"/>
                              </a:lnTo>
                              <a:lnTo>
                                <a:pt x="1300" y="2280"/>
                              </a:lnTo>
                              <a:lnTo>
                                <a:pt x="1328" y="2309"/>
                              </a:lnTo>
                              <a:lnTo>
                                <a:pt x="1351" y="2337"/>
                              </a:lnTo>
                              <a:lnTo>
                                <a:pt x="1366" y="2360"/>
                              </a:lnTo>
                              <a:lnTo>
                                <a:pt x="1374" y="2380"/>
                              </a:lnTo>
                              <a:lnTo>
                                <a:pt x="1373" y="2402"/>
                              </a:lnTo>
                              <a:lnTo>
                                <a:pt x="1365" y="2425"/>
                              </a:lnTo>
                              <a:lnTo>
                                <a:pt x="1351" y="2447"/>
                              </a:lnTo>
                              <a:lnTo>
                                <a:pt x="1334" y="2467"/>
                              </a:lnTo>
                              <a:lnTo>
                                <a:pt x="1311" y="2484"/>
                              </a:lnTo>
                              <a:lnTo>
                                <a:pt x="1287" y="2498"/>
                              </a:lnTo>
                              <a:lnTo>
                                <a:pt x="1261" y="2508"/>
                              </a:lnTo>
                              <a:lnTo>
                                <a:pt x="1252" y="2500"/>
                              </a:lnTo>
                              <a:lnTo>
                                <a:pt x="1236" y="2486"/>
                              </a:lnTo>
                              <a:lnTo>
                                <a:pt x="1216" y="2469"/>
                              </a:lnTo>
                              <a:lnTo>
                                <a:pt x="1191" y="2449"/>
                              </a:lnTo>
                              <a:lnTo>
                                <a:pt x="1163" y="2425"/>
                              </a:lnTo>
                              <a:lnTo>
                                <a:pt x="1132" y="2399"/>
                              </a:lnTo>
                              <a:lnTo>
                                <a:pt x="1100" y="2371"/>
                              </a:lnTo>
                              <a:lnTo>
                                <a:pt x="1064" y="2342"/>
                              </a:lnTo>
                              <a:lnTo>
                                <a:pt x="1027" y="2311"/>
                              </a:lnTo>
                              <a:lnTo>
                                <a:pt x="988" y="2280"/>
                              </a:lnTo>
                              <a:lnTo>
                                <a:pt x="951" y="2247"/>
                              </a:lnTo>
                              <a:lnTo>
                                <a:pt x="912" y="2214"/>
                              </a:lnTo>
                              <a:lnTo>
                                <a:pt x="875" y="2183"/>
                              </a:lnTo>
                              <a:lnTo>
                                <a:pt x="837" y="2152"/>
                              </a:lnTo>
                              <a:lnTo>
                                <a:pt x="802" y="2123"/>
                              </a:lnTo>
                              <a:lnTo>
                                <a:pt x="769" y="2097"/>
                              </a:lnTo>
                              <a:lnTo>
                                <a:pt x="740" y="2070"/>
                              </a:lnTo>
                              <a:lnTo>
                                <a:pt x="712" y="2048"/>
                              </a:lnTo>
                              <a:lnTo>
                                <a:pt x="689" y="2028"/>
                              </a:lnTo>
                              <a:lnTo>
                                <a:pt x="670" y="2013"/>
                              </a:lnTo>
                              <a:lnTo>
                                <a:pt x="656" y="2002"/>
                              </a:lnTo>
                              <a:lnTo>
                                <a:pt x="647" y="1994"/>
                              </a:lnTo>
                              <a:lnTo>
                                <a:pt x="644" y="1991"/>
                              </a:lnTo>
                              <a:lnTo>
                                <a:pt x="645" y="1989"/>
                              </a:lnTo>
                              <a:lnTo>
                                <a:pt x="647" y="1983"/>
                              </a:lnTo>
                              <a:lnTo>
                                <a:pt x="651" y="1974"/>
                              </a:lnTo>
                              <a:lnTo>
                                <a:pt x="658" y="1963"/>
                              </a:lnTo>
                              <a:lnTo>
                                <a:pt x="665" y="1951"/>
                              </a:lnTo>
                              <a:lnTo>
                                <a:pt x="676" y="1940"/>
                              </a:lnTo>
                              <a:lnTo>
                                <a:pt x="690" y="1929"/>
                              </a:lnTo>
                              <a:lnTo>
                                <a:pt x="706" y="1921"/>
                              </a:lnTo>
                              <a:lnTo>
                                <a:pt x="726" y="1915"/>
                              </a:lnTo>
                              <a:lnTo>
                                <a:pt x="749" y="1915"/>
                              </a:lnTo>
                              <a:close/>
                              <a:moveTo>
                                <a:pt x="2405" y="600"/>
                              </a:moveTo>
                              <a:lnTo>
                                <a:pt x="2008" y="1068"/>
                              </a:lnTo>
                              <a:lnTo>
                                <a:pt x="2241" y="1068"/>
                              </a:lnTo>
                              <a:lnTo>
                                <a:pt x="2241" y="1611"/>
                              </a:lnTo>
                              <a:lnTo>
                                <a:pt x="2568" y="1611"/>
                              </a:lnTo>
                              <a:lnTo>
                                <a:pt x="2568" y="1068"/>
                              </a:lnTo>
                              <a:lnTo>
                                <a:pt x="2626" y="1068"/>
                              </a:lnTo>
                              <a:lnTo>
                                <a:pt x="2672" y="1070"/>
                              </a:lnTo>
                              <a:lnTo>
                                <a:pt x="2711" y="1070"/>
                              </a:lnTo>
                              <a:lnTo>
                                <a:pt x="2740" y="1070"/>
                              </a:lnTo>
                              <a:lnTo>
                                <a:pt x="2762" y="1070"/>
                              </a:lnTo>
                              <a:lnTo>
                                <a:pt x="2778" y="1070"/>
                              </a:lnTo>
                              <a:lnTo>
                                <a:pt x="2789" y="1070"/>
                              </a:lnTo>
                              <a:lnTo>
                                <a:pt x="2796" y="1070"/>
                              </a:lnTo>
                              <a:lnTo>
                                <a:pt x="2799" y="1070"/>
                              </a:lnTo>
                              <a:lnTo>
                                <a:pt x="2801" y="1071"/>
                              </a:lnTo>
                              <a:lnTo>
                                <a:pt x="2801" y="1071"/>
                              </a:lnTo>
                              <a:lnTo>
                                <a:pt x="2405" y="600"/>
                              </a:lnTo>
                              <a:close/>
                              <a:moveTo>
                                <a:pt x="1759" y="0"/>
                              </a:moveTo>
                              <a:lnTo>
                                <a:pt x="2322" y="0"/>
                              </a:lnTo>
                              <a:lnTo>
                                <a:pt x="2322" y="277"/>
                              </a:lnTo>
                              <a:lnTo>
                                <a:pt x="2584" y="277"/>
                              </a:lnTo>
                              <a:lnTo>
                                <a:pt x="2584" y="0"/>
                              </a:lnTo>
                              <a:lnTo>
                                <a:pt x="3144" y="0"/>
                              </a:lnTo>
                              <a:lnTo>
                                <a:pt x="3204" y="4"/>
                              </a:lnTo>
                              <a:lnTo>
                                <a:pt x="3260" y="18"/>
                              </a:lnTo>
                              <a:lnTo>
                                <a:pt x="3314" y="40"/>
                              </a:lnTo>
                              <a:lnTo>
                                <a:pt x="3362" y="71"/>
                              </a:lnTo>
                              <a:lnTo>
                                <a:pt x="3404" y="107"/>
                              </a:lnTo>
                              <a:lnTo>
                                <a:pt x="3441" y="150"/>
                              </a:lnTo>
                              <a:lnTo>
                                <a:pt x="3472" y="198"/>
                              </a:lnTo>
                              <a:lnTo>
                                <a:pt x="3494" y="251"/>
                              </a:lnTo>
                              <a:lnTo>
                                <a:pt x="3508" y="308"/>
                              </a:lnTo>
                              <a:lnTo>
                                <a:pt x="3513" y="369"/>
                              </a:lnTo>
                              <a:lnTo>
                                <a:pt x="3513" y="1599"/>
                              </a:lnTo>
                              <a:lnTo>
                                <a:pt x="3508" y="1658"/>
                              </a:lnTo>
                              <a:lnTo>
                                <a:pt x="3494" y="1715"/>
                              </a:lnTo>
                              <a:lnTo>
                                <a:pt x="3472" y="1768"/>
                              </a:lnTo>
                              <a:lnTo>
                                <a:pt x="3441" y="1816"/>
                              </a:lnTo>
                              <a:lnTo>
                                <a:pt x="3404" y="1859"/>
                              </a:lnTo>
                              <a:lnTo>
                                <a:pt x="3362" y="1896"/>
                              </a:lnTo>
                              <a:lnTo>
                                <a:pt x="3314" y="1926"/>
                              </a:lnTo>
                              <a:lnTo>
                                <a:pt x="3260" y="1949"/>
                              </a:lnTo>
                              <a:lnTo>
                                <a:pt x="3204" y="1963"/>
                              </a:lnTo>
                              <a:lnTo>
                                <a:pt x="3144" y="1968"/>
                              </a:lnTo>
                              <a:lnTo>
                                <a:pt x="1759" y="1968"/>
                              </a:lnTo>
                              <a:lnTo>
                                <a:pt x="1698" y="1963"/>
                              </a:lnTo>
                              <a:lnTo>
                                <a:pt x="1642" y="1949"/>
                              </a:lnTo>
                              <a:lnTo>
                                <a:pt x="1588" y="1926"/>
                              </a:lnTo>
                              <a:lnTo>
                                <a:pt x="1540" y="1896"/>
                              </a:lnTo>
                              <a:lnTo>
                                <a:pt x="1498" y="1859"/>
                              </a:lnTo>
                              <a:lnTo>
                                <a:pt x="1461" y="1816"/>
                              </a:lnTo>
                              <a:lnTo>
                                <a:pt x="1430" y="1768"/>
                              </a:lnTo>
                              <a:lnTo>
                                <a:pt x="1408" y="1715"/>
                              </a:lnTo>
                              <a:lnTo>
                                <a:pt x="1394" y="1658"/>
                              </a:lnTo>
                              <a:lnTo>
                                <a:pt x="1390" y="1599"/>
                              </a:lnTo>
                              <a:lnTo>
                                <a:pt x="1390" y="369"/>
                              </a:lnTo>
                              <a:lnTo>
                                <a:pt x="1394" y="308"/>
                              </a:lnTo>
                              <a:lnTo>
                                <a:pt x="1408" y="251"/>
                              </a:lnTo>
                              <a:lnTo>
                                <a:pt x="1430" y="198"/>
                              </a:lnTo>
                              <a:lnTo>
                                <a:pt x="1461" y="150"/>
                              </a:lnTo>
                              <a:lnTo>
                                <a:pt x="1498" y="107"/>
                              </a:lnTo>
                              <a:lnTo>
                                <a:pt x="1540" y="71"/>
                              </a:lnTo>
                              <a:lnTo>
                                <a:pt x="1588" y="40"/>
                              </a:lnTo>
                              <a:lnTo>
                                <a:pt x="1642" y="18"/>
                              </a:lnTo>
                              <a:lnTo>
                                <a:pt x="1698" y="4"/>
                              </a:lnTo>
                              <a:lnTo>
                                <a:pt x="1759" y="0"/>
                              </a:lnTo>
                              <a:close/>
                            </a:path>
                          </a:pathLst>
                        </a:custGeom>
                        <a:solidFill>
                          <a:srgbClr val="FF0000"/>
                        </a:solidFill>
                        <a:ln w="0">
                          <a:noFill/>
                          <a:prstDash val="solid"/>
                          <a:round/>
                          <a:headEnd/>
                          <a:tailEnd/>
                        </a:ln>
                      </wps:spPr>
                      <wps:bodyPr vert="horz" wrap="square" lIns="91440" tIns="45720" rIns="91440" bIns="45720" numCol="1" anchor="t" anchorCtr="0" compatLnSpc="1">
                        <a:prstTxWarp prst="textNoShape">
                          <a:avLst/>
                        </a:prstTxWarp>
                      </wps:bodyPr>
                    </wps:wsp>
                  </a:graphicData>
                </a:graphic>
              </wp:anchor>
            </w:drawing>
          </mc:Choice>
          <mc:Fallback xmlns:w15="http://schemas.microsoft.com/office/word/2012/wordml">
            <w:pict>
              <v:shape id="Freeform 18" o:spid="_x0000_s1026" style="position:absolute;margin-left:351pt;margin-top:13.15pt;width:57.6pt;height:37.05pt;z-index:252889088;visibility:visible;mso-wrap-style:square;mso-wrap-distance-left:9pt;mso-wrap-distance-top:0;mso-wrap-distance-right:9pt;mso-wrap-distance-bottom:0;mso-position-horizontal:absolute;mso-position-horizontal-relative:text;mso-position-vertical:absolute;mso-position-vertical-relative:text;v-text-anchor:top" coordsize="5118,400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" path="m3488,2208l3573,2211,3652,2219,3728,2231,3800,2247,3866,2264,3925,2284,3980,2303,4028,2323,4066,2340,4099,2357,4116,2369,4130,2385,4139,2405,4142,2427,4142,3547,4139,3567,4133,3587,4122,3603,4107,3615,4088,3623,3969,3646,3848,3674,3725,3708,3603,3745,3479,3786,3355,3826,3231,3865,3105,3902,2979,3934,2852,3962,2726,3986,2601,4000,2474,4004,2382,4003,2288,4000,2191,3993,2094,3984,1994,3973,1894,3958,1794,3939,1697,3917,1599,3891,1503,3862,1408,3827,1318,3789,1230,3745,1148,3696,1069,3643,994,3584,926,3520,848,3441,772,3364,699,3286,628,3213,560,3140,493,3071,431,3004,372,2940,316,2880,265,2824,219,2771,177,2723,140,2680,109,2641,82,2608,62,2580,31,2531,12,2483,2,2438,,2394,6,2354,19,2318,39,2286,64,2259,92,2239,124,2224,160,2216,199,2214,237,2222,276,2238,316,2262,355,2297,391,2335,433,2379,479,2427,529,2478,582,2531,636,2588,695,2644,754,2703,814,2760,876,2818,938,2872,999,2925,1059,2974,1120,3019,1177,3061,1194,3114,1224,3165,1262,3215,1309,3261,1362,3302,1422,3339,1487,3368,1556,3390,1627,3404,1700,3410,3083,3410,3082,3407,3074,3399,3065,3388,3051,3373,3034,3357,3013,3340,2992,3323,2967,3309,2941,3295,2913,3286,2883,3280,1708,3280,1677,3278,1642,3274,1608,3266,1571,3254,1535,3238,1498,3219,1464,3196,1430,3171,1399,3140,1371,3108,1348,3071,1328,3029,1312,2984,1303,2934,1300,2881,1301,2825,1311,2776,1323,2731,1340,2689,1360,2653,1385,2622,1411,2593,1439,2570,1470,2549,1501,2531,1534,2517,1565,2506,1597,2497,1627,2490,1656,2486,1684,2484,1708,2483,2725,2483,2730,2481,2739,2473,2756,2463,2779,2449,2807,2432,2841,2411,2878,2391,2922,2368,2968,2346,3018,2323,3071,2300,3127,2280,3184,2259,3243,2242,3303,2228,3365,2217,3428,2210,3488,2208xm465,2052l492,2055,523,2065,552,2078,585,2097,622,2118,662,2146,704,2176,749,2208,796,2244,844,2281,890,2320,937,2359,983,2397,1027,2436,1069,2473,1107,2509,1141,2543,1172,2574,1197,2602,1217,2625,1230,2646,1238,2666,1236,2687,1228,2709,1214,2732,1197,2753,1174,2770,1151,2784,1124,2793,1115,2785,1101,2773,1081,2756,1058,2734,1030,2711,997,2683,963,2653,926,2621,887,2587,847,2553,805,2515,763,2478,720,2442,678,2405,636,2369,596,2334,557,2300,521,2269,487,2239,456,2211,428,2188,405,2166,385,2151,371,2138,361,2131,358,2128,360,2126,361,2120,366,2110,372,2100,380,2087,391,2076,405,2065,422,2058,440,2052,465,2052xm4481,2008l4999,2008,5031,2013,5059,2025,5082,2044,5102,2067,5113,2097,5118,2128,5118,3779,5113,3812,5102,3840,5082,3865,5059,3883,5031,3896,4999,3899,4481,3899,4450,3896,4420,3883,4397,3865,4378,3840,4366,3812,4361,3779,4361,2128,4366,2097,4378,2067,4397,2044,4420,2025,4450,2013,4481,2008xm749,1915l777,1918,808,1929,844,1945,882,1965,923,1988,966,2016,1011,2045,1058,2078,1103,2110,1148,2146,1190,2180,1230,2214,1267,2249,1300,2280,1328,2309,1351,2337,1366,2360,1374,2380,1373,2402,1365,2425,1351,2447,1334,2467,1311,2484,1287,2498,1261,2508,1252,2500,1236,2486,1216,2469,1191,2449,1163,2425,1132,2399,1100,2371,1064,2342,1027,2311,988,2280,951,2247,912,2214,875,2183,837,2152,802,2123,769,2097,740,2070,712,2048,689,2028,670,2013,656,2002,647,1994,644,1991,645,1989,647,1983,651,1974,658,1963,665,1951,676,1940,690,1929,706,1921,726,1915,749,1915xm2405,600l2008,1068,2241,1068,2241,1611,2568,1611,2568,1068,2626,1068,2672,1070,2711,1070,2740,1070,2762,1070,2778,1070,2789,1070,2796,1070,2799,1070,2801,1071,2801,1071,2405,600xm1759,0l2322,,2322,277,2584,277,2584,,3144,,3204,4,3260,18,3314,40,3362,71,3404,107,3441,150,3472,198,3494,251,3508,308,3513,369,3513,1599,3508,1658,3494,1715,3472,1768,3441,1816,3404,1859,3362,1896,3314,1926,3260,1949,3204,1963,3144,1968,1759,1968,1698,1963,1642,1949,1588,1926,1540,1896,1498,1859,1461,1816,1430,1768,1408,1715,1394,1658,1390,1599,1390,369,1394,308,1408,251,1430,198,1461,150,1498,107,1540,71,1588,40,1642,18,1698,4,1759,0xe" fillcolor="red" stroked="f" strokeweight="0">
                <v:path arrowok="t" o:connecttype="custom" o:connectlocs="561004,268407;591591,282627;584301,425761;461810,454200;340461,470417;242554,460311;152793,428112;80041,369001;25299,319997;286,286505;17723,261356;55886,274400;107770,317646;168230,359717;212538,395795;438083,398145;416358,386158;219399,380518;189812,355957;191527,316001;219256,295788;389487,291793;411355,280981;463525,263471;74753,242671;113773,263706;158224,294848;176663,315766;159368,327283;132354,308010;90904,278396;57887,254540;52313,247959;66463,241143;730805,246432;719085,457843;624036,447972;636042,236560;131925,233622;175805,260181;196244,282274;178949,293791;152078,275223;114631,249487;92476,234327;96621,227981;320308,125507;391630,125742;400349,125860;449375,0;496256,23268;496256,207769;449375,231272;208822,213409;201247,29497;242697,470" o:connectangles="0,0,0,0,0,0,0,0,0,0,0,0,0,0,0,0,0,0,0,0,0,0,0,0,0,0,0,0,0,0,0,0,0,0,0,0,0,0,0,0,0,0,0,0,0,0,0,0,0,0,0,0,0,0,0,0"/>
                <o:lock v:ext="edit" verticies="t"/>
                <w10:wrap type="through"/>
              </v:shape>
            </w:pict>
          </mc:Fallback>
        </mc:AlternateContent>
      </w:r>
    </w:p>
    <w:p w14:paraId="21FD88AF" w14:textId="0DD6A4AD" w:rsidR="000E4CC6" w:rsidRDefault="00E3405C">
      <w:pPr>
        <w:rPr>
          <w:color w:val="FF6700" w:themeColor="accent3"/>
        </w:rPr>
      </w:pPr>
      <w:r>
        <w:rPr>
          <w:color w:val="000000" w:themeColor="text1"/>
        </w:rPr>
        <w:t>LE FINANCEMENT</w:t>
      </w:r>
      <w:r w:rsidR="00DB3C17">
        <w:rPr>
          <w:rStyle w:val="Marquenotebasdepage"/>
          <w:color w:val="000000" w:themeColor="text1"/>
        </w:rPr>
        <w:footnoteReference w:customMarkFollows="1" w:id="77"/>
        <w:t>74</w:t>
      </w:r>
      <w:r w:rsidR="000E4CC6">
        <w:rPr>
          <w:color w:val="FF6700" w:themeColor="accent3"/>
        </w:rPr>
        <w:br w:type="page"/>
      </w:r>
    </w:p>
    <w:p w14:paraId="1CD7D3D3" w14:textId="21D1B198" w:rsidR="00371B3D" w:rsidRDefault="00371B3D" w:rsidP="006C34CF">
      <w:pPr>
        <w:pStyle w:val="Paragraphedeliste"/>
        <w:numPr>
          <w:ilvl w:val="0"/>
          <w:numId w:val="83"/>
        </w:numPr>
        <w:jc w:val="both"/>
        <w:rPr>
          <w:color w:val="FF6700" w:themeColor="accent3"/>
        </w:rPr>
      </w:pPr>
      <w:r>
        <w:rPr>
          <w:color w:val="FF6700" w:themeColor="accent3"/>
        </w:rPr>
        <w:lastRenderedPageBreak/>
        <w:t>Prêt étudiant</w:t>
      </w:r>
    </w:p>
    <w:p w14:paraId="03B804CE" w14:textId="77777777" w:rsidR="007C1E2C" w:rsidRDefault="007C1E2C"/>
    <w:p w14:paraId="450FFE6B" w14:textId="05C59E07" w:rsidR="00275FE6" w:rsidRDefault="009C349D" w:rsidP="00275FE6">
      <w:pPr>
        <w:jc w:val="both"/>
      </w:pPr>
      <w:r>
        <w:t>Les études constituent un important engagement d'énergie et d'efforts pour l'étudiant. C'est en quelque sorte l'investissement d'une vie. Pour arriver à financer cette étape de vie, l'étudiant se doit de faire preuve de débrou</w:t>
      </w:r>
      <w:r w:rsidR="00275FE6">
        <w:t>il</w:t>
      </w:r>
      <w:r>
        <w:t>lardise</w:t>
      </w:r>
      <w:r w:rsidR="00275FE6">
        <w:t xml:space="preserve"> en </w:t>
      </w:r>
      <w:r>
        <w:t xml:space="preserve"> </w:t>
      </w:r>
      <w:r w:rsidR="00275FE6">
        <w:t>jumelant plusieurs éléments qui lui permettront de boucler son budget. Notamment, une vie étudiante s'articule financièrement autour:</w:t>
      </w:r>
    </w:p>
    <w:p w14:paraId="3C00B9A2" w14:textId="77777777" w:rsidR="00275FE6" w:rsidRDefault="00275FE6" w:rsidP="00275FE6">
      <w:pPr>
        <w:jc w:val="both"/>
      </w:pPr>
    </w:p>
    <w:p w14:paraId="02DE4E6D" w14:textId="479AF3AA" w:rsidR="00275FE6" w:rsidRDefault="00275FE6" w:rsidP="006C34CF">
      <w:pPr>
        <w:pStyle w:val="Paragraphedeliste"/>
        <w:numPr>
          <w:ilvl w:val="1"/>
          <w:numId w:val="78"/>
        </w:numPr>
        <w:jc w:val="both"/>
      </w:pPr>
      <w:r>
        <w:t>D'un train de vie modeste</w:t>
      </w:r>
    </w:p>
    <w:p w14:paraId="25242AC8" w14:textId="77777777" w:rsidR="00275FE6" w:rsidRDefault="00275FE6" w:rsidP="00275FE6">
      <w:pPr>
        <w:ind w:left="1080"/>
        <w:jc w:val="both"/>
      </w:pPr>
    </w:p>
    <w:p w14:paraId="0327ED04" w14:textId="2F1AB6A4" w:rsidR="00275FE6" w:rsidRDefault="00275FE6" w:rsidP="006C34CF">
      <w:pPr>
        <w:pStyle w:val="Paragraphedeliste"/>
        <w:numPr>
          <w:ilvl w:val="1"/>
          <w:numId w:val="78"/>
        </w:numPr>
        <w:jc w:val="both"/>
      </w:pPr>
      <w:r>
        <w:t>D'économies provenant d'un travail à temps partiel</w:t>
      </w:r>
    </w:p>
    <w:p w14:paraId="12AAD0EC" w14:textId="77777777" w:rsidR="00275FE6" w:rsidRDefault="00275FE6" w:rsidP="00275FE6">
      <w:pPr>
        <w:ind w:left="1080"/>
        <w:jc w:val="both"/>
      </w:pPr>
    </w:p>
    <w:p w14:paraId="11066E92" w14:textId="37A364EE" w:rsidR="00275FE6" w:rsidRDefault="00275FE6" w:rsidP="006C34CF">
      <w:pPr>
        <w:pStyle w:val="Paragraphedeliste"/>
        <w:numPr>
          <w:ilvl w:val="1"/>
          <w:numId w:val="78"/>
        </w:numPr>
        <w:jc w:val="both"/>
      </w:pPr>
      <w:r>
        <w:t>De sommes versées à même un REÉÉ</w:t>
      </w:r>
    </w:p>
    <w:p w14:paraId="57E642F4" w14:textId="77777777" w:rsidR="00275FE6" w:rsidRDefault="00275FE6" w:rsidP="00275FE6">
      <w:pPr>
        <w:ind w:left="1080"/>
        <w:jc w:val="both"/>
      </w:pPr>
    </w:p>
    <w:p w14:paraId="1263DF0C" w14:textId="0AE379CE" w:rsidR="00275FE6" w:rsidRDefault="00275FE6" w:rsidP="006C34CF">
      <w:pPr>
        <w:pStyle w:val="Paragraphedeliste"/>
        <w:numPr>
          <w:ilvl w:val="1"/>
          <w:numId w:val="78"/>
        </w:numPr>
        <w:jc w:val="both"/>
      </w:pPr>
      <w:r>
        <w:t>D'un soutien parental</w:t>
      </w:r>
    </w:p>
    <w:p w14:paraId="189E45AB" w14:textId="77777777" w:rsidR="00275FE6" w:rsidRDefault="00275FE6" w:rsidP="00275FE6">
      <w:pPr>
        <w:ind w:left="1080"/>
        <w:jc w:val="both"/>
      </w:pPr>
    </w:p>
    <w:p w14:paraId="53C48EA7" w14:textId="1969C9D7" w:rsidR="00275FE6" w:rsidRDefault="00275FE6" w:rsidP="006C34CF">
      <w:pPr>
        <w:pStyle w:val="Paragraphedeliste"/>
        <w:numPr>
          <w:ilvl w:val="1"/>
          <w:numId w:val="78"/>
        </w:numPr>
        <w:jc w:val="both"/>
      </w:pPr>
      <w:r>
        <w:t>De bourses de performance</w:t>
      </w:r>
    </w:p>
    <w:p w14:paraId="0F03A1FB" w14:textId="77777777" w:rsidR="00275FE6" w:rsidRDefault="00275FE6" w:rsidP="00275FE6">
      <w:pPr>
        <w:ind w:left="1080"/>
        <w:jc w:val="both"/>
      </w:pPr>
    </w:p>
    <w:p w14:paraId="0775CBA9" w14:textId="66C42ED1" w:rsidR="00275FE6" w:rsidRDefault="00275FE6" w:rsidP="006C34CF">
      <w:pPr>
        <w:pStyle w:val="Paragraphedeliste"/>
        <w:numPr>
          <w:ilvl w:val="1"/>
          <w:numId w:val="78"/>
        </w:numPr>
        <w:jc w:val="both"/>
      </w:pPr>
      <w:r>
        <w:t>De bourses étudiantes gouvernementales</w:t>
      </w:r>
    </w:p>
    <w:p w14:paraId="0F44F553" w14:textId="77777777" w:rsidR="00275FE6" w:rsidRDefault="00275FE6" w:rsidP="00275FE6">
      <w:pPr>
        <w:ind w:left="720"/>
        <w:jc w:val="both"/>
      </w:pPr>
    </w:p>
    <w:p w14:paraId="6232A538" w14:textId="293D7B6A" w:rsidR="00275FE6" w:rsidRDefault="00275FE6" w:rsidP="006C34CF">
      <w:pPr>
        <w:pStyle w:val="Paragraphedeliste"/>
        <w:numPr>
          <w:ilvl w:val="1"/>
          <w:numId w:val="78"/>
        </w:numPr>
        <w:jc w:val="both"/>
      </w:pPr>
      <w:r>
        <w:t>De prêts étudiants gouvernementaux</w:t>
      </w:r>
    </w:p>
    <w:p w14:paraId="01B2848D" w14:textId="77777777" w:rsidR="00982A5A" w:rsidRDefault="00982A5A" w:rsidP="00982A5A">
      <w:pPr>
        <w:ind w:left="1080"/>
        <w:jc w:val="both"/>
      </w:pPr>
    </w:p>
    <w:p w14:paraId="3893B717" w14:textId="75CA3B44" w:rsidR="00982A5A" w:rsidRDefault="00982A5A" w:rsidP="006C34CF">
      <w:pPr>
        <w:pStyle w:val="Paragraphedeliste"/>
        <w:numPr>
          <w:ilvl w:val="1"/>
          <w:numId w:val="78"/>
        </w:numPr>
        <w:jc w:val="both"/>
      </w:pPr>
      <w:r>
        <w:t>De crédits d'impôt</w:t>
      </w:r>
    </w:p>
    <w:p w14:paraId="17F83CB4" w14:textId="77777777" w:rsidR="00275FE6" w:rsidRDefault="00275FE6" w:rsidP="00275FE6">
      <w:pPr>
        <w:ind w:left="1080"/>
        <w:jc w:val="both"/>
      </w:pPr>
    </w:p>
    <w:p w14:paraId="36B469ED" w14:textId="5787F59F" w:rsidR="00275FE6" w:rsidRDefault="000B3ECA" w:rsidP="00275FE6">
      <w:pPr>
        <w:jc w:val="both"/>
      </w:pPr>
      <w:r>
        <w:t>Nous aimerions examiner plus en détail le financement des études par le biais du prêt étudiant gouvernemental. Ce prêt que le gouvernement offre aux étudiants afin d'augmenter l'accessibilité aux études post secondaires comporte plusieurs particularités.</w:t>
      </w:r>
      <w:r w:rsidR="00D536A0">
        <w:t xml:space="preserve"> De manière sommaire, </w:t>
      </w:r>
      <w:r w:rsidR="00CF159D">
        <w:t xml:space="preserve"> pour </w:t>
      </w:r>
      <w:r w:rsidR="00D536A0" w:rsidRPr="00D536A0">
        <w:rPr>
          <w:color w:val="FF6700" w:themeColor="accent3"/>
        </w:rPr>
        <w:t>LE PRÊT ÉTUDIANT</w:t>
      </w:r>
      <w:r w:rsidR="00D536A0">
        <w:t>:</w:t>
      </w:r>
    </w:p>
    <w:p w14:paraId="09862544" w14:textId="77777777" w:rsidR="00D536A0" w:rsidRDefault="00D536A0" w:rsidP="00275FE6">
      <w:pPr>
        <w:jc w:val="both"/>
      </w:pPr>
    </w:p>
    <w:p w14:paraId="7A504A89" w14:textId="0E44F73D" w:rsidR="00D536A0" w:rsidRDefault="00CF159D" w:rsidP="006C34CF">
      <w:pPr>
        <w:pStyle w:val="Paragraphedeliste"/>
        <w:numPr>
          <w:ilvl w:val="1"/>
          <w:numId w:val="78"/>
        </w:numPr>
        <w:jc w:val="both"/>
      </w:pPr>
      <w:r>
        <w:t>L</w:t>
      </w:r>
      <w:r w:rsidR="00D536A0">
        <w:t>es intérêts sont aux frais du gouvernement</w:t>
      </w:r>
      <w:r>
        <w:t xml:space="preserve"> durant la période des études</w:t>
      </w:r>
      <w:r w:rsidR="00D536A0">
        <w:t xml:space="preserve">  </w:t>
      </w:r>
    </w:p>
    <w:p w14:paraId="4BE2971A" w14:textId="77777777" w:rsidR="00D536A0" w:rsidRDefault="00D536A0" w:rsidP="00D536A0">
      <w:pPr>
        <w:ind w:left="1080"/>
        <w:jc w:val="both"/>
      </w:pPr>
    </w:p>
    <w:p w14:paraId="4ECB9FFA" w14:textId="55470BF2" w:rsidR="00D536A0" w:rsidRDefault="00D536A0" w:rsidP="006C34CF">
      <w:pPr>
        <w:pStyle w:val="Paragraphedeliste"/>
        <w:numPr>
          <w:ilvl w:val="1"/>
          <w:numId w:val="78"/>
        </w:numPr>
        <w:jc w:val="both"/>
      </w:pPr>
      <w:r>
        <w:t>Le remboursement du capital et des intérêts débute 6 mois après la fin de</w:t>
      </w:r>
      <w:r w:rsidR="00CF159D">
        <w:t>s</w:t>
      </w:r>
      <w:r>
        <w:t xml:space="preserve"> études</w:t>
      </w:r>
    </w:p>
    <w:p w14:paraId="6B6F1F2E" w14:textId="77777777" w:rsidR="00D536A0" w:rsidRDefault="00D536A0" w:rsidP="00D536A0">
      <w:pPr>
        <w:ind w:left="1080"/>
        <w:jc w:val="both"/>
      </w:pPr>
    </w:p>
    <w:p w14:paraId="210C2332" w14:textId="40AE96B6" w:rsidR="00D536A0" w:rsidRDefault="00D536A0" w:rsidP="006C34CF">
      <w:pPr>
        <w:pStyle w:val="Paragraphedeliste"/>
        <w:numPr>
          <w:ilvl w:val="1"/>
          <w:numId w:val="78"/>
        </w:numPr>
        <w:jc w:val="both"/>
      </w:pPr>
      <w:r>
        <w:lastRenderedPageBreak/>
        <w:t>Les intérêts assumés par les étudiants donnent droit à des crédits d'impôts</w:t>
      </w:r>
      <w:r w:rsidR="00CF159D">
        <w:t xml:space="preserve"> combinés de</w:t>
      </w:r>
      <w:r>
        <w:t xml:space="preserve"> </w:t>
      </w:r>
      <w:r w:rsidR="00FF140F">
        <w:t>32,5 %</w:t>
      </w:r>
    </w:p>
    <w:p w14:paraId="33781AE7" w14:textId="77777777" w:rsidR="00FF140F" w:rsidRDefault="00FF140F" w:rsidP="00FF140F">
      <w:pPr>
        <w:ind w:left="1080"/>
        <w:jc w:val="both"/>
      </w:pPr>
    </w:p>
    <w:p w14:paraId="019648E5" w14:textId="0D5C1F34" w:rsidR="00FF140F" w:rsidRDefault="00FF140F" w:rsidP="006C34CF">
      <w:pPr>
        <w:pStyle w:val="Paragraphedeliste"/>
        <w:numPr>
          <w:ilvl w:val="1"/>
          <w:numId w:val="78"/>
        </w:numPr>
        <w:jc w:val="both"/>
      </w:pPr>
      <w:r>
        <w:t>Les taux d'intérêt sont excellents puisque les prêts sont garantis par le gouvernement</w:t>
      </w:r>
      <w:r w:rsidR="00D80389">
        <w:t xml:space="preserve"> (présentement autour de 3,2%)</w:t>
      </w:r>
    </w:p>
    <w:p w14:paraId="088C54F2" w14:textId="77777777" w:rsidR="00FF140F" w:rsidRDefault="00FF140F" w:rsidP="00FF140F">
      <w:pPr>
        <w:ind w:left="1080"/>
        <w:jc w:val="both"/>
      </w:pPr>
    </w:p>
    <w:p w14:paraId="3FE0990C" w14:textId="57679EF7" w:rsidR="00FF140F" w:rsidRDefault="00D80389" w:rsidP="006C34CF">
      <w:pPr>
        <w:pStyle w:val="Paragraphedeliste"/>
        <w:numPr>
          <w:ilvl w:val="1"/>
          <w:numId w:val="78"/>
        </w:numPr>
        <w:jc w:val="both"/>
      </w:pPr>
      <w:r>
        <w:t>La période de remboursement peut s'échelonner sur une longue période (10 années)</w:t>
      </w:r>
    </w:p>
    <w:p w14:paraId="547C4580" w14:textId="77777777" w:rsidR="00D536A0" w:rsidRDefault="00D536A0" w:rsidP="00275FE6">
      <w:pPr>
        <w:jc w:val="both"/>
      </w:pPr>
    </w:p>
    <w:p w14:paraId="45CC17A6" w14:textId="36775730" w:rsidR="00D536A0" w:rsidRDefault="00D80389" w:rsidP="00275FE6">
      <w:pPr>
        <w:jc w:val="both"/>
      </w:pPr>
      <w:r>
        <w:t>Avec de telles caractéristiques (celle</w:t>
      </w:r>
      <w:r w:rsidR="00F74468">
        <w:t>s</w:t>
      </w:r>
      <w:r>
        <w:t xml:space="preserve"> d'une bonne dette), </w:t>
      </w:r>
      <w:r w:rsidR="000376D9">
        <w:t xml:space="preserve">en adoptant une approche d'enrichissement familial du patrimoine, il y a lieu d'adopter des stratégies payantes en employant judicieusement le prêt étudiant. </w:t>
      </w:r>
      <w:r w:rsidR="00DD4B0D">
        <w:t xml:space="preserve">Il est important de noter que tous les attributs alléchants (faible taux d'intérêt, crédit d'impôt, la prise en charge des intérêts par le gouvernement, généreuse période de remboursement) du prêt étudiant sont réservés à ceux qui sont octroyés en vertu de la loi sur l'aide financière aux études. Les emprunts qui s'apparentent à des prêts étudiants sans découler de la Loi afférente ne sont pas visés par les stratégies que nous </w:t>
      </w:r>
      <w:r w:rsidR="001D1C67">
        <w:t xml:space="preserve">vous </w:t>
      </w:r>
      <w:r w:rsidR="00DD4B0D">
        <w:t>prés</w:t>
      </w:r>
      <w:r w:rsidR="001D1C67">
        <w:t>ent</w:t>
      </w:r>
      <w:r w:rsidR="00611F34">
        <w:t>er</w:t>
      </w:r>
      <w:r w:rsidR="001D1C67">
        <w:t>ons</w:t>
      </w:r>
      <w:r w:rsidR="00611F34">
        <w:t xml:space="preserve"> à la </w:t>
      </w:r>
      <w:r w:rsidR="00611F34" w:rsidRPr="00611F34">
        <w:rPr>
          <w:color w:val="008000"/>
        </w:rPr>
        <w:t>SECTION 5.3.</w:t>
      </w:r>
      <w:r w:rsidR="00611F34">
        <w:t xml:space="preserve"> </w:t>
      </w:r>
      <w:proofErr w:type="gramStart"/>
      <w:r w:rsidR="00611F34">
        <w:t>portant</w:t>
      </w:r>
      <w:proofErr w:type="gramEnd"/>
      <w:r w:rsidR="00611F34">
        <w:t xml:space="preserve"> sur l'optimisation.</w:t>
      </w:r>
    </w:p>
    <w:p w14:paraId="1362A543" w14:textId="77777777" w:rsidR="00A04196" w:rsidRDefault="00A04196" w:rsidP="00275FE6">
      <w:pPr>
        <w:jc w:val="both"/>
      </w:pPr>
    </w:p>
    <w:p w14:paraId="56244F21" w14:textId="680AA2D7" w:rsidR="003A53B3" w:rsidRDefault="00047477" w:rsidP="006C34CF">
      <w:pPr>
        <w:pStyle w:val="Titre3"/>
        <w:numPr>
          <w:ilvl w:val="2"/>
          <w:numId w:val="75"/>
        </w:numPr>
      </w:pPr>
      <w:bookmarkStart w:id="138" w:name="_Toc314397876"/>
      <w:bookmarkStart w:id="139" w:name="_Toc443569420"/>
      <w:r>
        <w:t>L</w:t>
      </w:r>
      <w:r w:rsidR="009931AA">
        <w:t>a capacité d'emprunt</w:t>
      </w:r>
      <w:bookmarkEnd w:id="138"/>
      <w:bookmarkEnd w:id="139"/>
    </w:p>
    <w:p w14:paraId="7B15FC33" w14:textId="77777777" w:rsidR="009931AA" w:rsidRDefault="009931AA" w:rsidP="009931AA"/>
    <w:p w14:paraId="48DA063D" w14:textId="7A8F9BE4" w:rsidR="00EE6551" w:rsidRDefault="009931AA" w:rsidP="00EE6551">
      <w:pPr>
        <w:jc w:val="both"/>
      </w:pPr>
      <w:r>
        <w:t xml:space="preserve">La capacité pour un individu à </w:t>
      </w:r>
      <w:r w:rsidR="00024EFA">
        <w:t>emprunter</w:t>
      </w:r>
      <w:r>
        <w:t xml:space="preserve"> dépend de plusieurs facteurs que nous identifierons dans la présente section de l'ouvrage. Dans de larges mesures, l'appréciation de </w:t>
      </w:r>
      <w:r w:rsidR="00024EFA">
        <w:t>la</w:t>
      </w:r>
      <w:r>
        <w:t xml:space="preserve"> capacité d'emprunt dépendra de l'analyse chiffrée qu'effectuera </w:t>
      </w:r>
      <w:r w:rsidR="00024EFA">
        <w:t>le</w:t>
      </w:r>
      <w:r>
        <w:t xml:space="preserve"> créancier potentiel. Il s'ajoutera à cette analyse mathématique et financière un jugement de la part du prêteur sur vos attitudes et votre réputation (appuyée sur vos comportements antérieurs) à l'égard de l'usage du crédit. </w:t>
      </w:r>
      <w:r w:rsidR="00EE6551">
        <w:t>Rappelons que le risque, ultimement, pour le créancier est de :</w:t>
      </w:r>
    </w:p>
    <w:p w14:paraId="6F2E3A88" w14:textId="77777777" w:rsidR="00EE6551" w:rsidRDefault="00EE6551" w:rsidP="00EE6551">
      <w:pPr>
        <w:jc w:val="both"/>
      </w:pPr>
    </w:p>
    <w:p w14:paraId="5B887495" w14:textId="77777777" w:rsidR="00EE6551" w:rsidRDefault="00EE6551" w:rsidP="006C34CF">
      <w:pPr>
        <w:pStyle w:val="Paragraphedeliste"/>
        <w:numPr>
          <w:ilvl w:val="0"/>
          <w:numId w:val="98"/>
        </w:numPr>
      </w:pPr>
      <w:r>
        <w:t>Accorder un prêt à un individu qui n'arrivera pas à le rembourser.</w:t>
      </w:r>
    </w:p>
    <w:p w14:paraId="1CED57AA" w14:textId="77777777" w:rsidR="00EE6551" w:rsidRDefault="00EE6551" w:rsidP="00EE6551">
      <w:pPr>
        <w:ind w:left="360"/>
      </w:pPr>
    </w:p>
    <w:p w14:paraId="5848DEF0" w14:textId="77777777" w:rsidR="00EE6551" w:rsidRDefault="00EE6551" w:rsidP="006C34CF">
      <w:pPr>
        <w:pStyle w:val="Paragraphedeliste"/>
        <w:numPr>
          <w:ilvl w:val="0"/>
          <w:numId w:val="98"/>
        </w:numPr>
      </w:pPr>
      <w:r>
        <w:t>Ne pas accorder un prêt à un individu qui serait parvenu à le rembourser pleinement.</w:t>
      </w:r>
    </w:p>
    <w:p w14:paraId="2AF9B679" w14:textId="77777777" w:rsidR="00EE6551" w:rsidRDefault="00EE6551" w:rsidP="009931AA">
      <w:pPr>
        <w:jc w:val="both"/>
      </w:pPr>
    </w:p>
    <w:p w14:paraId="2559E829" w14:textId="30C21C8E" w:rsidR="00024EFA" w:rsidRPr="009931AA" w:rsidRDefault="00024EFA" w:rsidP="009931AA">
      <w:pPr>
        <w:jc w:val="both"/>
      </w:pPr>
      <w:r>
        <w:t>Pour l'instant</w:t>
      </w:r>
      <w:r w:rsidR="0057365F">
        <w:t>,</w:t>
      </w:r>
      <w:r>
        <w:t xml:space="preserve"> nous poserons </w:t>
      </w:r>
      <w:r w:rsidR="00F74468">
        <w:t xml:space="preserve">l'hypothèse </w:t>
      </w:r>
      <w:r>
        <w:t xml:space="preserve">qu'il existe un équilibre entre la </w:t>
      </w:r>
      <w:r w:rsidR="005E618A" w:rsidRPr="005E618A">
        <w:rPr>
          <w:color w:val="FF6700" w:themeColor="accent3"/>
        </w:rPr>
        <w:t>CAPACITÉ D'EMPRUNT</w:t>
      </w:r>
      <w:r>
        <w:t xml:space="preserve"> et l'</w:t>
      </w:r>
      <w:r w:rsidR="005E618A" w:rsidRPr="005E618A">
        <w:rPr>
          <w:color w:val="FF6700" w:themeColor="accent3"/>
        </w:rPr>
        <w:t>OBTENTION D'UN PRÊT</w:t>
      </w:r>
      <w:r w:rsidRPr="005E618A">
        <w:rPr>
          <w:color w:val="FF6700" w:themeColor="accent3"/>
        </w:rPr>
        <w:t xml:space="preserve"> </w:t>
      </w:r>
      <w:r>
        <w:t xml:space="preserve">par un individu, que ces concepts sont synonymes l'un de l'autre. Pourtant cette équation sera mise sous enquête un peu plus </w:t>
      </w:r>
      <w:r w:rsidR="002E7189">
        <w:t xml:space="preserve">tard, </w:t>
      </w:r>
      <w:r>
        <w:t xml:space="preserve">lorsque </w:t>
      </w:r>
      <w:r w:rsidR="002E7189">
        <w:t xml:space="preserve">nous discuterons de la gestion des dettes. La ligne est parfois mince et il </w:t>
      </w:r>
      <w:r w:rsidR="002E7189">
        <w:lastRenderedPageBreak/>
        <w:t>arrive que l'obtention d'un prêt ne soit pas forcément une bonne nouvelle lorsque nous évaluons objectivement la capacité d'emprunt d'un individu.</w:t>
      </w:r>
      <w:r>
        <w:t xml:space="preserve"> </w:t>
      </w:r>
    </w:p>
    <w:p w14:paraId="54E7A7FC" w14:textId="725C6A25" w:rsidR="00017406" w:rsidRDefault="00017406"/>
    <w:p w14:paraId="7DDBD989" w14:textId="0DCC1941" w:rsidR="00017406" w:rsidRDefault="00017406" w:rsidP="00017406">
      <w:pPr>
        <w:jc w:val="both"/>
        <w:rPr>
          <w:color w:val="FF6700" w:themeColor="accent3"/>
        </w:rPr>
      </w:pPr>
      <w:r>
        <w:rPr>
          <w:color w:val="FF6700" w:themeColor="accent3"/>
        </w:rPr>
        <w:t xml:space="preserve">IMAGE 7-16 Processus d'évaluation de la capacité d'emprunt </w:t>
      </w:r>
    </w:p>
    <w:p w14:paraId="236C9BF9" w14:textId="77777777" w:rsidR="004768F3" w:rsidRDefault="004768F3" w:rsidP="00017406">
      <w:pPr>
        <w:jc w:val="both"/>
        <w:rPr>
          <w:color w:val="FF6700" w:themeColor="accent3"/>
        </w:rPr>
      </w:pPr>
    </w:p>
    <w:p w14:paraId="18A8721B" w14:textId="77777777" w:rsidR="004768F3" w:rsidRDefault="004768F3" w:rsidP="00017406">
      <w:pPr>
        <w:jc w:val="both"/>
        <w:rPr>
          <w:color w:val="FF6700" w:themeColor="accent3"/>
        </w:rPr>
      </w:pPr>
    </w:p>
    <w:p w14:paraId="3D191C84" w14:textId="780D8B58" w:rsidR="00017406" w:rsidRDefault="000A753C">
      <w:r>
        <w:rPr>
          <w:noProof/>
          <w:lang w:eastAsia="fr-FR"/>
        </w:rPr>
        <mc:AlternateContent>
          <mc:Choice Requires="wps">
            <w:drawing>
              <wp:anchor distT="0" distB="0" distL="114300" distR="114300" simplePos="0" relativeHeight="252945408" behindDoc="0" locked="0" layoutInCell="1" allowOverlap="1" wp14:anchorId="34A889E3" wp14:editId="0C22E52B">
                <wp:simplePos x="0" y="0"/>
                <wp:positionH relativeFrom="column">
                  <wp:posOffset>1943100</wp:posOffset>
                </wp:positionH>
                <wp:positionV relativeFrom="paragraph">
                  <wp:posOffset>167005</wp:posOffset>
                </wp:positionV>
                <wp:extent cx="1143000" cy="1143000"/>
                <wp:effectExtent l="76200" t="76200" r="76200" b="76200"/>
                <wp:wrapNone/>
                <wp:docPr id="629" name="Ellipse 629"/>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800000"/>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6C59749" w14:textId="51295C55" w:rsidR="00573C95" w:rsidRDefault="00573C95" w:rsidP="00202B54">
                            <w:pPr>
                              <w:jc w:val="center"/>
                            </w:pPr>
                            <w:r>
                              <w:t>Présent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629" o:spid="_x0000_s1467" style="position:absolute;margin-left:153pt;margin-top:13.15pt;width:90pt;height:90pt;z-index:2529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" fillcolor="maroon" strokecolor="black [3213]">
                <v:textbox>
                  <w:txbxContent>
                    <w:p w14:paraId="06C59749" w14:textId="51295C55" w:rsidR="001501D6" w:rsidRDefault="001501D6" w:rsidP="00202B54">
                      <w:pPr>
                        <w:jc w:val="center"/>
                      </w:pPr>
                      <w:r>
                        <w:t>Présent</w:t>
                      </w:r>
                    </w:p>
                  </w:txbxContent>
                </v:textbox>
              </v:oval>
            </w:pict>
          </mc:Fallback>
        </mc:AlternateContent>
      </w:r>
      <w:r w:rsidR="00202B54">
        <w:rPr>
          <w:noProof/>
          <w:lang w:eastAsia="fr-FR"/>
        </w:rPr>
        <mc:AlternateContent>
          <mc:Choice Requires="wps">
            <w:drawing>
              <wp:anchor distT="0" distB="0" distL="114300" distR="114300" simplePos="0" relativeHeight="252949504" behindDoc="0" locked="0" layoutInCell="1" allowOverlap="1" wp14:anchorId="3DCCFEB9" wp14:editId="31BE65C2">
                <wp:simplePos x="0" y="0"/>
                <wp:positionH relativeFrom="column">
                  <wp:posOffset>457200</wp:posOffset>
                </wp:positionH>
                <wp:positionV relativeFrom="paragraph">
                  <wp:posOffset>2110105</wp:posOffset>
                </wp:positionV>
                <wp:extent cx="1143000" cy="1143000"/>
                <wp:effectExtent l="76200" t="76200" r="76200" b="76200"/>
                <wp:wrapNone/>
                <wp:docPr id="632" name="Ellipse 632"/>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800000"/>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DC1E8B1" w14:textId="3F401770" w:rsidR="00573C95" w:rsidRDefault="00573C95" w:rsidP="00202B54">
                            <w:pPr>
                              <w:jc w:val="center"/>
                            </w:pPr>
                            <w:r>
                              <w:t>Présent et</w:t>
                            </w:r>
                          </w:p>
                          <w:p w14:paraId="603A7FA7" w14:textId="18D00180" w:rsidR="00573C95" w:rsidRDefault="00573C95" w:rsidP="00202B54">
                            <w:pPr>
                              <w:jc w:val="center"/>
                            </w:pPr>
                            <w:proofErr w:type="gramStart"/>
                            <w:r>
                              <w:t>passé</w:t>
                            </w:r>
                            <w:proofErr w:type="gramEnd"/>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632" o:spid="_x0000_s1468" style="position:absolute;margin-left:36pt;margin-top:166.15pt;width:90pt;height:90pt;z-index:2529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" fillcolor="maroon" strokecolor="black [3213]">
                <v:textbox>
                  <w:txbxContent>
                    <w:p w14:paraId="3DC1E8B1" w14:textId="3F401770" w:rsidR="001501D6" w:rsidRDefault="001501D6" w:rsidP="00202B54">
                      <w:pPr>
                        <w:jc w:val="center"/>
                      </w:pPr>
                      <w:r>
                        <w:t>Présent et</w:t>
                      </w:r>
                    </w:p>
                    <w:p w14:paraId="603A7FA7" w14:textId="18D00180" w:rsidR="001501D6" w:rsidRDefault="001501D6" w:rsidP="00202B54">
                      <w:pPr>
                        <w:jc w:val="center"/>
                      </w:pPr>
                      <w:proofErr w:type="gramStart"/>
                      <w:r>
                        <w:t>passé</w:t>
                      </w:r>
                      <w:proofErr w:type="gramEnd"/>
                    </w:p>
                  </w:txbxContent>
                </v:textbox>
              </v:oval>
            </w:pict>
          </mc:Fallback>
        </mc:AlternateContent>
      </w:r>
      <w:r w:rsidR="00202B54">
        <w:rPr>
          <w:noProof/>
          <w:lang w:eastAsia="fr-FR"/>
        </w:rPr>
        <mc:AlternateContent>
          <mc:Choice Requires="wps">
            <w:drawing>
              <wp:anchor distT="0" distB="0" distL="114300" distR="114300" simplePos="0" relativeHeight="252947456" behindDoc="0" locked="0" layoutInCell="1" allowOverlap="1" wp14:anchorId="45629EF5" wp14:editId="4CEBC64A">
                <wp:simplePos x="0" y="0"/>
                <wp:positionH relativeFrom="column">
                  <wp:posOffset>5943600</wp:posOffset>
                </wp:positionH>
                <wp:positionV relativeFrom="paragraph">
                  <wp:posOffset>2110105</wp:posOffset>
                </wp:positionV>
                <wp:extent cx="1143000" cy="1143000"/>
                <wp:effectExtent l="76200" t="76200" r="76200" b="76200"/>
                <wp:wrapNone/>
                <wp:docPr id="630" name="Ellipse 630"/>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800000"/>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EC47EE" w14:textId="4D2C7644" w:rsidR="00573C95" w:rsidRDefault="00573C95" w:rsidP="00202B54">
                            <w:pPr>
                              <w:jc w:val="center"/>
                            </w:pPr>
                            <w:r>
                              <w:t>Passé</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630" o:spid="_x0000_s1469" style="position:absolute;margin-left:468pt;margin-top:166.15pt;width:90pt;height:90pt;z-index:2529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" fillcolor="maroon" strokecolor="black [3213]">
                <v:textbox>
                  <w:txbxContent>
                    <w:p w14:paraId="29EC47EE" w14:textId="4D2C7644" w:rsidR="001501D6" w:rsidRDefault="001501D6" w:rsidP="00202B54">
                      <w:pPr>
                        <w:jc w:val="center"/>
                      </w:pPr>
                      <w:r>
                        <w:t>Passé</w:t>
                      </w:r>
                    </w:p>
                  </w:txbxContent>
                </v:textbox>
              </v:oval>
            </w:pict>
          </mc:Fallback>
        </mc:AlternateContent>
      </w:r>
      <w:r w:rsidR="00741C87">
        <w:rPr>
          <w:noProof/>
          <w:lang w:eastAsia="fr-FR"/>
        </w:rPr>
        <mc:AlternateContent>
          <mc:Choice Requires="wps">
            <w:drawing>
              <wp:anchor distT="0" distB="0" distL="114300" distR="114300" simplePos="0" relativeHeight="252941312" behindDoc="0" locked="0" layoutInCell="1" allowOverlap="1" wp14:anchorId="732A4358" wp14:editId="1CCC8B60">
                <wp:simplePos x="0" y="0"/>
                <wp:positionH relativeFrom="column">
                  <wp:posOffset>4457700</wp:posOffset>
                </wp:positionH>
                <wp:positionV relativeFrom="paragraph">
                  <wp:posOffset>2453005</wp:posOffset>
                </wp:positionV>
                <wp:extent cx="2514600" cy="2514600"/>
                <wp:effectExtent l="76200" t="76200" r="76200" b="76200"/>
                <wp:wrapNone/>
                <wp:docPr id="626" name="Ellipse 626"/>
                <wp:cNvGraphicFramePr/>
                <a:graphic xmlns:a="http://schemas.openxmlformats.org/drawingml/2006/main">
                  <a:graphicData uri="http://schemas.microsoft.com/office/word/2010/wordprocessingShape">
                    <wps:wsp>
                      <wps:cNvSpPr/>
                      <wps:spPr>
                        <a:xfrm>
                          <a:off x="0" y="0"/>
                          <a:ext cx="2514600" cy="2514600"/>
                        </a:xfrm>
                        <a:prstGeom prst="ellipse">
                          <a:avLst/>
                        </a:prstGeom>
                        <a:solidFill>
                          <a:schemeClr val="bg1">
                            <a:lumMod val="50000"/>
                          </a:schemeClr>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B645D9D" w14:textId="168FADC2" w:rsidR="00573C95" w:rsidRPr="00741C87" w:rsidRDefault="00573C95" w:rsidP="003E7100">
                            <w:pPr>
                              <w:jc w:val="center"/>
                              <w:rPr>
                                <w:color w:val="000000"/>
                              </w:rPr>
                            </w:pPr>
                            <w:r w:rsidRPr="00741C87">
                              <w:rPr>
                                <w:color w:val="000000"/>
                              </w:rPr>
                              <w:t>Étude du dossier de crédit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626" o:spid="_x0000_s1470" style="position:absolute;margin-left:351pt;margin-top:193.15pt;width:198pt;height:198pt;z-index:2529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" fillcolor="#7f7f7f [1612]" strokecolor="white">
                <v:textbox>
                  <w:txbxContent>
                    <w:p w14:paraId="0B645D9D" w14:textId="168FADC2" w:rsidR="001501D6" w:rsidRPr="00741C87" w:rsidRDefault="001501D6" w:rsidP="003E7100">
                      <w:pPr>
                        <w:jc w:val="center"/>
                        <w:rPr>
                          <w:color w:val="000000"/>
                        </w:rPr>
                      </w:pPr>
                      <w:r w:rsidRPr="00741C87">
                        <w:rPr>
                          <w:color w:val="000000"/>
                        </w:rPr>
                        <w:t>Étude du dossier de crédit</w:t>
                      </w:r>
                    </w:p>
                  </w:txbxContent>
                </v:textbox>
              </v:oval>
            </w:pict>
          </mc:Fallback>
        </mc:AlternateContent>
      </w:r>
      <w:r w:rsidR="00741C87">
        <w:rPr>
          <w:noProof/>
          <w:lang w:eastAsia="fr-FR"/>
        </w:rPr>
        <mc:AlternateContent>
          <mc:Choice Requires="wps">
            <w:drawing>
              <wp:anchor distT="0" distB="0" distL="114300" distR="114300" simplePos="0" relativeHeight="252939264" behindDoc="0" locked="0" layoutInCell="1" allowOverlap="1" wp14:anchorId="2B3D0050" wp14:editId="11E082B5">
                <wp:simplePos x="0" y="0"/>
                <wp:positionH relativeFrom="column">
                  <wp:posOffset>2400300</wp:posOffset>
                </wp:positionH>
                <wp:positionV relativeFrom="paragraph">
                  <wp:posOffset>167005</wp:posOffset>
                </wp:positionV>
                <wp:extent cx="2514600" cy="2514600"/>
                <wp:effectExtent l="76200" t="76200" r="76200" b="76200"/>
                <wp:wrapNone/>
                <wp:docPr id="625" name="Ellipse 625"/>
                <wp:cNvGraphicFramePr/>
                <a:graphic xmlns:a="http://schemas.openxmlformats.org/drawingml/2006/main">
                  <a:graphicData uri="http://schemas.microsoft.com/office/word/2010/wordprocessingShape">
                    <wps:wsp>
                      <wps:cNvSpPr/>
                      <wps:spPr>
                        <a:xfrm>
                          <a:off x="0" y="0"/>
                          <a:ext cx="2514600" cy="2514600"/>
                        </a:xfrm>
                        <a:prstGeom prst="ellipse">
                          <a:avLst/>
                        </a:prstGeom>
                        <a:solidFill>
                          <a:schemeClr val="tx1">
                            <a:lumMod val="65000"/>
                            <a:lumOff val="35000"/>
                          </a:schemeClr>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81C51F0" w14:textId="0E8DCE7E" w:rsidR="00573C95" w:rsidRPr="00741C87" w:rsidRDefault="00573C95" w:rsidP="003E7100">
                            <w:pPr>
                              <w:jc w:val="center"/>
                              <w:rPr>
                                <w:color w:val="000000"/>
                              </w:rPr>
                            </w:pPr>
                            <w:r w:rsidRPr="00741C87">
                              <w:rPr>
                                <w:color w:val="000000"/>
                              </w:rPr>
                              <w:t>Analyse des ratios d'endettement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625" o:spid="_x0000_s1471" style="position:absolute;margin-left:189pt;margin-top:13.15pt;width:198pt;height:198pt;z-index:2529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" fillcolor="#5a5a5a [2109]" strokecolor="white">
                <v:textbox>
                  <w:txbxContent>
                    <w:p w14:paraId="481C51F0" w14:textId="0E8DCE7E" w:rsidR="001501D6" w:rsidRPr="00741C87" w:rsidRDefault="001501D6" w:rsidP="003E7100">
                      <w:pPr>
                        <w:jc w:val="center"/>
                        <w:rPr>
                          <w:color w:val="000000"/>
                        </w:rPr>
                      </w:pPr>
                      <w:r w:rsidRPr="00741C87">
                        <w:rPr>
                          <w:color w:val="000000"/>
                        </w:rPr>
                        <w:t>Analyse des ratios d'endettement</w:t>
                      </w:r>
                    </w:p>
                  </w:txbxContent>
                </v:textbox>
              </v:oval>
            </w:pict>
          </mc:Fallback>
        </mc:AlternateContent>
      </w:r>
      <w:r w:rsidR="00741C87">
        <w:rPr>
          <w:noProof/>
          <w:lang w:eastAsia="fr-FR"/>
        </w:rPr>
        <mc:AlternateContent>
          <mc:Choice Requires="wps">
            <w:drawing>
              <wp:anchor distT="0" distB="0" distL="114300" distR="114300" simplePos="0" relativeHeight="252943360" behindDoc="0" locked="0" layoutInCell="1" allowOverlap="1" wp14:anchorId="5B82FC95" wp14:editId="4AAB3EFD">
                <wp:simplePos x="0" y="0"/>
                <wp:positionH relativeFrom="column">
                  <wp:posOffset>2400300</wp:posOffset>
                </wp:positionH>
                <wp:positionV relativeFrom="paragraph">
                  <wp:posOffset>1881505</wp:posOffset>
                </wp:positionV>
                <wp:extent cx="2605405" cy="2605405"/>
                <wp:effectExtent l="76200" t="76200" r="61595" b="61595"/>
                <wp:wrapNone/>
                <wp:docPr id="627" name="Triangle isocèle 627"/>
                <wp:cNvGraphicFramePr/>
                <a:graphic xmlns:a="http://schemas.openxmlformats.org/drawingml/2006/main">
                  <a:graphicData uri="http://schemas.microsoft.com/office/word/2010/wordprocessingShape">
                    <wps:wsp>
                      <wps:cNvSpPr/>
                      <wps:spPr>
                        <a:xfrm>
                          <a:off x="0" y="0"/>
                          <a:ext cx="2605405" cy="2605405"/>
                        </a:xfrm>
                        <a:prstGeom prst="triangle">
                          <a:avLst/>
                        </a:prstGeom>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A2E2BA9" w14:textId="6A08BDD5" w:rsidR="00573C95" w:rsidRPr="00741C87" w:rsidRDefault="00573C95" w:rsidP="003E7100">
                            <w:pPr>
                              <w:jc w:val="center"/>
                              <w:rPr>
                                <w:color w:val="000000"/>
                              </w:rPr>
                            </w:pPr>
                            <w:r w:rsidRPr="00741C87">
                              <w:rPr>
                                <w:color w:val="000000"/>
                              </w:rPr>
                              <w:t>Capacité d'emprunt</w:t>
                            </w:r>
                          </w:p>
                        </w:txbxContent>
                      </wps:txbx>
                      <wps:bodyPr anchor="t" anchorCtr="0"/>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627" o:spid="_x0000_s1472" type="#_x0000_t5" style="position:absolute;margin-left:189pt;margin-top:148.15pt;width:205.15pt;height:205.15pt;z-index:2529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" fillcolor="#94c600 [3204]">
                <v:fill color2="#84b100 [2884]" rotate="t" focus="100%" type="gradient">
                  <o:fill v:ext="view" type="gradientUnscaled"/>
                </v:fill>
                <v:textbox>
                  <w:txbxContent>
                    <w:p w14:paraId="2A2E2BA9" w14:textId="6A08BDD5" w:rsidR="001501D6" w:rsidRPr="00741C87" w:rsidRDefault="001501D6" w:rsidP="003E7100">
                      <w:pPr>
                        <w:jc w:val="center"/>
                        <w:rPr>
                          <w:color w:val="000000"/>
                        </w:rPr>
                      </w:pPr>
                      <w:r w:rsidRPr="00741C87">
                        <w:rPr>
                          <w:color w:val="000000"/>
                        </w:rPr>
                        <w:t>Capacité d'emprunt</w:t>
                      </w:r>
                    </w:p>
                  </w:txbxContent>
                </v:textbox>
              </v:shape>
            </w:pict>
          </mc:Fallback>
        </mc:AlternateContent>
      </w:r>
      <w:r w:rsidR="00741C87">
        <w:rPr>
          <w:noProof/>
          <w:lang w:eastAsia="fr-FR"/>
        </w:rPr>
        <mc:AlternateContent>
          <mc:Choice Requires="wps">
            <w:drawing>
              <wp:anchor distT="0" distB="0" distL="114300" distR="114300" simplePos="0" relativeHeight="252937216" behindDoc="0" locked="0" layoutInCell="1" allowOverlap="1" wp14:anchorId="31D67B79" wp14:editId="22EA97C1">
                <wp:simplePos x="0" y="0"/>
                <wp:positionH relativeFrom="column">
                  <wp:posOffset>571500</wp:posOffset>
                </wp:positionH>
                <wp:positionV relativeFrom="paragraph">
                  <wp:posOffset>2453005</wp:posOffset>
                </wp:positionV>
                <wp:extent cx="2514600" cy="2514600"/>
                <wp:effectExtent l="50800" t="76200" r="50800" b="50800"/>
                <wp:wrapNone/>
                <wp:docPr id="624" name="Ellipse 624"/>
                <wp:cNvGraphicFramePr/>
                <a:graphic xmlns:a="http://schemas.openxmlformats.org/drawingml/2006/main">
                  <a:graphicData uri="http://schemas.microsoft.com/office/word/2010/wordprocessingShape">
                    <wps:wsp>
                      <wps:cNvSpPr/>
                      <wps:spPr>
                        <a:xfrm>
                          <a:off x="0" y="0"/>
                          <a:ext cx="2514600" cy="2514600"/>
                        </a:xfrm>
                        <a:prstGeom prst="ellipse">
                          <a:avLst/>
                        </a:prstGeom>
                        <a:solidFill>
                          <a:schemeClr val="bg1">
                            <a:lumMod val="75000"/>
                          </a:schemeClr>
                        </a:solidFill>
                        <a:ln>
                          <a:no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5254F98" w14:textId="77777777" w:rsidR="00573C95" w:rsidRPr="00741C87" w:rsidRDefault="00573C95" w:rsidP="001378F0">
                            <w:pPr>
                              <w:jc w:val="center"/>
                              <w:rPr>
                                <w:color w:val="000000"/>
                              </w:rPr>
                            </w:pPr>
                            <w:r w:rsidRPr="00741C87">
                              <w:rPr>
                                <w:color w:val="000000"/>
                              </w:rPr>
                              <w:t xml:space="preserve">Analyse qualitative et </w:t>
                            </w:r>
                          </w:p>
                          <w:p w14:paraId="37574001" w14:textId="436B4838" w:rsidR="00573C95" w:rsidRPr="00741C87" w:rsidRDefault="00573C95" w:rsidP="001378F0">
                            <w:pPr>
                              <w:jc w:val="center"/>
                              <w:rPr>
                                <w:color w:val="000000"/>
                              </w:rPr>
                            </w:pPr>
                            <w:proofErr w:type="gramStart"/>
                            <w:r w:rsidRPr="00741C87">
                              <w:rPr>
                                <w:color w:val="000000"/>
                              </w:rPr>
                              <w:t>comportementale</w:t>
                            </w:r>
                            <w:proofErr w:type="gramEnd"/>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624" o:spid="_x0000_s1473" style="position:absolute;margin-left:45pt;margin-top:193.15pt;width:198pt;height:198pt;z-index:2529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" fillcolor="#bfbfbf [2412]" stroked="f">
                <v:textbox>
                  <w:txbxContent>
                    <w:p w14:paraId="45254F98" w14:textId="77777777" w:rsidR="001501D6" w:rsidRPr="00741C87" w:rsidRDefault="001501D6" w:rsidP="001378F0">
                      <w:pPr>
                        <w:jc w:val="center"/>
                        <w:rPr>
                          <w:color w:val="000000"/>
                        </w:rPr>
                      </w:pPr>
                      <w:r w:rsidRPr="00741C87">
                        <w:rPr>
                          <w:color w:val="000000"/>
                        </w:rPr>
                        <w:t xml:space="preserve">Analyse qualitative et </w:t>
                      </w:r>
                    </w:p>
                    <w:p w14:paraId="37574001" w14:textId="436B4838" w:rsidR="001501D6" w:rsidRPr="00741C87" w:rsidRDefault="001501D6" w:rsidP="001378F0">
                      <w:pPr>
                        <w:jc w:val="center"/>
                        <w:rPr>
                          <w:color w:val="000000"/>
                        </w:rPr>
                      </w:pPr>
                      <w:proofErr w:type="gramStart"/>
                      <w:r w:rsidRPr="00741C87">
                        <w:rPr>
                          <w:color w:val="000000"/>
                        </w:rPr>
                        <w:t>comportementale</w:t>
                      </w:r>
                      <w:proofErr w:type="gramEnd"/>
                    </w:p>
                  </w:txbxContent>
                </v:textbox>
              </v:oval>
            </w:pict>
          </mc:Fallback>
        </mc:AlternateContent>
      </w:r>
      <w:r w:rsidR="00017406">
        <w:br w:type="page"/>
      </w:r>
    </w:p>
    <w:p w14:paraId="23D8C51F" w14:textId="5C319C98" w:rsidR="00EE6551" w:rsidRDefault="00EE6551" w:rsidP="006C34CF">
      <w:pPr>
        <w:pStyle w:val="Titre4"/>
        <w:numPr>
          <w:ilvl w:val="3"/>
          <w:numId w:val="97"/>
        </w:numPr>
      </w:pPr>
      <w:bookmarkStart w:id="140" w:name="_Toc314397877"/>
      <w:bookmarkStart w:id="141" w:name="_Toc443569421"/>
      <w:r>
        <w:lastRenderedPageBreak/>
        <w:t>Les critères qualitatifs</w:t>
      </w:r>
      <w:bookmarkEnd w:id="140"/>
      <w:bookmarkEnd w:id="141"/>
    </w:p>
    <w:p w14:paraId="2FDF47F8" w14:textId="77777777" w:rsidR="00EE6551" w:rsidRDefault="00EE6551" w:rsidP="003A53B3"/>
    <w:p w14:paraId="66E94618" w14:textId="24D9CCEE" w:rsidR="005E618A" w:rsidRDefault="005E618A" w:rsidP="003A53B3">
      <w:r>
        <w:t xml:space="preserve">Commençons par identifier les critères qualitatifs qui pourront être utilisés par le créancier afin de déterminer ce qu'il considère être </w:t>
      </w:r>
      <w:r w:rsidR="00FC10F8">
        <w:t>la</w:t>
      </w:r>
      <w:r>
        <w:t xml:space="preserve"> capacité d'emprunt</w:t>
      </w:r>
      <w:r w:rsidR="00FC10F8">
        <w:t xml:space="preserve"> d'un individu</w:t>
      </w:r>
      <w:r>
        <w:t xml:space="preserve">. Ces critères </w:t>
      </w:r>
      <w:r w:rsidR="00086350">
        <w:t xml:space="preserve">plus subjectifs </w:t>
      </w:r>
      <w:r>
        <w:t xml:space="preserve">seront utilisés </w:t>
      </w:r>
      <w:r w:rsidR="00086350">
        <w:t>de concert avec une analyse objective et mathématique mettant à profit différents ratios financiers afin que le créancier évalue le niveau de risque relié au prêt et qu'il détermine ultimement la capacité d'emprunt du débiteur.</w:t>
      </w:r>
    </w:p>
    <w:p w14:paraId="3F9080E4" w14:textId="77777777" w:rsidR="00086350" w:rsidRDefault="00086350" w:rsidP="003A53B3"/>
    <w:p w14:paraId="25AD8C50" w14:textId="1626AC90" w:rsidR="00086350" w:rsidRDefault="00086350" w:rsidP="003A53B3">
      <w:r>
        <w:t>L'analyse qualitative et comportementale du débiteur (emprunteur)</w:t>
      </w:r>
      <w:r w:rsidR="00777C5F">
        <w:t xml:space="preserve"> </w:t>
      </w:r>
      <w:r>
        <w:t xml:space="preserve">tiendra, notamment, compte des éléments </w:t>
      </w:r>
      <w:r w:rsidR="00777C5F">
        <w:t>pas</w:t>
      </w:r>
      <w:r>
        <w:t>s</w:t>
      </w:r>
      <w:r w:rsidR="00777C5F">
        <w:t>és et présents s</w:t>
      </w:r>
      <w:r>
        <w:t>uivants</w:t>
      </w:r>
      <w:r w:rsidR="003F5DED">
        <w:rPr>
          <w:rStyle w:val="Marquenotebasdepage"/>
        </w:rPr>
        <w:footnoteReference w:customMarkFollows="1" w:id="78"/>
        <w:t>75</w:t>
      </w:r>
      <w:r>
        <w:t>:</w:t>
      </w:r>
    </w:p>
    <w:p w14:paraId="4F8F5F9F" w14:textId="77777777" w:rsidR="00086350" w:rsidRDefault="00086350" w:rsidP="003A53B3"/>
    <w:p w14:paraId="42FA7824" w14:textId="77777777" w:rsidR="00174BC2" w:rsidRDefault="00174BC2" w:rsidP="006C34CF">
      <w:pPr>
        <w:pStyle w:val="Paragraphedeliste"/>
        <w:numPr>
          <w:ilvl w:val="0"/>
          <w:numId w:val="78"/>
        </w:numPr>
      </w:pPr>
      <w:r>
        <w:t>Intention de rembourser</w:t>
      </w:r>
    </w:p>
    <w:p w14:paraId="1C6603C6" w14:textId="146829F3" w:rsidR="00086350" w:rsidRDefault="00174BC2" w:rsidP="00174BC2">
      <w:pPr>
        <w:ind w:left="360"/>
        <w:jc w:val="both"/>
      </w:pPr>
      <w:r>
        <w:tab/>
      </w:r>
      <w:r>
        <w:tab/>
        <w:t xml:space="preserve">Le comportement passé du débiteur a-t-il démontré son engagement à rembourser les prêts </w:t>
      </w:r>
      <w:r>
        <w:tab/>
      </w:r>
      <w:r>
        <w:tab/>
      </w:r>
      <w:r>
        <w:tab/>
        <w:t>accordés</w:t>
      </w:r>
      <w:r w:rsidRPr="00174BC2">
        <w:rPr>
          <w:rFonts w:ascii="Avenir Book" w:hAnsi="Avenir Book"/>
        </w:rPr>
        <w:t>?</w:t>
      </w:r>
      <w:r>
        <w:rPr>
          <w:rFonts w:ascii="Avenir Book" w:hAnsi="Avenir Book"/>
        </w:rPr>
        <w:t xml:space="preserve"> </w:t>
      </w:r>
      <w:r>
        <w:t>Le passé étant souvent garant de l'avenir.</w:t>
      </w:r>
    </w:p>
    <w:p w14:paraId="26E518DD" w14:textId="77777777" w:rsidR="00A018BC" w:rsidRDefault="00A018BC" w:rsidP="00174BC2">
      <w:pPr>
        <w:ind w:left="360"/>
        <w:jc w:val="both"/>
      </w:pPr>
    </w:p>
    <w:p w14:paraId="2F8B2338" w14:textId="7AC2275C" w:rsidR="00A018BC" w:rsidRDefault="00A018BC" w:rsidP="006C34CF">
      <w:pPr>
        <w:pStyle w:val="Paragraphedeliste"/>
        <w:numPr>
          <w:ilvl w:val="0"/>
          <w:numId w:val="78"/>
        </w:numPr>
      </w:pPr>
      <w:r>
        <w:t>Engagement personnel</w:t>
      </w:r>
    </w:p>
    <w:p w14:paraId="32694035" w14:textId="7B1DFB68" w:rsidR="00174BC2" w:rsidRDefault="00174BC2" w:rsidP="00C56914">
      <w:pPr>
        <w:ind w:left="360"/>
        <w:jc w:val="both"/>
      </w:pPr>
      <w:r>
        <w:tab/>
      </w:r>
      <w:r>
        <w:tab/>
        <w:t xml:space="preserve">Le débiteur a-t-il démontré son engagement envers sa santé financière en se constituant, au fil des </w:t>
      </w:r>
      <w:r>
        <w:tab/>
      </w:r>
      <w:r>
        <w:tab/>
        <w:t>an</w:t>
      </w:r>
      <w:r w:rsidR="00C56914">
        <w:t>nées,</w:t>
      </w:r>
      <w:r>
        <w:t xml:space="preserve"> un patrimoine financier (avoir net)</w:t>
      </w:r>
      <w:r w:rsidR="00C56914" w:rsidRPr="00174BC2">
        <w:rPr>
          <w:rFonts w:ascii="Avenir Book" w:hAnsi="Avenir Book"/>
        </w:rPr>
        <w:t>?</w:t>
      </w:r>
    </w:p>
    <w:p w14:paraId="16454704" w14:textId="77777777" w:rsidR="00A018BC" w:rsidRDefault="00A018BC" w:rsidP="00A018BC">
      <w:pPr>
        <w:ind w:left="360"/>
      </w:pPr>
    </w:p>
    <w:p w14:paraId="056CFC7F" w14:textId="24CB96FF" w:rsidR="00A018BC" w:rsidRDefault="00A018BC" w:rsidP="006C34CF">
      <w:pPr>
        <w:pStyle w:val="Paragraphedeliste"/>
        <w:numPr>
          <w:ilvl w:val="0"/>
          <w:numId w:val="78"/>
        </w:numPr>
      </w:pPr>
      <w:r>
        <w:t>Possibilité d'y joindre un cautionnement</w:t>
      </w:r>
    </w:p>
    <w:p w14:paraId="4CDBBC17" w14:textId="43BFC3C6" w:rsidR="00A018BC" w:rsidRDefault="00C56914" w:rsidP="00C56914">
      <w:pPr>
        <w:ind w:left="360"/>
        <w:jc w:val="both"/>
      </w:pPr>
      <w:r>
        <w:tab/>
      </w:r>
      <w:r>
        <w:tab/>
        <w:t xml:space="preserve">Est-ce que le débiteur a la possibilité d'identifier une personne ayant une situation financière </w:t>
      </w:r>
      <w:r>
        <w:tab/>
      </w:r>
      <w:r>
        <w:tab/>
      </w:r>
      <w:r>
        <w:tab/>
        <w:t xml:space="preserve">enviable (conjoint, parents, autres membres de la famille) qui serait volontaire à cautionner </w:t>
      </w:r>
      <w:r>
        <w:tab/>
      </w:r>
      <w:r>
        <w:tab/>
      </w:r>
      <w:r>
        <w:tab/>
        <w:t>l'emprunt</w:t>
      </w:r>
      <w:r w:rsidRPr="00174BC2">
        <w:rPr>
          <w:rFonts w:ascii="Avenir Book" w:hAnsi="Avenir Book"/>
        </w:rPr>
        <w:t>?</w:t>
      </w:r>
    </w:p>
    <w:p w14:paraId="4477AA20" w14:textId="77777777" w:rsidR="00C56914" w:rsidRDefault="00C56914" w:rsidP="00A018BC">
      <w:pPr>
        <w:ind w:left="360"/>
      </w:pPr>
    </w:p>
    <w:p w14:paraId="316C89E8" w14:textId="4488282A" w:rsidR="00A018BC" w:rsidRDefault="00404A9E" w:rsidP="006C34CF">
      <w:pPr>
        <w:pStyle w:val="Paragraphedeliste"/>
        <w:numPr>
          <w:ilvl w:val="0"/>
          <w:numId w:val="78"/>
        </w:numPr>
      </w:pPr>
      <w:r>
        <w:t>Situation professionnelle</w:t>
      </w:r>
    </w:p>
    <w:p w14:paraId="2EC65F9E" w14:textId="7930558C" w:rsidR="00C56914" w:rsidRDefault="00C56914" w:rsidP="00C56914">
      <w:pPr>
        <w:ind w:left="360"/>
        <w:jc w:val="both"/>
      </w:pPr>
      <w:r>
        <w:tab/>
      </w:r>
      <w:r>
        <w:tab/>
        <w:t xml:space="preserve">La situation professionnelle du débiteur constitue un facteur pertinent à l'analyse d'une demande </w:t>
      </w:r>
      <w:r>
        <w:tab/>
      </w:r>
      <w:r>
        <w:tab/>
        <w:t>d'emprunt. Le statut d'un membre d'un ordre professionnel (médecin, comptable, ingénieur, etc.)</w:t>
      </w:r>
      <w:r w:rsidR="004F78A4">
        <w:t xml:space="preserve"> </w:t>
      </w:r>
      <w:r w:rsidR="004F78A4">
        <w:lastRenderedPageBreak/>
        <w:tab/>
      </w:r>
      <w:r w:rsidR="004F78A4">
        <w:tab/>
      </w:r>
      <w:proofErr w:type="gramStart"/>
      <w:r>
        <w:t>sera</w:t>
      </w:r>
      <w:proofErr w:type="gramEnd"/>
      <w:r>
        <w:t xml:space="preserve"> un avantage en comparaison à celui du travailleur autonome ou </w:t>
      </w:r>
      <w:r w:rsidR="004F78A4">
        <w:t>d'</w:t>
      </w:r>
      <w:r>
        <w:t>un employé d'usine</w:t>
      </w:r>
      <w:r w:rsidR="004F78A4">
        <w:t xml:space="preserve"> </w:t>
      </w:r>
      <w:r>
        <w:t xml:space="preserve">dont le </w:t>
      </w:r>
      <w:r w:rsidR="004F78A4">
        <w:tab/>
      </w:r>
      <w:r w:rsidR="004F78A4">
        <w:tab/>
      </w:r>
      <w:r>
        <w:t>secteur d'activité est précaire, par exemple.</w:t>
      </w:r>
    </w:p>
    <w:p w14:paraId="40F650D7" w14:textId="77777777" w:rsidR="00404A9E" w:rsidRDefault="00404A9E" w:rsidP="00404A9E">
      <w:pPr>
        <w:ind w:left="360"/>
      </w:pPr>
    </w:p>
    <w:p w14:paraId="4A66C471" w14:textId="77777777" w:rsidR="003F5DED" w:rsidRDefault="003F5DED" w:rsidP="00404A9E">
      <w:pPr>
        <w:ind w:left="360"/>
      </w:pPr>
    </w:p>
    <w:p w14:paraId="638AFF6F" w14:textId="77777777" w:rsidR="003F5DED" w:rsidRDefault="003F5DED" w:rsidP="00404A9E">
      <w:pPr>
        <w:ind w:left="360"/>
      </w:pPr>
    </w:p>
    <w:p w14:paraId="24ED32A1" w14:textId="77777777" w:rsidR="004F78A4" w:rsidRDefault="00404A9E" w:rsidP="006C34CF">
      <w:pPr>
        <w:pStyle w:val="Paragraphedeliste"/>
        <w:numPr>
          <w:ilvl w:val="0"/>
          <w:numId w:val="78"/>
        </w:numPr>
      </w:pPr>
      <w:r>
        <w:t>Situation personnelle</w:t>
      </w:r>
      <w:r w:rsidR="004F78A4">
        <w:t xml:space="preserve"> et familiale</w:t>
      </w:r>
    </w:p>
    <w:p w14:paraId="4E4ED983" w14:textId="238D3B83" w:rsidR="004F78A4" w:rsidRDefault="004F78A4" w:rsidP="007C5E95">
      <w:pPr>
        <w:ind w:left="1416"/>
        <w:jc w:val="both"/>
      </w:pPr>
      <w:r>
        <w:t>Bien que cela puisse sembler discriminatoire, l'âge du débiteur a une importance puisqu'il est vecteur de risque. Un prêt octroyé à un</w:t>
      </w:r>
      <w:r w:rsidR="0057365F">
        <w:t>e</w:t>
      </w:r>
      <w:r>
        <w:t xml:space="preserve"> jeune personne âgé</w:t>
      </w:r>
      <w:r w:rsidR="0057365F">
        <w:t>e</w:t>
      </w:r>
      <w:r>
        <w:t xml:space="preserve"> de 22 ans ne comporte pas le même risque que celui octroyé à une personne âgée de 55 ans. Les comportements à risque sont également plus fréquents à l'égard d'une personne célibataire que dans le cas d'une mère de famille de 3 enfants.</w:t>
      </w:r>
    </w:p>
    <w:p w14:paraId="6676441A" w14:textId="77777777" w:rsidR="003F5DED" w:rsidRDefault="003F5DED" w:rsidP="007C5E95">
      <w:pPr>
        <w:ind w:left="1416"/>
        <w:jc w:val="both"/>
      </w:pPr>
    </w:p>
    <w:p w14:paraId="34EEFD93" w14:textId="1493D2D9" w:rsidR="00404A9E" w:rsidRDefault="00174BC2" w:rsidP="006C34CF">
      <w:pPr>
        <w:pStyle w:val="Paragraphedeliste"/>
        <w:numPr>
          <w:ilvl w:val="0"/>
          <w:numId w:val="78"/>
        </w:numPr>
      </w:pPr>
      <w:r>
        <w:t>Stabilité</w:t>
      </w:r>
    </w:p>
    <w:p w14:paraId="501C1DE8" w14:textId="7C30D838" w:rsidR="007C5E95" w:rsidRDefault="007C5E95" w:rsidP="007C5E95">
      <w:pPr>
        <w:ind w:left="1416"/>
        <w:jc w:val="both"/>
      </w:pPr>
      <w:r>
        <w:t>La stabilité est également un facteur qui fera l'objet d'une appréciation de la part du créancier. Elle visera, notamment, à prendre en compte la fréquence et les durées relié</w:t>
      </w:r>
      <w:r w:rsidR="0057365F">
        <w:t>e</w:t>
      </w:r>
      <w:r>
        <w:t xml:space="preserve">s aux emplois, le nombre de  changements d'adresse. Le propriétaire sera considéré comme plus stable qu'un locataire. </w:t>
      </w:r>
    </w:p>
    <w:p w14:paraId="2A06B5D4" w14:textId="77777777" w:rsidR="00174BC2" w:rsidRDefault="00174BC2" w:rsidP="00174BC2">
      <w:pPr>
        <w:ind w:left="360"/>
      </w:pPr>
    </w:p>
    <w:p w14:paraId="5E7A4F4B" w14:textId="14D2A7A5" w:rsidR="00174BC2" w:rsidRPr="005E618A" w:rsidRDefault="00174BC2" w:rsidP="006C34CF">
      <w:pPr>
        <w:pStyle w:val="Paragraphedeliste"/>
        <w:numPr>
          <w:ilvl w:val="0"/>
          <w:numId w:val="78"/>
        </w:numPr>
      </w:pPr>
      <w:r>
        <w:t>La conjoncture économique</w:t>
      </w:r>
    </w:p>
    <w:p w14:paraId="566B62D9" w14:textId="20DA31E1" w:rsidR="00086350" w:rsidRDefault="001B4C3E" w:rsidP="00FE056E">
      <w:pPr>
        <w:ind w:left="1416"/>
        <w:jc w:val="both"/>
      </w:pPr>
      <w:r>
        <w:t>L'environnement économique qui prévaut au moment de la demande prêt constitue une trame</w:t>
      </w:r>
      <w:r w:rsidR="00FE056E">
        <w:t xml:space="preserve"> </w:t>
      </w:r>
      <w:r>
        <w:t xml:space="preserve">de fond qui aura une influence sur </w:t>
      </w:r>
      <w:r w:rsidR="00FE056E">
        <w:t xml:space="preserve">le resserrement ou l'ouverture des institutions financières à effectuer des prêts. La crise immobilière et financière de 2008 qui a marqué de plein fouet l'économie américaine en est une éloquente illustration. </w:t>
      </w:r>
    </w:p>
    <w:p w14:paraId="1C60AD11" w14:textId="77777777" w:rsidR="001B4C3E" w:rsidRDefault="001B4C3E" w:rsidP="00FE056E"/>
    <w:p w14:paraId="57B71009" w14:textId="3EE5D12F" w:rsidR="00137787" w:rsidRDefault="00137787" w:rsidP="00137787">
      <w:pPr>
        <w:jc w:val="both"/>
      </w:pPr>
      <w:r>
        <w:t>Dans une société qui est dépersonnalisé</w:t>
      </w:r>
      <w:r w:rsidR="0057365F">
        <w:t>e</w:t>
      </w:r>
      <w:r>
        <w:t>, où les gens se connaissent peu, l'analyse qualitative portera assurément davantage de préjudice que dans des temps où tous s'affairaient autour du village et que la situation de tous</w:t>
      </w:r>
      <w:r w:rsidR="00CE0180">
        <w:t xml:space="preserve"> et chacun</w:t>
      </w:r>
      <w:r>
        <w:t xml:space="preserve"> était connue.</w:t>
      </w:r>
    </w:p>
    <w:p w14:paraId="205A72C2" w14:textId="0F387BA2" w:rsidR="00120B75" w:rsidRDefault="00120B75">
      <w:r>
        <w:br w:type="page"/>
      </w:r>
    </w:p>
    <w:p w14:paraId="3D4B6759" w14:textId="76515632" w:rsidR="009931AA" w:rsidRDefault="009931AA" w:rsidP="006C34CF">
      <w:pPr>
        <w:pStyle w:val="Titre4"/>
        <w:numPr>
          <w:ilvl w:val="3"/>
          <w:numId w:val="97"/>
        </w:numPr>
      </w:pPr>
      <w:bookmarkStart w:id="142" w:name="_Toc314397878"/>
      <w:bookmarkStart w:id="143" w:name="_Toc443569422"/>
      <w:r>
        <w:lastRenderedPageBreak/>
        <w:t>Les ratios</w:t>
      </w:r>
      <w:r w:rsidR="00EE6551">
        <w:t xml:space="preserve"> d'endettement</w:t>
      </w:r>
      <w:bookmarkEnd w:id="142"/>
      <w:bookmarkEnd w:id="143"/>
    </w:p>
    <w:p w14:paraId="74213E73" w14:textId="77777777" w:rsidR="009931AA" w:rsidRDefault="009931AA" w:rsidP="009931AA"/>
    <w:p w14:paraId="76E315D6" w14:textId="0F52B347" w:rsidR="00120B75" w:rsidRDefault="00EF71CF" w:rsidP="00EE6551">
      <w:pPr>
        <w:jc w:val="both"/>
      </w:pPr>
      <w:r>
        <w:t>En finance personnelle, i</w:t>
      </w:r>
      <w:r w:rsidR="005B4481">
        <w:t>l existe deux grand</w:t>
      </w:r>
      <w:r>
        <w:t>s</w:t>
      </w:r>
      <w:r w:rsidR="005B4481">
        <w:t xml:space="preserve"> ratios </w:t>
      </w:r>
      <w:r>
        <w:t>d'endettement</w:t>
      </w:r>
      <w:r w:rsidR="005B4481">
        <w:t xml:space="preserve"> </w:t>
      </w:r>
      <w:r>
        <w:t>qui visent</w:t>
      </w:r>
      <w:r w:rsidR="005B4481">
        <w:t xml:space="preserve"> à </w:t>
      </w:r>
      <w:r w:rsidR="00FC10F8">
        <w:t>évaluer</w:t>
      </w:r>
      <w:r w:rsidR="005B4481">
        <w:t xml:space="preserve"> le risque qui est assumé par le créancier lorsqu'il é</w:t>
      </w:r>
      <w:r w:rsidR="000F5DA2">
        <w:t>tudie</w:t>
      </w:r>
      <w:r w:rsidR="005B4481">
        <w:t xml:space="preserve"> une demande de prêt par un </w:t>
      </w:r>
      <w:r w:rsidR="00AA2A4A">
        <w:t xml:space="preserve">éventuel </w:t>
      </w:r>
      <w:r w:rsidR="005B4481">
        <w:t xml:space="preserve">débiteur. </w:t>
      </w:r>
    </w:p>
    <w:p w14:paraId="66F2AE62" w14:textId="77777777" w:rsidR="00120B75" w:rsidRDefault="00120B75" w:rsidP="00120B75"/>
    <w:p w14:paraId="5D700099" w14:textId="5021947A" w:rsidR="00AB4E47" w:rsidRDefault="00AB4E47" w:rsidP="00120B75">
      <w:r>
        <w:t xml:space="preserve">Les ratios </w:t>
      </w:r>
      <w:r w:rsidR="00EF71CF">
        <w:t>d'endettement</w:t>
      </w:r>
      <w:r>
        <w:t xml:space="preserve"> </w:t>
      </w:r>
      <w:r w:rsidR="00E43BE7">
        <w:t xml:space="preserve">utilisés par les institutions financières </w:t>
      </w:r>
      <w:r w:rsidR="006E4650">
        <w:t>sont</w:t>
      </w:r>
      <w:r>
        <w:t xml:space="preserve"> :</w:t>
      </w:r>
    </w:p>
    <w:p w14:paraId="4F498508" w14:textId="77777777" w:rsidR="00A63DD5" w:rsidRDefault="00A63DD5" w:rsidP="00120B75"/>
    <w:p w14:paraId="47DF3B18" w14:textId="77777777" w:rsidR="00A63DD5" w:rsidRDefault="00A63DD5" w:rsidP="006C34CF">
      <w:pPr>
        <w:pStyle w:val="Paragraphedeliste"/>
        <w:numPr>
          <w:ilvl w:val="0"/>
          <w:numId w:val="99"/>
        </w:numPr>
      </w:pPr>
      <w:r>
        <w:t>L'amortissement brut de la dette (Représente le poids des obligations reliées à l'habitation)</w:t>
      </w:r>
    </w:p>
    <w:p w14:paraId="76589076" w14:textId="77777777" w:rsidR="00AB4E47" w:rsidRDefault="00AB4E47" w:rsidP="00120B75"/>
    <w:p w14:paraId="3EAB08F6" w14:textId="522DD229" w:rsidR="00AB4E47" w:rsidRDefault="00AB4E47" w:rsidP="006C34CF">
      <w:pPr>
        <w:pStyle w:val="Paragraphedeliste"/>
        <w:numPr>
          <w:ilvl w:val="0"/>
          <w:numId w:val="99"/>
        </w:numPr>
      </w:pPr>
      <w:r>
        <w:t>L</w:t>
      </w:r>
      <w:r w:rsidR="006E4650">
        <w:t>'amortissement total de la dette</w:t>
      </w:r>
      <w:r>
        <w:t xml:space="preserve"> (</w:t>
      </w:r>
      <w:r w:rsidR="006E4650">
        <w:t>Représente le poids de l'ensemble de</w:t>
      </w:r>
      <w:r w:rsidR="00A63DD5">
        <w:t>s</w:t>
      </w:r>
      <w:r w:rsidR="006E4650">
        <w:t xml:space="preserve"> obligations </w:t>
      </w:r>
      <w:r w:rsidR="00AA2A4A">
        <w:t>découlant</w:t>
      </w:r>
      <w:r w:rsidR="006E4650">
        <w:t xml:space="preserve"> de  dettes</w:t>
      </w:r>
      <w:r w:rsidR="00A63DD5">
        <w:t xml:space="preserve"> et de l'habitation</w:t>
      </w:r>
      <w:r>
        <w:t xml:space="preserve">) </w:t>
      </w:r>
    </w:p>
    <w:p w14:paraId="6DDD174A" w14:textId="77777777" w:rsidR="00017406" w:rsidRDefault="00017406" w:rsidP="00017406">
      <w:pPr>
        <w:ind w:left="432"/>
      </w:pPr>
    </w:p>
    <w:p w14:paraId="64B6D339" w14:textId="568B4FE2" w:rsidR="00777C5F" w:rsidRDefault="00777C5F" w:rsidP="00777C5F">
      <w:pPr>
        <w:jc w:val="both"/>
      </w:pPr>
      <w:r>
        <w:t>Malgré que ces ratios puissent avoir quelques variantes de terminologies et de modes de calculs, ils ont tous les deux pour objectifs d'intégrer une nouvelle demande de prêts aux obligations et contraintes actuelles en fonction des rev</w:t>
      </w:r>
      <w:r w:rsidR="00AA2A4A">
        <w:t>enus actuels. L'institution financière prêteuse vise alors à comparer les ratios obtenus avec les seuils qu'elle juge acceptable</w:t>
      </w:r>
      <w:r w:rsidR="0057365F">
        <w:t>s</w:t>
      </w:r>
      <w:r w:rsidR="00AA2A4A">
        <w:t xml:space="preserve"> afin de déterminer si elle fera une offre de financement au demandeur de prêt.</w:t>
      </w:r>
    </w:p>
    <w:p w14:paraId="66355EA9" w14:textId="77777777" w:rsidR="00A63DD5" w:rsidRDefault="00A63DD5" w:rsidP="00777C5F">
      <w:pPr>
        <w:jc w:val="both"/>
      </w:pPr>
    </w:p>
    <w:p w14:paraId="3397EB94" w14:textId="17C616AC" w:rsidR="00A63DD5" w:rsidRPr="00AA2A4A" w:rsidRDefault="00A63DD5" w:rsidP="006C34CF">
      <w:pPr>
        <w:pStyle w:val="Paragraphedeliste"/>
        <w:numPr>
          <w:ilvl w:val="0"/>
          <w:numId w:val="83"/>
        </w:numPr>
        <w:jc w:val="both"/>
        <w:rPr>
          <w:color w:val="FF6700" w:themeColor="accent3"/>
        </w:rPr>
      </w:pPr>
      <w:r w:rsidRPr="00AA2A4A">
        <w:rPr>
          <w:color w:val="FF6700" w:themeColor="accent3"/>
        </w:rPr>
        <w:t xml:space="preserve">Le ratio de l'amortissement </w:t>
      </w:r>
      <w:r>
        <w:rPr>
          <w:color w:val="FF6700" w:themeColor="accent3"/>
        </w:rPr>
        <w:t>brut</w:t>
      </w:r>
      <w:r w:rsidRPr="00AA2A4A">
        <w:rPr>
          <w:color w:val="FF6700" w:themeColor="accent3"/>
        </w:rPr>
        <w:t xml:space="preserve"> de la dette</w:t>
      </w:r>
      <w:r w:rsidR="00986652">
        <w:rPr>
          <w:color w:val="FF6700" w:themeColor="accent3"/>
        </w:rPr>
        <w:t xml:space="preserve"> (ABD)</w:t>
      </w:r>
    </w:p>
    <w:p w14:paraId="21FBC6B6" w14:textId="1364BD35" w:rsidR="00A63DD5" w:rsidRDefault="00986652">
      <w:r>
        <w:rPr>
          <w:noProof/>
          <w:lang w:eastAsia="fr-FR"/>
        </w:rPr>
        <mc:AlternateContent>
          <mc:Choice Requires="wps">
            <w:drawing>
              <wp:anchor distT="0" distB="0" distL="114300" distR="114300" simplePos="0" relativeHeight="252951552" behindDoc="0" locked="0" layoutInCell="1" allowOverlap="1" wp14:anchorId="44C3A891" wp14:editId="5A3CE3CA">
                <wp:simplePos x="0" y="0"/>
                <wp:positionH relativeFrom="column">
                  <wp:posOffset>457200</wp:posOffset>
                </wp:positionH>
                <wp:positionV relativeFrom="paragraph">
                  <wp:posOffset>179705</wp:posOffset>
                </wp:positionV>
                <wp:extent cx="5029200" cy="457200"/>
                <wp:effectExtent l="50800" t="76200" r="76200" b="76200"/>
                <wp:wrapThrough wrapText="bothSides">
                  <wp:wrapPolygon edited="0">
                    <wp:start x="-218" y="-3600"/>
                    <wp:lineTo x="-218" y="24000"/>
                    <wp:lineTo x="21818" y="24000"/>
                    <wp:lineTo x="21709" y="-3600"/>
                    <wp:lineTo x="-218" y="-3600"/>
                  </wp:wrapPolygon>
                </wp:wrapThrough>
                <wp:docPr id="633" name="Rectangle à coins arrondis 633"/>
                <wp:cNvGraphicFramePr/>
                <a:graphic xmlns:a="http://schemas.openxmlformats.org/drawingml/2006/main">
                  <a:graphicData uri="http://schemas.microsoft.com/office/word/2010/wordprocessingShape">
                    <wps:wsp>
                      <wps:cNvSpPr/>
                      <wps:spPr>
                        <a:xfrm>
                          <a:off x="0" y="0"/>
                          <a:ext cx="5029200" cy="457200"/>
                        </a:xfrm>
                        <a:prstGeom prst="roundRect">
                          <a:avLst/>
                        </a:prstGeom>
                        <a:solidFill>
                          <a:schemeClr val="tx2">
                            <a:lumMod val="40000"/>
                            <a:lumOff val="60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2CC6A57" w14:textId="76786E7A" w:rsidR="00573C95" w:rsidRPr="00BF5564" w:rsidRDefault="00573C95" w:rsidP="00A63DD5">
                            <w:pPr>
                              <w:jc w:val="center"/>
                              <w:rPr>
                                <w:color w:val="000000"/>
                              </w:rPr>
                            </w:pPr>
                            <w:r w:rsidRPr="00BF5564">
                              <w:rPr>
                                <w:color w:val="000000"/>
                              </w:rPr>
                              <w:t>La formule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33" o:spid="_x0000_s1474" style="position:absolute;margin-left:36pt;margin-top:14.15pt;width:396pt;height:36pt;z-index:2529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" fillcolor="#bbb9a1 [1311]">
                <v:textbox>
                  <w:txbxContent>
                    <w:p w14:paraId="02CC6A57" w14:textId="76786E7A" w:rsidR="001501D6" w:rsidRPr="00BF5564" w:rsidRDefault="001501D6" w:rsidP="00A63DD5">
                      <w:pPr>
                        <w:jc w:val="center"/>
                        <w:rPr>
                          <w:color w:val="000000"/>
                        </w:rPr>
                      </w:pPr>
                      <w:r w:rsidRPr="00BF5564">
                        <w:rPr>
                          <w:color w:val="000000"/>
                        </w:rPr>
                        <w:t>La formule</w:t>
                      </w:r>
                    </w:p>
                  </w:txbxContent>
                </v:textbox>
                <w10:wrap type="through"/>
              </v:roundrect>
            </w:pict>
          </mc:Fallback>
        </mc:AlternateContent>
      </w:r>
      <w:r>
        <w:rPr>
          <w:noProof/>
          <w:lang w:eastAsia="fr-FR"/>
        </w:rPr>
        <mc:AlternateContent>
          <mc:Choice Requires="wps">
            <w:drawing>
              <wp:anchor distT="0" distB="0" distL="114300" distR="114300" simplePos="0" relativeHeight="252961792" behindDoc="0" locked="0" layoutInCell="1" allowOverlap="1" wp14:anchorId="36DE5DE8" wp14:editId="1F033CB6">
                <wp:simplePos x="0" y="0"/>
                <wp:positionH relativeFrom="column">
                  <wp:posOffset>457200</wp:posOffset>
                </wp:positionH>
                <wp:positionV relativeFrom="paragraph">
                  <wp:posOffset>1779905</wp:posOffset>
                </wp:positionV>
                <wp:extent cx="5143500" cy="418465"/>
                <wp:effectExtent l="50800" t="76200" r="63500" b="64135"/>
                <wp:wrapThrough wrapText="bothSides">
                  <wp:wrapPolygon edited="0">
                    <wp:start x="-107" y="-3933"/>
                    <wp:lineTo x="-213" y="23599"/>
                    <wp:lineTo x="21760" y="23599"/>
                    <wp:lineTo x="21760" y="-3933"/>
                    <wp:lineTo x="-107" y="-3933"/>
                  </wp:wrapPolygon>
                </wp:wrapThrough>
                <wp:docPr id="638" name="Rectangle à coins arrondis 638"/>
                <wp:cNvGraphicFramePr/>
                <a:graphic xmlns:a="http://schemas.openxmlformats.org/drawingml/2006/main">
                  <a:graphicData uri="http://schemas.microsoft.com/office/word/2010/wordprocessingShape">
                    <wps:wsp>
                      <wps:cNvSpPr/>
                      <wps:spPr>
                        <a:xfrm>
                          <a:off x="0" y="0"/>
                          <a:ext cx="5143500" cy="418465"/>
                        </a:xfrm>
                        <a:prstGeom prst="roundRect">
                          <a:avLst/>
                        </a:prstGeom>
                        <a:solidFill>
                          <a:srgbClr val="008000"/>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795335A" w14:textId="53246AD2" w:rsidR="00573C95" w:rsidRDefault="00573C95" w:rsidP="00AE71E2">
                            <w:pPr>
                              <w:jc w:val="center"/>
                            </w:pPr>
                            <w:r>
                              <w:t>Revenu brut mensuel</w:t>
                            </w:r>
                          </w:p>
                        </w:txbxContent>
                      </wps:txbx>
                      <wps:bodyPr wrap="square"/>
                    </wps:wsp>
                  </a:graphicData>
                </a:graphic>
                <wp14:sizeRelH relativeFrom="margin">
                  <wp14:pctWidth>0</wp14:pctWidth>
                </wp14:sizeRelH>
                <wp14:sizeRelV relativeFrom="margin">
                  <wp14:pctHeight>0</wp14:pctHeight>
                </wp14:sizeRelV>
              </wp:anchor>
            </w:drawing>
          </mc:Choice>
          <mc:Fallback>
            <w:pict>
              <v:roundrect id="Rectangle à coins arrondis 638" o:spid="_x0000_s1475" style="position:absolute;margin-left:36pt;margin-top:140.15pt;width:405pt;height:32.95pt;z-index:2529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" fillcolor="green" stroked="f">
                <v:textbox>
                  <w:txbxContent>
                    <w:p w14:paraId="1795335A" w14:textId="53246AD2" w:rsidR="001501D6" w:rsidRDefault="001501D6" w:rsidP="00AE71E2">
                      <w:pPr>
                        <w:jc w:val="center"/>
                      </w:pPr>
                      <w:r>
                        <w:t>Revenu brut mensuel</w:t>
                      </w:r>
                    </w:p>
                  </w:txbxContent>
                </v:textbox>
                <w10:wrap type="through"/>
              </v:roundrect>
            </w:pict>
          </mc:Fallback>
        </mc:AlternateContent>
      </w:r>
      <w:r>
        <w:rPr>
          <w:noProof/>
          <w:lang w:eastAsia="fr-FR"/>
        </w:rPr>
        <mc:AlternateContent>
          <mc:Choice Requires="wps">
            <w:drawing>
              <wp:anchor distT="0" distB="0" distL="114300" distR="114300" simplePos="0" relativeHeight="252957696" behindDoc="0" locked="0" layoutInCell="1" allowOverlap="1" wp14:anchorId="5F34E6BE" wp14:editId="3126226B">
                <wp:simplePos x="0" y="0"/>
                <wp:positionH relativeFrom="column">
                  <wp:posOffset>457200</wp:posOffset>
                </wp:positionH>
                <wp:positionV relativeFrom="paragraph">
                  <wp:posOffset>1094105</wp:posOffset>
                </wp:positionV>
                <wp:extent cx="5143500" cy="418465"/>
                <wp:effectExtent l="50800" t="76200" r="63500" b="64135"/>
                <wp:wrapThrough wrapText="bothSides">
                  <wp:wrapPolygon edited="0">
                    <wp:start x="-107" y="-3933"/>
                    <wp:lineTo x="-213" y="23599"/>
                    <wp:lineTo x="21760" y="23599"/>
                    <wp:lineTo x="21760" y="-3933"/>
                    <wp:lineTo x="-107" y="-3933"/>
                  </wp:wrapPolygon>
                </wp:wrapThrough>
                <wp:docPr id="636" name="Rectangle à coins arrondis 636"/>
                <wp:cNvGraphicFramePr/>
                <a:graphic xmlns:a="http://schemas.openxmlformats.org/drawingml/2006/main">
                  <a:graphicData uri="http://schemas.microsoft.com/office/word/2010/wordprocessingShape">
                    <wps:wsp>
                      <wps:cNvSpPr/>
                      <wps:spPr>
                        <a:xfrm>
                          <a:off x="0" y="0"/>
                          <a:ext cx="5143500" cy="418465"/>
                        </a:xfrm>
                        <a:prstGeom prst="roundRect">
                          <a:avLst/>
                        </a:prstGeom>
                        <a:solidFill>
                          <a:srgbClr val="800000"/>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7972006" w14:textId="0AC8ED21" w:rsidR="00573C95" w:rsidRDefault="00573C95" w:rsidP="001113A1">
                            <w:pPr>
                              <w:jc w:val="center"/>
                            </w:pPr>
                            <w:r>
                              <w:t>Hypothèque ou loyer + Taxes + chauffage + 50 % frais de condo</w:t>
                            </w:r>
                          </w:p>
                        </w:txbxContent>
                      </wps:txbx>
                      <wps:bodyPr wrap="square"/>
                    </wps:wsp>
                  </a:graphicData>
                </a:graphic>
                <wp14:sizeRelH relativeFrom="margin">
                  <wp14:pctWidth>0</wp14:pctWidth>
                </wp14:sizeRelH>
                <wp14:sizeRelV relativeFrom="margin">
                  <wp14:pctHeight>0</wp14:pctHeight>
                </wp14:sizeRelV>
              </wp:anchor>
            </w:drawing>
          </mc:Choice>
          <mc:Fallback>
            <w:pict>
              <v:roundrect id="Rectangle à coins arrondis 636" o:spid="_x0000_s1476" style="position:absolute;margin-left:36pt;margin-top:86.15pt;width:405pt;height:32.95pt;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" fillcolor="maroon" stroked="f">
                <v:textbox>
                  <w:txbxContent>
                    <w:p w14:paraId="67972006" w14:textId="0AC8ED21" w:rsidR="001501D6" w:rsidRDefault="001501D6" w:rsidP="001113A1">
                      <w:pPr>
                        <w:jc w:val="center"/>
                      </w:pPr>
                      <w:r>
                        <w:t>Hypothèque ou loyer + Taxes + chauffage + 50 % frais de condo</w:t>
                      </w:r>
                    </w:p>
                  </w:txbxContent>
                </v:textbox>
                <w10:wrap type="through"/>
              </v:roundrect>
            </w:pict>
          </mc:Fallback>
        </mc:AlternateContent>
      </w:r>
      <w:r>
        <w:rPr>
          <w:noProof/>
          <w:lang w:eastAsia="fr-FR"/>
        </w:rPr>
        <mc:AlternateContent>
          <mc:Choice Requires="wps">
            <w:drawing>
              <wp:anchor distT="0" distB="0" distL="114300" distR="114300" simplePos="0" relativeHeight="252959744" behindDoc="0" locked="0" layoutInCell="1" allowOverlap="1" wp14:anchorId="7763B2B1" wp14:editId="7275ED86">
                <wp:simplePos x="0" y="0"/>
                <wp:positionH relativeFrom="column">
                  <wp:posOffset>457200</wp:posOffset>
                </wp:positionH>
                <wp:positionV relativeFrom="paragraph">
                  <wp:posOffset>1665605</wp:posOffset>
                </wp:positionV>
                <wp:extent cx="5143500" cy="0"/>
                <wp:effectExtent l="0" t="0" r="12700" b="25400"/>
                <wp:wrapNone/>
                <wp:docPr id="637" name="Connecteur droit 637"/>
                <wp:cNvGraphicFramePr/>
                <a:graphic xmlns:a="http://schemas.openxmlformats.org/drawingml/2006/main">
                  <a:graphicData uri="http://schemas.microsoft.com/office/word/2010/wordprocessingShape">
                    <wps:wsp>
                      <wps:cNvCnPr/>
                      <wps:spPr>
                        <a:xfrm>
                          <a:off x="0" y="0"/>
                          <a:ext cx="5143500" cy="0"/>
                        </a:xfrm>
                        <a:prstGeom prst="line">
                          <a:avLst/>
                        </a:prstGeom>
                        <a:ln w="28575" cmpd="sng">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637" o:spid="_x0000_s1026" style="position:absolute;z-index:2529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31.15pt" to="441pt,131.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" strokecolor="black [3213]" strokeweight="2.25pt"/>
            </w:pict>
          </mc:Fallback>
        </mc:AlternateContent>
      </w:r>
      <w:r>
        <w:rPr>
          <w:noProof/>
          <w:lang w:eastAsia="fr-FR"/>
        </w:rPr>
        <mc:AlternateContent>
          <mc:Choice Requires="wps">
            <w:drawing>
              <wp:anchor distT="0" distB="0" distL="114300" distR="114300" simplePos="0" relativeHeight="252953600" behindDoc="0" locked="0" layoutInCell="1" allowOverlap="1" wp14:anchorId="7CC0E9A9" wp14:editId="30095E5D">
                <wp:simplePos x="0" y="0"/>
                <wp:positionH relativeFrom="column">
                  <wp:posOffset>6172200</wp:posOffset>
                </wp:positionH>
                <wp:positionV relativeFrom="paragraph">
                  <wp:posOffset>179705</wp:posOffset>
                </wp:positionV>
                <wp:extent cx="2400300" cy="457200"/>
                <wp:effectExtent l="50800" t="76200" r="63500" b="76200"/>
                <wp:wrapThrough wrapText="bothSides">
                  <wp:wrapPolygon edited="0">
                    <wp:start x="-457" y="-3600"/>
                    <wp:lineTo x="-457" y="24000"/>
                    <wp:lineTo x="21943" y="24000"/>
                    <wp:lineTo x="21714" y="-3600"/>
                    <wp:lineTo x="-457" y="-3600"/>
                  </wp:wrapPolygon>
                </wp:wrapThrough>
                <wp:docPr id="634" name="Rectangle à coins arrondis 634"/>
                <wp:cNvGraphicFramePr/>
                <a:graphic xmlns:a="http://schemas.openxmlformats.org/drawingml/2006/main">
                  <a:graphicData uri="http://schemas.microsoft.com/office/word/2010/wordprocessingShape">
                    <wps:wsp>
                      <wps:cNvSpPr/>
                      <wps:spPr>
                        <a:xfrm>
                          <a:off x="0" y="0"/>
                          <a:ext cx="2400300" cy="457200"/>
                        </a:xfrm>
                        <a:prstGeom prst="roundRect">
                          <a:avLst/>
                        </a:prstGeom>
                        <a:solidFill>
                          <a:schemeClr val="accent4">
                            <a:lumMod val="75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55ABF1D" w14:textId="1F81B650" w:rsidR="00573C95" w:rsidRDefault="00573C95" w:rsidP="00A63DD5">
                            <w:pPr>
                              <w:jc w:val="center"/>
                            </w:pPr>
                            <w:r>
                              <w:t>Seuil du secteur financier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34" o:spid="_x0000_s1477" style="position:absolute;margin-left:486pt;margin-top:14.15pt;width:189pt;height:36pt;z-index:2529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" fillcolor="#6b6e4b [2407]">
                <v:textbox>
                  <w:txbxContent>
                    <w:p w14:paraId="255ABF1D" w14:textId="1F81B650" w:rsidR="001501D6" w:rsidRDefault="001501D6" w:rsidP="00A63DD5">
                      <w:pPr>
                        <w:jc w:val="center"/>
                      </w:pPr>
                      <w:r>
                        <w:t>Seuil du secteur financier</w:t>
                      </w:r>
                    </w:p>
                  </w:txbxContent>
                </v:textbox>
                <w10:wrap type="through"/>
              </v:roundrect>
            </w:pict>
          </mc:Fallback>
        </mc:AlternateContent>
      </w:r>
      <w:r>
        <w:rPr>
          <w:noProof/>
          <w:lang w:eastAsia="fr-FR"/>
        </w:rPr>
        <mc:AlternateContent>
          <mc:Choice Requires="wps">
            <w:drawing>
              <wp:anchor distT="0" distB="0" distL="114300" distR="114300" simplePos="0" relativeHeight="252963840" behindDoc="0" locked="0" layoutInCell="1" allowOverlap="1" wp14:anchorId="20827CCD" wp14:editId="201DBDDC">
                <wp:simplePos x="0" y="0"/>
                <wp:positionH relativeFrom="column">
                  <wp:posOffset>7086600</wp:posOffset>
                </wp:positionH>
                <wp:positionV relativeFrom="paragraph">
                  <wp:posOffset>2351405</wp:posOffset>
                </wp:positionV>
                <wp:extent cx="480060" cy="865505"/>
                <wp:effectExtent l="76200" t="76200" r="78740" b="74295"/>
                <wp:wrapThrough wrapText="bothSides">
                  <wp:wrapPolygon edited="0">
                    <wp:start x="-3429" y="-1902"/>
                    <wp:lineTo x="-3429" y="22820"/>
                    <wp:lineTo x="24000" y="22820"/>
                    <wp:lineTo x="24000" y="-1902"/>
                    <wp:lineTo x="-3429" y="-1902"/>
                  </wp:wrapPolygon>
                </wp:wrapThrough>
                <wp:docPr id="658" name="Rectangle 658"/>
                <wp:cNvGraphicFramePr/>
                <a:graphic xmlns:a="http://schemas.openxmlformats.org/drawingml/2006/main">
                  <a:graphicData uri="http://schemas.microsoft.com/office/word/2010/wordprocessingShape">
                    <wps:wsp>
                      <wps:cNvSpPr/>
                      <wps:spPr>
                        <a:xfrm>
                          <a:off x="0" y="0"/>
                          <a:ext cx="480060" cy="865505"/>
                        </a:xfrm>
                        <a:prstGeom prst="rect">
                          <a:avLst/>
                        </a:prstGeom>
                        <a:solidFill>
                          <a:srgbClr val="008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id="Rectangle 658" o:spid="_x0000_s1026" style="position:absolute;margin-left:558pt;margin-top:185.15pt;width:37.8pt;height:68.15pt;z-index:2529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" fillcolor="green">
                <w10:wrap type="through"/>
              </v:rect>
            </w:pict>
          </mc:Fallback>
        </mc:AlternateContent>
      </w:r>
      <w:r>
        <w:rPr>
          <w:noProof/>
          <w:lang w:eastAsia="fr-FR"/>
        </w:rPr>
        <mc:AlternateContent>
          <mc:Choice Requires="wps">
            <w:drawing>
              <wp:anchor distT="0" distB="0" distL="114300" distR="114300" simplePos="0" relativeHeight="252965888" behindDoc="0" locked="0" layoutInCell="1" allowOverlap="1" wp14:anchorId="62641AAA" wp14:editId="5F2B6DBC">
                <wp:simplePos x="0" y="0"/>
                <wp:positionH relativeFrom="column">
                  <wp:posOffset>7086600</wp:posOffset>
                </wp:positionH>
                <wp:positionV relativeFrom="paragraph">
                  <wp:posOffset>2008505</wp:posOffset>
                </wp:positionV>
                <wp:extent cx="480060" cy="408305"/>
                <wp:effectExtent l="76200" t="76200" r="78740" b="74295"/>
                <wp:wrapThrough wrapText="bothSides">
                  <wp:wrapPolygon edited="0">
                    <wp:start x="-3429" y="-4031"/>
                    <wp:lineTo x="-3429" y="24187"/>
                    <wp:lineTo x="24000" y="24187"/>
                    <wp:lineTo x="24000" y="-4031"/>
                    <wp:lineTo x="-3429" y="-4031"/>
                  </wp:wrapPolygon>
                </wp:wrapThrough>
                <wp:docPr id="664" name="Rectangle 664"/>
                <wp:cNvGraphicFramePr/>
                <a:graphic xmlns:a="http://schemas.openxmlformats.org/drawingml/2006/main">
                  <a:graphicData uri="http://schemas.microsoft.com/office/word/2010/wordprocessingShape">
                    <wps:wsp>
                      <wps:cNvSpPr/>
                      <wps:spPr>
                        <a:xfrm>
                          <a:off x="0" y="0"/>
                          <a:ext cx="480060" cy="408305"/>
                        </a:xfrm>
                        <a:prstGeom prst="rect">
                          <a:avLst/>
                        </a:prstGeom>
                        <a:solidFill>
                          <a:srgbClr val="FFFF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ECB50BB" w14:textId="77777777" w:rsidR="00573C95" w:rsidRDefault="00573C95" w:rsidP="006D1D96">
                            <w:pPr>
                              <w:jc w:val="center"/>
                            </w:pPr>
                          </w:p>
                        </w:txbxContent>
                      </wps:txbx>
                      <wps:bodyPr/>
                    </wps:wsp>
                  </a:graphicData>
                </a:graphic>
                <wp14:sizeRelH relativeFrom="margin">
                  <wp14:pctWidth>0</wp14:pctWidth>
                </wp14:sizeRelH>
                <wp14:sizeRelV relativeFrom="margin">
                  <wp14:pctHeight>0</wp14:pctHeight>
                </wp14:sizeRelV>
              </wp:anchor>
            </w:drawing>
          </mc:Choice>
          <mc:Fallback>
            <w:pict>
              <v:rect id="Rectangle 664" o:spid="_x0000_s1478" style="position:absolute;margin-left:558pt;margin-top:158.15pt;width:37.8pt;height:32.15pt;z-index:2529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" fillcolor="yellow">
                <v:textbox>
                  <w:txbxContent>
                    <w:p w14:paraId="5ECB50BB" w14:textId="77777777" w:rsidR="001501D6" w:rsidRDefault="001501D6" w:rsidP="006D1D96">
                      <w:pPr>
                        <w:jc w:val="center"/>
                      </w:pPr>
                    </w:p>
                  </w:txbxContent>
                </v:textbox>
                <w10:wrap type="through"/>
              </v:rect>
            </w:pict>
          </mc:Fallback>
        </mc:AlternateContent>
      </w:r>
      <w:r>
        <w:rPr>
          <w:noProof/>
          <w:lang w:eastAsia="fr-FR"/>
        </w:rPr>
        <mc:AlternateContent>
          <mc:Choice Requires="wps">
            <w:drawing>
              <wp:anchor distT="0" distB="0" distL="114300" distR="114300" simplePos="0" relativeHeight="252967936" behindDoc="0" locked="0" layoutInCell="1" allowOverlap="1" wp14:anchorId="219C4158" wp14:editId="7912BEB7">
                <wp:simplePos x="0" y="0"/>
                <wp:positionH relativeFrom="column">
                  <wp:posOffset>7086600</wp:posOffset>
                </wp:positionH>
                <wp:positionV relativeFrom="paragraph">
                  <wp:posOffset>979805</wp:posOffset>
                </wp:positionV>
                <wp:extent cx="480060" cy="1094105"/>
                <wp:effectExtent l="76200" t="76200" r="78740" b="74295"/>
                <wp:wrapThrough wrapText="bothSides">
                  <wp:wrapPolygon edited="0">
                    <wp:start x="-3429" y="-1504"/>
                    <wp:lineTo x="-3429" y="22565"/>
                    <wp:lineTo x="24000" y="22565"/>
                    <wp:lineTo x="24000" y="-1504"/>
                    <wp:lineTo x="-3429" y="-1504"/>
                  </wp:wrapPolygon>
                </wp:wrapThrough>
                <wp:docPr id="665" name="Rectangle 665"/>
                <wp:cNvGraphicFramePr/>
                <a:graphic xmlns:a="http://schemas.openxmlformats.org/drawingml/2006/main">
                  <a:graphicData uri="http://schemas.microsoft.com/office/word/2010/wordprocessingShape">
                    <wps:wsp>
                      <wps:cNvSpPr/>
                      <wps:spPr>
                        <a:xfrm>
                          <a:off x="0" y="0"/>
                          <a:ext cx="480060" cy="1094105"/>
                        </a:xfrm>
                        <a:prstGeom prst="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id="Rectangle 665" o:spid="_x0000_s1026" style="position:absolute;margin-left:558pt;margin-top:77.15pt;width:37.8pt;height:86.15pt;z-index:2529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" fillcolor="maroon">
                <w10:wrap type="through"/>
              </v:rect>
            </w:pict>
          </mc:Fallback>
        </mc:AlternateContent>
      </w:r>
      <w:r w:rsidR="006D1D96">
        <w:rPr>
          <w:noProof/>
          <w:lang w:eastAsia="fr-FR"/>
        </w:rPr>
        <mc:AlternateContent>
          <mc:Choice Requires="wps">
            <w:drawing>
              <wp:anchor distT="0" distB="0" distL="114300" distR="114300" simplePos="0" relativeHeight="252969984" behindDoc="0" locked="0" layoutInCell="1" allowOverlap="1" wp14:anchorId="5D5DBD7A" wp14:editId="73DCCF89">
                <wp:simplePos x="0" y="0"/>
                <wp:positionH relativeFrom="column">
                  <wp:posOffset>7429500</wp:posOffset>
                </wp:positionH>
                <wp:positionV relativeFrom="paragraph">
                  <wp:posOffset>1779905</wp:posOffset>
                </wp:positionV>
                <wp:extent cx="1450975" cy="571500"/>
                <wp:effectExtent l="76200" t="76200" r="73025" b="63500"/>
                <wp:wrapThrough wrapText="bothSides">
                  <wp:wrapPolygon edited="0">
                    <wp:start x="2647" y="-2880"/>
                    <wp:lineTo x="-1134" y="-960"/>
                    <wp:lineTo x="-1134" y="10560"/>
                    <wp:lineTo x="2269" y="21120"/>
                    <wp:lineTo x="2647" y="23040"/>
                    <wp:lineTo x="4916" y="23040"/>
                    <wp:lineTo x="5294" y="21120"/>
                    <wp:lineTo x="22309" y="14400"/>
                    <wp:lineTo x="22309" y="1920"/>
                    <wp:lineTo x="4916" y="-2880"/>
                    <wp:lineTo x="2647" y="-2880"/>
                  </wp:wrapPolygon>
                </wp:wrapThrough>
                <wp:docPr id="666" name="Flèche vers la gauche 666"/>
                <wp:cNvGraphicFramePr/>
                <a:graphic xmlns:a="http://schemas.openxmlformats.org/drawingml/2006/main">
                  <a:graphicData uri="http://schemas.microsoft.com/office/word/2010/wordprocessingShape">
                    <wps:wsp>
                      <wps:cNvSpPr/>
                      <wps:spPr>
                        <a:xfrm>
                          <a:off x="0" y="0"/>
                          <a:ext cx="1450975" cy="571500"/>
                        </a:xfrm>
                        <a:prstGeom prst="leftArrow">
                          <a:avLst/>
                        </a:prstGeom>
                        <a:solidFill>
                          <a:schemeClr val="accent4">
                            <a:lumMod val="40000"/>
                            <a:lumOff val="60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3F184E1" w14:textId="40DD3EAE" w:rsidR="00573C95" w:rsidRPr="00E37171" w:rsidRDefault="00573C95" w:rsidP="006D1D96">
                            <w:pPr>
                              <w:jc w:val="center"/>
                              <w:rPr>
                                <w:color w:val="000000"/>
                              </w:rPr>
                            </w:pPr>
                            <w:r w:rsidRPr="00E37171">
                              <w:rPr>
                                <w:color w:val="000000"/>
                              </w:rPr>
                              <w:t>32 %</w:t>
                            </w:r>
                          </w:p>
                        </w:txbxContent>
                      </wps:txbx>
                      <wps:bodyPr>
                        <a:noAutofit/>
                      </wps:bodyPr>
                    </wps:wsp>
                  </a:graphicData>
                </a:graphic>
                <wp14:sizeRelH relativeFrom="margin">
                  <wp14:pctWidth>0</wp14:pctWidth>
                </wp14:sizeRelH>
                <wp14:sizeRelV relativeFrom="margin">
                  <wp14:pctHeight>0</wp14:pctHeight>
                </wp14:sizeRelV>
              </wp:anchor>
            </w:drawing>
          </mc:Choice>
          <mc:Fallback>
            <w:pict>
              <v:shape id="Flèche vers la gauche 666" o:spid="_x0000_s1479" type="#_x0000_t66" style="position:absolute;margin-left:585pt;margin-top:140.15pt;width:114.25pt;height:45pt;z-index:2529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" adj="4254" fillcolor="#d2d4c0 [1303]">
                <v:textbox>
                  <w:txbxContent>
                    <w:p w14:paraId="03F184E1" w14:textId="40DD3EAE" w:rsidR="001501D6" w:rsidRPr="00E37171" w:rsidRDefault="001501D6" w:rsidP="006D1D96">
                      <w:pPr>
                        <w:jc w:val="center"/>
                        <w:rPr>
                          <w:color w:val="000000"/>
                        </w:rPr>
                      </w:pPr>
                      <w:r w:rsidRPr="00E37171">
                        <w:rPr>
                          <w:color w:val="000000"/>
                        </w:rPr>
                        <w:t>32 %</w:t>
                      </w:r>
                    </w:p>
                  </w:txbxContent>
                </v:textbox>
                <w10:wrap type="through"/>
              </v:shape>
            </w:pict>
          </mc:Fallback>
        </mc:AlternateContent>
      </w:r>
      <w:r w:rsidR="00A63DD5">
        <w:br w:type="page"/>
      </w:r>
    </w:p>
    <w:p w14:paraId="112086A8" w14:textId="0F7E716B" w:rsidR="00EE21D6" w:rsidRDefault="005733A3" w:rsidP="00EE21D6">
      <w:pPr>
        <w:jc w:val="both"/>
      </w:pPr>
      <w:r>
        <w:lastRenderedPageBreak/>
        <w:t>Afin de vous familiariser avec le concept de l'amortissement brut de la dette</w:t>
      </w:r>
      <w:r w:rsidR="00106CB0">
        <w:t xml:space="preserve"> (ABD)</w:t>
      </w:r>
      <w:r>
        <w:t>, nous vous invitons à calculer le ratio que s'applique à votre situation</w:t>
      </w:r>
      <w:r w:rsidR="00293218">
        <w:t xml:space="preserve"> en  utilisant la calculatrice</w:t>
      </w:r>
      <w:r w:rsidR="00EE21D6">
        <w:t xml:space="preserve"> mise à votre disposition.</w:t>
      </w:r>
      <w:r w:rsidR="0086588C">
        <w:t xml:space="preserve"> Pour y arriver</w:t>
      </w:r>
      <w:r w:rsidR="0057365F">
        <w:t>,</w:t>
      </w:r>
      <w:r w:rsidR="0086588C">
        <w:t xml:space="preserve"> vous devez franchir chacune des étapes qui sont prévues par la calculatrice.</w:t>
      </w:r>
      <w:r w:rsidR="0017793A">
        <w:t xml:space="preserve"> </w:t>
      </w:r>
      <w:r w:rsidR="0086588C">
        <w:t>Les déboursés qui sont mis en relation avec le revenu brut sont mensuels.</w:t>
      </w:r>
    </w:p>
    <w:p w14:paraId="07185D36" w14:textId="5CAEA760" w:rsidR="00EE21D6" w:rsidRDefault="00EE21D6"/>
    <w:p w14:paraId="4CBC9E22" w14:textId="3357FE6B" w:rsidR="00EE21D6" w:rsidRDefault="0086588C">
      <w:r>
        <w:rPr>
          <w:noProof/>
          <w:lang w:eastAsia="fr-FR"/>
        </w:rPr>
        <w:drawing>
          <wp:anchor distT="0" distB="0" distL="114300" distR="114300" simplePos="0" relativeHeight="252982272" behindDoc="0" locked="0" layoutInCell="1" allowOverlap="1" wp14:anchorId="7DFDF910" wp14:editId="6528513A">
            <wp:simplePos x="0" y="0"/>
            <wp:positionH relativeFrom="column">
              <wp:posOffset>1943100</wp:posOffset>
            </wp:positionH>
            <wp:positionV relativeFrom="paragraph">
              <wp:posOffset>10795</wp:posOffset>
            </wp:positionV>
            <wp:extent cx="508000" cy="685800"/>
            <wp:effectExtent l="0" t="0" r="0" b="0"/>
            <wp:wrapNone/>
            <wp:docPr id="698" name="Image 698" descr="Macintosh HD:Users:marcbachand:Desktop:Capture d’écran 2015-06-08 à 17.18.41.png">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954DF3E" w14:textId="77777777" w:rsidR="002F3C5F" w:rsidRDefault="00293218" w:rsidP="002F3C5F">
      <w:pPr>
        <w:rPr>
          <w:color w:val="FF6700" w:themeColor="accent3"/>
        </w:rPr>
      </w:pPr>
      <w:r>
        <w:t xml:space="preserve"> </w:t>
      </w:r>
      <w:hyperlink r:id="rId152" w:anchor=".VlS__IQgAdU" w:history="1">
        <w:r w:rsidR="0086588C" w:rsidRPr="0086588C">
          <w:rPr>
            <w:rStyle w:val="Lienhypertexte"/>
            <w:color w:val="FF6700" w:themeColor="accent3"/>
          </w:rPr>
          <w:t>Calculatrice de l'ABD</w:t>
        </w:r>
      </w:hyperlink>
    </w:p>
    <w:p w14:paraId="2517F6C0" w14:textId="77777777" w:rsidR="002F3C5F" w:rsidRDefault="002F3C5F" w:rsidP="002F3C5F">
      <w:pPr>
        <w:rPr>
          <w:color w:val="FF6700" w:themeColor="accent3"/>
        </w:rPr>
      </w:pPr>
    </w:p>
    <w:p w14:paraId="2361DBA6" w14:textId="77777777" w:rsidR="002F3C5F" w:rsidRDefault="002F3C5F" w:rsidP="002F3C5F">
      <w:pPr>
        <w:rPr>
          <w:color w:val="FF6700" w:themeColor="accent3"/>
        </w:rPr>
      </w:pPr>
    </w:p>
    <w:p w14:paraId="7C34361C" w14:textId="77777777" w:rsidR="002F3C5F" w:rsidRDefault="002F3C5F" w:rsidP="002F3C5F">
      <w:pPr>
        <w:rPr>
          <w:color w:val="FF6700" w:themeColor="accent3"/>
        </w:rPr>
      </w:pPr>
    </w:p>
    <w:p w14:paraId="7A0CC2F5" w14:textId="3BB4506E" w:rsidR="002F3C5F" w:rsidRPr="0017793A" w:rsidRDefault="0017793A" w:rsidP="0017793A">
      <w:pPr>
        <w:jc w:val="both"/>
      </w:pPr>
      <w:r w:rsidRPr="0017793A">
        <w:t>Le détail des ratios de l'amortissement de la dette ser</w:t>
      </w:r>
      <w:r w:rsidR="0057365F">
        <w:t>a</w:t>
      </w:r>
      <w:r w:rsidRPr="0017793A">
        <w:t xml:space="preserve"> disponible sous l'onglet </w:t>
      </w:r>
      <w:r>
        <w:t>"</w:t>
      </w:r>
      <w:r w:rsidRPr="0017793A">
        <w:rPr>
          <w:u w:val="single"/>
        </w:rPr>
        <w:t>Capacité de payer</w:t>
      </w:r>
      <w:r>
        <w:rPr>
          <w:u w:val="single"/>
        </w:rPr>
        <w:t>"</w:t>
      </w:r>
      <w:r w:rsidRPr="0017793A">
        <w:t xml:space="preserve">, à la rubrique </w:t>
      </w:r>
      <w:r>
        <w:t>"</w:t>
      </w:r>
      <w:r w:rsidRPr="0017793A">
        <w:rPr>
          <w:u w:val="single"/>
        </w:rPr>
        <w:t>Rapports d'amortissement de la dette</w:t>
      </w:r>
      <w:r>
        <w:rPr>
          <w:u w:val="single"/>
        </w:rPr>
        <w:t>"</w:t>
      </w:r>
      <w:r w:rsidRPr="0017793A">
        <w:t xml:space="preserve">, en cliquant sur </w:t>
      </w:r>
      <w:r>
        <w:t>"</w:t>
      </w:r>
      <w:r w:rsidRPr="0017793A">
        <w:rPr>
          <w:u w:val="single"/>
        </w:rPr>
        <w:t>Apprenez-en davantage sur le rapport d’amortissement brut de la dette et le rapport d’amortissement total de la dette ici</w:t>
      </w:r>
      <w:r>
        <w:rPr>
          <w:u w:val="single"/>
        </w:rPr>
        <w:t>"</w:t>
      </w:r>
      <w:r w:rsidRPr="0017793A">
        <w:t>.</w:t>
      </w:r>
    </w:p>
    <w:p w14:paraId="56A03BB2" w14:textId="77777777" w:rsidR="002F3C5F" w:rsidRDefault="002F3C5F" w:rsidP="0017793A">
      <w:pPr>
        <w:jc w:val="both"/>
      </w:pPr>
    </w:p>
    <w:p w14:paraId="5ABF4BA9" w14:textId="77777777" w:rsidR="00DA44DA" w:rsidRPr="0017793A" w:rsidRDefault="00DA44DA" w:rsidP="0017793A">
      <w:pPr>
        <w:jc w:val="both"/>
      </w:pPr>
    </w:p>
    <w:p w14:paraId="6CD36816" w14:textId="68050EDC" w:rsidR="00AA2A4A" w:rsidRPr="002F3C5F" w:rsidRDefault="00AA2A4A" w:rsidP="006C34CF">
      <w:pPr>
        <w:pStyle w:val="Paragraphedeliste"/>
        <w:numPr>
          <w:ilvl w:val="0"/>
          <w:numId w:val="83"/>
        </w:numPr>
        <w:rPr>
          <w:color w:val="FF6700" w:themeColor="accent3"/>
        </w:rPr>
      </w:pPr>
      <w:r w:rsidRPr="002F3C5F">
        <w:rPr>
          <w:color w:val="FF6700" w:themeColor="accent3"/>
        </w:rPr>
        <w:t>Le ratio de l'amortissement total de la dette</w:t>
      </w:r>
      <w:r w:rsidR="00986652" w:rsidRPr="002F3C5F">
        <w:rPr>
          <w:color w:val="FF6700" w:themeColor="accent3"/>
        </w:rPr>
        <w:t xml:space="preserve"> (ATD)</w:t>
      </w:r>
    </w:p>
    <w:p w14:paraId="58372DAB" w14:textId="77777777" w:rsidR="00AA2A4A" w:rsidRDefault="00AA2A4A" w:rsidP="00AA2A4A">
      <w:pPr>
        <w:ind w:left="360"/>
        <w:jc w:val="both"/>
        <w:rPr>
          <w:color w:val="FF6700" w:themeColor="accent3"/>
        </w:rPr>
      </w:pPr>
    </w:p>
    <w:p w14:paraId="5B1A0E60" w14:textId="56923B80" w:rsidR="00986652" w:rsidRPr="00AA2A4A" w:rsidRDefault="00986652" w:rsidP="00AA2A4A">
      <w:pPr>
        <w:ind w:left="360"/>
        <w:jc w:val="both"/>
        <w:rPr>
          <w:color w:val="FF6700" w:themeColor="accent3"/>
        </w:rPr>
      </w:pPr>
      <w:r>
        <w:rPr>
          <w:noProof/>
          <w:lang w:eastAsia="fr-FR"/>
        </w:rPr>
        <mc:AlternateContent>
          <mc:Choice Requires="wps">
            <w:drawing>
              <wp:anchor distT="0" distB="0" distL="114300" distR="114300" simplePos="0" relativeHeight="252980224" behindDoc="0" locked="0" layoutInCell="1" allowOverlap="1" wp14:anchorId="73FA293E" wp14:editId="1D06E6F5">
                <wp:simplePos x="0" y="0"/>
                <wp:positionH relativeFrom="column">
                  <wp:posOffset>7315200</wp:posOffset>
                </wp:positionH>
                <wp:positionV relativeFrom="paragraph">
                  <wp:posOffset>1683385</wp:posOffset>
                </wp:positionV>
                <wp:extent cx="1450975" cy="571500"/>
                <wp:effectExtent l="76200" t="76200" r="73025" b="63500"/>
                <wp:wrapThrough wrapText="bothSides">
                  <wp:wrapPolygon edited="0">
                    <wp:start x="2647" y="-2880"/>
                    <wp:lineTo x="-1134" y="-960"/>
                    <wp:lineTo x="-1134" y="10560"/>
                    <wp:lineTo x="2269" y="21120"/>
                    <wp:lineTo x="2647" y="23040"/>
                    <wp:lineTo x="4916" y="23040"/>
                    <wp:lineTo x="5294" y="21120"/>
                    <wp:lineTo x="22309" y="14400"/>
                    <wp:lineTo x="22309" y="1920"/>
                    <wp:lineTo x="4916" y="-2880"/>
                    <wp:lineTo x="2647" y="-2880"/>
                  </wp:wrapPolygon>
                </wp:wrapThrough>
                <wp:docPr id="688" name="Flèche vers la gauche 688"/>
                <wp:cNvGraphicFramePr/>
                <a:graphic xmlns:a="http://schemas.openxmlformats.org/drawingml/2006/main">
                  <a:graphicData uri="http://schemas.microsoft.com/office/word/2010/wordprocessingShape">
                    <wps:wsp>
                      <wps:cNvSpPr/>
                      <wps:spPr>
                        <a:xfrm>
                          <a:off x="0" y="0"/>
                          <a:ext cx="1450975" cy="571500"/>
                        </a:xfrm>
                        <a:prstGeom prst="leftArrow">
                          <a:avLst/>
                        </a:prstGeom>
                        <a:solidFill>
                          <a:schemeClr val="accent4">
                            <a:lumMod val="40000"/>
                            <a:lumOff val="60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2677FC1" w14:textId="304EA1D7" w:rsidR="00573C95" w:rsidRPr="00E37171" w:rsidRDefault="00573C95" w:rsidP="00986652">
                            <w:pPr>
                              <w:jc w:val="center"/>
                              <w:rPr>
                                <w:color w:val="000000"/>
                              </w:rPr>
                            </w:pPr>
                            <w:r>
                              <w:rPr>
                                <w:color w:val="000000"/>
                              </w:rPr>
                              <w:t>40</w:t>
                            </w:r>
                            <w:r w:rsidRPr="00E37171">
                              <w:rPr>
                                <w:color w:val="000000"/>
                              </w:rPr>
                              <w:t xml:space="preserve"> %</w:t>
                            </w:r>
                          </w:p>
                        </w:txbxContent>
                      </wps:txbx>
                      <wps:bodyPr>
                        <a:noAutofit/>
                      </wps:bodyPr>
                    </wps:wsp>
                  </a:graphicData>
                </a:graphic>
                <wp14:sizeRelH relativeFrom="margin">
                  <wp14:pctWidth>0</wp14:pctWidth>
                </wp14:sizeRelH>
                <wp14:sizeRelV relativeFrom="margin">
                  <wp14:pctHeight>0</wp14:pctHeight>
                </wp14:sizeRelV>
              </wp:anchor>
            </w:drawing>
          </mc:Choice>
          <mc:Fallback>
            <w:pict>
              <v:shape id="Flèche vers la gauche 688" o:spid="_x0000_s1480" type="#_x0000_t66" style="position:absolute;left:0;text-align:left;margin-left:8in;margin-top:132.55pt;width:114.25pt;height:45pt;z-index:2529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" adj="4254" fillcolor="#d2d4c0 [1303]">
                <v:textbox>
                  <w:txbxContent>
                    <w:p w14:paraId="62677FC1" w14:textId="304EA1D7" w:rsidR="001501D6" w:rsidRPr="00E37171" w:rsidRDefault="001501D6" w:rsidP="00986652">
                      <w:pPr>
                        <w:jc w:val="center"/>
                        <w:rPr>
                          <w:color w:val="000000"/>
                        </w:rPr>
                      </w:pPr>
                      <w:r>
                        <w:rPr>
                          <w:color w:val="000000"/>
                        </w:rPr>
                        <w:t>40</w:t>
                      </w:r>
                      <w:r w:rsidRPr="00E37171">
                        <w:rPr>
                          <w:color w:val="000000"/>
                        </w:rPr>
                        <w:t xml:space="preserve"> %</w:t>
                      </w:r>
                    </w:p>
                  </w:txbxContent>
                </v:textbox>
                <w10:wrap type="through"/>
              </v:shape>
            </w:pict>
          </mc:Fallback>
        </mc:AlternateContent>
      </w:r>
      <w:r>
        <w:rPr>
          <w:noProof/>
          <w:lang w:eastAsia="fr-FR"/>
        </w:rPr>
        <mc:AlternateContent>
          <mc:Choice Requires="wps">
            <w:drawing>
              <wp:anchor distT="0" distB="0" distL="114300" distR="114300" simplePos="0" relativeHeight="252979200" behindDoc="0" locked="0" layoutInCell="1" allowOverlap="1" wp14:anchorId="2185E068" wp14:editId="65E4FE91">
                <wp:simplePos x="0" y="0"/>
                <wp:positionH relativeFrom="column">
                  <wp:posOffset>6972300</wp:posOffset>
                </wp:positionH>
                <wp:positionV relativeFrom="paragraph">
                  <wp:posOffset>883285</wp:posOffset>
                </wp:positionV>
                <wp:extent cx="480060" cy="1094105"/>
                <wp:effectExtent l="76200" t="76200" r="78740" b="74295"/>
                <wp:wrapThrough wrapText="bothSides">
                  <wp:wrapPolygon edited="0">
                    <wp:start x="-3429" y="-1504"/>
                    <wp:lineTo x="-3429" y="22565"/>
                    <wp:lineTo x="24000" y="22565"/>
                    <wp:lineTo x="24000" y="-1504"/>
                    <wp:lineTo x="-3429" y="-1504"/>
                  </wp:wrapPolygon>
                </wp:wrapThrough>
                <wp:docPr id="687" name="Rectangle 687"/>
                <wp:cNvGraphicFramePr/>
                <a:graphic xmlns:a="http://schemas.openxmlformats.org/drawingml/2006/main">
                  <a:graphicData uri="http://schemas.microsoft.com/office/word/2010/wordprocessingShape">
                    <wps:wsp>
                      <wps:cNvSpPr/>
                      <wps:spPr>
                        <a:xfrm>
                          <a:off x="0" y="0"/>
                          <a:ext cx="480060" cy="1094105"/>
                        </a:xfrm>
                        <a:prstGeom prst="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id="Rectangle 687" o:spid="_x0000_s1026" style="position:absolute;margin-left:549pt;margin-top:69.55pt;width:37.8pt;height:86.15pt;z-index:2529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" fillcolor="maroon">
                <w10:wrap type="through"/>
              </v:rect>
            </w:pict>
          </mc:Fallback>
        </mc:AlternateContent>
      </w:r>
      <w:r>
        <w:rPr>
          <w:noProof/>
          <w:lang w:eastAsia="fr-FR"/>
        </w:rPr>
        <mc:AlternateContent>
          <mc:Choice Requires="wps">
            <w:drawing>
              <wp:anchor distT="0" distB="0" distL="114300" distR="114300" simplePos="0" relativeHeight="252978176" behindDoc="0" locked="0" layoutInCell="1" allowOverlap="1" wp14:anchorId="555AABD3" wp14:editId="70ED97C9">
                <wp:simplePos x="0" y="0"/>
                <wp:positionH relativeFrom="column">
                  <wp:posOffset>6972300</wp:posOffset>
                </wp:positionH>
                <wp:positionV relativeFrom="paragraph">
                  <wp:posOffset>1911985</wp:posOffset>
                </wp:positionV>
                <wp:extent cx="480060" cy="408305"/>
                <wp:effectExtent l="76200" t="76200" r="78740" b="74295"/>
                <wp:wrapThrough wrapText="bothSides">
                  <wp:wrapPolygon edited="0">
                    <wp:start x="-3429" y="-4031"/>
                    <wp:lineTo x="-3429" y="24187"/>
                    <wp:lineTo x="24000" y="24187"/>
                    <wp:lineTo x="24000" y="-4031"/>
                    <wp:lineTo x="-3429" y="-4031"/>
                  </wp:wrapPolygon>
                </wp:wrapThrough>
                <wp:docPr id="686" name="Rectangle 686"/>
                <wp:cNvGraphicFramePr/>
                <a:graphic xmlns:a="http://schemas.openxmlformats.org/drawingml/2006/main">
                  <a:graphicData uri="http://schemas.microsoft.com/office/word/2010/wordprocessingShape">
                    <wps:wsp>
                      <wps:cNvSpPr/>
                      <wps:spPr>
                        <a:xfrm>
                          <a:off x="0" y="0"/>
                          <a:ext cx="480060" cy="408305"/>
                        </a:xfrm>
                        <a:prstGeom prst="rect">
                          <a:avLst/>
                        </a:prstGeom>
                        <a:solidFill>
                          <a:srgbClr val="FFFF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5C2C5EB" w14:textId="77777777" w:rsidR="00573C95" w:rsidRDefault="00573C95" w:rsidP="00986652">
                            <w:pPr>
                              <w:jc w:val="center"/>
                            </w:pPr>
                          </w:p>
                        </w:txbxContent>
                      </wps:txbx>
                      <wps:bodyPr/>
                    </wps:wsp>
                  </a:graphicData>
                </a:graphic>
                <wp14:sizeRelH relativeFrom="margin">
                  <wp14:pctWidth>0</wp14:pctWidth>
                </wp14:sizeRelH>
                <wp14:sizeRelV relativeFrom="margin">
                  <wp14:pctHeight>0</wp14:pctHeight>
                </wp14:sizeRelV>
              </wp:anchor>
            </w:drawing>
          </mc:Choice>
          <mc:Fallback>
            <w:pict>
              <v:rect id="Rectangle 686" o:spid="_x0000_s1481" style="position:absolute;left:0;text-align:left;margin-left:549pt;margin-top:150.55pt;width:37.8pt;height:32.15pt;z-index:25297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" fillcolor="yellow">
                <v:textbox>
                  <w:txbxContent>
                    <w:p w14:paraId="05C2C5EB" w14:textId="77777777" w:rsidR="001501D6" w:rsidRDefault="001501D6" w:rsidP="00986652">
                      <w:pPr>
                        <w:jc w:val="center"/>
                      </w:pPr>
                    </w:p>
                  </w:txbxContent>
                </v:textbox>
                <w10:wrap type="through"/>
              </v:rect>
            </w:pict>
          </mc:Fallback>
        </mc:AlternateContent>
      </w:r>
      <w:r>
        <w:rPr>
          <w:noProof/>
          <w:lang w:eastAsia="fr-FR"/>
        </w:rPr>
        <mc:AlternateContent>
          <mc:Choice Requires="wps">
            <w:drawing>
              <wp:anchor distT="0" distB="0" distL="114300" distR="114300" simplePos="0" relativeHeight="252977152" behindDoc="0" locked="0" layoutInCell="1" allowOverlap="1" wp14:anchorId="235203DE" wp14:editId="5FFFBC74">
                <wp:simplePos x="0" y="0"/>
                <wp:positionH relativeFrom="column">
                  <wp:posOffset>6972300</wp:posOffset>
                </wp:positionH>
                <wp:positionV relativeFrom="paragraph">
                  <wp:posOffset>2254885</wp:posOffset>
                </wp:positionV>
                <wp:extent cx="480060" cy="865505"/>
                <wp:effectExtent l="76200" t="76200" r="78740" b="74295"/>
                <wp:wrapThrough wrapText="bothSides">
                  <wp:wrapPolygon edited="0">
                    <wp:start x="-3429" y="-1902"/>
                    <wp:lineTo x="-3429" y="22820"/>
                    <wp:lineTo x="24000" y="22820"/>
                    <wp:lineTo x="24000" y="-1902"/>
                    <wp:lineTo x="-3429" y="-1902"/>
                  </wp:wrapPolygon>
                </wp:wrapThrough>
                <wp:docPr id="685" name="Rectangle 685"/>
                <wp:cNvGraphicFramePr/>
                <a:graphic xmlns:a="http://schemas.openxmlformats.org/drawingml/2006/main">
                  <a:graphicData uri="http://schemas.microsoft.com/office/word/2010/wordprocessingShape">
                    <wps:wsp>
                      <wps:cNvSpPr/>
                      <wps:spPr>
                        <a:xfrm>
                          <a:off x="0" y="0"/>
                          <a:ext cx="480060" cy="865505"/>
                        </a:xfrm>
                        <a:prstGeom prst="rect">
                          <a:avLst/>
                        </a:prstGeom>
                        <a:solidFill>
                          <a:srgbClr val="008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id="Rectangle 685" o:spid="_x0000_s1026" style="position:absolute;margin-left:549pt;margin-top:177.55pt;width:37.8pt;height:68.15pt;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" fillcolor="green">
                <w10:wrap type="through"/>
              </v:rect>
            </w:pict>
          </mc:Fallback>
        </mc:AlternateContent>
      </w:r>
      <w:r>
        <w:rPr>
          <w:noProof/>
          <w:lang w:eastAsia="fr-FR"/>
        </w:rPr>
        <mc:AlternateContent>
          <mc:Choice Requires="wps">
            <w:drawing>
              <wp:anchor distT="0" distB="0" distL="114300" distR="114300" simplePos="0" relativeHeight="252976128" behindDoc="0" locked="0" layoutInCell="1" allowOverlap="1" wp14:anchorId="2CA0F46A" wp14:editId="317E93FA">
                <wp:simplePos x="0" y="0"/>
                <wp:positionH relativeFrom="column">
                  <wp:posOffset>342900</wp:posOffset>
                </wp:positionH>
                <wp:positionV relativeFrom="paragraph">
                  <wp:posOffset>1683385</wp:posOffset>
                </wp:positionV>
                <wp:extent cx="5143500" cy="418465"/>
                <wp:effectExtent l="50800" t="76200" r="63500" b="64135"/>
                <wp:wrapThrough wrapText="bothSides">
                  <wp:wrapPolygon edited="0">
                    <wp:start x="-107" y="-3933"/>
                    <wp:lineTo x="-213" y="23599"/>
                    <wp:lineTo x="21760" y="23599"/>
                    <wp:lineTo x="21760" y="-3933"/>
                    <wp:lineTo x="-107" y="-3933"/>
                  </wp:wrapPolygon>
                </wp:wrapThrough>
                <wp:docPr id="684" name="Rectangle à coins arrondis 684"/>
                <wp:cNvGraphicFramePr/>
                <a:graphic xmlns:a="http://schemas.openxmlformats.org/drawingml/2006/main">
                  <a:graphicData uri="http://schemas.microsoft.com/office/word/2010/wordprocessingShape">
                    <wps:wsp>
                      <wps:cNvSpPr/>
                      <wps:spPr>
                        <a:xfrm>
                          <a:off x="0" y="0"/>
                          <a:ext cx="5143500" cy="418465"/>
                        </a:xfrm>
                        <a:prstGeom prst="roundRect">
                          <a:avLst/>
                        </a:prstGeom>
                        <a:solidFill>
                          <a:srgbClr val="008000"/>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32502C5" w14:textId="77777777" w:rsidR="00573C95" w:rsidRDefault="00573C95" w:rsidP="00986652">
                            <w:pPr>
                              <w:jc w:val="center"/>
                            </w:pPr>
                            <w:r>
                              <w:t>Revenu brut mensuel</w:t>
                            </w:r>
                          </w:p>
                        </w:txbxContent>
                      </wps:txbx>
                      <wps:bodyPr wrap="square"/>
                    </wps:wsp>
                  </a:graphicData>
                </a:graphic>
                <wp14:sizeRelH relativeFrom="margin">
                  <wp14:pctWidth>0</wp14:pctWidth>
                </wp14:sizeRelH>
                <wp14:sizeRelV relativeFrom="margin">
                  <wp14:pctHeight>0</wp14:pctHeight>
                </wp14:sizeRelV>
              </wp:anchor>
            </w:drawing>
          </mc:Choice>
          <mc:Fallback>
            <w:pict>
              <v:roundrect id="Rectangle à coins arrondis 684" o:spid="_x0000_s1482" style="position:absolute;left:0;text-align:left;margin-left:27pt;margin-top:132.55pt;width:405pt;height:32.95pt;z-index:2529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" fillcolor="green" stroked="f">
                <v:textbox>
                  <w:txbxContent>
                    <w:p w14:paraId="032502C5" w14:textId="77777777" w:rsidR="001501D6" w:rsidRDefault="001501D6" w:rsidP="00986652">
                      <w:pPr>
                        <w:jc w:val="center"/>
                      </w:pPr>
                      <w:r>
                        <w:t>Revenu brut mensuel</w:t>
                      </w:r>
                    </w:p>
                  </w:txbxContent>
                </v:textbox>
                <w10:wrap type="through"/>
              </v:roundrect>
            </w:pict>
          </mc:Fallback>
        </mc:AlternateContent>
      </w:r>
      <w:r>
        <w:rPr>
          <w:noProof/>
          <w:lang w:eastAsia="fr-FR"/>
        </w:rPr>
        <mc:AlternateContent>
          <mc:Choice Requires="wps">
            <w:drawing>
              <wp:anchor distT="0" distB="0" distL="114300" distR="114300" simplePos="0" relativeHeight="252975104" behindDoc="0" locked="0" layoutInCell="1" allowOverlap="1" wp14:anchorId="10CC7D99" wp14:editId="5DA22BFE">
                <wp:simplePos x="0" y="0"/>
                <wp:positionH relativeFrom="column">
                  <wp:posOffset>342900</wp:posOffset>
                </wp:positionH>
                <wp:positionV relativeFrom="paragraph">
                  <wp:posOffset>1569085</wp:posOffset>
                </wp:positionV>
                <wp:extent cx="5143500" cy="0"/>
                <wp:effectExtent l="0" t="0" r="12700" b="25400"/>
                <wp:wrapNone/>
                <wp:docPr id="670" name="Connecteur droit 670"/>
                <wp:cNvGraphicFramePr/>
                <a:graphic xmlns:a="http://schemas.openxmlformats.org/drawingml/2006/main">
                  <a:graphicData uri="http://schemas.microsoft.com/office/word/2010/wordprocessingShape">
                    <wps:wsp>
                      <wps:cNvCnPr/>
                      <wps:spPr>
                        <a:xfrm>
                          <a:off x="0" y="0"/>
                          <a:ext cx="5143500" cy="0"/>
                        </a:xfrm>
                        <a:prstGeom prst="line">
                          <a:avLst/>
                        </a:prstGeom>
                        <a:ln w="28575" cmpd="sng">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670" o:spid="_x0000_s1026" style="position:absolute;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123.55pt" to="6in,123.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" strokecolor="black [3213]" strokeweight="2.25pt"/>
            </w:pict>
          </mc:Fallback>
        </mc:AlternateContent>
      </w:r>
      <w:r>
        <w:rPr>
          <w:noProof/>
          <w:lang w:eastAsia="fr-FR"/>
        </w:rPr>
        <mc:AlternateContent>
          <mc:Choice Requires="wps">
            <w:drawing>
              <wp:anchor distT="0" distB="0" distL="114300" distR="114300" simplePos="0" relativeHeight="252974080" behindDoc="0" locked="0" layoutInCell="1" allowOverlap="1" wp14:anchorId="3C2D86F0" wp14:editId="5DB7576F">
                <wp:simplePos x="0" y="0"/>
                <wp:positionH relativeFrom="column">
                  <wp:posOffset>342900</wp:posOffset>
                </wp:positionH>
                <wp:positionV relativeFrom="paragraph">
                  <wp:posOffset>997585</wp:posOffset>
                </wp:positionV>
                <wp:extent cx="5143500" cy="418465"/>
                <wp:effectExtent l="50800" t="76200" r="63500" b="64135"/>
                <wp:wrapThrough wrapText="bothSides">
                  <wp:wrapPolygon edited="0">
                    <wp:start x="-107" y="-3933"/>
                    <wp:lineTo x="-213" y="23599"/>
                    <wp:lineTo x="21760" y="23599"/>
                    <wp:lineTo x="21760" y="-3933"/>
                    <wp:lineTo x="-107" y="-3933"/>
                  </wp:wrapPolygon>
                </wp:wrapThrough>
                <wp:docPr id="669" name="Rectangle à coins arrondis 669"/>
                <wp:cNvGraphicFramePr/>
                <a:graphic xmlns:a="http://schemas.openxmlformats.org/drawingml/2006/main">
                  <a:graphicData uri="http://schemas.microsoft.com/office/word/2010/wordprocessingShape">
                    <wps:wsp>
                      <wps:cNvSpPr/>
                      <wps:spPr>
                        <a:xfrm>
                          <a:off x="0" y="0"/>
                          <a:ext cx="5143500" cy="418465"/>
                        </a:xfrm>
                        <a:prstGeom prst="roundRect">
                          <a:avLst/>
                        </a:prstGeom>
                        <a:solidFill>
                          <a:srgbClr val="800000"/>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FD01F17" w14:textId="18800777" w:rsidR="00573C95" w:rsidRDefault="00573C95" w:rsidP="00986652">
                            <w:pPr>
                              <w:jc w:val="center"/>
                            </w:pPr>
                            <w:r>
                              <w:t xml:space="preserve">Frais d'habitation (voir ABD) + engagements dettes </w:t>
                            </w:r>
                          </w:p>
                        </w:txbxContent>
                      </wps:txbx>
                      <wps:bodyPr wrap="square"/>
                    </wps:wsp>
                  </a:graphicData>
                </a:graphic>
                <wp14:sizeRelH relativeFrom="margin">
                  <wp14:pctWidth>0</wp14:pctWidth>
                </wp14:sizeRelH>
                <wp14:sizeRelV relativeFrom="margin">
                  <wp14:pctHeight>0</wp14:pctHeight>
                </wp14:sizeRelV>
              </wp:anchor>
            </w:drawing>
          </mc:Choice>
          <mc:Fallback>
            <w:pict>
              <v:roundrect id="Rectangle à coins arrondis 669" o:spid="_x0000_s1483" style="position:absolute;left:0;text-align:left;margin-left:27pt;margin-top:78.55pt;width:405pt;height:32.95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" fillcolor="maroon" stroked="f">
                <v:textbox>
                  <w:txbxContent>
                    <w:p w14:paraId="7FD01F17" w14:textId="18800777" w:rsidR="001501D6" w:rsidRDefault="001501D6" w:rsidP="00986652">
                      <w:pPr>
                        <w:jc w:val="center"/>
                      </w:pPr>
                      <w:r>
                        <w:t xml:space="preserve">Frais d'habitation (voir ABD) + engagements dettes </w:t>
                      </w:r>
                    </w:p>
                  </w:txbxContent>
                </v:textbox>
                <w10:wrap type="through"/>
              </v:roundrect>
            </w:pict>
          </mc:Fallback>
        </mc:AlternateContent>
      </w:r>
      <w:r>
        <w:rPr>
          <w:noProof/>
          <w:lang w:eastAsia="fr-FR"/>
        </w:rPr>
        <mc:AlternateContent>
          <mc:Choice Requires="wps">
            <w:drawing>
              <wp:anchor distT="0" distB="0" distL="114300" distR="114300" simplePos="0" relativeHeight="252973056" behindDoc="0" locked="0" layoutInCell="1" allowOverlap="1" wp14:anchorId="2B5F1115" wp14:editId="4E95A3BD">
                <wp:simplePos x="0" y="0"/>
                <wp:positionH relativeFrom="column">
                  <wp:posOffset>6057900</wp:posOffset>
                </wp:positionH>
                <wp:positionV relativeFrom="paragraph">
                  <wp:posOffset>83185</wp:posOffset>
                </wp:positionV>
                <wp:extent cx="2400300" cy="457200"/>
                <wp:effectExtent l="50800" t="76200" r="63500" b="76200"/>
                <wp:wrapThrough wrapText="bothSides">
                  <wp:wrapPolygon edited="0">
                    <wp:start x="-457" y="-3600"/>
                    <wp:lineTo x="-457" y="24000"/>
                    <wp:lineTo x="21943" y="24000"/>
                    <wp:lineTo x="21714" y="-3600"/>
                    <wp:lineTo x="-457" y="-3600"/>
                  </wp:wrapPolygon>
                </wp:wrapThrough>
                <wp:docPr id="668" name="Rectangle à coins arrondis 668"/>
                <wp:cNvGraphicFramePr/>
                <a:graphic xmlns:a="http://schemas.openxmlformats.org/drawingml/2006/main">
                  <a:graphicData uri="http://schemas.microsoft.com/office/word/2010/wordprocessingShape">
                    <wps:wsp>
                      <wps:cNvSpPr/>
                      <wps:spPr>
                        <a:xfrm>
                          <a:off x="0" y="0"/>
                          <a:ext cx="2400300" cy="457200"/>
                        </a:xfrm>
                        <a:prstGeom prst="roundRect">
                          <a:avLst/>
                        </a:prstGeom>
                        <a:solidFill>
                          <a:schemeClr val="accent4">
                            <a:lumMod val="75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1AA70BE" w14:textId="61FD44F5" w:rsidR="00573C95" w:rsidRDefault="00573C95" w:rsidP="00986652">
                            <w:pPr>
                              <w:jc w:val="center"/>
                            </w:pPr>
                            <w:r>
                              <w:t>Seuil du secteur financier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68" o:spid="_x0000_s1484" style="position:absolute;left:0;text-align:left;margin-left:477pt;margin-top:6.55pt;width:189pt;height:36pt;z-index:2529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" fillcolor="#6b6e4b [2407]">
                <v:textbox>
                  <w:txbxContent>
                    <w:p w14:paraId="31AA70BE" w14:textId="61FD44F5" w:rsidR="001501D6" w:rsidRDefault="001501D6" w:rsidP="00986652">
                      <w:pPr>
                        <w:jc w:val="center"/>
                      </w:pPr>
                      <w:r>
                        <w:t>Seuil du secteur financier</w:t>
                      </w:r>
                    </w:p>
                  </w:txbxContent>
                </v:textbox>
                <w10:wrap type="through"/>
              </v:roundrect>
            </w:pict>
          </mc:Fallback>
        </mc:AlternateContent>
      </w:r>
      <w:r>
        <w:rPr>
          <w:noProof/>
          <w:lang w:eastAsia="fr-FR"/>
        </w:rPr>
        <mc:AlternateContent>
          <mc:Choice Requires="wps">
            <w:drawing>
              <wp:anchor distT="0" distB="0" distL="114300" distR="114300" simplePos="0" relativeHeight="252972032" behindDoc="0" locked="0" layoutInCell="1" allowOverlap="1" wp14:anchorId="3C01F1F4" wp14:editId="48D5D693">
                <wp:simplePos x="0" y="0"/>
                <wp:positionH relativeFrom="column">
                  <wp:posOffset>342900</wp:posOffset>
                </wp:positionH>
                <wp:positionV relativeFrom="paragraph">
                  <wp:posOffset>83185</wp:posOffset>
                </wp:positionV>
                <wp:extent cx="5029200" cy="457200"/>
                <wp:effectExtent l="50800" t="76200" r="76200" b="76200"/>
                <wp:wrapThrough wrapText="bothSides">
                  <wp:wrapPolygon edited="0">
                    <wp:start x="-218" y="-3600"/>
                    <wp:lineTo x="-218" y="24000"/>
                    <wp:lineTo x="21818" y="24000"/>
                    <wp:lineTo x="21709" y="-3600"/>
                    <wp:lineTo x="-218" y="-3600"/>
                  </wp:wrapPolygon>
                </wp:wrapThrough>
                <wp:docPr id="667" name="Rectangle à coins arrondis 667"/>
                <wp:cNvGraphicFramePr/>
                <a:graphic xmlns:a="http://schemas.openxmlformats.org/drawingml/2006/main">
                  <a:graphicData uri="http://schemas.microsoft.com/office/word/2010/wordprocessingShape">
                    <wps:wsp>
                      <wps:cNvSpPr/>
                      <wps:spPr>
                        <a:xfrm>
                          <a:off x="0" y="0"/>
                          <a:ext cx="5029200" cy="457200"/>
                        </a:xfrm>
                        <a:prstGeom prst="roundRect">
                          <a:avLst/>
                        </a:prstGeom>
                        <a:solidFill>
                          <a:schemeClr val="tx2">
                            <a:lumMod val="40000"/>
                            <a:lumOff val="60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1A66D51" w14:textId="77777777" w:rsidR="00573C95" w:rsidRPr="00BF5564" w:rsidRDefault="00573C95" w:rsidP="00986652">
                            <w:pPr>
                              <w:jc w:val="center"/>
                              <w:rPr>
                                <w:color w:val="000000"/>
                              </w:rPr>
                            </w:pPr>
                            <w:r w:rsidRPr="00BF5564">
                              <w:rPr>
                                <w:color w:val="000000"/>
                              </w:rPr>
                              <w:t>La formule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67" o:spid="_x0000_s1485" style="position:absolute;left:0;text-align:left;margin-left:27pt;margin-top:6.55pt;width:396pt;height:36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" fillcolor="#bbb9a1 [1311]">
                <v:textbox>
                  <w:txbxContent>
                    <w:p w14:paraId="11A66D51" w14:textId="77777777" w:rsidR="001501D6" w:rsidRPr="00BF5564" w:rsidRDefault="001501D6" w:rsidP="00986652">
                      <w:pPr>
                        <w:jc w:val="center"/>
                        <w:rPr>
                          <w:color w:val="000000"/>
                        </w:rPr>
                      </w:pPr>
                      <w:r w:rsidRPr="00BF5564">
                        <w:rPr>
                          <w:color w:val="000000"/>
                        </w:rPr>
                        <w:t>La formule</w:t>
                      </w:r>
                    </w:p>
                  </w:txbxContent>
                </v:textbox>
                <w10:wrap type="through"/>
              </v:roundrect>
            </w:pict>
          </mc:Fallback>
        </mc:AlternateContent>
      </w:r>
    </w:p>
    <w:p w14:paraId="71B8DAA8" w14:textId="77777777" w:rsidR="00AA2A4A" w:rsidRDefault="00AA2A4A" w:rsidP="00AA2A4A">
      <w:pPr>
        <w:jc w:val="both"/>
        <w:rPr>
          <w:color w:val="FF6700" w:themeColor="accent3"/>
        </w:rPr>
      </w:pPr>
    </w:p>
    <w:p w14:paraId="45F413CA" w14:textId="77777777" w:rsidR="00A63DD5" w:rsidRDefault="00A63DD5" w:rsidP="00AA2A4A">
      <w:pPr>
        <w:jc w:val="both"/>
        <w:rPr>
          <w:color w:val="FF6700" w:themeColor="accent3"/>
        </w:rPr>
      </w:pPr>
    </w:p>
    <w:p w14:paraId="3FA803F9" w14:textId="77777777" w:rsidR="00A63DD5" w:rsidRDefault="00A63DD5" w:rsidP="00AA2A4A">
      <w:pPr>
        <w:jc w:val="both"/>
        <w:rPr>
          <w:color w:val="FF6700" w:themeColor="accent3"/>
        </w:rPr>
      </w:pPr>
    </w:p>
    <w:p w14:paraId="2BAD4E43" w14:textId="77777777" w:rsidR="00A63DD5" w:rsidRDefault="00A63DD5" w:rsidP="00AA2A4A">
      <w:pPr>
        <w:jc w:val="both"/>
        <w:rPr>
          <w:color w:val="FF6700" w:themeColor="accent3"/>
        </w:rPr>
      </w:pPr>
    </w:p>
    <w:p w14:paraId="32A01BE9" w14:textId="77777777" w:rsidR="00A63DD5" w:rsidRDefault="00A63DD5" w:rsidP="00AA2A4A">
      <w:pPr>
        <w:jc w:val="both"/>
        <w:rPr>
          <w:color w:val="FF6700" w:themeColor="accent3"/>
        </w:rPr>
      </w:pPr>
    </w:p>
    <w:p w14:paraId="435B7CA1" w14:textId="77777777" w:rsidR="00A63DD5" w:rsidRDefault="00A63DD5" w:rsidP="00AA2A4A">
      <w:pPr>
        <w:jc w:val="both"/>
        <w:rPr>
          <w:color w:val="FF6700" w:themeColor="accent3"/>
        </w:rPr>
      </w:pPr>
    </w:p>
    <w:p w14:paraId="27C9152A" w14:textId="77777777" w:rsidR="00A63DD5" w:rsidRDefault="00A63DD5" w:rsidP="00AA2A4A">
      <w:pPr>
        <w:jc w:val="both"/>
        <w:rPr>
          <w:color w:val="FF6700" w:themeColor="accent3"/>
        </w:rPr>
      </w:pPr>
    </w:p>
    <w:p w14:paraId="683DBC94" w14:textId="77777777" w:rsidR="00A63DD5" w:rsidRDefault="00A63DD5" w:rsidP="00AA2A4A">
      <w:pPr>
        <w:jc w:val="both"/>
        <w:rPr>
          <w:color w:val="FF6700" w:themeColor="accent3"/>
        </w:rPr>
      </w:pPr>
    </w:p>
    <w:p w14:paraId="23786F2E" w14:textId="77777777" w:rsidR="00A63DD5" w:rsidRDefault="00A63DD5" w:rsidP="00AA2A4A">
      <w:pPr>
        <w:jc w:val="both"/>
        <w:rPr>
          <w:color w:val="FF6700" w:themeColor="accent3"/>
        </w:rPr>
      </w:pPr>
    </w:p>
    <w:p w14:paraId="5E4E0363" w14:textId="77777777" w:rsidR="00A63DD5" w:rsidRDefault="00A63DD5" w:rsidP="00AA2A4A">
      <w:pPr>
        <w:jc w:val="both"/>
        <w:rPr>
          <w:color w:val="FF6700" w:themeColor="accent3"/>
        </w:rPr>
      </w:pPr>
    </w:p>
    <w:p w14:paraId="1DA6D2CE" w14:textId="77777777" w:rsidR="00AA2A4A" w:rsidRDefault="00AA2A4A" w:rsidP="00AA2A4A">
      <w:pPr>
        <w:jc w:val="both"/>
        <w:rPr>
          <w:color w:val="FF6700" w:themeColor="accent3"/>
        </w:rPr>
      </w:pPr>
    </w:p>
    <w:p w14:paraId="23F1F81D" w14:textId="77777777" w:rsidR="00AA2A4A" w:rsidRPr="00AA2A4A" w:rsidRDefault="00AA2A4A" w:rsidP="00AA2A4A">
      <w:pPr>
        <w:jc w:val="both"/>
        <w:rPr>
          <w:color w:val="FF6700" w:themeColor="accent3"/>
        </w:rPr>
      </w:pPr>
    </w:p>
    <w:p w14:paraId="6ED2CCBA" w14:textId="77777777" w:rsidR="00106CB0" w:rsidRDefault="00106CB0" w:rsidP="00106CB0">
      <w:pPr>
        <w:jc w:val="both"/>
      </w:pPr>
    </w:p>
    <w:p w14:paraId="65A22455" w14:textId="39847E6C" w:rsidR="00106CB0" w:rsidRDefault="00106CB0" w:rsidP="00106CB0">
      <w:pPr>
        <w:jc w:val="both"/>
      </w:pPr>
      <w:r>
        <w:lastRenderedPageBreak/>
        <w:t>Afin de vous familiariser avec le concept de l'amortissement total de la dette (ATD), nous vous invitons à calculer le ratio que s'applique à votre situation en  utilisant la calculatrice mise à votre disposition. Pour y arriver</w:t>
      </w:r>
      <w:r w:rsidR="0057365F">
        <w:t>,</w:t>
      </w:r>
      <w:r>
        <w:t xml:space="preserve"> vous devez franchir chacune des étapes qui sont prévues par la calculatrice. Les déboursés qui sont mis en relation avec le revenu brut sont mensuels.</w:t>
      </w:r>
      <w:r w:rsidR="0036587D">
        <w:t xml:space="preserve"> Afin de tenir compte des versements qui sont relatifs à d</w:t>
      </w:r>
      <w:r w:rsidR="007653B6">
        <w:t>es formes de</w:t>
      </w:r>
      <w:r w:rsidR="0036587D">
        <w:t xml:space="preserve"> financement</w:t>
      </w:r>
      <w:r w:rsidR="007653B6">
        <w:t xml:space="preserve"> variables (cartes de crédit et marge de crédit), vous devez utiliser une valeur de 3 % du crédit autorisé ainsi que les paiements sous forme d'intérêts associés à ce type de financement. Pour tenir compte </w:t>
      </w:r>
      <w:r w:rsidR="004F2825">
        <w:t>des prêts fixes (auto, personnel, hypothèque, autres), vous devez tenir compte des versements mensuels (capital et intérêts) associés à ces prêts</w:t>
      </w:r>
    </w:p>
    <w:p w14:paraId="1858AD6B" w14:textId="77777777" w:rsidR="00106CB0" w:rsidRDefault="00106CB0" w:rsidP="00106CB0"/>
    <w:p w14:paraId="1D01A1DD" w14:textId="77777777" w:rsidR="00106CB0" w:rsidRDefault="00106CB0" w:rsidP="00106CB0">
      <w:r>
        <w:rPr>
          <w:noProof/>
          <w:lang w:eastAsia="fr-FR"/>
        </w:rPr>
        <w:drawing>
          <wp:anchor distT="0" distB="0" distL="114300" distR="114300" simplePos="0" relativeHeight="252984320" behindDoc="0" locked="0" layoutInCell="1" allowOverlap="1" wp14:anchorId="181947CF" wp14:editId="1CE492BD">
            <wp:simplePos x="0" y="0"/>
            <wp:positionH relativeFrom="column">
              <wp:posOffset>1943100</wp:posOffset>
            </wp:positionH>
            <wp:positionV relativeFrom="paragraph">
              <wp:posOffset>10795</wp:posOffset>
            </wp:positionV>
            <wp:extent cx="508000" cy="685800"/>
            <wp:effectExtent l="0" t="0" r="0" b="0"/>
            <wp:wrapNone/>
            <wp:docPr id="716" name="Image 716" descr="Macintosh HD:Users:marcbachand:Desktop:Capture d’écran 2015-06-08 à 17.18.41.png">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2AB5368" w14:textId="59BBDC5D" w:rsidR="00106CB0" w:rsidRDefault="00106CB0" w:rsidP="00106CB0">
      <w:pPr>
        <w:rPr>
          <w:rStyle w:val="Lienhypertexte"/>
          <w:color w:val="FF6700" w:themeColor="accent3"/>
        </w:rPr>
      </w:pPr>
      <w:r>
        <w:t xml:space="preserve"> </w:t>
      </w:r>
      <w:hyperlink r:id="rId153" w:anchor=".VlS__IQgAdU" w:history="1">
        <w:r>
          <w:rPr>
            <w:rStyle w:val="Lienhypertexte"/>
            <w:color w:val="FF6700" w:themeColor="accent3"/>
          </w:rPr>
          <w:t>Calculatrice de l'ATD</w:t>
        </w:r>
      </w:hyperlink>
    </w:p>
    <w:p w14:paraId="67770E5E" w14:textId="77777777" w:rsidR="009C6A79" w:rsidRDefault="009C6A79" w:rsidP="00106CB0">
      <w:pPr>
        <w:rPr>
          <w:rStyle w:val="Lienhypertexte"/>
          <w:color w:val="FF6700" w:themeColor="accent3"/>
        </w:rPr>
      </w:pPr>
    </w:p>
    <w:p w14:paraId="5D6F2B00" w14:textId="77777777" w:rsidR="009C6A79" w:rsidRDefault="009C6A79" w:rsidP="00106CB0">
      <w:pPr>
        <w:rPr>
          <w:rStyle w:val="Lienhypertexte"/>
          <w:color w:val="FF6700" w:themeColor="accent3"/>
        </w:rPr>
      </w:pPr>
    </w:p>
    <w:p w14:paraId="0CD18CB3" w14:textId="77777777" w:rsidR="009C6A79" w:rsidRDefault="009C6A79" w:rsidP="00106CB0">
      <w:pPr>
        <w:rPr>
          <w:color w:val="FF6700" w:themeColor="accent3"/>
        </w:rPr>
      </w:pPr>
    </w:p>
    <w:p w14:paraId="37B439C7" w14:textId="4425E5CB" w:rsidR="00106CB0" w:rsidRDefault="00106CB0" w:rsidP="00106CB0">
      <w:pPr>
        <w:jc w:val="both"/>
      </w:pPr>
      <w:r w:rsidRPr="0017793A">
        <w:t>Le détail des ratios de l'amortissement de la dette ser</w:t>
      </w:r>
      <w:r w:rsidR="0057365F">
        <w:t>a</w:t>
      </w:r>
      <w:r w:rsidRPr="0017793A">
        <w:t xml:space="preserve"> disponible sous l'onglet </w:t>
      </w:r>
      <w:r>
        <w:t>"</w:t>
      </w:r>
      <w:r w:rsidRPr="0017793A">
        <w:rPr>
          <w:u w:val="single"/>
        </w:rPr>
        <w:t>Capacité de payer</w:t>
      </w:r>
      <w:r>
        <w:rPr>
          <w:u w:val="single"/>
        </w:rPr>
        <w:t>"</w:t>
      </w:r>
      <w:r w:rsidRPr="0017793A">
        <w:t xml:space="preserve">, à la rubrique </w:t>
      </w:r>
      <w:r>
        <w:t>"</w:t>
      </w:r>
      <w:r w:rsidRPr="0017793A">
        <w:rPr>
          <w:u w:val="single"/>
        </w:rPr>
        <w:t>Rapports d'amortissement de la dette</w:t>
      </w:r>
      <w:r>
        <w:rPr>
          <w:u w:val="single"/>
        </w:rPr>
        <w:t>"</w:t>
      </w:r>
      <w:r w:rsidRPr="0017793A">
        <w:t xml:space="preserve">, en cliquant sur </w:t>
      </w:r>
      <w:r>
        <w:t>"</w:t>
      </w:r>
      <w:r w:rsidRPr="0017793A">
        <w:rPr>
          <w:u w:val="single"/>
        </w:rPr>
        <w:t>Apprenez-en davantage sur le rapport d’amortissement brut de la dette et le rapport d’amortissement total de la dette ici</w:t>
      </w:r>
      <w:r>
        <w:rPr>
          <w:u w:val="single"/>
        </w:rPr>
        <w:t>"</w:t>
      </w:r>
      <w:r w:rsidRPr="0017793A">
        <w:t>.</w:t>
      </w:r>
    </w:p>
    <w:p w14:paraId="17106673" w14:textId="77777777" w:rsidR="004F2825" w:rsidRPr="0017793A" w:rsidRDefault="004F2825" w:rsidP="00106CB0">
      <w:pPr>
        <w:jc w:val="both"/>
      </w:pPr>
    </w:p>
    <w:p w14:paraId="6DEC1F33" w14:textId="7E34CDB4" w:rsidR="009931AA" w:rsidRDefault="009931AA" w:rsidP="006C34CF">
      <w:pPr>
        <w:pStyle w:val="Titre4"/>
        <w:numPr>
          <w:ilvl w:val="3"/>
          <w:numId w:val="97"/>
        </w:numPr>
      </w:pPr>
      <w:bookmarkStart w:id="144" w:name="_Toc314397879"/>
      <w:bookmarkStart w:id="145" w:name="_Toc443569423"/>
      <w:r>
        <w:t>Le dossier de crédit</w:t>
      </w:r>
      <w:bookmarkEnd w:id="144"/>
      <w:bookmarkEnd w:id="145"/>
    </w:p>
    <w:p w14:paraId="3A65C966" w14:textId="77777777" w:rsidR="009931AA" w:rsidRPr="009931AA" w:rsidRDefault="009931AA" w:rsidP="009931AA"/>
    <w:p w14:paraId="7E166C73" w14:textId="1196D909" w:rsidR="009931AA" w:rsidRPr="003A53B3" w:rsidRDefault="00DA44DA" w:rsidP="009C6A79">
      <w:pPr>
        <w:jc w:val="both"/>
      </w:pPr>
      <w:r>
        <w:t>Le dossier de crédit constitue un parcours historique qui relate l</w:t>
      </w:r>
      <w:r w:rsidR="009C6A79">
        <w:t xml:space="preserve">'ensemble </w:t>
      </w:r>
      <w:r>
        <w:t xml:space="preserve">des opérations de crédit </w:t>
      </w:r>
      <w:r w:rsidR="009C6A79">
        <w:t>effectuée</w:t>
      </w:r>
      <w:r w:rsidR="00CE0180">
        <w:t>s</w:t>
      </w:r>
      <w:r w:rsidR="009C6A79">
        <w:t xml:space="preserve"> par un contribuable </w:t>
      </w:r>
      <w:r>
        <w:t xml:space="preserve">depuis </w:t>
      </w:r>
      <w:r w:rsidR="009C6A79">
        <w:t xml:space="preserve">le tout début de son expérience en tant que débiteur. Ce dossier est une sorte de carte de visite, tenant compte des </w:t>
      </w:r>
      <w:r w:rsidR="009C6A79" w:rsidRPr="009C6A79">
        <w:rPr>
          <w:color w:val="FF6700" w:themeColor="accent3"/>
        </w:rPr>
        <w:t>ACTIONS PASSÉES</w:t>
      </w:r>
      <w:r w:rsidR="00CB57D5" w:rsidRPr="00CB57D5">
        <w:t>,</w:t>
      </w:r>
      <w:r w:rsidR="00CB57D5">
        <w:t xml:space="preserve"> </w:t>
      </w:r>
      <w:r w:rsidR="009C6A79">
        <w:t>afin d'assister un créancier éventuel dans son appréciation du risque associé à une demande de crédit</w:t>
      </w:r>
      <w:r w:rsidR="00CB57D5">
        <w:t xml:space="preserve">. Pour bien comprendre le concept nous vous invitons à visionner la </w:t>
      </w:r>
      <w:r w:rsidR="00CB57D5" w:rsidRPr="00CB57D5">
        <w:rPr>
          <w:i/>
        </w:rPr>
        <w:t>capsule 7-15 Le dossier de crédit</w:t>
      </w:r>
      <w:r w:rsidR="00CB57D5">
        <w:t xml:space="preserve"> et de parcourir, au besoin, le </w:t>
      </w:r>
      <w:r w:rsidR="00CB57D5" w:rsidRPr="00CB57D5">
        <w:rPr>
          <w:i/>
        </w:rPr>
        <w:t>document Comprendre votre dossier de crédit et votre pointage de crédit</w:t>
      </w:r>
      <w:r w:rsidR="00CB57D5">
        <w:t>.</w:t>
      </w:r>
    </w:p>
    <w:p w14:paraId="581B4724" w14:textId="138759D3" w:rsidR="002A125C" w:rsidRDefault="004768F3" w:rsidP="004D67B7">
      <w:pPr>
        <w:jc w:val="both"/>
      </w:pPr>
      <w:r>
        <w:rPr>
          <w:noProof/>
          <w:lang w:eastAsia="fr-FR"/>
        </w:rPr>
        <w:drawing>
          <wp:anchor distT="0" distB="0" distL="114300" distR="114300" simplePos="0" relativeHeight="252986368" behindDoc="0" locked="0" layoutInCell="1" allowOverlap="1" wp14:anchorId="2A93E78C" wp14:editId="1EA2C9B9">
            <wp:simplePos x="0" y="0"/>
            <wp:positionH relativeFrom="column">
              <wp:posOffset>2971800</wp:posOffset>
            </wp:positionH>
            <wp:positionV relativeFrom="paragraph">
              <wp:posOffset>50800</wp:posOffset>
            </wp:positionV>
            <wp:extent cx="579120" cy="571500"/>
            <wp:effectExtent l="0" t="0" r="5080" b="12700"/>
            <wp:wrapNone/>
            <wp:docPr id="628" name="Image 628">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38891FD" w14:textId="21FDBF5B" w:rsidR="004768F3" w:rsidRPr="005B5E5B" w:rsidRDefault="00573C95" w:rsidP="004768F3">
      <w:pPr>
        <w:tabs>
          <w:tab w:val="left" w:pos="525"/>
        </w:tabs>
        <w:rPr>
          <w:rFonts w:asciiTheme="majorHAnsi" w:eastAsiaTheme="majorEastAsia" w:hAnsiTheme="majorHAnsi" w:cstheme="majorBidi"/>
          <w:b/>
          <w:bCs/>
          <w:color w:val="AF0013"/>
          <w:sz w:val="28"/>
          <w:szCs w:val="26"/>
        </w:rPr>
      </w:pPr>
      <w:hyperlink r:id="rId155" w:history="1">
        <w:r w:rsidR="005B5E5B" w:rsidRPr="005B5E5B">
          <w:rPr>
            <w:rStyle w:val="Lienhypertexte"/>
            <w:color w:val="AF0013"/>
          </w:rPr>
          <w:t>Capsule 7-15 Le dossier de crédit</w:t>
        </w:r>
      </w:hyperlink>
      <w:r w:rsidR="004768F3" w:rsidRPr="005B5E5B">
        <w:rPr>
          <w:rFonts w:asciiTheme="majorHAnsi" w:eastAsiaTheme="majorEastAsia" w:hAnsiTheme="majorHAnsi" w:cstheme="majorBidi"/>
          <w:b/>
          <w:bCs/>
          <w:color w:val="AF0013"/>
          <w:sz w:val="28"/>
          <w:szCs w:val="26"/>
        </w:rPr>
        <w:tab/>
      </w:r>
    </w:p>
    <w:p w14:paraId="6032ECB2" w14:textId="1BFDF969" w:rsidR="004768F3" w:rsidRDefault="004768F3">
      <w:r>
        <w:rPr>
          <w:noProof/>
          <w:lang w:eastAsia="fr-FR"/>
        </w:rPr>
        <w:drawing>
          <wp:anchor distT="0" distB="0" distL="114300" distR="114300" simplePos="0" relativeHeight="252988416" behindDoc="0" locked="0" layoutInCell="1" allowOverlap="1" wp14:anchorId="0083E1B4" wp14:editId="3C96E3B4">
            <wp:simplePos x="0" y="0"/>
            <wp:positionH relativeFrom="column">
              <wp:posOffset>6629400</wp:posOffset>
            </wp:positionH>
            <wp:positionV relativeFrom="paragraph">
              <wp:posOffset>30480</wp:posOffset>
            </wp:positionV>
            <wp:extent cx="685800" cy="681990"/>
            <wp:effectExtent l="0" t="0" r="0" b="3810"/>
            <wp:wrapNone/>
            <wp:docPr id="635" name="Image 635" descr="Macintosh HD:Users:marcbachand:Desktop:Capture d’écran 2015-06-08 à 17.04.54.pn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E0F5F81" w14:textId="77777777" w:rsidR="009C6A79" w:rsidRDefault="009C6A79"/>
    <w:p w14:paraId="382A1C62" w14:textId="2692FE0A" w:rsidR="000E66C7" w:rsidRPr="004768F3" w:rsidRDefault="00573C95">
      <w:pPr>
        <w:rPr>
          <w:color w:val="FF6700" w:themeColor="accent3"/>
        </w:rPr>
      </w:pPr>
      <w:hyperlink r:id="rId157" w:history="1">
        <w:r w:rsidR="004768F3" w:rsidRPr="004768F3">
          <w:rPr>
            <w:rStyle w:val="Lienhypertexte"/>
            <w:color w:val="FF6700" w:themeColor="accent3"/>
          </w:rPr>
          <w:t>Document "Comprendre votre dossier de crédit et votre pointage de crédit" par ACFC</w:t>
        </w:r>
      </w:hyperlink>
      <w:r w:rsidR="000E66C7" w:rsidRPr="004768F3">
        <w:rPr>
          <w:color w:val="FF6700" w:themeColor="accent3"/>
        </w:rPr>
        <w:br w:type="page"/>
      </w:r>
    </w:p>
    <w:p w14:paraId="464E5507" w14:textId="12AA4876" w:rsidR="00CB57D5" w:rsidRDefault="00CB57D5" w:rsidP="00CB57D5">
      <w:pPr>
        <w:jc w:val="both"/>
        <w:rPr>
          <w:color w:val="FF6700" w:themeColor="accent3"/>
        </w:rPr>
      </w:pPr>
      <w:r>
        <w:rPr>
          <w:color w:val="FF6700" w:themeColor="accent3"/>
        </w:rPr>
        <w:lastRenderedPageBreak/>
        <w:t>IMAGE 7-17 Exemple de pointage d'un dossier de crédit</w:t>
      </w:r>
    </w:p>
    <w:p w14:paraId="3AE9F168" w14:textId="2052B865" w:rsidR="004768F3" w:rsidRDefault="00CB57D5">
      <w:pPr>
        <w:rPr>
          <w:noProof/>
          <w:lang w:eastAsia="fr-FR"/>
        </w:rPr>
      </w:pPr>
      <w:r>
        <w:rPr>
          <w:noProof/>
          <w:lang w:eastAsia="fr-FR"/>
        </w:rPr>
        <w:drawing>
          <wp:anchor distT="0" distB="0" distL="114300" distR="114300" simplePos="0" relativeHeight="252989440" behindDoc="0" locked="0" layoutInCell="1" allowOverlap="1" wp14:anchorId="0B8A910C" wp14:editId="7C1FDC80">
            <wp:simplePos x="0" y="0"/>
            <wp:positionH relativeFrom="column">
              <wp:posOffset>114300</wp:posOffset>
            </wp:positionH>
            <wp:positionV relativeFrom="paragraph">
              <wp:posOffset>156210</wp:posOffset>
            </wp:positionV>
            <wp:extent cx="6889750" cy="6035040"/>
            <wp:effectExtent l="0" t="0" r="0" b="10160"/>
            <wp:wrapNone/>
            <wp:docPr id="690" name="Image 690" descr="Macintosh HD:Users:marcbachand:Desktop:Score dossier de crédit novembre 2015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Score dossier de crédit novembre 2015 - copie.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889750" cy="60350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9C76EDF" w14:textId="71610E7B" w:rsidR="00CB57D5" w:rsidRDefault="004C6320">
      <w:pPr>
        <w:rPr>
          <w:rFonts w:asciiTheme="majorHAnsi" w:eastAsiaTheme="majorEastAsia" w:hAnsiTheme="majorHAnsi" w:cstheme="majorBidi"/>
          <w:b/>
          <w:bCs/>
          <w:color w:val="6E9400" w:themeColor="accent1" w:themeShade="BF"/>
          <w:sz w:val="28"/>
          <w:szCs w:val="26"/>
        </w:rPr>
      </w:pPr>
      <w:r>
        <w:rPr>
          <w:noProof/>
          <w:lang w:eastAsia="fr-FR"/>
        </w:rPr>
        <mc:AlternateContent>
          <mc:Choice Requires="wps">
            <w:drawing>
              <wp:anchor distT="0" distB="0" distL="114300" distR="114300" simplePos="0" relativeHeight="252995584" behindDoc="0" locked="0" layoutInCell="1" allowOverlap="1" wp14:anchorId="33757B72" wp14:editId="12271CDB">
                <wp:simplePos x="0" y="0"/>
                <wp:positionH relativeFrom="column">
                  <wp:posOffset>-727710</wp:posOffset>
                </wp:positionH>
                <wp:positionV relativeFrom="paragraph">
                  <wp:posOffset>666750</wp:posOffset>
                </wp:positionV>
                <wp:extent cx="1109980" cy="589915"/>
                <wp:effectExtent l="76200" t="177800" r="0" b="172085"/>
                <wp:wrapThrough wrapText="bothSides">
                  <wp:wrapPolygon edited="0">
                    <wp:start x="-1899" y="4799"/>
                    <wp:lineTo x="-3449" y="10838"/>
                    <wp:lineTo x="3899" y="17799"/>
                    <wp:lineTo x="14303" y="23528"/>
                    <wp:lineTo x="15231" y="24657"/>
                    <wp:lineTo x="17359" y="22294"/>
                    <wp:lineTo x="17283" y="20220"/>
                    <wp:lineTo x="18624" y="2533"/>
                    <wp:lineTo x="16036" y="-7551"/>
                    <wp:lineTo x="10949" y="-7304"/>
                    <wp:lineTo x="655" y="1963"/>
                    <wp:lineTo x="-1899" y="4799"/>
                  </wp:wrapPolygon>
                </wp:wrapThrough>
                <wp:docPr id="692" name="Flèche vers la droite 692"/>
                <wp:cNvGraphicFramePr/>
                <a:graphic xmlns:a="http://schemas.openxmlformats.org/drawingml/2006/main">
                  <a:graphicData uri="http://schemas.microsoft.com/office/word/2010/wordprocessingShape">
                    <wps:wsp>
                      <wps:cNvSpPr/>
                      <wps:spPr>
                        <a:xfrm rot="1832274">
                          <a:off x="0" y="0"/>
                          <a:ext cx="1109980" cy="589915"/>
                        </a:xfrm>
                        <a:prstGeom prst="rightArrow">
                          <a:avLst/>
                        </a:prstGeom>
                        <a:solidFill>
                          <a:srgbClr val="008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lèche vers la droite 692" o:spid="_x0000_s1026" type="#_x0000_t13" style="position:absolute;margin-left:-57.25pt;margin-top:52.5pt;width:87.4pt;height:46.45pt;rotation:2001332fd;z-index:2529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" adj="15860" fillcolor="green">
                <w10:wrap type="through"/>
              </v:shape>
            </w:pict>
          </mc:Fallback>
        </mc:AlternateContent>
      </w:r>
      <w:r>
        <w:rPr>
          <w:noProof/>
          <w:lang w:eastAsia="fr-FR"/>
        </w:rPr>
        <mc:AlternateContent>
          <mc:Choice Requires="wps">
            <w:drawing>
              <wp:anchor distT="0" distB="0" distL="114300" distR="114300" simplePos="0" relativeHeight="252993536" behindDoc="0" locked="0" layoutInCell="1" allowOverlap="1" wp14:anchorId="7979685A" wp14:editId="67CE02DF">
                <wp:simplePos x="0" y="0"/>
                <wp:positionH relativeFrom="column">
                  <wp:posOffset>800100</wp:posOffset>
                </wp:positionH>
                <wp:positionV relativeFrom="paragraph">
                  <wp:posOffset>1911985</wp:posOffset>
                </wp:positionV>
                <wp:extent cx="3314700" cy="228600"/>
                <wp:effectExtent l="76200" t="76200" r="63500" b="76200"/>
                <wp:wrapThrough wrapText="bothSides">
                  <wp:wrapPolygon edited="0">
                    <wp:start x="-497" y="-7200"/>
                    <wp:lineTo x="-497" y="26400"/>
                    <wp:lineTo x="21848" y="26400"/>
                    <wp:lineTo x="21848" y="-7200"/>
                    <wp:lineTo x="-497" y="-7200"/>
                  </wp:wrapPolygon>
                </wp:wrapThrough>
                <wp:docPr id="691" name="Cadre 691"/>
                <wp:cNvGraphicFramePr/>
                <a:graphic xmlns:a="http://schemas.openxmlformats.org/drawingml/2006/main">
                  <a:graphicData uri="http://schemas.microsoft.com/office/word/2010/wordprocessingShape">
                    <wps:wsp>
                      <wps:cNvSpPr/>
                      <wps:spPr>
                        <a:xfrm>
                          <a:off x="0" y="0"/>
                          <a:ext cx="3314700" cy="228600"/>
                        </a:xfrm>
                        <a:prstGeom prst="frame">
                          <a:avLst>
                            <a:gd name="adj1" fmla="val 11300"/>
                          </a:avLst>
                        </a:prstGeom>
                        <a:solidFill>
                          <a:srgbClr val="008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Cadre 691" o:spid="_x0000_s1026" style="position:absolute;margin-left:63pt;margin-top:150.55pt;width:261pt;height:18pt;z-index:2529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14700,228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" path="m0,0l3314700,,3314700,228600,,228600,,0xm25832,25832l25832,202768,3288868,202768,3288868,25832,25832,25832xe" fillcolor="green">
                <v:path arrowok="t" o:connecttype="custom" o:connectlocs="0,0;3314700,0;3314700,228600;0,228600;0,0;25832,25832;25832,202768;3288868,202768;3288868,25832;25832,25832" o:connectangles="0,0,0,0,0,0,0,0,0,0"/>
                <w10:wrap type="through"/>
              </v:shape>
            </w:pict>
          </mc:Fallback>
        </mc:AlternateContent>
      </w:r>
      <w:r w:rsidR="00007189">
        <w:rPr>
          <w:noProof/>
          <w:lang w:eastAsia="fr-FR"/>
        </w:rPr>
        <mc:AlternateContent>
          <mc:Choice Requires="wps">
            <w:drawing>
              <wp:anchor distT="0" distB="0" distL="114300" distR="114300" simplePos="0" relativeHeight="252991488" behindDoc="0" locked="0" layoutInCell="1" allowOverlap="1" wp14:anchorId="5490D81A" wp14:editId="22788CE2">
                <wp:simplePos x="0" y="0"/>
                <wp:positionH relativeFrom="column">
                  <wp:posOffset>2971800</wp:posOffset>
                </wp:positionH>
                <wp:positionV relativeFrom="paragraph">
                  <wp:posOffset>768985</wp:posOffset>
                </wp:positionV>
                <wp:extent cx="4457700" cy="1143000"/>
                <wp:effectExtent l="76200" t="76200" r="38100" b="76200"/>
                <wp:wrapNone/>
                <wp:docPr id="654" name="Bouée 654"/>
                <wp:cNvGraphicFramePr/>
                <a:graphic xmlns:a="http://schemas.openxmlformats.org/drawingml/2006/main">
                  <a:graphicData uri="http://schemas.microsoft.com/office/word/2010/wordprocessingShape">
                    <wps:wsp>
                      <wps:cNvSpPr/>
                      <wps:spPr>
                        <a:xfrm>
                          <a:off x="0" y="0"/>
                          <a:ext cx="4457700" cy="1143000"/>
                        </a:xfrm>
                        <a:prstGeom prst="donut">
                          <a:avLst>
                            <a:gd name="adj" fmla="val 2938"/>
                          </a:avLst>
                        </a:prstGeom>
                        <a:solidFill>
                          <a:srgbClr val="008000"/>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23" coordsize="21600,21600" o:spt="23" adj="5400" path="m0,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Bouée 654" o:spid="_x0000_s1026" type="#_x0000_t23" style="position:absolute;margin-left:234pt;margin-top:60.55pt;width:351pt;height:90pt;z-index:2529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" adj="163" fillcolor="green" strokecolor="black [3213]"/>
            </w:pict>
          </mc:Fallback>
        </mc:AlternateContent>
      </w:r>
      <w:r w:rsidR="00CB57D5">
        <w:rPr>
          <w:rFonts w:asciiTheme="majorHAnsi" w:eastAsiaTheme="majorEastAsia" w:hAnsiTheme="majorHAnsi" w:cstheme="majorBidi"/>
          <w:b/>
          <w:bCs/>
          <w:color w:val="6E9400" w:themeColor="accent1" w:themeShade="BF"/>
          <w:sz w:val="28"/>
          <w:szCs w:val="26"/>
        </w:rPr>
        <w:br w:type="page"/>
      </w:r>
    </w:p>
    <w:p w14:paraId="3CF19A08" w14:textId="73C07F8B" w:rsidR="00F13F86" w:rsidRDefault="00C451B7" w:rsidP="006C34CF">
      <w:pPr>
        <w:pStyle w:val="Titre2"/>
        <w:numPr>
          <w:ilvl w:val="1"/>
          <w:numId w:val="73"/>
        </w:numPr>
      </w:pPr>
      <w:bookmarkStart w:id="146" w:name="_Toc314397880"/>
      <w:bookmarkStart w:id="147" w:name="_Toc443569424"/>
      <w:r>
        <w:lastRenderedPageBreak/>
        <w:t>La gestion des dettes – une question financière et comportementale</w:t>
      </w:r>
      <w:bookmarkEnd w:id="146"/>
      <w:bookmarkEnd w:id="147"/>
    </w:p>
    <w:p w14:paraId="16AC633B" w14:textId="77777777" w:rsidR="002F4BC2" w:rsidRDefault="002F4BC2" w:rsidP="002F4BC2"/>
    <w:p w14:paraId="249F386B" w14:textId="77777777" w:rsidR="00084F9A" w:rsidRPr="00084F9A" w:rsidRDefault="00084F9A" w:rsidP="00606453">
      <w:pPr>
        <w:jc w:val="both"/>
      </w:pPr>
      <w:r w:rsidRPr="00084F9A">
        <w:t>«On veut donc trouver une manière de parler davantage de comment on peut avoir un crédit responsable et une épargne dynamique, a-t-elle ajouté. [...] On veut vraiment revenir à la base. Les caisses Desjardins, ce sont des caisses d'épargne et ensuite de crédit. Il faut d'abord faire de l'épargne avant de distribuer le crédit.»</w:t>
      </w:r>
    </w:p>
    <w:p w14:paraId="37F7440C" w14:textId="77777777" w:rsidR="00084F9A" w:rsidRDefault="00084F9A" w:rsidP="00084F9A">
      <w:r w:rsidRPr="00084F9A">
        <w:t xml:space="preserve"> </w:t>
      </w:r>
      <w:r w:rsidRPr="00084F9A">
        <w:tab/>
      </w:r>
    </w:p>
    <w:p w14:paraId="0B442B34" w14:textId="52EF6535" w:rsidR="00084F9A" w:rsidRPr="00084F9A" w:rsidRDefault="00084F9A" w:rsidP="00084F9A">
      <w:r w:rsidRPr="00084F9A">
        <w:t>Présidente du Mouvement Desjardins, Monique Leroux</w:t>
      </w:r>
      <w:r w:rsidR="00585D14">
        <w:t xml:space="preserve"> (2011)</w:t>
      </w:r>
    </w:p>
    <w:p w14:paraId="26B7025A" w14:textId="5E1C2ADA" w:rsidR="00084F9A" w:rsidRDefault="00084F9A" w:rsidP="00084F9A">
      <w:r w:rsidRPr="00084F9A">
        <w:t xml:space="preserve"> </w:t>
      </w:r>
    </w:p>
    <w:p w14:paraId="52729025" w14:textId="6542122C" w:rsidR="00585D14" w:rsidRDefault="00585D14" w:rsidP="00585D14">
      <w:pPr>
        <w:jc w:val="both"/>
        <w:rPr>
          <w:color w:val="FF6700" w:themeColor="accent3"/>
        </w:rPr>
      </w:pPr>
      <w:r>
        <w:rPr>
          <w:color w:val="FF6700" w:themeColor="accent3"/>
        </w:rPr>
        <w:t>IMAGE 7-18 Ratio de la dette au revenu disponible</w:t>
      </w:r>
      <w:r w:rsidR="004D0804">
        <w:rPr>
          <w:color w:val="FF6700" w:themeColor="accent3"/>
        </w:rPr>
        <w:t xml:space="preserve"> des ménages canadiens</w:t>
      </w:r>
    </w:p>
    <w:p w14:paraId="37C5E113" w14:textId="5A3BA213" w:rsidR="00050323" w:rsidRDefault="00050323" w:rsidP="00585D14">
      <w:pPr>
        <w:jc w:val="both"/>
      </w:pPr>
      <w:r>
        <w:rPr>
          <w:noProof/>
          <w:lang w:eastAsia="fr-FR"/>
        </w:rPr>
        <w:drawing>
          <wp:anchor distT="0" distB="0" distL="114300" distR="114300" simplePos="0" relativeHeight="252996608" behindDoc="0" locked="0" layoutInCell="1" allowOverlap="1" wp14:anchorId="7CE7FC52" wp14:editId="3CC589BF">
            <wp:simplePos x="0" y="0"/>
            <wp:positionH relativeFrom="column">
              <wp:posOffset>-228600</wp:posOffset>
            </wp:positionH>
            <wp:positionV relativeFrom="paragraph">
              <wp:posOffset>116205</wp:posOffset>
            </wp:positionV>
            <wp:extent cx="5943600" cy="3552190"/>
            <wp:effectExtent l="0" t="0" r="0" b="3810"/>
            <wp:wrapTight wrapText="bothSides">
              <wp:wrapPolygon edited="0">
                <wp:start x="0" y="0"/>
                <wp:lineTo x="0" y="21469"/>
                <wp:lineTo x="21508" y="21469"/>
                <wp:lineTo x="21508" y="0"/>
                <wp:lineTo x="0" y="0"/>
              </wp:wrapPolygon>
            </wp:wrapTight>
            <wp:docPr id="689" name="Image 689" descr="Macintosh HD:Users:marcbachand:Desktop:dett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dettete.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35521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783A36A" w14:textId="233869C0" w:rsidR="002B61E4" w:rsidRDefault="00585D14" w:rsidP="00585D14">
      <w:pPr>
        <w:jc w:val="both"/>
      </w:pPr>
      <w:r>
        <w:t>Selon Statistique Canada, le ratio de la dette sur le revenu disponible des ménages a atteint, a</w:t>
      </w:r>
      <w:r w:rsidRPr="00585D14">
        <w:t>u 2</w:t>
      </w:r>
      <w:r w:rsidRPr="00585D14">
        <w:rPr>
          <w:vertAlign w:val="superscript"/>
        </w:rPr>
        <w:t xml:space="preserve">e </w:t>
      </w:r>
      <w:r w:rsidRPr="00585D14">
        <w:t>trimestre 2015</w:t>
      </w:r>
      <w:r>
        <w:t xml:space="preserve"> le taux record de </w:t>
      </w:r>
      <w:r w:rsidRPr="00050323">
        <w:rPr>
          <w:color w:val="FF6700" w:themeColor="accent3"/>
          <w:sz w:val="32"/>
          <w:szCs w:val="32"/>
        </w:rPr>
        <w:t>164,6%</w:t>
      </w:r>
      <w:r w:rsidR="00050323">
        <w:t xml:space="preserve">. Ce taux représente le poids des dettes des ménages canadiens sur leur revenu disponible. Le revenu disponible étant le montant disponible après retranchement de l'impôt sur le revenu. Ce taux a connu une flambée spectaculaire depuis le début des années 2000. Il est tout </w:t>
      </w:r>
      <w:r w:rsidR="00606453">
        <w:t>aussi</w:t>
      </w:r>
      <w:r w:rsidR="00050323">
        <w:t xml:space="preserve"> inquiétant (mais à l'essence de ce cercle vicieux) d'observer que le ratio du service de la dette a quant à lui diminué. En clair, les gens sont plus </w:t>
      </w:r>
      <w:r w:rsidR="00050323">
        <w:lastRenderedPageBreak/>
        <w:t>endettés, mais ils déboursent moins d'intérêts. L'élan de consommation est financé</w:t>
      </w:r>
      <w:r w:rsidR="002B61E4">
        <w:t xml:space="preserve"> par l</w:t>
      </w:r>
      <w:r w:rsidR="00EF6F10">
        <w:t>'endettement</w:t>
      </w:r>
      <w:r w:rsidR="002B61E4">
        <w:t>, à petit taux</w:t>
      </w:r>
      <w:r w:rsidR="00EF6F10">
        <w:t xml:space="preserve"> d'intérêt "abordable"</w:t>
      </w:r>
      <w:r w:rsidR="002B61E4">
        <w:t>, ce qui rendra la situation fort inconfortable pour bien des gens lorsqu'il y aura un réajustement à la hausse d</w:t>
      </w:r>
      <w:r w:rsidR="00EF6F10">
        <w:t>u taux directeur de la Banque du Canada</w:t>
      </w:r>
      <w:r w:rsidR="002B61E4">
        <w:t>.</w:t>
      </w:r>
      <w:r w:rsidR="00050323">
        <w:t xml:space="preserve">  </w:t>
      </w:r>
    </w:p>
    <w:p w14:paraId="663C4784" w14:textId="77777777" w:rsidR="002B61E4" w:rsidRDefault="002B61E4" w:rsidP="00585D14">
      <w:pPr>
        <w:jc w:val="both"/>
      </w:pPr>
    </w:p>
    <w:p w14:paraId="6E465ACB" w14:textId="560A2813" w:rsidR="00EF6F10" w:rsidRDefault="004D0804" w:rsidP="00585D14">
      <w:pPr>
        <w:jc w:val="both"/>
      </w:pPr>
      <w:r>
        <w:t xml:space="preserve">L'énoncé de la présidente du Mouvement Desjardins, Monique Leroux </w:t>
      </w:r>
      <w:r w:rsidR="00386E6C">
        <w:t>ainsi qu</w:t>
      </w:r>
      <w:r>
        <w:t>e l'évolution du ratio de la dette au revenu disponible des ménages canadiens s'av</w:t>
      </w:r>
      <w:r w:rsidR="00EF6F10">
        <w:t>è</w:t>
      </w:r>
      <w:r>
        <w:t>rent deux illustrations marquantes de la dépendance</w:t>
      </w:r>
      <w:r w:rsidR="00EF6F10">
        <w:t xml:space="preserve"> </w:t>
      </w:r>
      <w:r w:rsidR="00624917">
        <w:t xml:space="preserve">de la population envers le crédit. L'importance est telle qu'elle est impossible à ignorer pour une grande partie de la population, et à cet égard, des principes </w:t>
      </w:r>
      <w:r w:rsidR="00EF6F10">
        <w:t xml:space="preserve">et des habitudes </w:t>
      </w:r>
      <w:r w:rsidR="00624917">
        <w:t>de saine gestion de la dette se doivent d'être mis en oeuvre.</w:t>
      </w:r>
      <w:r w:rsidR="00EF6F10">
        <w:t xml:space="preserve"> </w:t>
      </w:r>
    </w:p>
    <w:p w14:paraId="148567B0" w14:textId="77777777" w:rsidR="00EF6F10" w:rsidRDefault="00EF6F10" w:rsidP="00585D14">
      <w:pPr>
        <w:jc w:val="both"/>
      </w:pPr>
    </w:p>
    <w:p w14:paraId="747A6086" w14:textId="5B6D2AA5" w:rsidR="00D238BF" w:rsidRDefault="00062A3F" w:rsidP="00783CA2">
      <w:pPr>
        <w:jc w:val="both"/>
      </w:pPr>
      <w:r>
        <w:rPr>
          <w:noProof/>
          <w:lang w:eastAsia="fr-FR"/>
        </w:rPr>
        <w:drawing>
          <wp:anchor distT="0" distB="0" distL="114300" distR="114300" simplePos="0" relativeHeight="252998656" behindDoc="1" locked="0" layoutInCell="1" allowOverlap="1" wp14:anchorId="4D7009DF" wp14:editId="0B309695">
            <wp:simplePos x="0" y="0"/>
            <wp:positionH relativeFrom="column">
              <wp:posOffset>2743200</wp:posOffset>
            </wp:positionH>
            <wp:positionV relativeFrom="paragraph">
              <wp:posOffset>3503295</wp:posOffset>
            </wp:positionV>
            <wp:extent cx="685800" cy="681990"/>
            <wp:effectExtent l="0" t="0" r="0" b="3810"/>
            <wp:wrapNone/>
            <wp:docPr id="694" name="Image 694" descr="Macintosh HD:Users:marcbachand:Desktop:Capture d’écran 2015-06-08 à 17.04.54.png">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F6F10">
        <w:t>L'épargne des gens doit être priorisée à son  endettement. Un constat facile</w:t>
      </w:r>
      <w:r w:rsidR="00606453">
        <w:t>,</w:t>
      </w:r>
      <w:r w:rsidR="00EF6F10">
        <w:t xml:space="preserve"> mais pénible à soutenir p</w:t>
      </w:r>
      <w:r w:rsidR="00AC073A">
        <w:t xml:space="preserve">our </w:t>
      </w:r>
      <w:r w:rsidR="005A762B">
        <w:t>plusieurs</w:t>
      </w:r>
      <w:r w:rsidR="00AC073A">
        <w:t>. Cette difficulté est à la fois comportementale (l'individu sait très bien ce qui devrait être fait, mais il est incapable d'y souscrire dans la vie quotidienne) et affaire de littératie financière (l'individu est dépassé par ce qui se passe et il n'arrive pas à comprendre les effets de ses actions sur sa situation financière à moyen</w:t>
      </w:r>
      <w:r w:rsidR="005A762B">
        <w:t xml:space="preserve"> et long</w:t>
      </w:r>
      <w:r w:rsidR="00AC073A">
        <w:t xml:space="preserve"> terme). L'usage du crédit est une affaire sérieuse qui doit faire l'objet d'une évaluation du </w:t>
      </w:r>
      <w:r w:rsidR="00326AC7" w:rsidRPr="00326AC7">
        <w:rPr>
          <w:color w:val="FF6700" w:themeColor="accent3"/>
        </w:rPr>
        <w:t>BESOIN</w:t>
      </w:r>
      <w:r w:rsidR="00AC073A">
        <w:t xml:space="preserve"> (de ce qui est financé), d</w:t>
      </w:r>
      <w:r w:rsidR="00326AC7">
        <w:t>'une détermination d</w:t>
      </w:r>
      <w:r w:rsidR="00AC073A">
        <w:t xml:space="preserve">es </w:t>
      </w:r>
      <w:r w:rsidR="00326AC7" w:rsidRPr="00326AC7">
        <w:rPr>
          <w:color w:val="FF6700" w:themeColor="accent3"/>
        </w:rPr>
        <w:t>MOYENS</w:t>
      </w:r>
      <w:r w:rsidR="00AC073A">
        <w:t xml:space="preserve"> (la capacité à acquérir le bien et </w:t>
      </w:r>
      <w:r w:rsidR="005A762B">
        <w:t xml:space="preserve">à </w:t>
      </w:r>
      <w:r w:rsidR="00AC073A">
        <w:t xml:space="preserve">soutenir la dette qui lui est </w:t>
      </w:r>
      <w:r w:rsidR="00326AC7">
        <w:t xml:space="preserve">juxtaposée) et </w:t>
      </w:r>
      <w:r w:rsidR="00AC073A">
        <w:t xml:space="preserve"> </w:t>
      </w:r>
      <w:r w:rsidR="00326AC7">
        <w:t xml:space="preserve">de la mise en place d'un </w:t>
      </w:r>
      <w:r w:rsidR="00326AC7" w:rsidRPr="00326AC7">
        <w:rPr>
          <w:color w:val="FF6700" w:themeColor="accent3"/>
        </w:rPr>
        <w:t>PLAN DE REMBOURSEMENT DE LA DETTE</w:t>
      </w:r>
      <w:r w:rsidR="00326AC7">
        <w:t xml:space="preserve"> (sans pour autant réduire l'épargne requise afin d'atteindre les objectifs de retraite).</w:t>
      </w:r>
      <w:r w:rsidR="00D90017">
        <w:t xml:space="preserve"> Ultimement, les gens consacrent une grande partie de leur vie active à générer des revenus par le travail, s'accorde</w:t>
      </w:r>
      <w:r w:rsidR="007A48B3">
        <w:t>nt</w:t>
      </w:r>
      <w:r w:rsidR="00D90017">
        <w:t xml:space="preserve"> une période de plus en plus courte</w:t>
      </w:r>
      <w:r w:rsidR="00606453">
        <w:t xml:space="preserve"> </w:t>
      </w:r>
      <w:r w:rsidR="00D90017">
        <w:t xml:space="preserve">avant de procéder à l'acquisition d'un bien ou d'un service d'une valeur appréciable et </w:t>
      </w:r>
      <w:r w:rsidR="007A48B3">
        <w:t>ne prennent à peu près pas le temps d'évaluer le financement de l'achat (ils prennent ce qui leur est offert). Or, dans notre société moderne, la dette est omniprésente dans les échanges commerciaux, ce qui en exige une gestion</w:t>
      </w:r>
      <w:r w:rsidR="005A762B">
        <w:t xml:space="preserve">, bien au-delà de l'improvisation habituelle. </w:t>
      </w:r>
      <w:r w:rsidR="00B15E80">
        <w:t>Cette gestion doit</w:t>
      </w:r>
      <w:r w:rsidR="005A762B">
        <w:t xml:space="preserve"> sollicit</w:t>
      </w:r>
      <w:r w:rsidR="00B15E80">
        <w:t>er</w:t>
      </w:r>
      <w:r w:rsidR="007A48B3">
        <w:t xml:space="preserve"> le temps, la perspicacité et les soins nécessaires à un usage responsable du crédit. </w:t>
      </w:r>
      <w:r w:rsidR="005A762B">
        <w:t xml:space="preserve">Le remède à la pensée magique de bien des gens en la matière sera la </w:t>
      </w:r>
      <w:r w:rsidR="005A762B" w:rsidRPr="005A762B">
        <w:rPr>
          <w:color w:val="FF6700" w:themeColor="accent3"/>
        </w:rPr>
        <w:t>PRÉPARATION ET LE SUIVI BUDGÉTAIRE</w:t>
      </w:r>
      <w:r w:rsidR="00B15E80">
        <w:rPr>
          <w:color w:val="FF6700" w:themeColor="accent3"/>
        </w:rPr>
        <w:t xml:space="preserve"> </w:t>
      </w:r>
      <w:r w:rsidR="00B15E80" w:rsidRPr="00B15E80">
        <w:t>de leurs affaires personnelles</w:t>
      </w:r>
      <w:r w:rsidR="005A762B">
        <w:t>.</w:t>
      </w:r>
      <w:r w:rsidR="00B15E80">
        <w:t xml:space="preserve"> Sans quoi, plus que tout, l'endettement constituera le frein le plus important à l'épargne.</w:t>
      </w:r>
      <w:r w:rsidR="00F20C6B">
        <w:t xml:space="preserve"> Nous avons choisi de ne pas aborder le sujet de </w:t>
      </w:r>
      <w:r w:rsidR="00680738">
        <w:t>la faillite et des propositions concordataires qui</w:t>
      </w:r>
      <w:r>
        <w:t xml:space="preserve">, en dernier recours, </w:t>
      </w:r>
      <w:r w:rsidR="00680738">
        <w:t xml:space="preserve">peuvent s'offrir comme seule solution à des gens qui n'auront pas su gérer leur endettement. Ce sujet est néanmoins pertinent, </w:t>
      </w:r>
      <w:r w:rsidR="002D52B9">
        <w:t xml:space="preserve">et </w:t>
      </w:r>
      <w:r w:rsidR="00F63747">
        <w:t>pour ceux qui s'y intéresse</w:t>
      </w:r>
      <w:r w:rsidR="00606453">
        <w:t>nt</w:t>
      </w:r>
      <w:r w:rsidR="00F63747">
        <w:t xml:space="preserve">, nous vous proposons </w:t>
      </w:r>
      <w:r w:rsidR="002D52B9">
        <w:t xml:space="preserve">d'explorer </w:t>
      </w:r>
      <w:r w:rsidR="0009653E">
        <w:t>le site de Raymond Chabot - Conseillers en redressement financier.</w:t>
      </w:r>
    </w:p>
    <w:p w14:paraId="3D328A77" w14:textId="0BB7AEB5" w:rsidR="00062A3F" w:rsidRDefault="00062A3F" w:rsidP="00783CA2">
      <w:pPr>
        <w:jc w:val="both"/>
      </w:pPr>
    </w:p>
    <w:p w14:paraId="66B38861" w14:textId="2E90F2A5" w:rsidR="00062A3F" w:rsidRPr="00062A3F" w:rsidRDefault="00573C95" w:rsidP="00783CA2">
      <w:pPr>
        <w:jc w:val="both"/>
        <w:rPr>
          <w:color w:val="FF6700" w:themeColor="accent3"/>
        </w:rPr>
      </w:pPr>
      <w:hyperlink r:id="rId161" w:history="1">
        <w:r w:rsidR="00062A3F" w:rsidRPr="00062A3F">
          <w:rPr>
            <w:rStyle w:val="Lienhypertexte"/>
            <w:color w:val="FF6700" w:themeColor="accent3"/>
          </w:rPr>
          <w:t>Conseils en redressement financier</w:t>
        </w:r>
      </w:hyperlink>
    </w:p>
    <w:p w14:paraId="6D63817F" w14:textId="0878DCD5" w:rsidR="00783CA2" w:rsidRDefault="00B15E80" w:rsidP="00783CA2">
      <w:pPr>
        <w:jc w:val="both"/>
      </w:pPr>
      <w:r>
        <w:lastRenderedPageBreak/>
        <w:t>Maintenant, nous aborderons trois concepts</w:t>
      </w:r>
      <w:r>
        <w:rPr>
          <w:rStyle w:val="Marquenotebasdepage"/>
        </w:rPr>
        <w:footnoteReference w:customMarkFollows="1" w:id="79"/>
        <w:t>76</w:t>
      </w:r>
      <w:r>
        <w:t xml:space="preserve"> qui nous</w:t>
      </w:r>
      <w:r w:rsidR="00D238BF">
        <w:t xml:space="preserve"> </w:t>
      </w:r>
      <w:proofErr w:type="gramStart"/>
      <w:r>
        <w:t>ap</w:t>
      </w:r>
      <w:r w:rsidR="000F5DA2">
        <w:t>p</w:t>
      </w:r>
      <w:r>
        <w:t>araissent</w:t>
      </w:r>
      <w:proofErr w:type="gramEnd"/>
      <w:r w:rsidR="00D238BF">
        <w:t xml:space="preserve"> </w:t>
      </w:r>
      <w:r>
        <w:t>comme des composantes importantes de la bonne gestion de la dette.</w:t>
      </w:r>
      <w:r w:rsidR="00D238BF">
        <w:t xml:space="preserve"> Soit, les </w:t>
      </w:r>
      <w:r w:rsidR="00D238BF" w:rsidRPr="00D238BF">
        <w:rPr>
          <w:u w:val="single"/>
        </w:rPr>
        <w:t>effets malveillants</w:t>
      </w:r>
      <w:r w:rsidR="00D238BF">
        <w:t xml:space="preserve"> de la marge de crédit hypothécaire, le </w:t>
      </w:r>
      <w:r w:rsidR="00D238BF" w:rsidRPr="00D238BF">
        <w:rPr>
          <w:u w:val="single"/>
        </w:rPr>
        <w:t>véritable coût</w:t>
      </w:r>
      <w:r w:rsidR="00D238BF">
        <w:t xml:space="preserve"> d'une dette et les dangers de laisser les institutions financières définir, à votre place, </w:t>
      </w:r>
      <w:r w:rsidR="00D238BF" w:rsidRPr="00D238BF">
        <w:rPr>
          <w:u w:val="single"/>
        </w:rPr>
        <w:t>votre capacité d'emprunt</w:t>
      </w:r>
      <w:r w:rsidR="00D238BF">
        <w:t>.</w:t>
      </w:r>
    </w:p>
    <w:p w14:paraId="5C55053F" w14:textId="118B3A92" w:rsidR="00D238BF" w:rsidRDefault="00062A3F" w:rsidP="00062A3F">
      <w:pPr>
        <w:tabs>
          <w:tab w:val="left" w:pos="1049"/>
        </w:tabs>
      </w:pPr>
      <w:r>
        <w:tab/>
      </w:r>
    </w:p>
    <w:p w14:paraId="6E678D85" w14:textId="448CF54F" w:rsidR="002F4BC2" w:rsidRDefault="002F4BC2" w:rsidP="006C34CF">
      <w:pPr>
        <w:pStyle w:val="Titre3"/>
        <w:numPr>
          <w:ilvl w:val="2"/>
          <w:numId w:val="100"/>
        </w:numPr>
      </w:pPr>
      <w:bookmarkStart w:id="148" w:name="_Toc314397881"/>
      <w:bookmarkStart w:id="149" w:name="_Toc443569425"/>
      <w:r>
        <w:t>Marge de crédit hypothécaire et consolidation de dettes</w:t>
      </w:r>
      <w:bookmarkEnd w:id="148"/>
      <w:bookmarkEnd w:id="149"/>
    </w:p>
    <w:p w14:paraId="1CA9F55B" w14:textId="77777777" w:rsidR="007F4228" w:rsidRDefault="007F4228" w:rsidP="00BE064B"/>
    <w:p w14:paraId="771F6A4E" w14:textId="11BC6185" w:rsidR="00BE064B" w:rsidRDefault="00BE064B" w:rsidP="00BE064B">
      <w:r>
        <w:t>Comme le démontr</w:t>
      </w:r>
      <w:r w:rsidR="0032055B">
        <w:t>eront</w:t>
      </w:r>
      <w:r>
        <w:t xml:space="preserve"> les deux prochains graphiques, les ménages canadiens ont:</w:t>
      </w:r>
    </w:p>
    <w:p w14:paraId="71FD1FB5" w14:textId="77777777" w:rsidR="003911D8" w:rsidRDefault="003911D8" w:rsidP="00BE064B"/>
    <w:p w14:paraId="43A77B4D" w14:textId="77777777" w:rsidR="007F4228" w:rsidRDefault="007F4228" w:rsidP="00BE064B"/>
    <w:p w14:paraId="13FCD0EF" w14:textId="42DAC0CB" w:rsidR="00BE064B" w:rsidRDefault="00BE064B" w:rsidP="006C34CF">
      <w:pPr>
        <w:pStyle w:val="Paragraphedeliste"/>
        <w:numPr>
          <w:ilvl w:val="0"/>
          <w:numId w:val="102"/>
        </w:numPr>
      </w:pPr>
      <w:r>
        <w:t xml:space="preserve">Augmenté considérablement le niveau de </w:t>
      </w:r>
      <w:r w:rsidR="00CE0180">
        <w:t>leur</w:t>
      </w:r>
      <w:r>
        <w:t xml:space="preserve"> endettement dans son ensemble</w:t>
      </w:r>
      <w:r w:rsidR="007E03FE">
        <w:t>.</w:t>
      </w:r>
    </w:p>
    <w:p w14:paraId="6007055C" w14:textId="77777777" w:rsidR="00BE064B" w:rsidRDefault="00BE064B" w:rsidP="00BE064B"/>
    <w:p w14:paraId="28389E55" w14:textId="77777777" w:rsidR="007F4228" w:rsidRDefault="007F4228" w:rsidP="00BE064B"/>
    <w:p w14:paraId="5249C9F3" w14:textId="31BE8966" w:rsidR="0000505B" w:rsidRDefault="00BE064B" w:rsidP="006C34CF">
      <w:pPr>
        <w:pStyle w:val="Paragraphedeliste"/>
        <w:numPr>
          <w:ilvl w:val="0"/>
          <w:numId w:val="102"/>
        </w:numPr>
      </w:pPr>
      <w:r>
        <w:t xml:space="preserve">Augmenté </w:t>
      </w:r>
      <w:r w:rsidR="0000505B">
        <w:t>le</w:t>
      </w:r>
      <w:r>
        <w:t xml:space="preserve"> niveau</w:t>
      </w:r>
      <w:r w:rsidR="0000505B">
        <w:t xml:space="preserve"> de </w:t>
      </w:r>
      <w:r w:rsidR="00CE0180">
        <w:t>leur</w:t>
      </w:r>
      <w:r w:rsidR="0000505B">
        <w:t xml:space="preserve"> endettement à la consommation.</w:t>
      </w:r>
    </w:p>
    <w:p w14:paraId="585A35F5" w14:textId="77777777" w:rsidR="0000505B" w:rsidRDefault="0000505B" w:rsidP="0000505B"/>
    <w:p w14:paraId="1F1EE831" w14:textId="77777777" w:rsidR="007F4228" w:rsidRDefault="007F4228" w:rsidP="0000505B"/>
    <w:p w14:paraId="7036AB00" w14:textId="3C928B2E" w:rsidR="0000505B" w:rsidRDefault="0000505B" w:rsidP="006C34CF">
      <w:pPr>
        <w:pStyle w:val="Paragraphedeliste"/>
        <w:numPr>
          <w:ilvl w:val="0"/>
          <w:numId w:val="102"/>
        </w:numPr>
      </w:pPr>
      <w:r>
        <w:t xml:space="preserve">Augmenté, depuis le milieu des années 1995, l'importance de </w:t>
      </w:r>
      <w:r w:rsidR="00CE0180">
        <w:t xml:space="preserve">leur </w:t>
      </w:r>
      <w:r>
        <w:t xml:space="preserve">endettement à la consommation comparativement à </w:t>
      </w:r>
      <w:r w:rsidR="00CE0180">
        <w:t>leur</w:t>
      </w:r>
      <w:r>
        <w:t xml:space="preserve"> endettement hypothécaire.</w:t>
      </w:r>
    </w:p>
    <w:p w14:paraId="68F31FE5" w14:textId="77777777" w:rsidR="0000505B" w:rsidRDefault="0000505B" w:rsidP="0000505B"/>
    <w:p w14:paraId="7FBE53F3" w14:textId="77777777" w:rsidR="007F4228" w:rsidRDefault="007F4228" w:rsidP="0000505B"/>
    <w:p w14:paraId="08658726" w14:textId="4E8CCCDC" w:rsidR="00BE064B" w:rsidRDefault="00BE064B" w:rsidP="006C34CF">
      <w:pPr>
        <w:pStyle w:val="Paragraphedeliste"/>
        <w:numPr>
          <w:ilvl w:val="0"/>
          <w:numId w:val="102"/>
        </w:numPr>
      </w:pPr>
      <w:r>
        <w:t xml:space="preserve"> </w:t>
      </w:r>
      <w:r w:rsidR="007E03FE">
        <w:t>Augmenté le poids de la marge de crédit personnelle garantie comparativement à l'ensemble des crédits à la consommation.</w:t>
      </w:r>
    </w:p>
    <w:p w14:paraId="4811B1A6" w14:textId="77777777" w:rsidR="003911D8" w:rsidRDefault="003911D8" w:rsidP="0032055B">
      <w:pPr>
        <w:jc w:val="both"/>
        <w:rPr>
          <w:color w:val="FF6700" w:themeColor="accent3"/>
        </w:rPr>
      </w:pPr>
    </w:p>
    <w:p w14:paraId="71CDBC1F" w14:textId="77777777" w:rsidR="003911D8" w:rsidRDefault="003911D8" w:rsidP="0032055B">
      <w:pPr>
        <w:jc w:val="both"/>
        <w:rPr>
          <w:color w:val="FF6700" w:themeColor="accent3"/>
        </w:rPr>
      </w:pPr>
    </w:p>
    <w:p w14:paraId="7CB6DAF2" w14:textId="77777777" w:rsidR="003911D8" w:rsidRDefault="003911D8" w:rsidP="0032055B">
      <w:pPr>
        <w:jc w:val="both"/>
        <w:rPr>
          <w:color w:val="FF6700" w:themeColor="accent3"/>
        </w:rPr>
      </w:pPr>
    </w:p>
    <w:p w14:paraId="0DFA6AE1" w14:textId="77777777" w:rsidR="003911D8" w:rsidRDefault="003911D8" w:rsidP="0032055B">
      <w:pPr>
        <w:jc w:val="both"/>
        <w:rPr>
          <w:color w:val="FF6700" w:themeColor="accent3"/>
        </w:rPr>
      </w:pPr>
    </w:p>
    <w:p w14:paraId="5AE3020B" w14:textId="77777777" w:rsidR="003911D8" w:rsidRDefault="003911D8" w:rsidP="0032055B">
      <w:pPr>
        <w:jc w:val="both"/>
        <w:rPr>
          <w:color w:val="FF6700" w:themeColor="accent3"/>
        </w:rPr>
      </w:pPr>
    </w:p>
    <w:p w14:paraId="151409F1" w14:textId="77777777" w:rsidR="003911D8" w:rsidRDefault="003911D8" w:rsidP="0032055B">
      <w:pPr>
        <w:jc w:val="both"/>
        <w:rPr>
          <w:color w:val="FF6700" w:themeColor="accent3"/>
        </w:rPr>
      </w:pPr>
    </w:p>
    <w:p w14:paraId="3CCE2430" w14:textId="77777777" w:rsidR="003911D8" w:rsidRDefault="003911D8" w:rsidP="0032055B">
      <w:pPr>
        <w:jc w:val="both"/>
        <w:rPr>
          <w:color w:val="FF6700" w:themeColor="accent3"/>
        </w:rPr>
      </w:pPr>
    </w:p>
    <w:p w14:paraId="4B4F23C6" w14:textId="77777777" w:rsidR="003911D8" w:rsidRDefault="003911D8" w:rsidP="0032055B">
      <w:pPr>
        <w:jc w:val="both"/>
        <w:rPr>
          <w:color w:val="FF6700" w:themeColor="accent3"/>
        </w:rPr>
      </w:pPr>
    </w:p>
    <w:p w14:paraId="2DB5E051" w14:textId="423DDCA8" w:rsidR="0032055B" w:rsidRDefault="0032055B" w:rsidP="0032055B">
      <w:pPr>
        <w:jc w:val="both"/>
        <w:rPr>
          <w:color w:val="FF6700" w:themeColor="accent3"/>
        </w:rPr>
      </w:pPr>
      <w:r>
        <w:rPr>
          <w:color w:val="FF6700" w:themeColor="accent3"/>
        </w:rPr>
        <w:lastRenderedPageBreak/>
        <w:t xml:space="preserve">IMAGE 7-19 Ratio de la dette des ménages (crédit hypothécaire et crédit à la consommation) </w:t>
      </w:r>
      <w:r w:rsidR="003911D8">
        <w:rPr>
          <w:rStyle w:val="Marquenotebasdepage"/>
          <w:color w:val="FF6700" w:themeColor="accent3"/>
        </w:rPr>
        <w:footnoteReference w:customMarkFollows="1" w:id="80"/>
        <w:t>77</w:t>
      </w:r>
    </w:p>
    <w:p w14:paraId="38F45DB9" w14:textId="76EFDC0D" w:rsidR="0032055B" w:rsidRDefault="007F4228">
      <w:r>
        <w:rPr>
          <w:noProof/>
          <w:lang w:eastAsia="fr-FR"/>
        </w:rPr>
        <w:drawing>
          <wp:anchor distT="0" distB="0" distL="114300" distR="114300" simplePos="0" relativeHeight="253000704" behindDoc="0" locked="0" layoutInCell="1" allowOverlap="1" wp14:anchorId="3D2B902B" wp14:editId="70117668">
            <wp:simplePos x="0" y="0"/>
            <wp:positionH relativeFrom="column">
              <wp:posOffset>-228600</wp:posOffset>
            </wp:positionH>
            <wp:positionV relativeFrom="paragraph">
              <wp:posOffset>41910</wp:posOffset>
            </wp:positionV>
            <wp:extent cx="5371465" cy="2285365"/>
            <wp:effectExtent l="0" t="0" r="0" b="635"/>
            <wp:wrapNone/>
            <wp:docPr id="696" name="Image 696" descr="Macintosh HD:Users:marcbachand:Desktop:Capture d’écran 2015-11-26 à 13.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1-26 à 13.01.08.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71465" cy="22853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08BC51" w14:textId="3E845CFB" w:rsidR="0000505B" w:rsidRDefault="0000505B"/>
    <w:p w14:paraId="41F54F67" w14:textId="670F5B80" w:rsidR="007E03FE" w:rsidRDefault="007E03FE"/>
    <w:p w14:paraId="0D8046A0" w14:textId="77777777" w:rsidR="007E03FE" w:rsidRDefault="007E03FE"/>
    <w:p w14:paraId="0D22323C" w14:textId="7F01E43B" w:rsidR="007E03FE" w:rsidRDefault="007E03FE"/>
    <w:p w14:paraId="73EDCD8F" w14:textId="77777777" w:rsidR="007E03FE" w:rsidRDefault="007E03FE"/>
    <w:p w14:paraId="04F3D5C6" w14:textId="77777777" w:rsidR="007E03FE" w:rsidRDefault="007E03FE"/>
    <w:p w14:paraId="195CB2EC" w14:textId="77777777" w:rsidR="007E03FE" w:rsidRDefault="007E03FE"/>
    <w:p w14:paraId="51D244B3" w14:textId="77777777" w:rsidR="003911D8" w:rsidRDefault="003911D8"/>
    <w:p w14:paraId="0AA265AA" w14:textId="11593240" w:rsidR="003911D8" w:rsidRDefault="003911D8"/>
    <w:p w14:paraId="1322EE0C" w14:textId="6ED621B5" w:rsidR="003911D8" w:rsidRDefault="003911D8"/>
    <w:p w14:paraId="3E12FA2E" w14:textId="42CD3EF9" w:rsidR="003911D8" w:rsidRDefault="003911D8"/>
    <w:p w14:paraId="26D48D8F" w14:textId="11337078" w:rsidR="003911D8" w:rsidRDefault="003911D8"/>
    <w:p w14:paraId="4F97D731" w14:textId="63FDF74E" w:rsidR="0032055B" w:rsidRDefault="00440B18" w:rsidP="0032055B">
      <w:pPr>
        <w:jc w:val="both"/>
        <w:rPr>
          <w:color w:val="FF6700" w:themeColor="accent3"/>
        </w:rPr>
      </w:pPr>
      <w:r>
        <w:rPr>
          <w:noProof/>
          <w:lang w:eastAsia="fr-FR"/>
        </w:rPr>
        <mc:AlternateContent>
          <mc:Choice Requires="wps">
            <w:drawing>
              <wp:anchor distT="0" distB="0" distL="114300" distR="114300" simplePos="0" relativeHeight="253002752" behindDoc="0" locked="0" layoutInCell="1" allowOverlap="1" wp14:anchorId="65D272F8" wp14:editId="0A39F67B">
                <wp:simplePos x="0" y="0"/>
                <wp:positionH relativeFrom="column">
                  <wp:posOffset>2057400</wp:posOffset>
                </wp:positionH>
                <wp:positionV relativeFrom="paragraph">
                  <wp:posOffset>241300</wp:posOffset>
                </wp:positionV>
                <wp:extent cx="1371600" cy="228600"/>
                <wp:effectExtent l="50800" t="76200" r="50800" b="76200"/>
                <wp:wrapNone/>
                <wp:docPr id="697" name="Rectangle 697"/>
                <wp:cNvGraphicFramePr/>
                <a:graphic xmlns:a="http://schemas.openxmlformats.org/drawingml/2006/main">
                  <a:graphicData uri="http://schemas.microsoft.com/office/word/2010/wordprocessingShape">
                    <wps:wsp>
                      <wps:cNvSpPr/>
                      <wps:spPr>
                        <a:xfrm>
                          <a:off x="0" y="0"/>
                          <a:ext cx="1371600" cy="228600"/>
                        </a:xfrm>
                        <a:prstGeom prst="rect">
                          <a:avLst/>
                        </a:prstGeom>
                        <a:solidFill>
                          <a:schemeClr val="bg1"/>
                        </a:solidFill>
                        <a:ln>
                          <a:no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id="Rectangle 697" o:spid="_x0000_s1026" style="position:absolute;margin-left:162pt;margin-top:19pt;width:108pt;height:18pt;z-index:2530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" fillcolor="white [3212]" stroked="f"/>
            </w:pict>
          </mc:Fallback>
        </mc:AlternateContent>
      </w:r>
      <w:r>
        <w:rPr>
          <w:noProof/>
          <w:lang w:eastAsia="fr-FR"/>
        </w:rPr>
        <w:drawing>
          <wp:anchor distT="0" distB="0" distL="114300" distR="114300" simplePos="0" relativeHeight="252999680" behindDoc="0" locked="0" layoutInCell="1" allowOverlap="1" wp14:anchorId="6B305A7E" wp14:editId="210560AD">
            <wp:simplePos x="0" y="0"/>
            <wp:positionH relativeFrom="column">
              <wp:posOffset>2286000</wp:posOffset>
            </wp:positionH>
            <wp:positionV relativeFrom="paragraph">
              <wp:posOffset>241300</wp:posOffset>
            </wp:positionV>
            <wp:extent cx="6286500" cy="2514600"/>
            <wp:effectExtent l="0" t="0" r="12700" b="0"/>
            <wp:wrapNone/>
            <wp:docPr id="695" name="Image 695" descr="Macintosh HD:Users:marcbachand:Desktop:Capture d’écran 2015-11-26 à 12.5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1-26 à 12.57.41.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286500" cy="25146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2055B">
        <w:rPr>
          <w:color w:val="FF6700" w:themeColor="accent3"/>
        </w:rPr>
        <w:t>IMAGE 7-</w:t>
      </w:r>
      <w:r w:rsidR="003911D8">
        <w:rPr>
          <w:color w:val="FF6700" w:themeColor="accent3"/>
        </w:rPr>
        <w:t>20</w:t>
      </w:r>
      <w:r w:rsidR="0032055B">
        <w:rPr>
          <w:color w:val="FF6700" w:themeColor="accent3"/>
        </w:rPr>
        <w:t xml:space="preserve"> Pourcentage des lignes de crédit personnelles garanties en proportion de l'ensemble des crédits à la consommation </w:t>
      </w:r>
      <w:r w:rsidR="003911D8" w:rsidRPr="003911D8">
        <w:rPr>
          <w:color w:val="FF6700" w:themeColor="accent3"/>
          <w:vertAlign w:val="superscript"/>
        </w:rPr>
        <w:t>77</w:t>
      </w:r>
    </w:p>
    <w:p w14:paraId="112FC18B" w14:textId="0687A7E2" w:rsidR="007E03FE" w:rsidRDefault="007E03FE"/>
    <w:p w14:paraId="7020AC50" w14:textId="77777777" w:rsidR="007E03FE" w:rsidRDefault="007E03FE"/>
    <w:p w14:paraId="307F6975" w14:textId="4F50C53B" w:rsidR="007E03FE" w:rsidRDefault="007E03FE"/>
    <w:p w14:paraId="22FD72AA" w14:textId="2909EC8A" w:rsidR="007E03FE" w:rsidRDefault="007E03FE"/>
    <w:p w14:paraId="7024B055" w14:textId="77777777" w:rsidR="007E03FE" w:rsidRDefault="007E03FE"/>
    <w:p w14:paraId="4A8D9F25" w14:textId="77777777" w:rsidR="007E03FE" w:rsidRDefault="007E03FE"/>
    <w:p w14:paraId="68E08169" w14:textId="7253A224" w:rsidR="0000505B" w:rsidRDefault="0000505B">
      <w:r>
        <w:br w:type="page"/>
      </w:r>
    </w:p>
    <w:p w14:paraId="733D77A8" w14:textId="18244E03" w:rsidR="00440B18" w:rsidRDefault="00440B18"/>
    <w:p w14:paraId="793A8B5F" w14:textId="17FB82D9" w:rsidR="00842A48" w:rsidRDefault="00463EAB" w:rsidP="000308E2">
      <w:pPr>
        <w:jc w:val="both"/>
      </w:pPr>
      <w:r>
        <w:t>La marge hypothécaire a donc pris un espace très important dans le montage financier des ménages canadiens</w:t>
      </w:r>
      <w:r w:rsidR="000308E2">
        <w:t xml:space="preserve"> (environ 50 % des prêts à la conso</w:t>
      </w:r>
      <w:r w:rsidR="00AF39CA">
        <w:t>m</w:t>
      </w:r>
      <w:r w:rsidR="000308E2">
        <w:t>mation).</w:t>
      </w:r>
      <w:r>
        <w:t xml:space="preserve"> </w:t>
      </w:r>
      <w:r w:rsidR="00F36420">
        <w:t>Cette popularité s’est forgée une place de choix auprès des débiteurs en se posant à titre d’alternative aux marges de crédit non garanti</w:t>
      </w:r>
      <w:r w:rsidR="005830CB">
        <w:t>es</w:t>
      </w:r>
      <w:r w:rsidR="00F36420">
        <w:t xml:space="preserve"> (qui </w:t>
      </w:r>
      <w:r w:rsidR="005830CB">
        <w:t xml:space="preserve">ont </w:t>
      </w:r>
      <w:r w:rsidR="00F36420">
        <w:t>des soldes autorisée</w:t>
      </w:r>
      <w:r w:rsidR="005830CB">
        <w:t>s habituellement fixes et de valeur moindre)</w:t>
      </w:r>
      <w:r w:rsidR="00F36420">
        <w:t xml:space="preserve"> </w:t>
      </w:r>
      <w:r w:rsidR="005830CB">
        <w:t xml:space="preserve">et aux  prêts personnels (qui ont le mérite de forcer le remboursement selon des modalités linéaires établies d’avance). </w:t>
      </w:r>
      <w:r w:rsidR="00F249EB">
        <w:t>La marge de crédit</w:t>
      </w:r>
      <w:r w:rsidR="00842A48">
        <w:t xml:space="preserve"> hypothécaire</w:t>
      </w:r>
      <w:r w:rsidR="00F249EB">
        <w:t xml:space="preserve"> a donc essentiellement deux pièges et un avantage. </w:t>
      </w:r>
    </w:p>
    <w:p w14:paraId="66860488" w14:textId="45C46A98" w:rsidR="00A844B6" w:rsidRDefault="00A844B6" w:rsidP="000308E2">
      <w:pPr>
        <w:jc w:val="both"/>
      </w:pPr>
      <w:r>
        <w:rPr>
          <w:noProof/>
          <w:lang w:eastAsia="fr-FR"/>
        </w:rPr>
        <mc:AlternateContent>
          <mc:Choice Requires="wps">
            <w:drawing>
              <wp:anchor distT="0" distB="0" distL="114300" distR="114300" simplePos="0" relativeHeight="253011968" behindDoc="0" locked="0" layoutInCell="1" allowOverlap="1" wp14:anchorId="4F01085C" wp14:editId="71825384">
                <wp:simplePos x="0" y="0"/>
                <wp:positionH relativeFrom="column">
                  <wp:posOffset>-571500</wp:posOffset>
                </wp:positionH>
                <wp:positionV relativeFrom="paragraph">
                  <wp:posOffset>177800</wp:posOffset>
                </wp:positionV>
                <wp:extent cx="1257300" cy="1257300"/>
                <wp:effectExtent l="76200" t="76200" r="63500" b="63500"/>
                <wp:wrapNone/>
                <wp:docPr id="734" name="Ellipse 734"/>
                <wp:cNvGraphicFramePr/>
                <a:graphic xmlns:a="http://schemas.openxmlformats.org/drawingml/2006/main">
                  <a:graphicData uri="http://schemas.microsoft.com/office/word/2010/wordprocessingShape">
                    <wps:wsp>
                      <wps:cNvSpPr/>
                      <wps:spPr>
                        <a:xfrm>
                          <a:off x="0" y="0"/>
                          <a:ext cx="1257300" cy="1257300"/>
                        </a:xfrm>
                        <a:prstGeom prst="ellipse">
                          <a:avLst/>
                        </a:prstGeom>
                        <a:solidFill>
                          <a:schemeClr val="accent4"/>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2EAF86C" w14:textId="3CB38E9E" w:rsidR="00573C95" w:rsidRPr="00980515" w:rsidRDefault="00573C95" w:rsidP="00A844B6">
                            <w:pPr>
                              <w:jc w:val="center"/>
                              <w:rPr>
                                <w:color w:val="000000" w:themeColor="text1"/>
                                <w:sz w:val="22"/>
                                <w:szCs w:val="22"/>
                              </w:rPr>
                            </w:pPr>
                            <w:r w:rsidRPr="00980515">
                              <w:rPr>
                                <w:color w:val="000000" w:themeColor="text1"/>
                                <w:sz w:val="22"/>
                                <w:szCs w:val="22"/>
                              </w:rPr>
                              <w:t>Pièges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34" o:spid="_x0000_s1486" style="position:absolute;left:0;text-align:left;margin-left:-44.95pt;margin-top:14pt;width:99pt;height:99pt;z-index:2530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" fillcolor="#909465 [3207]">
                <v:textbox>
                  <w:txbxContent>
                    <w:p w14:paraId="42EAF86C" w14:textId="3CB38E9E" w:rsidR="001501D6" w:rsidRPr="00980515" w:rsidRDefault="001501D6" w:rsidP="00A844B6">
                      <w:pPr>
                        <w:jc w:val="center"/>
                        <w:rPr>
                          <w:color w:val="000000" w:themeColor="text1"/>
                          <w:sz w:val="22"/>
                          <w:szCs w:val="22"/>
                        </w:rPr>
                      </w:pPr>
                      <w:r w:rsidRPr="00980515">
                        <w:rPr>
                          <w:color w:val="000000" w:themeColor="text1"/>
                          <w:sz w:val="22"/>
                          <w:szCs w:val="22"/>
                        </w:rPr>
                        <w:t>Pièges</w:t>
                      </w:r>
                    </w:p>
                  </w:txbxContent>
                </v:textbox>
              </v:oval>
            </w:pict>
          </mc:Fallback>
        </mc:AlternateContent>
      </w:r>
    </w:p>
    <w:p w14:paraId="3E68C3ED" w14:textId="1076B273" w:rsidR="00A844B6" w:rsidRDefault="00A844B6" w:rsidP="000308E2">
      <w:pPr>
        <w:jc w:val="both"/>
      </w:pPr>
      <w:r>
        <w:rPr>
          <w:noProof/>
          <w:lang w:eastAsia="fr-FR"/>
        </w:rPr>
        <mc:AlternateContent>
          <mc:Choice Requires="wps">
            <w:drawing>
              <wp:anchor distT="0" distB="0" distL="114300" distR="114300" simplePos="0" relativeHeight="253009920" behindDoc="0" locked="0" layoutInCell="1" allowOverlap="1" wp14:anchorId="7BB90297" wp14:editId="34A895A8">
                <wp:simplePos x="0" y="0"/>
                <wp:positionH relativeFrom="column">
                  <wp:posOffset>4686300</wp:posOffset>
                </wp:positionH>
                <wp:positionV relativeFrom="paragraph">
                  <wp:posOffset>105410</wp:posOffset>
                </wp:positionV>
                <wp:extent cx="1257300" cy="1257300"/>
                <wp:effectExtent l="76200" t="76200" r="63500" b="63500"/>
                <wp:wrapThrough wrapText="bothSides">
                  <wp:wrapPolygon edited="0">
                    <wp:start x="5673" y="-1309"/>
                    <wp:lineTo x="-1309" y="-436"/>
                    <wp:lineTo x="-1309" y="15273"/>
                    <wp:lineTo x="5673" y="22255"/>
                    <wp:lineTo x="15273" y="22255"/>
                    <wp:lineTo x="17891" y="20509"/>
                    <wp:lineTo x="22255" y="13964"/>
                    <wp:lineTo x="22255" y="5673"/>
                    <wp:lineTo x="15273" y="-1309"/>
                    <wp:lineTo x="5673" y="-1309"/>
                  </wp:wrapPolygon>
                </wp:wrapThrough>
                <wp:docPr id="733" name="Ellipse 733"/>
                <wp:cNvGraphicFramePr/>
                <a:graphic xmlns:a="http://schemas.openxmlformats.org/drawingml/2006/main">
                  <a:graphicData uri="http://schemas.microsoft.com/office/word/2010/wordprocessingShape">
                    <wps:wsp>
                      <wps:cNvSpPr/>
                      <wps:spPr>
                        <a:xfrm>
                          <a:off x="0" y="0"/>
                          <a:ext cx="1257300" cy="1257300"/>
                        </a:xfrm>
                        <a:prstGeom prst="ellipse">
                          <a:avLst/>
                        </a:prstGeom>
                        <a:solidFill>
                          <a:schemeClr val="accent4"/>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28B0545" w14:textId="3CAB9FF6" w:rsidR="00573C95" w:rsidRPr="00980515" w:rsidRDefault="00573C95" w:rsidP="00A844B6">
                            <w:pPr>
                              <w:jc w:val="center"/>
                              <w:rPr>
                                <w:color w:val="000000" w:themeColor="text1"/>
                                <w:sz w:val="22"/>
                                <w:szCs w:val="22"/>
                              </w:rPr>
                            </w:pPr>
                            <w:r w:rsidRPr="00980515">
                              <w:rPr>
                                <w:color w:val="000000" w:themeColor="text1"/>
                                <w:sz w:val="22"/>
                                <w:szCs w:val="22"/>
                              </w:rPr>
                              <w:t>Avantage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33" o:spid="_x0000_s1487" style="position:absolute;left:0;text-align:left;margin-left:369pt;margin-top:8.3pt;width:99pt;height:99pt;z-index:2530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" fillcolor="#909465 [3207]">
                <v:textbox>
                  <w:txbxContent>
                    <w:p w14:paraId="028B0545" w14:textId="3CAB9FF6" w:rsidR="001501D6" w:rsidRPr="00980515" w:rsidRDefault="001501D6" w:rsidP="00A844B6">
                      <w:pPr>
                        <w:jc w:val="center"/>
                        <w:rPr>
                          <w:color w:val="000000" w:themeColor="text1"/>
                          <w:sz w:val="22"/>
                          <w:szCs w:val="22"/>
                        </w:rPr>
                      </w:pPr>
                      <w:r w:rsidRPr="00980515">
                        <w:rPr>
                          <w:color w:val="000000" w:themeColor="text1"/>
                          <w:sz w:val="22"/>
                          <w:szCs w:val="22"/>
                        </w:rPr>
                        <w:t>Avantage</w:t>
                      </w:r>
                    </w:p>
                  </w:txbxContent>
                </v:textbox>
                <w10:wrap type="through"/>
              </v:oval>
            </w:pict>
          </mc:Fallback>
        </mc:AlternateContent>
      </w:r>
    </w:p>
    <w:p w14:paraId="538FB060" w14:textId="16E41CE3" w:rsidR="00AA4BF4" w:rsidRDefault="00A844B6" w:rsidP="000308E2">
      <w:pPr>
        <w:jc w:val="both"/>
        <w:rPr>
          <w:noProof/>
        </w:rPr>
      </w:pPr>
      <w:r>
        <w:rPr>
          <w:noProof/>
          <w:lang w:eastAsia="fr-FR"/>
        </w:rPr>
        <mc:AlternateContent>
          <mc:Choice Requires="wps">
            <w:drawing>
              <wp:anchor distT="0" distB="0" distL="114300" distR="114300" simplePos="0" relativeHeight="253006848" behindDoc="0" locked="0" layoutInCell="1" allowOverlap="1" wp14:anchorId="40037864" wp14:editId="2FC04A3C">
                <wp:simplePos x="0" y="0"/>
                <wp:positionH relativeFrom="column">
                  <wp:posOffset>2057400</wp:posOffset>
                </wp:positionH>
                <wp:positionV relativeFrom="paragraph">
                  <wp:posOffset>147320</wp:posOffset>
                </wp:positionV>
                <wp:extent cx="2400300" cy="2400300"/>
                <wp:effectExtent l="76200" t="76200" r="38100" b="63500"/>
                <wp:wrapNone/>
                <wp:docPr id="717" name="Ellipse 717"/>
                <wp:cNvGraphicFramePr/>
                <a:graphic xmlns:a="http://schemas.openxmlformats.org/drawingml/2006/main">
                  <a:graphicData uri="http://schemas.microsoft.com/office/word/2010/wordprocessingShape">
                    <wps:wsp>
                      <wps:cNvSpPr/>
                      <wps:spPr>
                        <a:xfrm>
                          <a:off x="0" y="0"/>
                          <a:ext cx="2400300" cy="2400300"/>
                        </a:xfrm>
                        <a:prstGeom prst="ellipse">
                          <a:avLst/>
                        </a:prstGeom>
                        <a:solidFill>
                          <a:srgbClr val="C6012C"/>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699E70D" w14:textId="3883BCA0" w:rsidR="00573C95" w:rsidRDefault="00573C95" w:rsidP="00842A48">
                            <w:pPr>
                              <w:jc w:val="center"/>
                            </w:pPr>
                            <w:r>
                              <w:t>Aucune modalité de remboursement de prévue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717" o:spid="_x0000_s1488" style="position:absolute;left:0;text-align:left;margin-left:162pt;margin-top:11.6pt;width:189pt;height:189pt;z-index:2530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" fillcolor="#c6012c" strokecolor="black [3213]">
                <v:textbox>
                  <w:txbxContent>
                    <w:p w14:paraId="0699E70D" w14:textId="3883BCA0" w:rsidR="001501D6" w:rsidRDefault="001501D6" w:rsidP="00842A48">
                      <w:pPr>
                        <w:jc w:val="center"/>
                      </w:pPr>
                      <w:r>
                        <w:t>Aucune modalité de remboursement de prévue</w:t>
                      </w:r>
                    </w:p>
                  </w:txbxContent>
                </v:textbox>
              </v:oval>
            </w:pict>
          </mc:Fallback>
        </mc:AlternateContent>
      </w:r>
      <w:r>
        <w:rPr>
          <w:noProof/>
          <w:lang w:eastAsia="fr-FR"/>
        </w:rPr>
        <mc:AlternateContent>
          <mc:Choice Requires="wps">
            <w:drawing>
              <wp:anchor distT="0" distB="0" distL="114300" distR="114300" simplePos="0" relativeHeight="253008896" behindDoc="0" locked="0" layoutInCell="1" allowOverlap="1" wp14:anchorId="3A0CBAB2" wp14:editId="4D9CE3E6">
                <wp:simplePos x="0" y="0"/>
                <wp:positionH relativeFrom="column">
                  <wp:posOffset>5257800</wp:posOffset>
                </wp:positionH>
                <wp:positionV relativeFrom="paragraph">
                  <wp:posOffset>147320</wp:posOffset>
                </wp:positionV>
                <wp:extent cx="2400300" cy="2400300"/>
                <wp:effectExtent l="76200" t="76200" r="38100" b="63500"/>
                <wp:wrapNone/>
                <wp:docPr id="718" name="Ellipse 718"/>
                <wp:cNvGraphicFramePr/>
                <a:graphic xmlns:a="http://schemas.openxmlformats.org/drawingml/2006/main">
                  <a:graphicData uri="http://schemas.microsoft.com/office/word/2010/wordprocessingShape">
                    <wps:wsp>
                      <wps:cNvSpPr/>
                      <wps:spPr>
                        <a:xfrm>
                          <a:off x="0" y="0"/>
                          <a:ext cx="2400300" cy="2400300"/>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6DA5824" w14:textId="329925E6" w:rsidR="00573C95" w:rsidRDefault="00573C95" w:rsidP="00842A48">
                            <w:pPr>
                              <w:jc w:val="center"/>
                            </w:pPr>
                            <w:r>
                              <w:t>Taux d’intérêts plus bas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718" o:spid="_x0000_s1489" style="position:absolute;left:0;text-align:left;margin-left:414pt;margin-top:11.6pt;width:189pt;height:189pt;z-index:2530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" fillcolor="#94c600 [3204]">
                <v:fill color2="#84b100 [2884]" rotate="t" focus="100%" type="gradient">
                  <o:fill v:ext="view" type="gradientUnscaled"/>
                </v:fill>
                <v:textbox>
                  <w:txbxContent>
                    <w:p w14:paraId="26DA5824" w14:textId="329925E6" w:rsidR="001501D6" w:rsidRDefault="001501D6" w:rsidP="00842A48">
                      <w:pPr>
                        <w:jc w:val="center"/>
                      </w:pPr>
                      <w:r>
                        <w:t>Taux d’intérêts plus bas</w:t>
                      </w:r>
                    </w:p>
                  </w:txbxContent>
                </v:textbox>
              </v:oval>
            </w:pict>
          </mc:Fallback>
        </mc:AlternateContent>
      </w:r>
      <w:r>
        <w:rPr>
          <w:noProof/>
          <w:lang w:eastAsia="fr-FR"/>
        </w:rPr>
        <mc:AlternateContent>
          <mc:Choice Requires="wps">
            <w:drawing>
              <wp:anchor distT="0" distB="0" distL="114300" distR="114300" simplePos="0" relativeHeight="253004800" behindDoc="0" locked="0" layoutInCell="1" allowOverlap="1" wp14:anchorId="78522C8C" wp14:editId="4834E19E">
                <wp:simplePos x="0" y="0"/>
                <wp:positionH relativeFrom="column">
                  <wp:posOffset>0</wp:posOffset>
                </wp:positionH>
                <wp:positionV relativeFrom="paragraph">
                  <wp:posOffset>177800</wp:posOffset>
                </wp:positionV>
                <wp:extent cx="2400300" cy="2400300"/>
                <wp:effectExtent l="76200" t="76200" r="38100" b="63500"/>
                <wp:wrapNone/>
                <wp:docPr id="693" name="Ellipse 693"/>
                <wp:cNvGraphicFramePr/>
                <a:graphic xmlns:a="http://schemas.openxmlformats.org/drawingml/2006/main">
                  <a:graphicData uri="http://schemas.microsoft.com/office/word/2010/wordprocessingShape">
                    <wps:wsp>
                      <wps:cNvSpPr/>
                      <wps:spPr>
                        <a:xfrm>
                          <a:off x="0" y="0"/>
                          <a:ext cx="2400300" cy="2400300"/>
                        </a:xfrm>
                        <a:prstGeom prst="ellipse">
                          <a:avLst/>
                        </a:prstGeom>
                        <a:solidFill>
                          <a:srgbClr val="C6012C"/>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05BF7D" w14:textId="4468CCCC" w:rsidR="00573C95" w:rsidRDefault="00573C95" w:rsidP="00842A48">
                            <w:pPr>
                              <w:jc w:val="center"/>
                            </w:pPr>
                            <w:r>
                              <w:t>Montant autorisé en croissance (relié au prêt hypothécaire)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693" o:spid="_x0000_s1490" style="position:absolute;left:0;text-align:left;margin-left:0;margin-top:14pt;width:189pt;height:189pt;z-index:2530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" fillcolor="#c6012c">
                <v:textbox>
                  <w:txbxContent>
                    <w:p w14:paraId="7805BF7D" w14:textId="4468CCCC" w:rsidR="001501D6" w:rsidRDefault="001501D6" w:rsidP="00842A48">
                      <w:pPr>
                        <w:jc w:val="center"/>
                      </w:pPr>
                      <w:r>
                        <w:t>Montant autorisé en croissance (relié au prêt hypothécaire)</w:t>
                      </w:r>
                    </w:p>
                  </w:txbxContent>
                </v:textbox>
              </v:oval>
            </w:pict>
          </mc:Fallback>
        </mc:AlternateContent>
      </w:r>
    </w:p>
    <w:p w14:paraId="68140D3D" w14:textId="2DAFEE5F" w:rsidR="00A844B6" w:rsidRDefault="00A844B6" w:rsidP="000308E2">
      <w:pPr>
        <w:jc w:val="both"/>
      </w:pPr>
    </w:p>
    <w:p w14:paraId="64EED0AF" w14:textId="5F0A980D" w:rsidR="00463EAB" w:rsidRDefault="00463EAB" w:rsidP="000308E2">
      <w:pPr>
        <w:jc w:val="both"/>
      </w:pPr>
    </w:p>
    <w:p w14:paraId="7865CFBC" w14:textId="04B147EE" w:rsidR="00842A48" w:rsidRDefault="00842A48" w:rsidP="000308E2">
      <w:pPr>
        <w:jc w:val="both"/>
      </w:pPr>
    </w:p>
    <w:p w14:paraId="74DF4545" w14:textId="116F5AAC" w:rsidR="00842A48" w:rsidRDefault="00842A48" w:rsidP="000308E2">
      <w:pPr>
        <w:jc w:val="both"/>
      </w:pPr>
    </w:p>
    <w:p w14:paraId="11670CD3" w14:textId="3DA0AF78" w:rsidR="00842A48" w:rsidRDefault="00842A48" w:rsidP="000308E2">
      <w:pPr>
        <w:jc w:val="both"/>
      </w:pPr>
    </w:p>
    <w:p w14:paraId="3963C01D" w14:textId="77777777" w:rsidR="00842A48" w:rsidRDefault="00842A48" w:rsidP="000308E2">
      <w:pPr>
        <w:jc w:val="both"/>
      </w:pPr>
    </w:p>
    <w:p w14:paraId="42CDDA9F" w14:textId="77777777" w:rsidR="00842A48" w:rsidRDefault="00842A48" w:rsidP="000308E2">
      <w:pPr>
        <w:jc w:val="both"/>
      </w:pPr>
    </w:p>
    <w:p w14:paraId="34717083" w14:textId="77777777" w:rsidR="00842A48" w:rsidRDefault="00842A48" w:rsidP="000308E2">
      <w:pPr>
        <w:jc w:val="both"/>
      </w:pPr>
    </w:p>
    <w:p w14:paraId="7EF62295" w14:textId="77777777" w:rsidR="00842A48" w:rsidRPr="00463EAB" w:rsidRDefault="00842A48" w:rsidP="000308E2">
      <w:pPr>
        <w:jc w:val="both"/>
        <w:rPr>
          <w:color w:val="800000"/>
        </w:rPr>
      </w:pPr>
    </w:p>
    <w:p w14:paraId="38C8B1E0" w14:textId="77777777" w:rsidR="00463EAB" w:rsidRDefault="00463EAB" w:rsidP="002F4BC2"/>
    <w:p w14:paraId="7692C785" w14:textId="77777777" w:rsidR="00842A48" w:rsidRDefault="00842A48" w:rsidP="002F4BC2"/>
    <w:p w14:paraId="77FD2609" w14:textId="77777777" w:rsidR="00842A48" w:rsidRDefault="00842A48" w:rsidP="002F4BC2"/>
    <w:p w14:paraId="11DF28EB" w14:textId="77777777" w:rsidR="00842A48" w:rsidRDefault="00842A48" w:rsidP="002F4BC2"/>
    <w:p w14:paraId="4A6E3DA6" w14:textId="77777777" w:rsidR="00AA4BF4" w:rsidRDefault="00AA4BF4" w:rsidP="002F4BC2"/>
    <w:p w14:paraId="543131DD" w14:textId="77777777" w:rsidR="00A844B6" w:rsidRDefault="00A844B6" w:rsidP="002F4BC2"/>
    <w:p w14:paraId="7E52D229" w14:textId="77777777" w:rsidR="00A844B6" w:rsidRDefault="00A844B6" w:rsidP="002F4BC2"/>
    <w:p w14:paraId="45A916B0" w14:textId="7A49E789" w:rsidR="00842A48" w:rsidRDefault="00842A48" w:rsidP="002F4BC2">
      <w:r>
        <w:t>L’objectif de gestion sera donc de mettre en échec les deux pièges et utiliser à profit, au besoin, le principal avantage de la marge de crédit hypothécaire.</w:t>
      </w:r>
    </w:p>
    <w:p w14:paraId="02D83BAD" w14:textId="77777777" w:rsidR="00842A48" w:rsidRDefault="00842A48" w:rsidP="002F4BC2"/>
    <w:p w14:paraId="567EF242" w14:textId="51853460" w:rsidR="00D26B9A" w:rsidRDefault="00AE1C5E" w:rsidP="00980515">
      <w:pPr>
        <w:jc w:val="both"/>
      </w:pPr>
      <w:r>
        <w:t xml:space="preserve">Le plus grand </w:t>
      </w:r>
      <w:r w:rsidR="00980515">
        <w:t xml:space="preserve">problème initié par ce crédit à grande accessibilité, à petit taux d’intérêt, sans obligations de remboursement est la culture du Plus Petit Paiement Possible (PPPP) qu’il incite. Les consommateurs ne tiennent </w:t>
      </w:r>
      <w:r w:rsidR="00980515">
        <w:lastRenderedPageBreak/>
        <w:t xml:space="preserve">pas compte de la </w:t>
      </w:r>
      <w:r w:rsidR="00980515" w:rsidRPr="00980515">
        <w:rPr>
          <w:color w:val="FF6700" w:themeColor="accent3"/>
        </w:rPr>
        <w:t>DURÉE</w:t>
      </w:r>
      <w:r w:rsidR="00980515">
        <w:t xml:space="preserve"> du financement et le coût d’achat du bien, ils ne considèrent que le petit pai</w:t>
      </w:r>
      <w:r w:rsidR="00AF39CA">
        <w:t>e</w:t>
      </w:r>
      <w:r w:rsidR="00980515">
        <w:t xml:space="preserve">ment à faire et le petit taux d’intérêt qui lui est imputé. Pourtant, </w:t>
      </w:r>
      <w:r w:rsidR="00D26B9A">
        <w:t>la longue durée qui est l’allié du PPPP est</w:t>
      </w:r>
      <w:r w:rsidR="009B1D9D">
        <w:t xml:space="preserve"> </w:t>
      </w:r>
      <w:r w:rsidR="00D26B9A">
        <w:t>une variable toxique à la bonne santé financière. En voici une démon</w:t>
      </w:r>
      <w:r w:rsidR="00AF39CA">
        <w:t>s</w:t>
      </w:r>
      <w:r w:rsidR="00D26B9A">
        <w:t>tration.</w:t>
      </w:r>
    </w:p>
    <w:p w14:paraId="0DD4EEC6" w14:textId="5E0F6F89" w:rsidR="004D1F1A" w:rsidRDefault="00980515" w:rsidP="00980515">
      <w:pPr>
        <w:jc w:val="both"/>
      </w:pPr>
      <w:r>
        <w:t xml:space="preserve"> </w:t>
      </w:r>
    </w:p>
    <w:p w14:paraId="61A9AF52" w14:textId="4C7FAA98" w:rsidR="00BB3989" w:rsidRPr="00611FEC" w:rsidRDefault="00BB3989" w:rsidP="006C34CF">
      <w:pPr>
        <w:pStyle w:val="Paragraphedeliste"/>
        <w:numPr>
          <w:ilvl w:val="0"/>
          <w:numId w:val="92"/>
        </w:numPr>
        <w:jc w:val="both"/>
      </w:pPr>
      <w:r w:rsidRPr="00611FEC">
        <w:rPr>
          <w:color w:val="FF6700" w:themeColor="accent3"/>
        </w:rPr>
        <w:t>EXEMPLE 7-1</w:t>
      </w:r>
      <w:r>
        <w:rPr>
          <w:color w:val="FF6700" w:themeColor="accent3"/>
        </w:rPr>
        <w:t>5</w:t>
      </w:r>
      <w:r w:rsidRPr="00611FEC">
        <w:rPr>
          <w:color w:val="FF6700" w:themeColor="accent3"/>
        </w:rPr>
        <w:tab/>
      </w:r>
      <w:r w:rsidRPr="00611FEC">
        <w:rPr>
          <w:color w:val="FF6700" w:themeColor="accent3"/>
        </w:rPr>
        <w:tab/>
      </w:r>
    </w:p>
    <w:p w14:paraId="3CD8D435" w14:textId="77777777" w:rsidR="004D1F1A" w:rsidRPr="00611FEC" w:rsidRDefault="004D1F1A" w:rsidP="00BB3989">
      <w:pPr>
        <w:ind w:left="360"/>
        <w:jc w:val="both"/>
      </w:pPr>
    </w:p>
    <w:p w14:paraId="38585CF3" w14:textId="7B819E5A" w:rsidR="00BB3989" w:rsidRDefault="009B79A5" w:rsidP="00BB3989">
      <w:pPr>
        <w:jc w:val="both"/>
      </w:pPr>
      <w:r w:rsidRPr="00322911">
        <w:rPr>
          <w:noProof/>
          <w:lang w:eastAsia="fr-FR"/>
        </w:rPr>
        <w:drawing>
          <wp:anchor distT="0" distB="0" distL="114300" distR="114300" simplePos="0" relativeHeight="253016064" behindDoc="0" locked="0" layoutInCell="1" allowOverlap="1" wp14:anchorId="6FB20E89" wp14:editId="30EA29AD">
            <wp:simplePos x="0" y="0"/>
            <wp:positionH relativeFrom="column">
              <wp:posOffset>8343900</wp:posOffset>
            </wp:positionH>
            <wp:positionV relativeFrom="paragraph">
              <wp:posOffset>364490</wp:posOffset>
            </wp:positionV>
            <wp:extent cx="685800" cy="779145"/>
            <wp:effectExtent l="0" t="0" r="0" b="8255"/>
            <wp:wrapNone/>
            <wp:docPr id="736" name="Image 736"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3014016" behindDoc="0" locked="0" layoutInCell="1" allowOverlap="1" wp14:anchorId="1AC32822" wp14:editId="6BF85538">
            <wp:simplePos x="0" y="0"/>
            <wp:positionH relativeFrom="column">
              <wp:posOffset>-643890</wp:posOffset>
            </wp:positionH>
            <wp:positionV relativeFrom="paragraph">
              <wp:posOffset>411480</wp:posOffset>
            </wp:positionV>
            <wp:extent cx="383540" cy="723265"/>
            <wp:effectExtent l="177800" t="50800" r="99060" b="64135"/>
            <wp:wrapNone/>
            <wp:docPr id="735" name="Imag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11">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B3989">
        <w:t xml:space="preserve">Prenons les informations suivantes concernant l’achat d’un spacieux SPA. Dans un cas, </w:t>
      </w:r>
      <w:r w:rsidR="00BB3989" w:rsidRPr="00647BA9">
        <w:rPr>
          <w:color w:val="008000"/>
        </w:rPr>
        <w:t>Marie Richer</w:t>
      </w:r>
      <w:r w:rsidR="00BB3989">
        <w:rPr>
          <w:color w:val="008000"/>
        </w:rPr>
        <w:t xml:space="preserve"> </w:t>
      </w:r>
      <w:r w:rsidR="00BB3989" w:rsidRPr="00BB3989">
        <w:t>se résou</w:t>
      </w:r>
      <w:r w:rsidR="00AF39CA">
        <w:t>t</w:t>
      </w:r>
      <w:r w:rsidR="00BB3989" w:rsidRPr="00BB3989">
        <w:t xml:space="preserve"> à financer l’achat à l’aide d’un prêt à terme personnel</w:t>
      </w:r>
      <w:r w:rsidR="00BB3989">
        <w:rPr>
          <w:color w:val="008000"/>
        </w:rPr>
        <w:t xml:space="preserve">, </w:t>
      </w:r>
      <w:r w:rsidR="00BB3989" w:rsidRPr="00BB3989">
        <w:t>dans l’autre cas</w:t>
      </w:r>
      <w:r w:rsidR="00BB3989">
        <w:rPr>
          <w:color w:val="008000"/>
        </w:rPr>
        <w:t xml:space="preserve">, </w:t>
      </w:r>
      <w:r w:rsidR="00BB3989" w:rsidRPr="00AF32A3">
        <w:rPr>
          <w:color w:val="FF0000"/>
        </w:rPr>
        <w:t>Jean Faucher</w:t>
      </w:r>
      <w:r w:rsidR="00BB3989">
        <w:rPr>
          <w:color w:val="FF0000"/>
        </w:rPr>
        <w:t xml:space="preserve"> </w:t>
      </w:r>
      <w:r w:rsidR="00BB3989" w:rsidRPr="00BB3989">
        <w:t xml:space="preserve">prend la voie du plus </w:t>
      </w:r>
      <w:r w:rsidR="001A643E">
        <w:t>p</w:t>
      </w:r>
      <w:r w:rsidR="00BB3989" w:rsidRPr="00BB3989">
        <w:t>etit paiement possible, sans intérêts (au</w:t>
      </w:r>
      <w:r w:rsidR="00BB3989">
        <w:t>x</w:t>
      </w:r>
      <w:r w:rsidR="00BB3989" w:rsidRPr="00BB3989">
        <w:t xml:space="preserve"> dire</w:t>
      </w:r>
      <w:r w:rsidR="00BB3989">
        <w:t>s</w:t>
      </w:r>
      <w:r w:rsidR="00BB3989" w:rsidRPr="00BB3989">
        <w:t xml:space="preserve"> du commerçant). </w:t>
      </w:r>
    </w:p>
    <w:p w14:paraId="53D4EDC8" w14:textId="5D5B80C2" w:rsidR="001A643E" w:rsidRPr="00BB3989" w:rsidRDefault="001A643E" w:rsidP="00BB3989">
      <w:pPr>
        <w:jc w:val="both"/>
      </w:pPr>
    </w:p>
    <w:tbl>
      <w:tblPr>
        <w:tblStyle w:val="Grille"/>
        <w:tblpPr w:leftFromText="141" w:rightFromText="141" w:vertAnchor="page" w:horzAnchor="page" w:tblpX="1346" w:tblpY="429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9B79A5" w14:paraId="79D9BAED" w14:textId="77777777" w:rsidTr="009B79A5">
        <w:tc>
          <w:tcPr>
            <w:tcW w:w="6573" w:type="dxa"/>
            <w:gridSpan w:val="2"/>
            <w:shd w:val="clear" w:color="auto" w:fill="BFBFBF" w:themeFill="background1" w:themeFillShade="BF"/>
          </w:tcPr>
          <w:p w14:paraId="2D369CAF" w14:textId="77777777" w:rsidR="009B79A5" w:rsidRDefault="009B79A5" w:rsidP="009B79A5">
            <w:pPr>
              <w:jc w:val="center"/>
            </w:pPr>
            <w:r>
              <w:t>Informations - Marie Richer</w:t>
            </w:r>
          </w:p>
        </w:tc>
        <w:tc>
          <w:tcPr>
            <w:tcW w:w="6574" w:type="dxa"/>
            <w:gridSpan w:val="2"/>
            <w:shd w:val="clear" w:color="auto" w:fill="BFBFBF" w:themeFill="background1" w:themeFillShade="BF"/>
          </w:tcPr>
          <w:p w14:paraId="2325BD3E" w14:textId="77777777" w:rsidR="009B79A5" w:rsidRDefault="009B79A5" w:rsidP="009B79A5">
            <w:pPr>
              <w:jc w:val="center"/>
            </w:pPr>
            <w:r>
              <w:t>Informations - Jean Faucher</w:t>
            </w:r>
          </w:p>
        </w:tc>
      </w:tr>
      <w:tr w:rsidR="009B79A5" w14:paraId="17EF5624" w14:textId="77777777" w:rsidTr="009B79A5">
        <w:tc>
          <w:tcPr>
            <w:tcW w:w="3286" w:type="dxa"/>
            <w:shd w:val="clear" w:color="auto" w:fill="DFFF82" w:themeFill="accent1" w:themeFillTint="66"/>
          </w:tcPr>
          <w:p w14:paraId="30E51A46" w14:textId="77777777" w:rsidR="009B79A5" w:rsidRDefault="009B79A5" w:rsidP="009B79A5">
            <w:pPr>
              <w:jc w:val="both"/>
            </w:pPr>
          </w:p>
          <w:p w14:paraId="602DB2CA" w14:textId="77777777" w:rsidR="009B79A5" w:rsidRDefault="009B79A5" w:rsidP="009B79A5">
            <w:pPr>
              <w:jc w:val="both"/>
            </w:pPr>
            <w:r>
              <w:t>Coût du SPA, avant taxes</w:t>
            </w:r>
          </w:p>
        </w:tc>
        <w:tc>
          <w:tcPr>
            <w:tcW w:w="3287" w:type="dxa"/>
            <w:shd w:val="clear" w:color="auto" w:fill="DFFF82" w:themeFill="accent1" w:themeFillTint="66"/>
          </w:tcPr>
          <w:p w14:paraId="5430D489" w14:textId="77777777" w:rsidR="009B79A5" w:rsidRDefault="009B79A5" w:rsidP="009B79A5">
            <w:pPr>
              <w:jc w:val="center"/>
            </w:pPr>
          </w:p>
          <w:p w14:paraId="70566DD9" w14:textId="77777777" w:rsidR="009B79A5" w:rsidRDefault="009B79A5" w:rsidP="009B79A5">
            <w:pPr>
              <w:tabs>
                <w:tab w:val="right" w:pos="3071"/>
              </w:tabs>
              <w:jc w:val="center"/>
            </w:pPr>
            <w:r>
              <w:t>7 000 $</w:t>
            </w:r>
          </w:p>
        </w:tc>
        <w:tc>
          <w:tcPr>
            <w:tcW w:w="3287" w:type="dxa"/>
            <w:shd w:val="clear" w:color="auto" w:fill="74A510" w:themeFill="background2" w:themeFillShade="80"/>
          </w:tcPr>
          <w:p w14:paraId="3EC1151E" w14:textId="77777777" w:rsidR="009B79A5" w:rsidRDefault="009B79A5" w:rsidP="009B79A5">
            <w:pPr>
              <w:jc w:val="both"/>
            </w:pPr>
          </w:p>
          <w:p w14:paraId="10540056" w14:textId="77777777" w:rsidR="009B79A5" w:rsidRDefault="009B79A5" w:rsidP="009B79A5">
            <w:pPr>
              <w:jc w:val="both"/>
            </w:pPr>
            <w:r>
              <w:t>Coût du SPA, avant taxes</w:t>
            </w:r>
          </w:p>
        </w:tc>
        <w:tc>
          <w:tcPr>
            <w:tcW w:w="3287" w:type="dxa"/>
            <w:shd w:val="clear" w:color="auto" w:fill="74A510" w:themeFill="background2" w:themeFillShade="80"/>
          </w:tcPr>
          <w:p w14:paraId="019D8DF5" w14:textId="77777777" w:rsidR="009B79A5" w:rsidRDefault="009B79A5" w:rsidP="009B79A5">
            <w:pPr>
              <w:jc w:val="center"/>
            </w:pPr>
          </w:p>
          <w:p w14:paraId="145B91A6" w14:textId="77777777" w:rsidR="009B79A5" w:rsidRDefault="009B79A5" w:rsidP="009B79A5">
            <w:pPr>
              <w:jc w:val="center"/>
            </w:pPr>
            <w:r>
              <w:t>7 000 $</w:t>
            </w:r>
          </w:p>
        </w:tc>
      </w:tr>
      <w:tr w:rsidR="009B79A5" w14:paraId="658438B1" w14:textId="77777777" w:rsidTr="009B79A5">
        <w:tc>
          <w:tcPr>
            <w:tcW w:w="3286" w:type="dxa"/>
            <w:shd w:val="clear" w:color="auto" w:fill="DFFF82" w:themeFill="accent1" w:themeFillTint="66"/>
          </w:tcPr>
          <w:p w14:paraId="53C850F9" w14:textId="77777777" w:rsidR="009B79A5" w:rsidRDefault="009B79A5" w:rsidP="009B79A5">
            <w:pPr>
              <w:jc w:val="both"/>
            </w:pPr>
            <w:r>
              <w:t>Taxes</w:t>
            </w:r>
          </w:p>
        </w:tc>
        <w:tc>
          <w:tcPr>
            <w:tcW w:w="3287" w:type="dxa"/>
            <w:shd w:val="clear" w:color="auto" w:fill="DFFF82" w:themeFill="accent1" w:themeFillTint="66"/>
          </w:tcPr>
          <w:p w14:paraId="46D730E4" w14:textId="27027AB8" w:rsidR="009B79A5" w:rsidRDefault="009B79A5" w:rsidP="009B79A5">
            <w:pPr>
              <w:jc w:val="center"/>
            </w:pPr>
            <w:r>
              <w:t>nul</w:t>
            </w:r>
            <w:r w:rsidR="009B1D9D">
              <w:t>les</w:t>
            </w:r>
          </w:p>
        </w:tc>
        <w:tc>
          <w:tcPr>
            <w:tcW w:w="3287" w:type="dxa"/>
            <w:shd w:val="clear" w:color="auto" w:fill="74A510" w:themeFill="background2" w:themeFillShade="80"/>
          </w:tcPr>
          <w:p w14:paraId="487B8779" w14:textId="77777777" w:rsidR="009B79A5" w:rsidRDefault="009B79A5" w:rsidP="009B79A5">
            <w:pPr>
              <w:jc w:val="both"/>
            </w:pPr>
            <w:r>
              <w:t>Taxes</w:t>
            </w:r>
          </w:p>
        </w:tc>
        <w:tc>
          <w:tcPr>
            <w:tcW w:w="3287" w:type="dxa"/>
            <w:shd w:val="clear" w:color="auto" w:fill="74A510" w:themeFill="background2" w:themeFillShade="80"/>
          </w:tcPr>
          <w:p w14:paraId="46091555" w14:textId="77777777" w:rsidR="009B79A5" w:rsidRDefault="009B79A5" w:rsidP="009B79A5">
            <w:pPr>
              <w:jc w:val="center"/>
            </w:pPr>
            <w:r>
              <w:t>15 %</w:t>
            </w:r>
          </w:p>
        </w:tc>
      </w:tr>
      <w:tr w:rsidR="009B79A5" w14:paraId="35F2F001" w14:textId="77777777" w:rsidTr="009B79A5">
        <w:tc>
          <w:tcPr>
            <w:tcW w:w="3286" w:type="dxa"/>
            <w:shd w:val="clear" w:color="auto" w:fill="DFFF82" w:themeFill="accent1" w:themeFillTint="66"/>
          </w:tcPr>
          <w:p w14:paraId="1C7FBDD6" w14:textId="77777777" w:rsidR="009B79A5" w:rsidRDefault="009B79A5" w:rsidP="009B79A5">
            <w:pPr>
              <w:jc w:val="both"/>
            </w:pPr>
            <w:r>
              <w:t>Taux d’intérêt</w:t>
            </w:r>
          </w:p>
        </w:tc>
        <w:tc>
          <w:tcPr>
            <w:tcW w:w="3287" w:type="dxa"/>
            <w:shd w:val="clear" w:color="auto" w:fill="DFFF82" w:themeFill="accent1" w:themeFillTint="66"/>
          </w:tcPr>
          <w:p w14:paraId="6BA284EB" w14:textId="77777777" w:rsidR="009B79A5" w:rsidRDefault="009B79A5" w:rsidP="009B79A5">
            <w:pPr>
              <w:jc w:val="center"/>
            </w:pPr>
            <w:r>
              <w:t>5 %</w:t>
            </w:r>
          </w:p>
        </w:tc>
        <w:tc>
          <w:tcPr>
            <w:tcW w:w="3287" w:type="dxa"/>
            <w:shd w:val="clear" w:color="auto" w:fill="74A510" w:themeFill="background2" w:themeFillShade="80"/>
          </w:tcPr>
          <w:p w14:paraId="54D224D4" w14:textId="77777777" w:rsidR="009B79A5" w:rsidRDefault="009B79A5" w:rsidP="009B79A5">
            <w:pPr>
              <w:jc w:val="both"/>
            </w:pPr>
            <w:r>
              <w:t>Taux d’intérêt</w:t>
            </w:r>
          </w:p>
        </w:tc>
        <w:tc>
          <w:tcPr>
            <w:tcW w:w="3287" w:type="dxa"/>
            <w:shd w:val="clear" w:color="auto" w:fill="74A510" w:themeFill="background2" w:themeFillShade="80"/>
          </w:tcPr>
          <w:p w14:paraId="1CDBC3CA" w14:textId="77777777" w:rsidR="009B79A5" w:rsidRDefault="009B79A5" w:rsidP="009B79A5">
            <w:pPr>
              <w:jc w:val="center"/>
            </w:pPr>
            <w:r>
              <w:t>nul</w:t>
            </w:r>
          </w:p>
        </w:tc>
      </w:tr>
      <w:tr w:rsidR="009B79A5" w14:paraId="16B2128B" w14:textId="77777777" w:rsidTr="009B79A5">
        <w:tc>
          <w:tcPr>
            <w:tcW w:w="3286" w:type="dxa"/>
            <w:shd w:val="clear" w:color="auto" w:fill="DFFF82" w:themeFill="accent1" w:themeFillTint="66"/>
          </w:tcPr>
          <w:p w14:paraId="43EE251D" w14:textId="77777777" w:rsidR="009B79A5" w:rsidRDefault="009B79A5" w:rsidP="009B79A5">
            <w:pPr>
              <w:jc w:val="both"/>
            </w:pPr>
            <w:r>
              <w:t>Durée</w:t>
            </w:r>
          </w:p>
        </w:tc>
        <w:tc>
          <w:tcPr>
            <w:tcW w:w="3287" w:type="dxa"/>
            <w:shd w:val="clear" w:color="auto" w:fill="DFFF82" w:themeFill="accent1" w:themeFillTint="66"/>
          </w:tcPr>
          <w:p w14:paraId="22129FB4" w14:textId="77777777" w:rsidR="009B79A5" w:rsidRDefault="009B79A5" w:rsidP="009B79A5">
            <w:pPr>
              <w:jc w:val="center"/>
            </w:pPr>
            <w:r>
              <w:t>Sur 2 ans</w:t>
            </w:r>
          </w:p>
        </w:tc>
        <w:tc>
          <w:tcPr>
            <w:tcW w:w="3287" w:type="dxa"/>
            <w:shd w:val="clear" w:color="auto" w:fill="74A510" w:themeFill="background2" w:themeFillShade="80"/>
          </w:tcPr>
          <w:p w14:paraId="3F8591E2" w14:textId="77777777" w:rsidR="009B79A5" w:rsidRDefault="009B79A5" w:rsidP="009B79A5">
            <w:pPr>
              <w:jc w:val="both"/>
            </w:pPr>
            <w:r>
              <w:t>Durée</w:t>
            </w:r>
          </w:p>
        </w:tc>
        <w:tc>
          <w:tcPr>
            <w:tcW w:w="3287" w:type="dxa"/>
            <w:shd w:val="clear" w:color="auto" w:fill="74A510" w:themeFill="background2" w:themeFillShade="80"/>
          </w:tcPr>
          <w:p w14:paraId="023A6E9C" w14:textId="77777777" w:rsidR="009B79A5" w:rsidRDefault="009B79A5" w:rsidP="009B79A5">
            <w:pPr>
              <w:jc w:val="center"/>
            </w:pPr>
            <w:r>
              <w:t>Sur 8 ans</w:t>
            </w:r>
          </w:p>
        </w:tc>
      </w:tr>
      <w:tr w:rsidR="009B79A5" w14:paraId="4CB8B61B" w14:textId="77777777" w:rsidTr="009B79A5">
        <w:tc>
          <w:tcPr>
            <w:tcW w:w="3286" w:type="dxa"/>
            <w:shd w:val="clear" w:color="auto" w:fill="DFFF82" w:themeFill="accent1" w:themeFillTint="66"/>
          </w:tcPr>
          <w:p w14:paraId="487E16FF" w14:textId="77777777" w:rsidR="009B79A5" w:rsidRDefault="009B79A5" w:rsidP="009B79A5">
            <w:pPr>
              <w:jc w:val="both"/>
            </w:pPr>
            <w:r>
              <w:t>Fréquence des paiements</w:t>
            </w:r>
          </w:p>
        </w:tc>
        <w:tc>
          <w:tcPr>
            <w:tcW w:w="3287" w:type="dxa"/>
            <w:shd w:val="clear" w:color="auto" w:fill="DFFF82" w:themeFill="accent1" w:themeFillTint="66"/>
          </w:tcPr>
          <w:p w14:paraId="2844FD78" w14:textId="77777777" w:rsidR="009B79A5" w:rsidRDefault="009B79A5" w:rsidP="009B79A5">
            <w:pPr>
              <w:jc w:val="center"/>
            </w:pPr>
            <w:r>
              <w:t>Mensuel</w:t>
            </w:r>
          </w:p>
        </w:tc>
        <w:tc>
          <w:tcPr>
            <w:tcW w:w="3287" w:type="dxa"/>
            <w:shd w:val="clear" w:color="auto" w:fill="74A510" w:themeFill="background2" w:themeFillShade="80"/>
          </w:tcPr>
          <w:p w14:paraId="79BCAD59" w14:textId="77777777" w:rsidR="009B79A5" w:rsidRDefault="009B79A5" w:rsidP="009B79A5">
            <w:pPr>
              <w:jc w:val="both"/>
            </w:pPr>
            <w:r>
              <w:t>Fréquence des paiements</w:t>
            </w:r>
          </w:p>
        </w:tc>
        <w:tc>
          <w:tcPr>
            <w:tcW w:w="3287" w:type="dxa"/>
            <w:shd w:val="clear" w:color="auto" w:fill="74A510" w:themeFill="background2" w:themeFillShade="80"/>
          </w:tcPr>
          <w:p w14:paraId="5653177B" w14:textId="77777777" w:rsidR="009B79A5" w:rsidRDefault="009B79A5" w:rsidP="009B79A5">
            <w:pPr>
              <w:jc w:val="center"/>
            </w:pPr>
            <w:r>
              <w:t>Mensuel</w:t>
            </w:r>
          </w:p>
        </w:tc>
      </w:tr>
      <w:tr w:rsidR="009B79A5" w14:paraId="4A8690DB" w14:textId="77777777" w:rsidTr="009B79A5">
        <w:tc>
          <w:tcPr>
            <w:tcW w:w="3286" w:type="dxa"/>
            <w:shd w:val="clear" w:color="auto" w:fill="DFFF82" w:themeFill="accent1" w:themeFillTint="66"/>
          </w:tcPr>
          <w:p w14:paraId="652EFD47" w14:textId="77777777" w:rsidR="009B79A5" w:rsidRDefault="009B79A5" w:rsidP="009B79A5">
            <w:pPr>
              <w:jc w:val="both"/>
            </w:pPr>
            <w:r>
              <w:t xml:space="preserve">Solde marge de crédit </w:t>
            </w:r>
          </w:p>
        </w:tc>
        <w:tc>
          <w:tcPr>
            <w:tcW w:w="3287" w:type="dxa"/>
            <w:shd w:val="clear" w:color="auto" w:fill="DFFF82" w:themeFill="accent1" w:themeFillTint="66"/>
          </w:tcPr>
          <w:p w14:paraId="56B773F8" w14:textId="77777777" w:rsidR="009B79A5" w:rsidRDefault="009B79A5" w:rsidP="009B79A5">
            <w:pPr>
              <w:jc w:val="center"/>
            </w:pPr>
            <w:r>
              <w:t>nul</w:t>
            </w:r>
          </w:p>
        </w:tc>
        <w:tc>
          <w:tcPr>
            <w:tcW w:w="3287" w:type="dxa"/>
            <w:shd w:val="clear" w:color="auto" w:fill="74A510" w:themeFill="background2" w:themeFillShade="80"/>
          </w:tcPr>
          <w:p w14:paraId="56E8CF81" w14:textId="77777777" w:rsidR="009B79A5" w:rsidRDefault="009B79A5" w:rsidP="009B79A5">
            <w:pPr>
              <w:jc w:val="both"/>
            </w:pPr>
            <w:r>
              <w:t>Solde marge de crédit</w:t>
            </w:r>
          </w:p>
        </w:tc>
        <w:tc>
          <w:tcPr>
            <w:tcW w:w="3287" w:type="dxa"/>
            <w:shd w:val="clear" w:color="auto" w:fill="74A510" w:themeFill="background2" w:themeFillShade="80"/>
          </w:tcPr>
          <w:p w14:paraId="3C6D5C9C" w14:textId="77777777" w:rsidR="009B79A5" w:rsidRDefault="009B79A5" w:rsidP="009B79A5">
            <w:pPr>
              <w:jc w:val="center"/>
            </w:pPr>
            <w:r>
              <w:t>21 000 $</w:t>
            </w:r>
          </w:p>
        </w:tc>
      </w:tr>
      <w:tr w:rsidR="009B79A5" w14:paraId="78CC0ED9" w14:textId="77777777" w:rsidTr="009B79A5">
        <w:tc>
          <w:tcPr>
            <w:tcW w:w="3286" w:type="dxa"/>
            <w:shd w:val="clear" w:color="auto" w:fill="DFFF82" w:themeFill="accent1" w:themeFillTint="66"/>
          </w:tcPr>
          <w:p w14:paraId="5480C5C9" w14:textId="47629557" w:rsidR="009B79A5" w:rsidRDefault="009B79A5" w:rsidP="009B79A5">
            <w:pPr>
              <w:jc w:val="both"/>
            </w:pPr>
            <w:r>
              <w:t>Solde autorisé</w:t>
            </w:r>
          </w:p>
        </w:tc>
        <w:tc>
          <w:tcPr>
            <w:tcW w:w="3287" w:type="dxa"/>
            <w:shd w:val="clear" w:color="auto" w:fill="DFFF82" w:themeFill="accent1" w:themeFillTint="66"/>
          </w:tcPr>
          <w:p w14:paraId="6B309C5D" w14:textId="7D183581" w:rsidR="009B79A5" w:rsidRDefault="00876C42" w:rsidP="009B79A5">
            <w:pPr>
              <w:jc w:val="center"/>
            </w:pPr>
            <w:r>
              <w:t>35 000 $</w:t>
            </w:r>
          </w:p>
        </w:tc>
        <w:tc>
          <w:tcPr>
            <w:tcW w:w="3287" w:type="dxa"/>
            <w:shd w:val="clear" w:color="auto" w:fill="74A510" w:themeFill="background2" w:themeFillShade="80"/>
          </w:tcPr>
          <w:p w14:paraId="42EB8EA6" w14:textId="2A25B821" w:rsidR="009B79A5" w:rsidRDefault="00876C42" w:rsidP="009B79A5">
            <w:pPr>
              <w:jc w:val="both"/>
            </w:pPr>
            <w:r>
              <w:t>Solde autorisé</w:t>
            </w:r>
          </w:p>
        </w:tc>
        <w:tc>
          <w:tcPr>
            <w:tcW w:w="3287" w:type="dxa"/>
            <w:shd w:val="clear" w:color="auto" w:fill="74A510" w:themeFill="background2" w:themeFillShade="80"/>
          </w:tcPr>
          <w:p w14:paraId="61CC61AD" w14:textId="402A49DD" w:rsidR="009B79A5" w:rsidRDefault="00876C42" w:rsidP="009B79A5">
            <w:pPr>
              <w:jc w:val="center"/>
            </w:pPr>
            <w:r>
              <w:t>40 000 $</w:t>
            </w:r>
          </w:p>
        </w:tc>
      </w:tr>
      <w:tr w:rsidR="009B79A5" w14:paraId="72E4C851" w14:textId="77777777" w:rsidTr="009B79A5">
        <w:tc>
          <w:tcPr>
            <w:tcW w:w="3286" w:type="dxa"/>
            <w:shd w:val="clear" w:color="auto" w:fill="DFFF82" w:themeFill="accent1" w:themeFillTint="66"/>
          </w:tcPr>
          <w:p w14:paraId="277006A4" w14:textId="77777777" w:rsidR="009B79A5" w:rsidRDefault="009B79A5" w:rsidP="009B79A5">
            <w:pPr>
              <w:jc w:val="both"/>
            </w:pPr>
            <w:r>
              <w:t>Taux d’intérêt marge</w:t>
            </w:r>
          </w:p>
        </w:tc>
        <w:tc>
          <w:tcPr>
            <w:tcW w:w="3287" w:type="dxa"/>
            <w:shd w:val="clear" w:color="auto" w:fill="DFFF82" w:themeFill="accent1" w:themeFillTint="66"/>
          </w:tcPr>
          <w:p w14:paraId="0FBB7655" w14:textId="77777777" w:rsidR="009B79A5" w:rsidRDefault="009B79A5" w:rsidP="009B79A5">
            <w:pPr>
              <w:jc w:val="center"/>
            </w:pPr>
            <w:r>
              <w:t>3 %</w:t>
            </w:r>
          </w:p>
        </w:tc>
        <w:tc>
          <w:tcPr>
            <w:tcW w:w="3287" w:type="dxa"/>
            <w:shd w:val="clear" w:color="auto" w:fill="74A510" w:themeFill="background2" w:themeFillShade="80"/>
          </w:tcPr>
          <w:p w14:paraId="25B74990" w14:textId="77777777" w:rsidR="009B79A5" w:rsidRDefault="009B79A5" w:rsidP="009B79A5">
            <w:pPr>
              <w:jc w:val="both"/>
            </w:pPr>
            <w:r>
              <w:t>Taux d’intérêt marge</w:t>
            </w:r>
          </w:p>
        </w:tc>
        <w:tc>
          <w:tcPr>
            <w:tcW w:w="3287" w:type="dxa"/>
            <w:shd w:val="clear" w:color="auto" w:fill="74A510" w:themeFill="background2" w:themeFillShade="80"/>
          </w:tcPr>
          <w:p w14:paraId="038DD303" w14:textId="77777777" w:rsidR="009B79A5" w:rsidRDefault="009B79A5" w:rsidP="009B79A5">
            <w:pPr>
              <w:jc w:val="center"/>
            </w:pPr>
            <w:r>
              <w:t>3,5 %</w:t>
            </w:r>
          </w:p>
        </w:tc>
      </w:tr>
    </w:tbl>
    <w:p w14:paraId="2102B7DE" w14:textId="4B505B5D" w:rsidR="0016747A" w:rsidRDefault="00876C42" w:rsidP="002F4BC2">
      <w:r>
        <w:rPr>
          <w:noProof/>
          <w:lang w:eastAsia="fr-FR"/>
        </w:rPr>
        <mc:AlternateContent>
          <mc:Choice Requires="wps">
            <w:drawing>
              <wp:anchor distT="0" distB="0" distL="114300" distR="114300" simplePos="0" relativeHeight="253020160" behindDoc="0" locked="0" layoutInCell="1" allowOverlap="1" wp14:anchorId="1AB99CDF" wp14:editId="64CDD147">
                <wp:simplePos x="0" y="0"/>
                <wp:positionH relativeFrom="column">
                  <wp:posOffset>-800100</wp:posOffset>
                </wp:positionH>
                <wp:positionV relativeFrom="paragraph">
                  <wp:posOffset>1905</wp:posOffset>
                </wp:positionV>
                <wp:extent cx="457200" cy="457200"/>
                <wp:effectExtent l="0" t="0" r="25400" b="25400"/>
                <wp:wrapNone/>
                <wp:docPr id="743" name="Ellipse 743"/>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1369D36F" w14:textId="7AB31CD7" w:rsidR="00573C95" w:rsidRPr="00BF5FC4" w:rsidRDefault="00573C95" w:rsidP="00131B7F">
                            <w:pPr>
                              <w:jc w:val="center"/>
                              <w:rPr>
                                <w:color w:val="FFFFFF" w:themeColor="background1"/>
                              </w:rPr>
                            </w:pPr>
                            <w:r>
                              <w:rPr>
                                <w:color w:val="FFFFFF" w:themeColor="background1"/>
                              </w:rPr>
                              <w:t>1</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43" o:spid="_x0000_s1491" style="position:absolute;margin-left:-62.95pt;margin-top:.15pt;width:36pt;height:36pt;z-index:2530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" fillcolor="black [3200]" strokecolor="white [3201]" strokeweight="1.75pt">
                <v:textbox>
                  <w:txbxContent>
                    <w:p w14:paraId="1369D36F" w14:textId="7AB31CD7" w:rsidR="001501D6" w:rsidRPr="00BF5FC4" w:rsidRDefault="001501D6" w:rsidP="00131B7F">
                      <w:pPr>
                        <w:jc w:val="center"/>
                        <w:rPr>
                          <w:color w:val="FFFFFF" w:themeColor="background1"/>
                        </w:rPr>
                      </w:pPr>
                      <w:r>
                        <w:rPr>
                          <w:color w:val="FFFFFF" w:themeColor="background1"/>
                        </w:rPr>
                        <w:t>1</w:t>
                      </w:r>
                      <w:r w:rsidRPr="00BF5FC4">
                        <w:rPr>
                          <w:color w:val="FFFFFF" w:themeColor="background1"/>
                        </w:rPr>
                        <w:t xml:space="preserve"> </w:t>
                      </w:r>
                    </w:p>
                  </w:txbxContent>
                </v:textbox>
              </v:oval>
            </w:pict>
          </mc:Fallback>
        </mc:AlternateContent>
      </w:r>
      <w:r w:rsidR="009B79A5">
        <w:rPr>
          <w:noProof/>
          <w:lang w:eastAsia="fr-FR"/>
        </w:rPr>
        <w:t xml:space="preserve"> </w:t>
      </w:r>
    </w:p>
    <w:tbl>
      <w:tblPr>
        <w:tblStyle w:val="Grille"/>
        <w:tblpPr w:leftFromText="141" w:rightFromText="141" w:vertAnchor="page" w:horzAnchor="page" w:tblpX="1346" w:tblpY="84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566E18" w14:paraId="5D033273" w14:textId="77777777" w:rsidTr="00566E18">
        <w:tc>
          <w:tcPr>
            <w:tcW w:w="6573" w:type="dxa"/>
            <w:gridSpan w:val="2"/>
            <w:shd w:val="clear" w:color="auto" w:fill="BFBFBF" w:themeFill="background1" w:themeFillShade="BF"/>
          </w:tcPr>
          <w:p w14:paraId="75D6C44B" w14:textId="476FCB1F" w:rsidR="00566E18" w:rsidRDefault="00566E18" w:rsidP="00566E18">
            <w:pPr>
              <w:jc w:val="center"/>
            </w:pPr>
            <w:r>
              <w:t>Résultats sommaires - Marie Richer</w:t>
            </w:r>
          </w:p>
        </w:tc>
        <w:tc>
          <w:tcPr>
            <w:tcW w:w="6574" w:type="dxa"/>
            <w:gridSpan w:val="2"/>
            <w:shd w:val="clear" w:color="auto" w:fill="BFBFBF" w:themeFill="background1" w:themeFillShade="BF"/>
          </w:tcPr>
          <w:p w14:paraId="4B35762B" w14:textId="2596DC4E" w:rsidR="00566E18" w:rsidRDefault="00566E18" w:rsidP="00566E18">
            <w:pPr>
              <w:jc w:val="center"/>
            </w:pPr>
            <w:r>
              <w:t>Résultats sommaire</w:t>
            </w:r>
            <w:r w:rsidR="00EA4636">
              <w:t>s</w:t>
            </w:r>
            <w:r>
              <w:t xml:space="preserve"> - Jean Faucher</w:t>
            </w:r>
          </w:p>
        </w:tc>
      </w:tr>
      <w:tr w:rsidR="00566E18" w14:paraId="6EE17C57" w14:textId="77777777" w:rsidTr="004D1F1A">
        <w:tc>
          <w:tcPr>
            <w:tcW w:w="3286" w:type="dxa"/>
            <w:shd w:val="clear" w:color="auto" w:fill="940010"/>
          </w:tcPr>
          <w:p w14:paraId="20F7DB67" w14:textId="66668A8F" w:rsidR="00566E18" w:rsidRDefault="00EA4636" w:rsidP="00EA4636">
            <w:pPr>
              <w:jc w:val="both"/>
            </w:pPr>
            <w:r>
              <w:t>Versement</w:t>
            </w:r>
            <w:r w:rsidR="00746FB9">
              <w:t>s</w:t>
            </w:r>
            <w:r>
              <w:t xml:space="preserve"> mensuel</w:t>
            </w:r>
            <w:r w:rsidR="00746FB9">
              <w:t>s</w:t>
            </w:r>
          </w:p>
        </w:tc>
        <w:tc>
          <w:tcPr>
            <w:tcW w:w="3287" w:type="dxa"/>
            <w:shd w:val="clear" w:color="auto" w:fill="940010"/>
          </w:tcPr>
          <w:p w14:paraId="6ABC9650" w14:textId="2F5BA86A" w:rsidR="00566E18" w:rsidRDefault="00746FB9" w:rsidP="00746FB9">
            <w:pPr>
              <w:tabs>
                <w:tab w:val="right" w:pos="3071"/>
              </w:tabs>
              <w:jc w:val="center"/>
            </w:pPr>
            <w:r>
              <w:t>305,83</w:t>
            </w:r>
            <w:r w:rsidR="00566E18">
              <w:t xml:space="preserve"> $</w:t>
            </w:r>
          </w:p>
        </w:tc>
        <w:tc>
          <w:tcPr>
            <w:tcW w:w="3287" w:type="dxa"/>
            <w:shd w:val="clear" w:color="auto" w:fill="000000" w:themeFill="text1"/>
          </w:tcPr>
          <w:p w14:paraId="16DA074F" w14:textId="2158D058" w:rsidR="00566E18" w:rsidRDefault="00EA4636" w:rsidP="00EA4636">
            <w:pPr>
              <w:jc w:val="both"/>
            </w:pPr>
            <w:r>
              <w:t>Versement</w:t>
            </w:r>
            <w:r w:rsidR="00746FB9">
              <w:t>s</w:t>
            </w:r>
            <w:r>
              <w:t xml:space="preserve"> mensuel</w:t>
            </w:r>
            <w:r w:rsidR="00746FB9">
              <w:t>s</w:t>
            </w:r>
          </w:p>
        </w:tc>
        <w:tc>
          <w:tcPr>
            <w:tcW w:w="3287" w:type="dxa"/>
            <w:shd w:val="clear" w:color="auto" w:fill="000000" w:themeFill="text1"/>
          </w:tcPr>
          <w:p w14:paraId="37951F60" w14:textId="76495C4F" w:rsidR="00566E18" w:rsidRDefault="00746FB9" w:rsidP="00746FB9">
            <w:pPr>
              <w:jc w:val="center"/>
            </w:pPr>
            <w:r>
              <w:t xml:space="preserve">83,85 </w:t>
            </w:r>
            <w:r w:rsidR="00566E18">
              <w:t>$</w:t>
            </w:r>
          </w:p>
        </w:tc>
      </w:tr>
      <w:tr w:rsidR="00566E18" w14:paraId="2C9E22E9" w14:textId="77777777" w:rsidTr="004D1F1A">
        <w:tc>
          <w:tcPr>
            <w:tcW w:w="3286" w:type="dxa"/>
            <w:shd w:val="clear" w:color="auto" w:fill="940010"/>
          </w:tcPr>
          <w:p w14:paraId="5B8ED0AB" w14:textId="77777777" w:rsidR="004D1F1A" w:rsidRDefault="004D1F1A" w:rsidP="00746FB9">
            <w:pPr>
              <w:jc w:val="both"/>
            </w:pPr>
          </w:p>
          <w:p w14:paraId="5B6C06F8" w14:textId="4CEFA4BD" w:rsidR="00566E18" w:rsidRDefault="00746FB9" w:rsidP="00746FB9">
            <w:pPr>
              <w:jc w:val="both"/>
            </w:pPr>
            <w:r>
              <w:t>Total capital remboursé</w:t>
            </w:r>
          </w:p>
        </w:tc>
        <w:tc>
          <w:tcPr>
            <w:tcW w:w="3287" w:type="dxa"/>
            <w:shd w:val="clear" w:color="auto" w:fill="940010"/>
          </w:tcPr>
          <w:p w14:paraId="10E80B3D" w14:textId="77777777" w:rsidR="004D1F1A" w:rsidRDefault="004D1F1A" w:rsidP="00746FB9">
            <w:pPr>
              <w:jc w:val="center"/>
            </w:pPr>
          </w:p>
          <w:p w14:paraId="5A54518D" w14:textId="22F8E90D" w:rsidR="00566E18" w:rsidRDefault="00746FB9" w:rsidP="00746FB9">
            <w:pPr>
              <w:jc w:val="center"/>
            </w:pPr>
            <w:r>
              <w:t>7 000 $</w:t>
            </w:r>
          </w:p>
        </w:tc>
        <w:tc>
          <w:tcPr>
            <w:tcW w:w="3287" w:type="dxa"/>
            <w:shd w:val="clear" w:color="auto" w:fill="000000" w:themeFill="text1"/>
          </w:tcPr>
          <w:p w14:paraId="757F2706" w14:textId="77777777" w:rsidR="004D1F1A" w:rsidRDefault="004D1F1A" w:rsidP="00566E18">
            <w:pPr>
              <w:jc w:val="both"/>
            </w:pPr>
          </w:p>
          <w:p w14:paraId="6FC978EB" w14:textId="10E4A0F3" w:rsidR="00566E18" w:rsidRDefault="00746FB9" w:rsidP="00566E18">
            <w:pPr>
              <w:jc w:val="both"/>
            </w:pPr>
            <w:r>
              <w:t>Total capital remboursé</w:t>
            </w:r>
          </w:p>
        </w:tc>
        <w:tc>
          <w:tcPr>
            <w:tcW w:w="3287" w:type="dxa"/>
            <w:shd w:val="clear" w:color="auto" w:fill="000000" w:themeFill="text1"/>
          </w:tcPr>
          <w:p w14:paraId="2A090DC9" w14:textId="77777777" w:rsidR="004D1F1A" w:rsidRDefault="004D1F1A" w:rsidP="00746FB9">
            <w:pPr>
              <w:jc w:val="center"/>
            </w:pPr>
          </w:p>
          <w:p w14:paraId="1F30C263" w14:textId="43BCA1E3" w:rsidR="00566E18" w:rsidRDefault="00746FB9" w:rsidP="00746FB9">
            <w:pPr>
              <w:jc w:val="center"/>
            </w:pPr>
            <w:r>
              <w:t>8 049,60 $</w:t>
            </w:r>
          </w:p>
        </w:tc>
      </w:tr>
      <w:tr w:rsidR="00566E18" w14:paraId="05BFE554" w14:textId="77777777" w:rsidTr="004D1F1A">
        <w:tc>
          <w:tcPr>
            <w:tcW w:w="3286" w:type="dxa"/>
            <w:shd w:val="clear" w:color="auto" w:fill="940010"/>
          </w:tcPr>
          <w:p w14:paraId="44E150D6" w14:textId="77777777" w:rsidR="004D252A" w:rsidRDefault="004D252A" w:rsidP="00746FB9">
            <w:pPr>
              <w:jc w:val="both"/>
            </w:pPr>
          </w:p>
          <w:p w14:paraId="49AE2168" w14:textId="418636E0" w:rsidR="00566E18" w:rsidRDefault="00566E18" w:rsidP="00746FB9">
            <w:pPr>
              <w:jc w:val="both"/>
            </w:pPr>
            <w:r>
              <w:t>T</w:t>
            </w:r>
            <w:r w:rsidR="00746FB9">
              <w:t>otal i</w:t>
            </w:r>
            <w:r>
              <w:t>ntérêt</w:t>
            </w:r>
            <w:r w:rsidR="00746FB9">
              <w:t>s</w:t>
            </w:r>
          </w:p>
        </w:tc>
        <w:tc>
          <w:tcPr>
            <w:tcW w:w="3287" w:type="dxa"/>
            <w:shd w:val="clear" w:color="auto" w:fill="940010"/>
          </w:tcPr>
          <w:p w14:paraId="17317E16" w14:textId="77777777" w:rsidR="004D252A" w:rsidRDefault="004D252A" w:rsidP="00746FB9">
            <w:pPr>
              <w:jc w:val="center"/>
            </w:pPr>
          </w:p>
          <w:p w14:paraId="384467AD" w14:textId="59DD72A6" w:rsidR="00566E18" w:rsidRDefault="00746FB9" w:rsidP="00746FB9">
            <w:pPr>
              <w:jc w:val="center"/>
            </w:pPr>
            <w:r>
              <w:t>339,92 $</w:t>
            </w:r>
          </w:p>
        </w:tc>
        <w:tc>
          <w:tcPr>
            <w:tcW w:w="3287" w:type="dxa"/>
            <w:shd w:val="clear" w:color="auto" w:fill="000000" w:themeFill="text1"/>
          </w:tcPr>
          <w:p w14:paraId="12E70B3F" w14:textId="77777777" w:rsidR="004D252A" w:rsidRDefault="004D252A" w:rsidP="00566E18">
            <w:pPr>
              <w:jc w:val="both"/>
            </w:pPr>
          </w:p>
          <w:p w14:paraId="334A29F8" w14:textId="696ED283" w:rsidR="00566E18" w:rsidRDefault="00566E18" w:rsidP="004D1F1A">
            <w:pPr>
              <w:jc w:val="both"/>
            </w:pPr>
            <w:r>
              <w:t>T</w:t>
            </w:r>
            <w:r w:rsidR="004D1F1A">
              <w:t>otal des</w:t>
            </w:r>
            <w:r>
              <w:t xml:space="preserve"> intérêt</w:t>
            </w:r>
            <w:r w:rsidR="004D1F1A">
              <w:t>s</w:t>
            </w:r>
          </w:p>
        </w:tc>
        <w:tc>
          <w:tcPr>
            <w:tcW w:w="3287" w:type="dxa"/>
            <w:shd w:val="clear" w:color="auto" w:fill="000000" w:themeFill="text1"/>
          </w:tcPr>
          <w:p w14:paraId="3F38EBEE" w14:textId="00BA892F" w:rsidR="00566E18" w:rsidRDefault="00566E18" w:rsidP="00746FB9">
            <w:pPr>
              <w:jc w:val="center"/>
            </w:pPr>
          </w:p>
        </w:tc>
      </w:tr>
      <w:tr w:rsidR="00566E18" w14:paraId="490CFDC3" w14:textId="77777777" w:rsidTr="004D1F1A">
        <w:tc>
          <w:tcPr>
            <w:tcW w:w="3286" w:type="dxa"/>
            <w:shd w:val="clear" w:color="auto" w:fill="940010"/>
          </w:tcPr>
          <w:p w14:paraId="2DCD6F27" w14:textId="44FBF025" w:rsidR="00566E18" w:rsidRDefault="00566E18" w:rsidP="00566E18">
            <w:pPr>
              <w:jc w:val="both"/>
            </w:pPr>
          </w:p>
        </w:tc>
        <w:tc>
          <w:tcPr>
            <w:tcW w:w="3287" w:type="dxa"/>
            <w:shd w:val="clear" w:color="auto" w:fill="940010"/>
          </w:tcPr>
          <w:p w14:paraId="3D2E0861" w14:textId="19A9D7A6" w:rsidR="00566E18" w:rsidRDefault="00566E18" w:rsidP="00566E18">
            <w:pPr>
              <w:jc w:val="center"/>
            </w:pPr>
          </w:p>
        </w:tc>
        <w:tc>
          <w:tcPr>
            <w:tcW w:w="3287" w:type="dxa"/>
            <w:shd w:val="clear" w:color="auto" w:fill="000000" w:themeFill="text1"/>
          </w:tcPr>
          <w:p w14:paraId="2A044995" w14:textId="1E96C900" w:rsidR="00566E18" w:rsidRDefault="00566E18" w:rsidP="00566E18">
            <w:pPr>
              <w:jc w:val="both"/>
            </w:pPr>
          </w:p>
        </w:tc>
        <w:tc>
          <w:tcPr>
            <w:tcW w:w="3287" w:type="dxa"/>
            <w:shd w:val="clear" w:color="auto" w:fill="000000" w:themeFill="text1"/>
          </w:tcPr>
          <w:p w14:paraId="01879287" w14:textId="774EA181" w:rsidR="00566E18" w:rsidRDefault="00566E18" w:rsidP="00566E18">
            <w:pPr>
              <w:jc w:val="center"/>
            </w:pPr>
          </w:p>
        </w:tc>
      </w:tr>
    </w:tbl>
    <w:p w14:paraId="005484A9" w14:textId="1D924398" w:rsidR="0016747A" w:rsidRPr="00131B7F" w:rsidRDefault="004D1F1A" w:rsidP="002F4BC2">
      <w:pPr>
        <w:rPr>
          <w:b/>
        </w:rPr>
      </w:pPr>
      <w:r w:rsidRPr="00131B7F">
        <w:rPr>
          <w:b/>
        </w:rPr>
        <w:t>Détermination des paiements</w:t>
      </w:r>
    </w:p>
    <w:p w14:paraId="45720609" w14:textId="77777777" w:rsidR="0016747A" w:rsidRDefault="0016747A" w:rsidP="002F4BC2"/>
    <w:p w14:paraId="425E5B6A" w14:textId="24E452F7" w:rsidR="0016747A" w:rsidRDefault="00B224E0" w:rsidP="002F4BC2">
      <w:r>
        <w:rPr>
          <w:noProof/>
          <w:lang w:eastAsia="fr-FR"/>
        </w:rPr>
        <mc:AlternateContent>
          <mc:Choice Requires="wps">
            <w:drawing>
              <wp:anchor distT="0" distB="0" distL="114300" distR="114300" simplePos="0" relativeHeight="253018112" behindDoc="0" locked="0" layoutInCell="1" allowOverlap="1" wp14:anchorId="0B6B36B0" wp14:editId="17836D3C">
                <wp:simplePos x="0" y="0"/>
                <wp:positionH relativeFrom="column">
                  <wp:posOffset>6515100</wp:posOffset>
                </wp:positionH>
                <wp:positionV relativeFrom="paragraph">
                  <wp:posOffset>687705</wp:posOffset>
                </wp:positionV>
                <wp:extent cx="1143000" cy="914400"/>
                <wp:effectExtent l="0" t="0" r="0" b="0"/>
                <wp:wrapSquare wrapText="bothSides"/>
                <wp:docPr id="742" name="Zone de texte 742"/>
                <wp:cNvGraphicFramePr/>
                <a:graphic xmlns:a="http://schemas.openxmlformats.org/drawingml/2006/main">
                  <a:graphicData uri="http://schemas.microsoft.com/office/word/2010/wordprocessingShape">
                    <wps:wsp>
                      <wps:cNvSpPr txBox="1"/>
                      <wps:spPr>
                        <a:xfrm>
                          <a:off x="0" y="0"/>
                          <a:ext cx="11430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A3D1C6" w14:textId="01995A5E" w:rsidR="00573C95" w:rsidRPr="00B224E0" w:rsidRDefault="00573C95" w:rsidP="004D252A">
                            <w:pPr>
                              <w:jc w:val="center"/>
                              <w:rPr>
                                <w:rFonts w:ascii="Avenir Book" w:hAnsi="Avenir Book"/>
                                <w:sz w:val="72"/>
                                <w:szCs w:val="72"/>
                              </w:rPr>
                            </w:pPr>
                            <w:r w:rsidRPr="00B224E0">
                              <w:rPr>
                                <w:rFonts w:ascii="Avenir Book" w:hAnsi="Avenir Book"/>
                                <w:sz w:val="72"/>
                                <w:szCs w:val="7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Zone de texte 742" o:spid="_x0000_s1492" type="#_x0000_t202" style="position:absolute;margin-left:513pt;margin-top:54.15pt;width:90pt;height:1in;z-index:25301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" filled="f" stroked="f">
                <v:textbox>
                  <w:txbxContent>
                    <w:p w14:paraId="68A3D1C6" w14:textId="01995A5E" w:rsidR="001501D6" w:rsidRPr="00B224E0" w:rsidRDefault="001501D6" w:rsidP="004D252A">
                      <w:pPr>
                        <w:jc w:val="center"/>
                        <w:rPr>
                          <w:rFonts w:ascii="Avenir Book" w:hAnsi="Avenir Book"/>
                          <w:sz w:val="72"/>
                          <w:szCs w:val="72"/>
                        </w:rPr>
                      </w:pPr>
                      <w:r w:rsidRPr="00B224E0">
                        <w:rPr>
                          <w:rFonts w:ascii="Avenir Book" w:hAnsi="Avenir Book"/>
                          <w:sz w:val="72"/>
                          <w:szCs w:val="72"/>
                        </w:rPr>
                        <w:t>?</w:t>
                      </w:r>
                    </w:p>
                  </w:txbxContent>
                </v:textbox>
                <w10:wrap type="square"/>
              </v:shape>
            </w:pict>
          </mc:Fallback>
        </mc:AlternateContent>
      </w:r>
      <w:r>
        <w:rPr>
          <w:noProof/>
          <w:lang w:eastAsia="fr-FR"/>
        </w:rPr>
        <mc:AlternateContent>
          <mc:Choice Requires="wpg">
            <w:drawing>
              <wp:anchor distT="0" distB="0" distL="114300" distR="114300" simplePos="0" relativeHeight="253017088" behindDoc="0" locked="0" layoutInCell="1" allowOverlap="1" wp14:anchorId="5F598BE8" wp14:editId="664F9E93">
                <wp:simplePos x="0" y="0"/>
                <wp:positionH relativeFrom="column">
                  <wp:posOffset>6629400</wp:posOffset>
                </wp:positionH>
                <wp:positionV relativeFrom="paragraph">
                  <wp:posOffset>802005</wp:posOffset>
                </wp:positionV>
                <wp:extent cx="1257300" cy="1050290"/>
                <wp:effectExtent l="0" t="0" r="12700" b="0"/>
                <wp:wrapNone/>
                <wp:docPr id="737" name="Group 85"/>
                <wp:cNvGraphicFramePr/>
                <a:graphic xmlns:a="http://schemas.openxmlformats.org/drawingml/2006/main">
                  <a:graphicData uri="http://schemas.microsoft.com/office/word/2010/wordprocessingGroup">
                    <wpg:wgp>
                      <wpg:cNvGrpSpPr/>
                      <wpg:grpSpPr>
                        <a:xfrm>
                          <a:off x="0" y="0"/>
                          <a:ext cx="1257300" cy="1050290"/>
                          <a:chOff x="-114499" y="-150232"/>
                          <a:chExt cx="1030487" cy="1031294"/>
                        </a:xfrm>
                        <a:extLst>
                          <a:ext uri="{0CCBE362-F206-4b92-989A-16890622DB6E}">
                            <ma14:wrappingTextBoxFlag xmlns:ma14="http://schemas.microsoft.com/office/mac/drawingml/2011/main"/>
                          </a:ext>
                        </a:extLst>
                      </wpg:grpSpPr>
                      <wps:wsp>
                        <wps:cNvPr id="738" name="Freeform 69"/>
                        <wps:cNvSpPr>
                          <a:spLocks/>
                        </wps:cNvSpPr>
                        <wps:spPr bwMode="auto">
                          <a:xfrm>
                            <a:off x="403225" y="382587"/>
                            <a:ext cx="512763" cy="498475"/>
                          </a:xfrm>
                          <a:custGeom>
                            <a:avLst/>
                            <a:gdLst/>
                            <a:ahLst/>
                            <a:cxnLst>
                              <a:cxn ang="0">
                                <a:pos x="78" y="0"/>
                              </a:cxn>
                              <a:cxn ang="0">
                                <a:pos x="87" y="1"/>
                              </a:cxn>
                              <a:cxn ang="0">
                                <a:pos x="96" y="6"/>
                              </a:cxn>
                              <a:cxn ang="0">
                                <a:pos x="314" y="214"/>
                              </a:cxn>
                              <a:cxn ang="0">
                                <a:pos x="320" y="222"/>
                              </a:cxn>
                              <a:cxn ang="0">
                                <a:pos x="323" y="231"/>
                              </a:cxn>
                              <a:cxn ang="0">
                                <a:pos x="320" y="239"/>
                              </a:cxn>
                              <a:cxn ang="0">
                                <a:pos x="315" y="248"/>
                              </a:cxn>
                              <a:cxn ang="0">
                                <a:pos x="260" y="307"/>
                              </a:cxn>
                              <a:cxn ang="0">
                                <a:pos x="253" y="313"/>
                              </a:cxn>
                              <a:cxn ang="0">
                                <a:pos x="243" y="314"/>
                              </a:cxn>
                              <a:cxn ang="0">
                                <a:pos x="234" y="313"/>
                              </a:cxn>
                              <a:cxn ang="0">
                                <a:pos x="226" y="307"/>
                              </a:cxn>
                              <a:cxn ang="0">
                                <a:pos x="7" y="99"/>
                              </a:cxn>
                              <a:cxn ang="0">
                                <a:pos x="1" y="92"/>
                              </a:cxn>
                              <a:cxn ang="0">
                                <a:pos x="0" y="82"/>
                              </a:cxn>
                              <a:cxn ang="0">
                                <a:pos x="1" y="74"/>
                              </a:cxn>
                              <a:cxn ang="0">
                                <a:pos x="6" y="65"/>
                              </a:cxn>
                              <a:cxn ang="0">
                                <a:pos x="61" y="7"/>
                              </a:cxn>
                              <a:cxn ang="0">
                                <a:pos x="70" y="1"/>
                              </a:cxn>
                              <a:cxn ang="0">
                                <a:pos x="78" y="0"/>
                              </a:cxn>
                            </a:cxnLst>
                            <a:rect l="0" t="0" r="r" b="b"/>
                            <a:pathLst>
                              <a:path w="323" h="314">
                                <a:moveTo>
                                  <a:pt x="78" y="0"/>
                                </a:moveTo>
                                <a:lnTo>
                                  <a:pt x="87" y="1"/>
                                </a:lnTo>
                                <a:lnTo>
                                  <a:pt x="96" y="6"/>
                                </a:lnTo>
                                <a:lnTo>
                                  <a:pt x="314" y="214"/>
                                </a:lnTo>
                                <a:lnTo>
                                  <a:pt x="320" y="222"/>
                                </a:lnTo>
                                <a:lnTo>
                                  <a:pt x="323" y="231"/>
                                </a:lnTo>
                                <a:lnTo>
                                  <a:pt x="320" y="239"/>
                                </a:lnTo>
                                <a:lnTo>
                                  <a:pt x="315" y="248"/>
                                </a:lnTo>
                                <a:lnTo>
                                  <a:pt x="260" y="307"/>
                                </a:lnTo>
                                <a:lnTo>
                                  <a:pt x="253" y="313"/>
                                </a:lnTo>
                                <a:lnTo>
                                  <a:pt x="243" y="314"/>
                                </a:lnTo>
                                <a:lnTo>
                                  <a:pt x="234" y="313"/>
                                </a:lnTo>
                                <a:lnTo>
                                  <a:pt x="226" y="307"/>
                                </a:lnTo>
                                <a:lnTo>
                                  <a:pt x="7" y="99"/>
                                </a:lnTo>
                                <a:lnTo>
                                  <a:pt x="1" y="92"/>
                                </a:lnTo>
                                <a:lnTo>
                                  <a:pt x="0" y="82"/>
                                </a:lnTo>
                                <a:lnTo>
                                  <a:pt x="1" y="74"/>
                                </a:lnTo>
                                <a:lnTo>
                                  <a:pt x="6" y="65"/>
                                </a:lnTo>
                                <a:lnTo>
                                  <a:pt x="61" y="7"/>
                                </a:lnTo>
                                <a:lnTo>
                                  <a:pt x="70" y="1"/>
                                </a:lnTo>
                                <a:lnTo>
                                  <a:pt x="78" y="0"/>
                                </a:lnTo>
                                <a:close/>
                              </a:path>
                            </a:pathLst>
                          </a:custGeom>
                          <a:solidFill>
                            <a:srgbClr val="FF2E5F"/>
                          </a:solidFill>
                          <a:ln w="0">
                            <a:noFill/>
                            <a:prstDash val="solid"/>
                            <a:round/>
                            <a:headEnd/>
                            <a:tailEnd/>
                          </a:ln>
                        </wps:spPr>
                        <wps:txbx>
                          <w:txbxContent>
                            <w:p w14:paraId="3BBE815D" w14:textId="77777777" w:rsidR="00573C95" w:rsidRDefault="00573C95" w:rsidP="004D252A">
                              <w:pPr>
                                <w:rPr>
                                  <w:rFonts w:eastAsia="Times New Roman"/>
                                </w:rPr>
                              </w:pPr>
                            </w:p>
                          </w:txbxContent>
                        </wps:txbx>
                        <wps:bodyPr vert="horz" wrap="square" lIns="91440" tIns="45720" rIns="91440" bIns="45720" numCol="1" anchor="t" anchorCtr="0" compatLnSpc="1">
                          <a:prstTxWarp prst="textNoShape">
                            <a:avLst/>
                          </a:prstTxWarp>
                        </wps:bodyPr>
                      </wps:wsp>
                      <wps:wsp>
                        <wps:cNvPr id="739" name="Freeform 70"/>
                        <wps:cNvSpPr>
                          <a:spLocks/>
                        </wps:cNvSpPr>
                        <wps:spPr bwMode="auto">
                          <a:xfrm>
                            <a:off x="379" y="-24316"/>
                            <a:ext cx="576263" cy="577850"/>
                          </a:xfrm>
                          <a:custGeom>
                            <a:avLst/>
                            <a:gdLst/>
                            <a:ahLst/>
                            <a:cxnLst>
                              <a:cxn ang="0">
                                <a:pos x="181" y="0"/>
                              </a:cxn>
                              <a:cxn ang="0">
                                <a:pos x="218" y="4"/>
                              </a:cxn>
                              <a:cxn ang="0">
                                <a:pos x="252" y="15"/>
                              </a:cxn>
                              <a:cxn ang="0">
                                <a:pos x="283" y="31"/>
                              </a:cxn>
                              <a:cxn ang="0">
                                <a:pos x="310" y="53"/>
                              </a:cxn>
                              <a:cxn ang="0">
                                <a:pos x="332" y="80"/>
                              </a:cxn>
                              <a:cxn ang="0">
                                <a:pos x="348" y="111"/>
                              </a:cxn>
                              <a:cxn ang="0">
                                <a:pos x="359" y="145"/>
                              </a:cxn>
                              <a:cxn ang="0">
                                <a:pos x="363" y="182"/>
                              </a:cxn>
                              <a:cxn ang="0">
                                <a:pos x="359" y="219"/>
                              </a:cxn>
                              <a:cxn ang="0">
                                <a:pos x="348" y="253"/>
                              </a:cxn>
                              <a:cxn ang="0">
                                <a:pos x="332" y="284"/>
                              </a:cxn>
                              <a:cxn ang="0">
                                <a:pos x="310" y="311"/>
                              </a:cxn>
                              <a:cxn ang="0">
                                <a:pos x="283" y="333"/>
                              </a:cxn>
                              <a:cxn ang="0">
                                <a:pos x="252" y="349"/>
                              </a:cxn>
                              <a:cxn ang="0">
                                <a:pos x="218" y="360"/>
                              </a:cxn>
                              <a:cxn ang="0">
                                <a:pos x="181" y="364"/>
                              </a:cxn>
                              <a:cxn ang="0">
                                <a:pos x="144" y="360"/>
                              </a:cxn>
                              <a:cxn ang="0">
                                <a:pos x="111" y="349"/>
                              </a:cxn>
                              <a:cxn ang="0">
                                <a:pos x="80" y="333"/>
                              </a:cxn>
                              <a:cxn ang="0">
                                <a:pos x="53" y="311"/>
                              </a:cxn>
                              <a:cxn ang="0">
                                <a:pos x="31" y="284"/>
                              </a:cxn>
                              <a:cxn ang="0">
                                <a:pos x="15" y="253"/>
                              </a:cxn>
                              <a:cxn ang="0">
                                <a:pos x="4" y="219"/>
                              </a:cxn>
                              <a:cxn ang="0">
                                <a:pos x="0" y="182"/>
                              </a:cxn>
                              <a:cxn ang="0">
                                <a:pos x="4" y="145"/>
                              </a:cxn>
                              <a:cxn ang="0">
                                <a:pos x="15" y="111"/>
                              </a:cxn>
                              <a:cxn ang="0">
                                <a:pos x="31" y="80"/>
                              </a:cxn>
                              <a:cxn ang="0">
                                <a:pos x="53" y="53"/>
                              </a:cxn>
                              <a:cxn ang="0">
                                <a:pos x="80" y="31"/>
                              </a:cxn>
                              <a:cxn ang="0">
                                <a:pos x="111" y="15"/>
                              </a:cxn>
                              <a:cxn ang="0">
                                <a:pos x="144" y="4"/>
                              </a:cxn>
                              <a:cxn ang="0">
                                <a:pos x="181" y="0"/>
                              </a:cxn>
                            </a:cxnLst>
                            <a:rect l="0" t="0" r="r" b="b"/>
                            <a:pathLst>
                              <a:path w="363" h="364">
                                <a:moveTo>
                                  <a:pt x="181" y="0"/>
                                </a:moveTo>
                                <a:lnTo>
                                  <a:pt x="218" y="4"/>
                                </a:lnTo>
                                <a:lnTo>
                                  <a:pt x="252" y="15"/>
                                </a:lnTo>
                                <a:lnTo>
                                  <a:pt x="283" y="31"/>
                                </a:lnTo>
                                <a:lnTo>
                                  <a:pt x="310" y="53"/>
                                </a:lnTo>
                                <a:lnTo>
                                  <a:pt x="332" y="80"/>
                                </a:lnTo>
                                <a:lnTo>
                                  <a:pt x="348" y="111"/>
                                </a:lnTo>
                                <a:lnTo>
                                  <a:pt x="359" y="145"/>
                                </a:lnTo>
                                <a:lnTo>
                                  <a:pt x="363" y="182"/>
                                </a:lnTo>
                                <a:lnTo>
                                  <a:pt x="359" y="219"/>
                                </a:lnTo>
                                <a:lnTo>
                                  <a:pt x="348" y="253"/>
                                </a:lnTo>
                                <a:lnTo>
                                  <a:pt x="332" y="284"/>
                                </a:lnTo>
                                <a:lnTo>
                                  <a:pt x="310" y="311"/>
                                </a:lnTo>
                                <a:lnTo>
                                  <a:pt x="283" y="333"/>
                                </a:lnTo>
                                <a:lnTo>
                                  <a:pt x="252" y="349"/>
                                </a:lnTo>
                                <a:lnTo>
                                  <a:pt x="218" y="360"/>
                                </a:lnTo>
                                <a:lnTo>
                                  <a:pt x="181" y="364"/>
                                </a:lnTo>
                                <a:lnTo>
                                  <a:pt x="144" y="360"/>
                                </a:lnTo>
                                <a:lnTo>
                                  <a:pt x="111" y="349"/>
                                </a:lnTo>
                                <a:lnTo>
                                  <a:pt x="80" y="333"/>
                                </a:lnTo>
                                <a:lnTo>
                                  <a:pt x="53" y="311"/>
                                </a:lnTo>
                                <a:lnTo>
                                  <a:pt x="31" y="284"/>
                                </a:lnTo>
                                <a:lnTo>
                                  <a:pt x="15" y="253"/>
                                </a:lnTo>
                                <a:lnTo>
                                  <a:pt x="4" y="219"/>
                                </a:lnTo>
                                <a:lnTo>
                                  <a:pt x="0" y="182"/>
                                </a:lnTo>
                                <a:lnTo>
                                  <a:pt x="4" y="145"/>
                                </a:lnTo>
                                <a:lnTo>
                                  <a:pt x="15" y="111"/>
                                </a:lnTo>
                                <a:lnTo>
                                  <a:pt x="31" y="80"/>
                                </a:lnTo>
                                <a:lnTo>
                                  <a:pt x="53" y="53"/>
                                </a:lnTo>
                                <a:lnTo>
                                  <a:pt x="80" y="31"/>
                                </a:lnTo>
                                <a:lnTo>
                                  <a:pt x="111" y="15"/>
                                </a:lnTo>
                                <a:lnTo>
                                  <a:pt x="144" y="4"/>
                                </a:lnTo>
                                <a:lnTo>
                                  <a:pt x="181" y="0"/>
                                </a:lnTo>
                                <a:close/>
                              </a:path>
                            </a:pathLst>
                          </a:custGeom>
                          <a:solidFill>
                            <a:srgbClr val="D6E0DF"/>
                          </a:solidFill>
                          <a:ln w="0">
                            <a:noFill/>
                            <a:prstDash val="solid"/>
                            <a:round/>
                            <a:headEnd/>
                            <a:tailEnd/>
                          </a:ln>
                        </wps:spPr>
                        <wps:txbx>
                          <w:txbxContent>
                            <w:p w14:paraId="3A273E11" w14:textId="77777777" w:rsidR="00573C95" w:rsidRDefault="00573C95" w:rsidP="004D252A">
                              <w:pPr>
                                <w:rPr>
                                  <w:rFonts w:eastAsia="Times New Roman"/>
                                </w:rPr>
                              </w:pPr>
                            </w:p>
                          </w:txbxContent>
                        </wps:txbx>
                        <wps:bodyPr vert="horz" wrap="square" lIns="91440" tIns="45720" rIns="91440" bIns="45720" numCol="1" anchor="t" anchorCtr="0" compatLnSpc="1">
                          <a:prstTxWarp prst="textNoShape">
                            <a:avLst/>
                          </a:prstTxWarp>
                        </wps:bodyPr>
                      </wps:wsp>
                      <wps:wsp>
                        <wps:cNvPr id="740" name="Freeform 71"/>
                        <wps:cNvSpPr>
                          <a:spLocks noEditPoints="1"/>
                        </wps:cNvSpPr>
                        <wps:spPr bwMode="auto">
                          <a:xfrm>
                            <a:off x="-114499" y="-150232"/>
                            <a:ext cx="777875" cy="781050"/>
                          </a:xfrm>
                          <a:custGeom>
                            <a:avLst/>
                            <a:gdLst/>
                            <a:ahLst/>
                            <a:cxnLst>
                              <a:cxn ang="0">
                                <a:pos x="211" y="85"/>
                              </a:cxn>
                              <a:cxn ang="0">
                                <a:pos x="152" y="110"/>
                              </a:cxn>
                              <a:cxn ang="0">
                                <a:pos x="108" y="154"/>
                              </a:cxn>
                              <a:cxn ang="0">
                                <a:pos x="83" y="213"/>
                              </a:cxn>
                              <a:cxn ang="0">
                                <a:pos x="83" y="279"/>
                              </a:cxn>
                              <a:cxn ang="0">
                                <a:pos x="108" y="338"/>
                              </a:cxn>
                              <a:cxn ang="0">
                                <a:pos x="152" y="382"/>
                              </a:cxn>
                              <a:cxn ang="0">
                                <a:pos x="211" y="407"/>
                              </a:cxn>
                              <a:cxn ang="0">
                                <a:pos x="277" y="407"/>
                              </a:cxn>
                              <a:cxn ang="0">
                                <a:pos x="336" y="382"/>
                              </a:cxn>
                              <a:cxn ang="0">
                                <a:pos x="380" y="338"/>
                              </a:cxn>
                              <a:cxn ang="0">
                                <a:pos x="405" y="279"/>
                              </a:cxn>
                              <a:cxn ang="0">
                                <a:pos x="405" y="213"/>
                              </a:cxn>
                              <a:cxn ang="0">
                                <a:pos x="380" y="154"/>
                              </a:cxn>
                              <a:cxn ang="0">
                                <a:pos x="336" y="110"/>
                              </a:cxn>
                              <a:cxn ang="0">
                                <a:pos x="277" y="85"/>
                              </a:cxn>
                              <a:cxn ang="0">
                                <a:pos x="244" y="0"/>
                              </a:cxn>
                              <a:cxn ang="0">
                                <a:pos x="321" y="13"/>
                              </a:cxn>
                              <a:cxn ang="0">
                                <a:pos x="389" y="48"/>
                              </a:cxn>
                              <a:cxn ang="0">
                                <a:pos x="443" y="101"/>
                              </a:cxn>
                              <a:cxn ang="0">
                                <a:pos x="477" y="169"/>
                              </a:cxn>
                              <a:cxn ang="0">
                                <a:pos x="490" y="246"/>
                              </a:cxn>
                              <a:cxn ang="0">
                                <a:pos x="477" y="323"/>
                              </a:cxn>
                              <a:cxn ang="0">
                                <a:pos x="443" y="391"/>
                              </a:cxn>
                              <a:cxn ang="0">
                                <a:pos x="389" y="444"/>
                              </a:cxn>
                              <a:cxn ang="0">
                                <a:pos x="321" y="479"/>
                              </a:cxn>
                              <a:cxn ang="0">
                                <a:pos x="244" y="492"/>
                              </a:cxn>
                              <a:cxn ang="0">
                                <a:pos x="167" y="479"/>
                              </a:cxn>
                              <a:cxn ang="0">
                                <a:pos x="99" y="444"/>
                              </a:cxn>
                              <a:cxn ang="0">
                                <a:pos x="46" y="391"/>
                              </a:cxn>
                              <a:cxn ang="0">
                                <a:pos x="12" y="323"/>
                              </a:cxn>
                              <a:cxn ang="0">
                                <a:pos x="0" y="246"/>
                              </a:cxn>
                              <a:cxn ang="0">
                                <a:pos x="12" y="169"/>
                              </a:cxn>
                              <a:cxn ang="0">
                                <a:pos x="46" y="101"/>
                              </a:cxn>
                              <a:cxn ang="0">
                                <a:pos x="99" y="48"/>
                              </a:cxn>
                              <a:cxn ang="0">
                                <a:pos x="167" y="13"/>
                              </a:cxn>
                              <a:cxn ang="0">
                                <a:pos x="244" y="0"/>
                              </a:cxn>
                            </a:cxnLst>
                            <a:rect l="0" t="0" r="r" b="b"/>
                            <a:pathLst>
                              <a:path w="490" h="492">
                                <a:moveTo>
                                  <a:pt x="244" y="81"/>
                                </a:moveTo>
                                <a:lnTo>
                                  <a:pt x="211" y="85"/>
                                </a:lnTo>
                                <a:lnTo>
                                  <a:pt x="180" y="95"/>
                                </a:lnTo>
                                <a:lnTo>
                                  <a:pt x="152" y="110"/>
                                </a:lnTo>
                                <a:lnTo>
                                  <a:pt x="127" y="129"/>
                                </a:lnTo>
                                <a:lnTo>
                                  <a:pt x="108" y="154"/>
                                </a:lnTo>
                                <a:lnTo>
                                  <a:pt x="93" y="182"/>
                                </a:lnTo>
                                <a:lnTo>
                                  <a:pt x="83" y="213"/>
                                </a:lnTo>
                                <a:lnTo>
                                  <a:pt x="79" y="246"/>
                                </a:lnTo>
                                <a:lnTo>
                                  <a:pt x="83" y="279"/>
                                </a:lnTo>
                                <a:lnTo>
                                  <a:pt x="93" y="310"/>
                                </a:lnTo>
                                <a:lnTo>
                                  <a:pt x="108" y="338"/>
                                </a:lnTo>
                                <a:lnTo>
                                  <a:pt x="127" y="363"/>
                                </a:lnTo>
                                <a:lnTo>
                                  <a:pt x="152" y="382"/>
                                </a:lnTo>
                                <a:lnTo>
                                  <a:pt x="180" y="397"/>
                                </a:lnTo>
                                <a:lnTo>
                                  <a:pt x="211" y="407"/>
                                </a:lnTo>
                                <a:lnTo>
                                  <a:pt x="244" y="410"/>
                                </a:lnTo>
                                <a:lnTo>
                                  <a:pt x="277" y="407"/>
                                </a:lnTo>
                                <a:lnTo>
                                  <a:pt x="308" y="397"/>
                                </a:lnTo>
                                <a:lnTo>
                                  <a:pt x="336" y="382"/>
                                </a:lnTo>
                                <a:lnTo>
                                  <a:pt x="361" y="363"/>
                                </a:lnTo>
                                <a:lnTo>
                                  <a:pt x="380" y="338"/>
                                </a:lnTo>
                                <a:lnTo>
                                  <a:pt x="395" y="310"/>
                                </a:lnTo>
                                <a:lnTo>
                                  <a:pt x="405" y="279"/>
                                </a:lnTo>
                                <a:lnTo>
                                  <a:pt x="409" y="246"/>
                                </a:lnTo>
                                <a:lnTo>
                                  <a:pt x="405" y="213"/>
                                </a:lnTo>
                                <a:lnTo>
                                  <a:pt x="395" y="182"/>
                                </a:lnTo>
                                <a:lnTo>
                                  <a:pt x="380" y="154"/>
                                </a:lnTo>
                                <a:lnTo>
                                  <a:pt x="361" y="129"/>
                                </a:lnTo>
                                <a:lnTo>
                                  <a:pt x="336" y="110"/>
                                </a:lnTo>
                                <a:lnTo>
                                  <a:pt x="308" y="95"/>
                                </a:lnTo>
                                <a:lnTo>
                                  <a:pt x="277" y="85"/>
                                </a:lnTo>
                                <a:lnTo>
                                  <a:pt x="244" y="81"/>
                                </a:lnTo>
                                <a:close/>
                                <a:moveTo>
                                  <a:pt x="244" y="0"/>
                                </a:moveTo>
                                <a:lnTo>
                                  <a:pt x="284" y="4"/>
                                </a:lnTo>
                                <a:lnTo>
                                  <a:pt x="321" y="13"/>
                                </a:lnTo>
                                <a:lnTo>
                                  <a:pt x="357" y="27"/>
                                </a:lnTo>
                                <a:lnTo>
                                  <a:pt x="389" y="48"/>
                                </a:lnTo>
                                <a:lnTo>
                                  <a:pt x="418" y="73"/>
                                </a:lnTo>
                                <a:lnTo>
                                  <a:pt x="443" y="101"/>
                                </a:lnTo>
                                <a:lnTo>
                                  <a:pt x="463" y="133"/>
                                </a:lnTo>
                                <a:lnTo>
                                  <a:pt x="477" y="169"/>
                                </a:lnTo>
                                <a:lnTo>
                                  <a:pt x="486" y="207"/>
                                </a:lnTo>
                                <a:lnTo>
                                  <a:pt x="490" y="246"/>
                                </a:lnTo>
                                <a:lnTo>
                                  <a:pt x="486" y="285"/>
                                </a:lnTo>
                                <a:lnTo>
                                  <a:pt x="477" y="323"/>
                                </a:lnTo>
                                <a:lnTo>
                                  <a:pt x="463" y="359"/>
                                </a:lnTo>
                                <a:lnTo>
                                  <a:pt x="443" y="391"/>
                                </a:lnTo>
                                <a:lnTo>
                                  <a:pt x="418" y="419"/>
                                </a:lnTo>
                                <a:lnTo>
                                  <a:pt x="389" y="444"/>
                                </a:lnTo>
                                <a:lnTo>
                                  <a:pt x="357" y="465"/>
                                </a:lnTo>
                                <a:lnTo>
                                  <a:pt x="321" y="479"/>
                                </a:lnTo>
                                <a:lnTo>
                                  <a:pt x="284" y="488"/>
                                </a:lnTo>
                                <a:lnTo>
                                  <a:pt x="244" y="492"/>
                                </a:lnTo>
                                <a:lnTo>
                                  <a:pt x="205" y="488"/>
                                </a:lnTo>
                                <a:lnTo>
                                  <a:pt x="167" y="479"/>
                                </a:lnTo>
                                <a:lnTo>
                                  <a:pt x="132" y="465"/>
                                </a:lnTo>
                                <a:lnTo>
                                  <a:pt x="99" y="444"/>
                                </a:lnTo>
                                <a:lnTo>
                                  <a:pt x="71" y="419"/>
                                </a:lnTo>
                                <a:lnTo>
                                  <a:pt x="46" y="391"/>
                                </a:lnTo>
                                <a:lnTo>
                                  <a:pt x="27" y="359"/>
                                </a:lnTo>
                                <a:lnTo>
                                  <a:pt x="12" y="323"/>
                                </a:lnTo>
                                <a:lnTo>
                                  <a:pt x="3" y="285"/>
                                </a:lnTo>
                                <a:lnTo>
                                  <a:pt x="0" y="246"/>
                                </a:lnTo>
                                <a:lnTo>
                                  <a:pt x="3" y="207"/>
                                </a:lnTo>
                                <a:lnTo>
                                  <a:pt x="12" y="169"/>
                                </a:lnTo>
                                <a:lnTo>
                                  <a:pt x="27" y="133"/>
                                </a:lnTo>
                                <a:lnTo>
                                  <a:pt x="46" y="101"/>
                                </a:lnTo>
                                <a:lnTo>
                                  <a:pt x="71" y="73"/>
                                </a:lnTo>
                                <a:lnTo>
                                  <a:pt x="99" y="48"/>
                                </a:lnTo>
                                <a:lnTo>
                                  <a:pt x="132" y="27"/>
                                </a:lnTo>
                                <a:lnTo>
                                  <a:pt x="167" y="13"/>
                                </a:lnTo>
                                <a:lnTo>
                                  <a:pt x="205" y="4"/>
                                </a:lnTo>
                                <a:lnTo>
                                  <a:pt x="244" y="0"/>
                                </a:lnTo>
                                <a:close/>
                              </a:path>
                            </a:pathLst>
                          </a:custGeom>
                          <a:solidFill>
                            <a:srgbClr val="FF2E5F"/>
                          </a:solidFill>
                          <a:ln w="0">
                            <a:noFill/>
                            <a:prstDash val="solid"/>
                            <a:round/>
                            <a:headEnd/>
                            <a:tailEnd/>
                          </a:ln>
                        </wps:spPr>
                        <wps:txbx>
                          <w:txbxContent>
                            <w:p w14:paraId="19B02609" w14:textId="77777777" w:rsidR="00573C95" w:rsidRDefault="00573C95" w:rsidP="004D252A">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id="Group 85" o:spid="_x0000_s1493" style="position:absolute;margin-left:522pt;margin-top:63.15pt;width:99pt;height:82.7pt;z-index:253017088" coordorigin="-114499,-150232" coordsize="1030487,103129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">
                <v:shape id="Freeform 69" o:spid="_x0000_s1494" style="position:absolute;left:403225;top:382587;width:512763;height:498475;visibility:visible;mso-wrap-style:square;v-text-anchor:top" coordsize="323,31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2mY6wgAA&#10;ANwAAAAPAAAAZHJzL2Rvd25yZXYueG1sRE9NawIxEL0X+h/CCL1pVgtaVqOIVCwIFa0HvY2bMbuY&#10;TJYk1e2/bw6FHh/ve7bonBV3CrHxrGA4KEAQV143bBQcv9b9NxAxIWu0nknBD0VYzJ+fZlhq/+A9&#10;3Q/JiBzCsUQFdUptKWWsanIYB74lztzVB4cpw2CkDvjI4c7KUVGMpcOGc0ONLa1qqm6Hb6dgHC6n&#10;7S7x+b0w24nZ2PXKfVqlXnrdcgoiUZf+xX/uD61g8prX5jP5CMj5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baZjrCAAAA3AAAAA8AAAAAAAAAAAAAAAAAlwIAAGRycy9kb3du&#10;cmV2LnhtbFBLBQYAAAAABAAEAPUAAACGAwAAAAA=&#10;" adj="-11796480,,5400" path="m78,0l87,1,96,6,314,214,320,222,323,231,320,239,315,248,260,307,253,313,243,314,234,313,226,307,7,99,1,92,,82,1,74,6,65,61,7,70,1,78,0xe" fillcolor="#ff2e5f" stroked="f" strokeweight="0">
                  <v:stroke joinstyle="round"/>
                  <v:formulas/>
                  <v:path arrowok="t" o:connecttype="custom" o:connectlocs="78,0;87,1;96,6;314,214;320,222;323,231;320,239;315,248;260,307;253,313;243,314;234,313;226,307;7,99;1,92;0,82;1,74;6,65;61,7;70,1;78,0" o:connectangles="0,0,0,0,0,0,0,0,0,0,0,0,0,0,0,0,0,0,0,0,0" textboxrect="0,0,323,314"/>
                  <v:textbox>
                    <w:txbxContent>
                      <w:p w14:paraId="3BBE815D" w14:textId="77777777" w:rsidR="001501D6" w:rsidRDefault="001501D6" w:rsidP="004D252A">
                        <w:pPr>
                          <w:rPr>
                            <w:rFonts w:eastAsia="Times New Roman"/>
                          </w:rPr>
                        </w:pPr>
                      </w:p>
                    </w:txbxContent>
                  </v:textbox>
                </v:shape>
                <v:shape id="Freeform 70" o:spid="_x0000_s1495" style="position:absolute;left:379;top:-24316;width:576263;height:577850;visibility:visible;mso-wrap-style:square;v-text-anchor:top" coordsize="363,36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nxZqxgAA&#10;ANwAAAAPAAAAZHJzL2Rvd25yZXYueG1sRI9Ba8JAFITvhf6H5RV6KbqxBY3RVSQlUHrSqIi3R/Y1&#10;Cc2+Ddk1Sf99Vyj0OMzMN8x6O5pG9NS52rKC2TQCQVxYXXOp4HTMJjEI55E1NpZJwQ852G4eH9aY&#10;aDvwgfrclyJA2CWooPK+TaR0RUUG3dS2xMH7sp1BH2RXSt3hEOCmka9RNJcGaw4LFbaUVlR85zej&#10;YE9nhy/x8dq8nz+z+SU9tfEtUur5adytQHga/X/4r/2hFSzelnA/E46A3P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pnxZqxgAAANwAAAAPAAAAAAAAAAAAAAAAAJcCAABkcnMv&#10;ZG93bnJldi54bWxQSwUGAAAAAAQABAD1AAAAigMAAAAA&#10;" adj="-11796480,,5400" path="m181,0l218,4,252,15,283,31,310,53,332,80,348,111,359,145,363,182,359,219,348,253,332,284,310,311,283,333,252,349,218,360,181,364,144,360,111,349,80,333,53,311,31,284,15,253,4,219,,182,4,145,15,111,31,80,53,53,80,31,111,15,144,4,181,0xe" fillcolor="#d6e0df" stroked="f" strokeweight="0">
                  <v:stroke joinstyle="round"/>
                  <v:formulas/>
                  <v:path arrowok="t" o:connecttype="custom" o:connectlocs="181,0;218,4;252,15;283,31;310,53;332,80;348,111;359,145;363,182;359,219;348,253;332,284;310,311;283,333;252,349;218,360;181,364;144,360;111,349;80,333;53,311;31,284;15,253;4,219;0,182;4,145;15,111;31,80;53,53;80,31;111,15;144,4;181,0" o:connectangles="0,0,0,0,0,0,0,0,0,0,0,0,0,0,0,0,0,0,0,0,0,0,0,0,0,0,0,0,0,0,0,0,0" textboxrect="0,0,363,364"/>
                  <v:textbox>
                    <w:txbxContent>
                      <w:p w14:paraId="3A273E11" w14:textId="77777777" w:rsidR="001501D6" w:rsidRDefault="001501D6" w:rsidP="004D252A">
                        <w:pPr>
                          <w:rPr>
                            <w:rFonts w:eastAsia="Times New Roman"/>
                          </w:rPr>
                        </w:pPr>
                      </w:p>
                    </w:txbxContent>
                  </v:textbox>
                </v:shape>
                <v:shape id="Freeform 71" o:spid="_x0000_s1496" style="position:absolute;left:-114499;top:-150232;width:777875;height:781050;visibility:visible;mso-wrap-style:square;v-text-anchor:top" coordsize="490,492"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by0CwgAA&#10;ANwAAAAPAAAAZHJzL2Rvd25yZXYueG1sRE9Na4NAEL0X+h+WKeTWrDa2CTarFKGQU0JtD81t4k5V&#10;6s6Ku1Hz77OHQI6P973NZ9OJkQbXWlYQLyMQxJXVLdcKfr4/nzcgnEfW2FkmBRdykGePD1tMtZ34&#10;i8bS1yKEsEtRQeN9n0rpqoYMuqXtiQP3ZweDPsChlnrAKYSbTr5E0Zs02HJoaLCnoqHqvzwbBWW7&#10;fz1ynFTF4dfYVXJa1fLMSi2e5o93EJ5mfxff3DutYJ2E+eFMOAIyu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BvLQLCAAAA3AAAAA8AAAAAAAAAAAAAAAAAlwIAAGRycy9kb3du&#10;cmV2LnhtbFBLBQYAAAAABAAEAPUAAACGAwAAAAA=&#10;" adj="-11796480,,5400" path="m244,81l211,85,180,95,152,110,127,129,108,154,93,182,83,213,79,246,83,279,93,310,108,338,127,363,152,382,180,397,211,407,244,410,277,407,308,397,336,382,361,363,380,338,395,310,405,279,409,246,405,213,395,182,380,154,361,129,336,110,308,95,277,85,244,81xm244,0l284,4,321,13,357,27,389,48,418,73,443,101,463,133,477,169,486,207,490,246,486,285,477,323,463,359,443,391,418,419,389,444,357,465,321,479,284,488,244,492,205,488,167,479,132,465,99,444,71,419,46,391,27,359,12,323,3,285,,246,3,207,12,169,27,133,46,101,71,73,99,48,132,27,167,13,205,4,244,0xe" fillcolor="#ff2e5f" stroked="f" strokeweight="0">
                  <v:stroke joinstyle="round"/>
                  <v:formulas/>
                  <v:path arrowok="t" o:connecttype="custom" o:connectlocs="211,85;152,110;108,154;83,213;83,279;108,338;152,382;211,407;277,407;336,382;380,338;405,279;405,213;380,154;336,110;277,85;244,0;321,13;389,48;443,101;477,169;490,246;477,323;443,391;389,444;321,479;244,492;167,479;99,444;46,391;12,323;0,246;12,169;46,101;99,48;167,13;244,0" o:connectangles="0,0,0,0,0,0,0,0,0,0,0,0,0,0,0,0,0,0,0,0,0,0,0,0,0,0,0,0,0,0,0,0,0,0,0,0,0" textboxrect="0,0,490,492"/>
                  <o:lock v:ext="edit" verticies="t"/>
                  <v:textbox>
                    <w:txbxContent>
                      <w:p w14:paraId="19B02609" w14:textId="77777777" w:rsidR="001501D6" w:rsidRDefault="001501D6" w:rsidP="004D252A">
                        <w:pPr>
                          <w:rPr>
                            <w:rFonts w:eastAsia="Times New Roman"/>
                          </w:rPr>
                        </w:pPr>
                      </w:p>
                    </w:txbxContent>
                  </v:textbox>
                </v:shape>
              </v:group>
            </w:pict>
          </mc:Fallback>
        </mc:AlternateContent>
      </w:r>
    </w:p>
    <w:p w14:paraId="764CD3EB" w14:textId="347E448F" w:rsidR="00131B7F" w:rsidRPr="00131B7F" w:rsidRDefault="001A643E" w:rsidP="00131B7F">
      <w:pPr>
        <w:rPr>
          <w:b/>
        </w:rPr>
      </w:pPr>
      <w:r>
        <w:rPr>
          <w:noProof/>
          <w:lang w:eastAsia="fr-FR"/>
        </w:rPr>
        <w:lastRenderedPageBreak/>
        <mc:AlternateContent>
          <mc:Choice Requires="wps">
            <w:drawing>
              <wp:anchor distT="0" distB="0" distL="114300" distR="114300" simplePos="0" relativeHeight="253022208" behindDoc="0" locked="0" layoutInCell="1" allowOverlap="1" wp14:anchorId="37C9A5D6" wp14:editId="6B18E7A1">
                <wp:simplePos x="0" y="0"/>
                <wp:positionH relativeFrom="column">
                  <wp:posOffset>-571500</wp:posOffset>
                </wp:positionH>
                <wp:positionV relativeFrom="paragraph">
                  <wp:posOffset>-228600</wp:posOffset>
                </wp:positionV>
                <wp:extent cx="457200" cy="457200"/>
                <wp:effectExtent l="0" t="0" r="25400" b="25400"/>
                <wp:wrapNone/>
                <wp:docPr id="745" name="Ellipse 745"/>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D10A269" w14:textId="15CEC442" w:rsidR="00573C95" w:rsidRPr="00BF5FC4" w:rsidRDefault="00573C95" w:rsidP="00131B7F">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45" o:spid="_x0000_s1497" style="position:absolute;margin-left:-44.95pt;margin-top:-17.95pt;width:36pt;height:36pt;z-index:2530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" fillcolor="black [3200]" strokecolor="white [3201]" strokeweight="1.75pt">
                <v:textbox>
                  <w:txbxContent>
                    <w:p w14:paraId="2D10A269" w14:textId="15CEC442" w:rsidR="001501D6" w:rsidRPr="00BF5FC4" w:rsidRDefault="001501D6" w:rsidP="00131B7F">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sidR="00131B7F" w:rsidRPr="00131B7F">
        <w:rPr>
          <w:b/>
        </w:rPr>
        <w:t xml:space="preserve">Détermination des </w:t>
      </w:r>
      <w:r w:rsidR="00F053E2">
        <w:rPr>
          <w:b/>
        </w:rPr>
        <w:t>intérêts pour Jean Faucher</w:t>
      </w:r>
    </w:p>
    <w:p w14:paraId="79293D1B" w14:textId="77777777" w:rsidR="00F9184A" w:rsidRDefault="00F9184A"/>
    <w:p w14:paraId="01670DB2" w14:textId="6386DDBD" w:rsidR="00F9184A" w:rsidRDefault="00F9184A" w:rsidP="00572735">
      <w:pPr>
        <w:jc w:val="both"/>
      </w:pPr>
      <w:r>
        <w:t>Commençons par reconnaître la clarté de l’approche privilégiée par Marie Richer. Celle-ci a eu envie de se payer un SPA, elle a donc entrepris un plan de financement réaliste qui visait à assumer le coût de son désir sur une période raisonnable. On verra plus tard, néanmoins, qu’elle aurait pu faire mieux en terme de montage financier, mais dans l’ensemble, elle a fait preuve d’un bon usage du crédit.</w:t>
      </w:r>
    </w:p>
    <w:p w14:paraId="3119D7A6" w14:textId="77777777" w:rsidR="00F9184A" w:rsidRDefault="00F9184A"/>
    <w:p w14:paraId="77DF033D" w14:textId="252AAD9A" w:rsidR="00572735" w:rsidRDefault="00F9184A" w:rsidP="00572735">
      <w:pPr>
        <w:jc w:val="both"/>
      </w:pPr>
      <w:r>
        <w:t>Pour sa part, Jean Faucher s’est enfon</w:t>
      </w:r>
      <w:r w:rsidR="008C0474">
        <w:t xml:space="preserve">cé dans un parcours où tout ce qui comptait était le plus petit paiement possible </w:t>
      </w:r>
      <w:r w:rsidR="00572735">
        <w:t>et la grande illusion d’un financement sans intérêts. Justement, déterminons pour Jean le coût réel en intérêts de son arrangement financier.</w:t>
      </w:r>
    </w:p>
    <w:p w14:paraId="3A7AFFCB" w14:textId="77777777" w:rsidR="00572735" w:rsidRDefault="00572735" w:rsidP="00572735">
      <w:pPr>
        <w:jc w:val="both"/>
      </w:pPr>
    </w:p>
    <w:p w14:paraId="42362160" w14:textId="7D588148" w:rsidR="003E1C6F" w:rsidRDefault="00572735" w:rsidP="00572735">
      <w:pPr>
        <w:jc w:val="both"/>
      </w:pPr>
      <w:r>
        <w:t xml:space="preserve">Tout d’abord, les promotions sans intérêts ne sont </w:t>
      </w:r>
      <w:r w:rsidR="003E1C6F">
        <w:t xml:space="preserve">que </w:t>
      </w:r>
      <w:r>
        <w:t xml:space="preserve">très rarement ce qu’elles prétendent être. Dans </w:t>
      </w:r>
      <w:r w:rsidR="003E1C6F">
        <w:t>le</w:t>
      </w:r>
      <w:r>
        <w:t xml:space="preserve"> cas de l’achat d’un SPA (qui est identique pour Marie et Jean), Marie a bénéficié d’un congé de taxes</w:t>
      </w:r>
      <w:r w:rsidR="005C3656">
        <w:t xml:space="preserve"> </w:t>
      </w:r>
      <w:r>
        <w:t xml:space="preserve"> parce qu’elle a payé immédiatement le commerçant.</w:t>
      </w:r>
      <w:r w:rsidR="00CE0180">
        <w:t xml:space="preserve"> Ce paiement comptant est financé par le prêt personnel qu'elle a obtenu auprès de son institution financière.</w:t>
      </w:r>
      <w:r w:rsidR="005C3656">
        <w:t xml:space="preserve"> Dans l'usage commercial il est interdit de parler de congé de taxes, c'est plutôt le commerçant qui en fera le paiement en faveur du client auprès des autorités fiscales. Peu importe l'expression utilisée </w:t>
      </w:r>
      <w:r>
        <w:t>Jean s’est vu privé de ce</w:t>
      </w:r>
      <w:r w:rsidR="005C3656">
        <w:t>t allègement</w:t>
      </w:r>
      <w:r>
        <w:t xml:space="preserve"> de taxes puisqu’il n’a pas payé le commerçant comptant. Il est évident qu’en substance</w:t>
      </w:r>
      <w:r w:rsidR="003E1C6F">
        <w:t xml:space="preserve"> ce congé de taxes pour Marie était un coût en intérê</w:t>
      </w:r>
      <w:r w:rsidR="00AF39CA">
        <w:t>t</w:t>
      </w:r>
      <w:r w:rsidR="003E1C6F">
        <w:t xml:space="preserve">s pour Jean (rappelons-nous qu’ils ont tous les deux </w:t>
      </w:r>
      <w:r w:rsidR="00AF39CA">
        <w:t xml:space="preserve">des </w:t>
      </w:r>
      <w:r w:rsidR="003E1C6F">
        <w:t>SPA identiques).</w:t>
      </w:r>
      <w:r>
        <w:t xml:space="preserve"> </w:t>
      </w:r>
      <w:r w:rsidR="003E1C6F">
        <w:t xml:space="preserve">Jean a donc déboursé un intérêt implicite de </w:t>
      </w:r>
      <w:r w:rsidR="003E1C6F" w:rsidRPr="003E1C6F">
        <w:rPr>
          <w:color w:val="FF6700" w:themeColor="accent3"/>
        </w:rPr>
        <w:t>1 049 $</w:t>
      </w:r>
      <w:r w:rsidR="003E1C6F">
        <w:t>.</w:t>
      </w:r>
    </w:p>
    <w:p w14:paraId="03FC3A61" w14:textId="77777777" w:rsidR="003E1C6F" w:rsidRDefault="003E1C6F" w:rsidP="00572735">
      <w:pPr>
        <w:jc w:val="both"/>
      </w:pPr>
    </w:p>
    <w:p w14:paraId="1F3A9859" w14:textId="71AA0452" w:rsidR="003E1C6F" w:rsidRDefault="003E1C6F" w:rsidP="00572735">
      <w:pPr>
        <w:jc w:val="both"/>
      </w:pPr>
      <w:r>
        <w:t>Par la suite, Jean s’est leurré en croyant qu’il ne déboursait pas d’intérêts sur ses 96 versements mensuels puisque celui-ci vit au-dessus de ses moyens et que sa marge de crédit hypothécaire augmente</w:t>
      </w:r>
      <w:r w:rsidR="009B1D9D">
        <w:t xml:space="preserve"> </w:t>
      </w:r>
      <w:r>
        <w:t>chaque mois. En réalité, Jean finance l’achat de son SPA en utilisant sa marge de crédit. La somme de tous ses achats qu’il a effectué</w:t>
      </w:r>
      <w:r w:rsidR="009B1D9D">
        <w:t>s</w:t>
      </w:r>
      <w:r>
        <w:t xml:space="preserve"> en tombant dans le piège du PPPP fait en sorte qu’il doit miser sur sa marge de crédit pour maintenir son train de vie. Dans le cas du SPA, Jean aura déboursé des intérêts de </w:t>
      </w:r>
      <w:r w:rsidR="00946675" w:rsidRPr="00946675">
        <w:rPr>
          <w:color w:val="FF6700" w:themeColor="accent3"/>
        </w:rPr>
        <w:t>1 251</w:t>
      </w:r>
      <w:r w:rsidRPr="00946675">
        <w:rPr>
          <w:color w:val="FF6700" w:themeColor="accent3"/>
        </w:rPr>
        <w:t xml:space="preserve"> $</w:t>
      </w:r>
      <w:r>
        <w:t xml:space="preserve"> sur sa marge de crédit durant les 8 années où il a du </w:t>
      </w:r>
      <w:r w:rsidR="00BA44B3">
        <w:t>effectuer m</w:t>
      </w:r>
      <w:r>
        <w:t>ensuellement des pai</w:t>
      </w:r>
      <w:r w:rsidR="00AF39CA">
        <w:t>e</w:t>
      </w:r>
      <w:r>
        <w:t xml:space="preserve">ments </w:t>
      </w:r>
      <w:r w:rsidR="00BA44B3">
        <w:t xml:space="preserve">de </w:t>
      </w:r>
      <w:r>
        <w:t xml:space="preserve">83,85 $ </w:t>
      </w:r>
      <w:r w:rsidR="003C693D">
        <w:t>au commerçant.</w:t>
      </w:r>
      <w:r w:rsidR="000C2894">
        <w:t xml:space="preserve"> </w:t>
      </w:r>
      <w:r w:rsidR="003D12E3">
        <w:t>Pour des fins pédagogiques, il est facile de cesser les calculs d’intérêts, comme ça, après 8 années</w:t>
      </w:r>
      <w:r w:rsidR="00BA44B3">
        <w:t>. Cependant,</w:t>
      </w:r>
      <w:r w:rsidR="003D12E3">
        <w:t xml:space="preserve"> vous devinez que dans la situation de Jean, il risque </w:t>
      </w:r>
      <w:r w:rsidR="00BA44B3">
        <w:t xml:space="preserve">fort </w:t>
      </w:r>
      <w:r w:rsidR="003D12E3">
        <w:t>de payer presque perpétuellement ces intérêts s’il ne  met pas un</w:t>
      </w:r>
      <w:r w:rsidR="00BA44B3">
        <w:t>e</w:t>
      </w:r>
      <w:r w:rsidR="003D12E3">
        <w:t xml:space="preserve"> fin à cette spirale d</w:t>
      </w:r>
      <w:r w:rsidR="00BA44B3">
        <w:t>e l</w:t>
      </w:r>
      <w:r w:rsidR="003D12E3">
        <w:t>’endettement par la mise en place d’un plan de remboursement de sa marge de crédit.</w:t>
      </w:r>
    </w:p>
    <w:p w14:paraId="312C3986" w14:textId="47649BF8" w:rsidR="004D1F1A" w:rsidRDefault="004D1F1A" w:rsidP="00572735">
      <w:pPr>
        <w:jc w:val="both"/>
      </w:pPr>
    </w:p>
    <w:p w14:paraId="54C2B8EB" w14:textId="4C5FB36D" w:rsidR="00961053" w:rsidRPr="00131B7F" w:rsidRDefault="00961053" w:rsidP="00961053">
      <w:pPr>
        <w:rPr>
          <w:b/>
        </w:rPr>
      </w:pPr>
      <w:r>
        <w:rPr>
          <w:noProof/>
          <w:lang w:eastAsia="fr-FR"/>
        </w:rPr>
        <mc:AlternateContent>
          <mc:Choice Requires="wps">
            <w:drawing>
              <wp:anchor distT="0" distB="0" distL="114300" distR="114300" simplePos="0" relativeHeight="253024256" behindDoc="0" locked="0" layoutInCell="1" allowOverlap="1" wp14:anchorId="4D3CF233" wp14:editId="2DAE76E5">
                <wp:simplePos x="0" y="0"/>
                <wp:positionH relativeFrom="column">
                  <wp:posOffset>-571500</wp:posOffset>
                </wp:positionH>
                <wp:positionV relativeFrom="paragraph">
                  <wp:posOffset>-228600</wp:posOffset>
                </wp:positionV>
                <wp:extent cx="457200" cy="457200"/>
                <wp:effectExtent l="0" t="0" r="25400" b="25400"/>
                <wp:wrapNone/>
                <wp:docPr id="746" name="Ellipse 746"/>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1774D04A" w14:textId="1913FCD2" w:rsidR="00573C95" w:rsidRPr="00BF5FC4" w:rsidRDefault="00573C95" w:rsidP="00961053">
                            <w:pPr>
                              <w:jc w:val="center"/>
                              <w:rPr>
                                <w:color w:val="FFFFFF" w:themeColor="background1"/>
                              </w:rPr>
                            </w:pPr>
                            <w:r>
                              <w:rPr>
                                <w:color w:val="FFFFFF" w:themeColor="background1"/>
                              </w:rPr>
                              <w:t>32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46" o:spid="_x0000_s1498" style="position:absolute;margin-left:-44.95pt;margin-top:-17.95pt;width:36pt;height:36pt;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" fillcolor="black [3200]" strokecolor="white [3201]" strokeweight="1.75pt">
                <v:textbox>
                  <w:txbxContent>
                    <w:p w14:paraId="1774D04A" w14:textId="1913FCD2" w:rsidR="001501D6" w:rsidRPr="00BF5FC4" w:rsidRDefault="001501D6" w:rsidP="00961053">
                      <w:pPr>
                        <w:jc w:val="center"/>
                        <w:rPr>
                          <w:color w:val="FFFFFF" w:themeColor="background1"/>
                        </w:rPr>
                      </w:pPr>
                      <w:r>
                        <w:rPr>
                          <w:color w:val="FFFFFF" w:themeColor="background1"/>
                        </w:rPr>
                        <w:t>32</w:t>
                      </w:r>
                      <w:r w:rsidRPr="00BF5FC4">
                        <w:rPr>
                          <w:color w:val="FFFFFF" w:themeColor="background1"/>
                        </w:rPr>
                        <w:t xml:space="preserve"> </w:t>
                      </w:r>
                    </w:p>
                  </w:txbxContent>
                </v:textbox>
              </v:oval>
            </w:pict>
          </mc:Fallback>
        </mc:AlternateContent>
      </w:r>
      <w:r>
        <w:rPr>
          <w:b/>
        </w:rPr>
        <w:t>Analyse des c</w:t>
      </w:r>
      <w:r w:rsidR="00562C14">
        <w:rPr>
          <w:b/>
        </w:rPr>
        <w:t>oûts</w:t>
      </w:r>
      <w:r>
        <w:rPr>
          <w:b/>
        </w:rPr>
        <w:t xml:space="preserve"> en intérêts – Marie Richer vs Jean Faucher</w:t>
      </w:r>
    </w:p>
    <w:p w14:paraId="246E0DB5" w14:textId="1BFF66C8" w:rsidR="00131B7F" w:rsidRDefault="00131B7F"/>
    <w:tbl>
      <w:tblPr>
        <w:tblStyle w:val="Grille"/>
        <w:tblpPr w:leftFromText="141" w:rightFromText="141" w:vertAnchor="page" w:horzAnchor="page" w:tblpX="1526" w:tblpY="21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FA1E2A" w14:paraId="28F71010" w14:textId="77777777" w:rsidTr="00D5750C">
        <w:tc>
          <w:tcPr>
            <w:tcW w:w="6573" w:type="dxa"/>
            <w:gridSpan w:val="2"/>
            <w:shd w:val="clear" w:color="auto" w:fill="BFBFBF" w:themeFill="background1" w:themeFillShade="BF"/>
          </w:tcPr>
          <w:p w14:paraId="1BCA75BD" w14:textId="1539C638" w:rsidR="00FA1E2A" w:rsidRDefault="00FA1E2A" w:rsidP="00D5750C">
            <w:pPr>
              <w:jc w:val="center"/>
            </w:pPr>
            <w:r>
              <w:t>Le coût en intérêts - Marie Richer</w:t>
            </w:r>
          </w:p>
        </w:tc>
        <w:tc>
          <w:tcPr>
            <w:tcW w:w="6574" w:type="dxa"/>
            <w:gridSpan w:val="2"/>
            <w:shd w:val="clear" w:color="auto" w:fill="BFBFBF" w:themeFill="background1" w:themeFillShade="BF"/>
          </w:tcPr>
          <w:p w14:paraId="4113A03D" w14:textId="7DDEEA79" w:rsidR="00FA1E2A" w:rsidRDefault="00FA1E2A" w:rsidP="00D5750C">
            <w:pPr>
              <w:jc w:val="center"/>
            </w:pPr>
            <w:r>
              <w:t>Le coût en intérêts - Jean Faucher</w:t>
            </w:r>
          </w:p>
        </w:tc>
      </w:tr>
      <w:tr w:rsidR="00FA1E2A" w14:paraId="0DDE1E69" w14:textId="77777777" w:rsidTr="00D5750C">
        <w:tc>
          <w:tcPr>
            <w:tcW w:w="3286" w:type="dxa"/>
            <w:shd w:val="clear" w:color="auto" w:fill="7F9483"/>
          </w:tcPr>
          <w:p w14:paraId="29300FBA" w14:textId="5F4CCBDE" w:rsidR="00FA1E2A" w:rsidRDefault="00FA1E2A" w:rsidP="00D5750C">
            <w:pPr>
              <w:jc w:val="both"/>
            </w:pPr>
            <w:r>
              <w:t>Intérêts selon le prêt</w:t>
            </w:r>
          </w:p>
        </w:tc>
        <w:tc>
          <w:tcPr>
            <w:tcW w:w="3287" w:type="dxa"/>
            <w:shd w:val="clear" w:color="auto" w:fill="7F9483"/>
          </w:tcPr>
          <w:p w14:paraId="33D82B36" w14:textId="2EF0956B" w:rsidR="00FA1E2A" w:rsidRDefault="00FA1E2A" w:rsidP="00D5750C">
            <w:pPr>
              <w:tabs>
                <w:tab w:val="right" w:pos="3071"/>
              </w:tabs>
              <w:jc w:val="center"/>
            </w:pPr>
            <w:r>
              <w:t>339,92 $</w:t>
            </w:r>
          </w:p>
        </w:tc>
        <w:tc>
          <w:tcPr>
            <w:tcW w:w="3287" w:type="dxa"/>
            <w:shd w:val="clear" w:color="auto" w:fill="5498BA"/>
          </w:tcPr>
          <w:p w14:paraId="06FE8BE4" w14:textId="2035ECC7" w:rsidR="00FA1E2A" w:rsidRDefault="00FA1E2A" w:rsidP="00D5750C">
            <w:pPr>
              <w:jc w:val="both"/>
            </w:pPr>
            <w:r>
              <w:t>Intérêts selon le prêt</w:t>
            </w:r>
          </w:p>
        </w:tc>
        <w:tc>
          <w:tcPr>
            <w:tcW w:w="3287" w:type="dxa"/>
            <w:shd w:val="clear" w:color="auto" w:fill="5498BA"/>
          </w:tcPr>
          <w:p w14:paraId="6E495210" w14:textId="04DA917F" w:rsidR="00FA1E2A" w:rsidRDefault="00FA1E2A" w:rsidP="00D5750C">
            <w:pPr>
              <w:jc w:val="center"/>
            </w:pPr>
            <w:r>
              <w:t>Nul</w:t>
            </w:r>
          </w:p>
        </w:tc>
      </w:tr>
      <w:tr w:rsidR="00FA1E2A" w14:paraId="3B8C8D2F" w14:textId="77777777" w:rsidTr="00D5750C">
        <w:tc>
          <w:tcPr>
            <w:tcW w:w="3286" w:type="dxa"/>
            <w:shd w:val="clear" w:color="auto" w:fill="7F9483"/>
          </w:tcPr>
          <w:p w14:paraId="1D415985" w14:textId="77777777" w:rsidR="00FA1E2A" w:rsidRDefault="00FA1E2A" w:rsidP="00D5750C">
            <w:pPr>
              <w:jc w:val="both"/>
            </w:pPr>
          </w:p>
          <w:p w14:paraId="6F13FFB5" w14:textId="02BC318C" w:rsidR="00FA1E2A" w:rsidRDefault="000B0694" w:rsidP="00D5750C">
            <w:pPr>
              <w:jc w:val="both"/>
            </w:pPr>
            <w:r>
              <w:t>Intérêts implicites</w:t>
            </w:r>
          </w:p>
        </w:tc>
        <w:tc>
          <w:tcPr>
            <w:tcW w:w="3287" w:type="dxa"/>
            <w:shd w:val="clear" w:color="auto" w:fill="7F9483"/>
          </w:tcPr>
          <w:p w14:paraId="6D45AC07" w14:textId="77777777" w:rsidR="00FA1E2A" w:rsidRDefault="00FA1E2A" w:rsidP="00D5750C">
            <w:pPr>
              <w:jc w:val="center"/>
            </w:pPr>
          </w:p>
          <w:p w14:paraId="24E56A54" w14:textId="73618BB3" w:rsidR="00FA1E2A" w:rsidRDefault="000B0694" w:rsidP="00D5750C">
            <w:pPr>
              <w:jc w:val="center"/>
            </w:pPr>
            <w:r>
              <w:t>Nul</w:t>
            </w:r>
          </w:p>
        </w:tc>
        <w:tc>
          <w:tcPr>
            <w:tcW w:w="3287" w:type="dxa"/>
            <w:shd w:val="clear" w:color="auto" w:fill="5498BA"/>
          </w:tcPr>
          <w:p w14:paraId="102CCDA5" w14:textId="77777777" w:rsidR="00FA1E2A" w:rsidRDefault="00FA1E2A" w:rsidP="00D5750C">
            <w:pPr>
              <w:jc w:val="both"/>
            </w:pPr>
          </w:p>
          <w:p w14:paraId="21D9DE1A" w14:textId="71A297B7" w:rsidR="00FA1E2A" w:rsidRDefault="000B0694" w:rsidP="00D5750C">
            <w:pPr>
              <w:jc w:val="both"/>
            </w:pPr>
            <w:r>
              <w:t>Intérêts implicites</w:t>
            </w:r>
          </w:p>
        </w:tc>
        <w:tc>
          <w:tcPr>
            <w:tcW w:w="3287" w:type="dxa"/>
            <w:shd w:val="clear" w:color="auto" w:fill="5498BA"/>
          </w:tcPr>
          <w:p w14:paraId="3E2A56E6" w14:textId="77777777" w:rsidR="00FA1E2A" w:rsidRDefault="00FA1E2A" w:rsidP="00D5750C">
            <w:pPr>
              <w:jc w:val="center"/>
            </w:pPr>
          </w:p>
          <w:p w14:paraId="79548C05" w14:textId="1AC47C0B" w:rsidR="00FA1E2A" w:rsidRDefault="000B0694" w:rsidP="00D5750C">
            <w:pPr>
              <w:jc w:val="center"/>
            </w:pPr>
            <w:r>
              <w:t>1 049</w:t>
            </w:r>
            <w:r w:rsidR="00FA1E2A">
              <w:t xml:space="preserve"> $</w:t>
            </w:r>
          </w:p>
        </w:tc>
      </w:tr>
      <w:tr w:rsidR="00FA1E2A" w14:paraId="51100C85" w14:textId="77777777" w:rsidTr="00D5750C">
        <w:tc>
          <w:tcPr>
            <w:tcW w:w="3286" w:type="dxa"/>
            <w:shd w:val="clear" w:color="auto" w:fill="7F9483"/>
          </w:tcPr>
          <w:p w14:paraId="1A11172C" w14:textId="77777777" w:rsidR="00FA1E2A" w:rsidRDefault="00FA1E2A" w:rsidP="00D5750C">
            <w:pPr>
              <w:jc w:val="both"/>
            </w:pPr>
          </w:p>
          <w:p w14:paraId="1CB2B752" w14:textId="1A22D664" w:rsidR="00FA1E2A" w:rsidRDefault="000B0694" w:rsidP="00D5750C">
            <w:pPr>
              <w:jc w:val="both"/>
            </w:pPr>
            <w:r>
              <w:t>Intérêts marge de crédit</w:t>
            </w:r>
          </w:p>
        </w:tc>
        <w:tc>
          <w:tcPr>
            <w:tcW w:w="3287" w:type="dxa"/>
            <w:shd w:val="clear" w:color="auto" w:fill="7F9483"/>
          </w:tcPr>
          <w:p w14:paraId="0F2F9172" w14:textId="77777777" w:rsidR="00FA1E2A" w:rsidRDefault="00FA1E2A" w:rsidP="00D5750C">
            <w:pPr>
              <w:jc w:val="center"/>
            </w:pPr>
          </w:p>
          <w:p w14:paraId="2EEB6EEC" w14:textId="7A0D4CAA" w:rsidR="00FA1E2A" w:rsidRDefault="000B0694" w:rsidP="00D5750C">
            <w:pPr>
              <w:jc w:val="center"/>
            </w:pPr>
            <w:r>
              <w:t>Nul</w:t>
            </w:r>
          </w:p>
        </w:tc>
        <w:tc>
          <w:tcPr>
            <w:tcW w:w="3287" w:type="dxa"/>
            <w:shd w:val="clear" w:color="auto" w:fill="5498BA"/>
          </w:tcPr>
          <w:p w14:paraId="11377DFF" w14:textId="77777777" w:rsidR="000B0694" w:rsidRDefault="000B0694" w:rsidP="00D5750C">
            <w:pPr>
              <w:jc w:val="both"/>
            </w:pPr>
          </w:p>
          <w:p w14:paraId="5C44F90E" w14:textId="2CD20C88" w:rsidR="00FA1E2A" w:rsidRDefault="000B0694" w:rsidP="00D5750C">
            <w:pPr>
              <w:jc w:val="both"/>
            </w:pPr>
            <w:r>
              <w:t>Intérêts marge de crédit</w:t>
            </w:r>
          </w:p>
        </w:tc>
        <w:tc>
          <w:tcPr>
            <w:tcW w:w="3287" w:type="dxa"/>
            <w:shd w:val="clear" w:color="auto" w:fill="5498BA"/>
          </w:tcPr>
          <w:p w14:paraId="42359EC8" w14:textId="77777777" w:rsidR="000B0694" w:rsidRDefault="000B0694" w:rsidP="00D5750C">
            <w:pPr>
              <w:jc w:val="center"/>
            </w:pPr>
          </w:p>
          <w:p w14:paraId="5D138632" w14:textId="5FE3D37F" w:rsidR="00FA1E2A" w:rsidRDefault="000B0694" w:rsidP="00D5750C">
            <w:pPr>
              <w:jc w:val="center"/>
            </w:pPr>
            <w:r>
              <w:t>1 251 $</w:t>
            </w:r>
          </w:p>
        </w:tc>
      </w:tr>
      <w:tr w:rsidR="00FA1E2A" w14:paraId="1E08FCCB" w14:textId="77777777" w:rsidTr="00D5750C">
        <w:tc>
          <w:tcPr>
            <w:tcW w:w="3286" w:type="dxa"/>
            <w:shd w:val="clear" w:color="auto" w:fill="7F9483"/>
          </w:tcPr>
          <w:p w14:paraId="6FBD3AC8" w14:textId="77777777" w:rsidR="00FA1E2A" w:rsidRDefault="00FA1E2A" w:rsidP="00D5750C">
            <w:pPr>
              <w:jc w:val="both"/>
            </w:pPr>
          </w:p>
        </w:tc>
        <w:tc>
          <w:tcPr>
            <w:tcW w:w="3287" w:type="dxa"/>
            <w:shd w:val="clear" w:color="auto" w:fill="7F9483"/>
          </w:tcPr>
          <w:p w14:paraId="4984FD25" w14:textId="77777777" w:rsidR="00FA1E2A" w:rsidRDefault="00FA1E2A" w:rsidP="00D5750C">
            <w:pPr>
              <w:jc w:val="center"/>
            </w:pPr>
          </w:p>
        </w:tc>
        <w:tc>
          <w:tcPr>
            <w:tcW w:w="3287" w:type="dxa"/>
            <w:shd w:val="clear" w:color="auto" w:fill="5498BA"/>
          </w:tcPr>
          <w:p w14:paraId="0DF06344" w14:textId="77777777" w:rsidR="00FA1E2A" w:rsidRDefault="00FA1E2A" w:rsidP="00D5750C">
            <w:pPr>
              <w:jc w:val="both"/>
            </w:pPr>
          </w:p>
        </w:tc>
        <w:tc>
          <w:tcPr>
            <w:tcW w:w="3287" w:type="dxa"/>
            <w:shd w:val="clear" w:color="auto" w:fill="5498BA"/>
          </w:tcPr>
          <w:p w14:paraId="5A1CCD9E" w14:textId="77777777" w:rsidR="00FA1E2A" w:rsidRDefault="00FA1E2A" w:rsidP="00D5750C">
            <w:pPr>
              <w:jc w:val="center"/>
            </w:pPr>
          </w:p>
        </w:tc>
      </w:tr>
      <w:tr w:rsidR="000B0694" w14:paraId="56B0F4F6" w14:textId="77777777" w:rsidTr="00D5750C">
        <w:tc>
          <w:tcPr>
            <w:tcW w:w="3286" w:type="dxa"/>
            <w:shd w:val="clear" w:color="auto" w:fill="7F9483"/>
          </w:tcPr>
          <w:p w14:paraId="59AD6A39" w14:textId="51E2F956" w:rsidR="000B0694" w:rsidRDefault="000B0694" w:rsidP="00D5750C">
            <w:pPr>
              <w:jc w:val="both"/>
            </w:pPr>
            <w:r>
              <w:t>Total des intérêts</w:t>
            </w:r>
          </w:p>
        </w:tc>
        <w:tc>
          <w:tcPr>
            <w:tcW w:w="3287" w:type="dxa"/>
            <w:shd w:val="clear" w:color="auto" w:fill="7F9483"/>
          </w:tcPr>
          <w:p w14:paraId="6CD0F59B" w14:textId="0B8437C7" w:rsidR="000B0694" w:rsidRDefault="000B0694" w:rsidP="00D5750C">
            <w:pPr>
              <w:jc w:val="center"/>
            </w:pPr>
            <w:r>
              <w:t>339,92 $</w:t>
            </w:r>
          </w:p>
        </w:tc>
        <w:tc>
          <w:tcPr>
            <w:tcW w:w="3287" w:type="dxa"/>
            <w:shd w:val="clear" w:color="auto" w:fill="5498BA"/>
          </w:tcPr>
          <w:p w14:paraId="276B208A" w14:textId="14D96D6C" w:rsidR="000B0694" w:rsidRDefault="000B0694" w:rsidP="00D5750C">
            <w:pPr>
              <w:jc w:val="both"/>
            </w:pPr>
            <w:r>
              <w:t>Total des intérêts</w:t>
            </w:r>
          </w:p>
        </w:tc>
        <w:tc>
          <w:tcPr>
            <w:tcW w:w="3287" w:type="dxa"/>
            <w:shd w:val="clear" w:color="auto" w:fill="5498BA"/>
          </w:tcPr>
          <w:p w14:paraId="53CC10E5" w14:textId="744794E2" w:rsidR="000B0694" w:rsidRDefault="000B0694" w:rsidP="00D5750C">
            <w:pPr>
              <w:jc w:val="center"/>
            </w:pPr>
            <w:r>
              <w:t>2 300 $</w:t>
            </w:r>
          </w:p>
        </w:tc>
      </w:tr>
      <w:tr w:rsidR="000B0694" w14:paraId="1661F514" w14:textId="77777777" w:rsidTr="00D5750C">
        <w:tc>
          <w:tcPr>
            <w:tcW w:w="3286" w:type="dxa"/>
            <w:shd w:val="clear" w:color="auto" w:fill="7F9483"/>
          </w:tcPr>
          <w:p w14:paraId="56A30FFD" w14:textId="77777777" w:rsidR="000B0694" w:rsidRDefault="000B0694" w:rsidP="00D5750C">
            <w:pPr>
              <w:jc w:val="both"/>
            </w:pPr>
          </w:p>
        </w:tc>
        <w:tc>
          <w:tcPr>
            <w:tcW w:w="3287" w:type="dxa"/>
            <w:shd w:val="clear" w:color="auto" w:fill="7F9483"/>
          </w:tcPr>
          <w:p w14:paraId="48A93F84" w14:textId="77777777" w:rsidR="000B0694" w:rsidRDefault="000B0694" w:rsidP="00D5750C">
            <w:pPr>
              <w:jc w:val="center"/>
            </w:pPr>
          </w:p>
        </w:tc>
        <w:tc>
          <w:tcPr>
            <w:tcW w:w="3287" w:type="dxa"/>
            <w:shd w:val="clear" w:color="auto" w:fill="5498BA"/>
          </w:tcPr>
          <w:p w14:paraId="1FF6864B" w14:textId="77777777" w:rsidR="000B0694" w:rsidRDefault="000B0694" w:rsidP="00D5750C">
            <w:pPr>
              <w:jc w:val="both"/>
            </w:pPr>
          </w:p>
        </w:tc>
        <w:tc>
          <w:tcPr>
            <w:tcW w:w="3287" w:type="dxa"/>
            <w:shd w:val="clear" w:color="auto" w:fill="5498BA"/>
          </w:tcPr>
          <w:p w14:paraId="4F8AAED5" w14:textId="77777777" w:rsidR="000B0694" w:rsidRDefault="000B0694" w:rsidP="00D5750C">
            <w:pPr>
              <w:jc w:val="center"/>
            </w:pPr>
          </w:p>
        </w:tc>
      </w:tr>
      <w:tr w:rsidR="00267F7E" w14:paraId="3AC1BD01" w14:textId="77777777" w:rsidTr="00D5750C">
        <w:tc>
          <w:tcPr>
            <w:tcW w:w="3286" w:type="dxa"/>
            <w:shd w:val="clear" w:color="auto" w:fill="7F9483"/>
          </w:tcPr>
          <w:p w14:paraId="134720E3" w14:textId="0B7A4E6C" w:rsidR="00267F7E" w:rsidRDefault="00267F7E" w:rsidP="00D5750C">
            <w:pPr>
              <w:jc w:val="both"/>
            </w:pPr>
            <w:r>
              <w:t>Taux d’intérêt  - global</w:t>
            </w:r>
          </w:p>
        </w:tc>
        <w:tc>
          <w:tcPr>
            <w:tcW w:w="3287" w:type="dxa"/>
            <w:shd w:val="clear" w:color="auto" w:fill="7F9483"/>
          </w:tcPr>
          <w:p w14:paraId="2A2B6E76" w14:textId="77777777" w:rsidR="006A3A6E" w:rsidRDefault="00267F7E" w:rsidP="00D5750C">
            <w:pPr>
              <w:jc w:val="center"/>
            </w:pPr>
            <w:r>
              <w:t>5 % pendant</w:t>
            </w:r>
          </w:p>
          <w:p w14:paraId="2AC5588B" w14:textId="5F396B60" w:rsidR="00267F7E" w:rsidRDefault="00267F7E" w:rsidP="00D5750C">
            <w:pPr>
              <w:jc w:val="center"/>
            </w:pPr>
            <w:r>
              <w:t xml:space="preserve"> deux années</w:t>
            </w:r>
          </w:p>
        </w:tc>
        <w:tc>
          <w:tcPr>
            <w:tcW w:w="3287" w:type="dxa"/>
            <w:shd w:val="clear" w:color="auto" w:fill="5498BA"/>
          </w:tcPr>
          <w:p w14:paraId="6FE2892F" w14:textId="7401A75D" w:rsidR="00267F7E" w:rsidRDefault="00267F7E" w:rsidP="00D5750C">
            <w:pPr>
              <w:jc w:val="both"/>
            </w:pPr>
            <w:r>
              <w:t>Taux d’intérêt - global</w:t>
            </w:r>
          </w:p>
        </w:tc>
        <w:tc>
          <w:tcPr>
            <w:tcW w:w="3287" w:type="dxa"/>
            <w:shd w:val="clear" w:color="auto" w:fill="5498BA"/>
          </w:tcPr>
          <w:p w14:paraId="6CA77EEE" w14:textId="77777777" w:rsidR="006A3A6E" w:rsidRDefault="00267F7E" w:rsidP="00D5750C">
            <w:pPr>
              <w:jc w:val="center"/>
            </w:pPr>
            <w:r>
              <w:t>7,12 % pendant</w:t>
            </w:r>
          </w:p>
          <w:p w14:paraId="60B5D538" w14:textId="7B98F231" w:rsidR="00267F7E" w:rsidRDefault="00267F7E" w:rsidP="00D5750C">
            <w:pPr>
              <w:jc w:val="center"/>
            </w:pPr>
            <w:r>
              <w:t xml:space="preserve"> </w:t>
            </w:r>
            <w:r w:rsidR="006A3A6E">
              <w:t>huit</w:t>
            </w:r>
            <w:r>
              <w:t xml:space="preserve"> années</w:t>
            </w:r>
          </w:p>
        </w:tc>
      </w:tr>
    </w:tbl>
    <w:p w14:paraId="7C400A1D" w14:textId="77777777" w:rsidR="00187E12" w:rsidRDefault="00187E12"/>
    <w:p w14:paraId="3FD0F950" w14:textId="5922CCDC" w:rsidR="00187E12" w:rsidRDefault="00710985" w:rsidP="00710985">
      <w:pPr>
        <w:jc w:val="both"/>
      </w:pPr>
      <w:r>
        <w:t>Malgré, le taux d’intérêt relativement élevé du prêt qui a permis à Marie de faire l’acquisition d’un SPA, sa rapidité à rembourser le prêt sur deux années lui a permis de débourser des intérêts beaucoup moins importants que ceux déboursés par Jean, à plus faible taux (3,5 % sur la marge de crédit), sur une période de huit années.</w:t>
      </w:r>
      <w:r w:rsidR="00D5750C">
        <w:t xml:space="preserve"> La </w:t>
      </w:r>
      <w:r w:rsidR="00D5750C" w:rsidRPr="00D5750C">
        <w:rPr>
          <w:color w:val="FF6700" w:themeColor="accent3"/>
        </w:rPr>
        <w:t>DURÉE</w:t>
      </w:r>
      <w:r w:rsidR="00D5750C">
        <w:t xml:space="preserve"> est donc un facteur déterminant dans le coût de financement et celle-ci est trop souvent ignorée lors de l’analyse du crédit à utiliser. C’est le piège le plus important de la marge de crédit hypothécaire, l’absence de modalité de remboursement imposé au débiteur rend, trop souvent, la durée de l’emprunt démesurée. C’est le cas vécu par Jean Faucher.</w:t>
      </w:r>
    </w:p>
    <w:p w14:paraId="1E086211" w14:textId="77777777" w:rsidR="00961053" w:rsidRDefault="00961053" w:rsidP="00710985">
      <w:pPr>
        <w:jc w:val="both"/>
      </w:pPr>
    </w:p>
    <w:p w14:paraId="42A6E0C5" w14:textId="77777777" w:rsidR="00961053" w:rsidRDefault="00961053"/>
    <w:p w14:paraId="522E1D2B" w14:textId="57DE2D04" w:rsidR="00961053" w:rsidRDefault="00961053" w:rsidP="00961053">
      <w:pPr>
        <w:rPr>
          <w:b/>
        </w:rPr>
      </w:pPr>
      <w:r>
        <w:rPr>
          <w:noProof/>
          <w:lang w:eastAsia="fr-FR"/>
        </w:rPr>
        <mc:AlternateContent>
          <mc:Choice Requires="wps">
            <w:drawing>
              <wp:anchor distT="0" distB="0" distL="114300" distR="114300" simplePos="0" relativeHeight="253026304" behindDoc="0" locked="0" layoutInCell="1" allowOverlap="1" wp14:anchorId="4E21CCAB" wp14:editId="2ED6D5AA">
                <wp:simplePos x="0" y="0"/>
                <wp:positionH relativeFrom="column">
                  <wp:posOffset>-571500</wp:posOffset>
                </wp:positionH>
                <wp:positionV relativeFrom="paragraph">
                  <wp:posOffset>-228600</wp:posOffset>
                </wp:positionV>
                <wp:extent cx="457200" cy="457200"/>
                <wp:effectExtent l="0" t="0" r="25400" b="25400"/>
                <wp:wrapNone/>
                <wp:docPr id="747" name="Ellipse 747"/>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C40079B" w14:textId="02CF9847" w:rsidR="00573C95" w:rsidRPr="00BF5FC4" w:rsidRDefault="00573C95" w:rsidP="00961053">
                            <w:pPr>
                              <w:jc w:val="center"/>
                              <w:rPr>
                                <w:color w:val="FFFFFF" w:themeColor="background1"/>
                              </w:rPr>
                            </w:pPr>
                            <w:r>
                              <w:rPr>
                                <w:color w:val="FFFFFF" w:themeColor="background1"/>
                              </w:rPr>
                              <w:t>42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47" o:spid="_x0000_s1499" style="position:absolute;margin-left:-44.95pt;margin-top:-17.95pt;width:36pt;height:36pt;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" fillcolor="black [3200]" strokecolor="white [3201]" strokeweight="1.75pt">
                <v:textbox>
                  <w:txbxContent>
                    <w:p w14:paraId="6C40079B" w14:textId="02CF9847" w:rsidR="001501D6" w:rsidRPr="00BF5FC4" w:rsidRDefault="001501D6" w:rsidP="00961053">
                      <w:pPr>
                        <w:jc w:val="center"/>
                        <w:rPr>
                          <w:color w:val="FFFFFF" w:themeColor="background1"/>
                        </w:rPr>
                      </w:pPr>
                      <w:r>
                        <w:rPr>
                          <w:color w:val="FFFFFF" w:themeColor="background1"/>
                        </w:rPr>
                        <w:t>42</w:t>
                      </w:r>
                      <w:r w:rsidRPr="00BF5FC4">
                        <w:rPr>
                          <w:color w:val="FFFFFF" w:themeColor="background1"/>
                        </w:rPr>
                        <w:t xml:space="preserve"> </w:t>
                      </w:r>
                    </w:p>
                  </w:txbxContent>
                </v:textbox>
              </v:oval>
            </w:pict>
          </mc:Fallback>
        </mc:AlternateContent>
      </w:r>
      <w:r>
        <w:rPr>
          <w:b/>
        </w:rPr>
        <w:t>Optimisation pour Marie Richer</w:t>
      </w:r>
    </w:p>
    <w:p w14:paraId="0171CBB2" w14:textId="77777777" w:rsidR="00961053" w:rsidRDefault="00961053" w:rsidP="00961053">
      <w:pPr>
        <w:rPr>
          <w:b/>
        </w:rPr>
      </w:pPr>
    </w:p>
    <w:p w14:paraId="05A02BF5" w14:textId="66502340" w:rsidR="00961053" w:rsidRDefault="007B4705" w:rsidP="007B4705">
      <w:pPr>
        <w:jc w:val="both"/>
      </w:pPr>
      <w:r>
        <w:t>Tout à l’opposé de Jean, Marie a une approche responsable à l’égard de l’usage de son crédit. Elle achète ce qu’elle peut se payer, en utilisant à l’occasion, un prêt à terme lorsqu’il s’agit de faire l’acquisition d’un bien durable d’une certaine valeur. Elle s’assure alors que le financement comporte un taux acceptable et surtout des moda</w:t>
      </w:r>
      <w:r w:rsidR="00AF39CA">
        <w:t>l</w:t>
      </w:r>
      <w:r>
        <w:t xml:space="preserve">ités de remboursement sur une période raisonnable. La résultante de ce comportement se retrouve dans le solde nul de sa marge de crédit hypothécaire. Compte tenu de sa grande discipline, Marie aurait pu </w:t>
      </w:r>
      <w:r>
        <w:lastRenderedPageBreak/>
        <w:t>bonifier l’op</w:t>
      </w:r>
      <w:r w:rsidR="006935AB">
        <w:t>ération qui a mené à l’achat du SPA en faisant usage de se marge de crédit (taux d’intérêt de 3 % comparativement à 5 % pour le prêt à terme) tout en s</w:t>
      </w:r>
      <w:r w:rsidR="009B1D9D">
        <w:t>e soumettant à des</w:t>
      </w:r>
      <w:r w:rsidR="006935AB">
        <w:t xml:space="preserve"> remboursement</w:t>
      </w:r>
      <w:r w:rsidR="009B1D9D">
        <w:t>s</w:t>
      </w:r>
      <w:r w:rsidR="006935AB">
        <w:t xml:space="preserve"> de 24 pai</w:t>
      </w:r>
      <w:r w:rsidR="00AF39CA">
        <w:t>e</w:t>
      </w:r>
      <w:r w:rsidR="006935AB">
        <w:t>ments mensuels.</w:t>
      </w:r>
    </w:p>
    <w:tbl>
      <w:tblPr>
        <w:tblStyle w:val="Grille"/>
        <w:tblpPr w:leftFromText="141" w:rightFromText="141" w:vertAnchor="page" w:horzAnchor="page" w:tblpX="1526" w:tblpY="249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9F7B98" w14:paraId="6D73418B" w14:textId="77777777" w:rsidTr="009F7B98">
        <w:tc>
          <w:tcPr>
            <w:tcW w:w="6573" w:type="dxa"/>
            <w:gridSpan w:val="2"/>
            <w:shd w:val="clear" w:color="auto" w:fill="BFBFBF" w:themeFill="background1" w:themeFillShade="BF"/>
          </w:tcPr>
          <w:p w14:paraId="4DDFC817" w14:textId="6FE13F6B" w:rsidR="009F7B98" w:rsidRDefault="009F7B98" w:rsidP="009F7B98">
            <w:pPr>
              <w:jc w:val="center"/>
            </w:pPr>
            <w:r>
              <w:t xml:space="preserve">Marie Richer – </w:t>
            </w:r>
            <w:r w:rsidR="00AF39CA">
              <w:t xml:space="preserve">avec </w:t>
            </w:r>
            <w:r>
              <w:t>usage du prêt à terme</w:t>
            </w:r>
          </w:p>
        </w:tc>
        <w:tc>
          <w:tcPr>
            <w:tcW w:w="6574" w:type="dxa"/>
            <w:gridSpan w:val="2"/>
            <w:shd w:val="clear" w:color="auto" w:fill="BFBFBF" w:themeFill="background1" w:themeFillShade="BF"/>
          </w:tcPr>
          <w:p w14:paraId="1D0BEC41" w14:textId="2F4ACC28" w:rsidR="009F7B98" w:rsidRDefault="009F7B98" w:rsidP="009F7B98">
            <w:pPr>
              <w:jc w:val="center"/>
            </w:pPr>
            <w:r>
              <w:t xml:space="preserve">Marie Richer – </w:t>
            </w:r>
            <w:r w:rsidR="00AF39CA">
              <w:t xml:space="preserve">avec </w:t>
            </w:r>
            <w:r>
              <w:t>usage de la marge de crédit</w:t>
            </w:r>
          </w:p>
        </w:tc>
      </w:tr>
      <w:tr w:rsidR="009F7B98" w14:paraId="695E8AB8" w14:textId="77777777" w:rsidTr="001D7AD6">
        <w:tc>
          <w:tcPr>
            <w:tcW w:w="3286" w:type="dxa"/>
            <w:shd w:val="clear" w:color="auto" w:fill="945875"/>
          </w:tcPr>
          <w:p w14:paraId="79A659B8" w14:textId="77777777" w:rsidR="009F7B98" w:rsidRDefault="009F7B98" w:rsidP="009F7B98">
            <w:pPr>
              <w:jc w:val="both"/>
            </w:pPr>
            <w:r>
              <w:t>Versements mensuels</w:t>
            </w:r>
          </w:p>
        </w:tc>
        <w:tc>
          <w:tcPr>
            <w:tcW w:w="3287" w:type="dxa"/>
            <w:shd w:val="clear" w:color="auto" w:fill="945875"/>
          </w:tcPr>
          <w:p w14:paraId="7DCCDB28" w14:textId="77777777" w:rsidR="009F7B98" w:rsidRDefault="009F7B98" w:rsidP="009F7B98">
            <w:pPr>
              <w:tabs>
                <w:tab w:val="right" w:pos="3071"/>
              </w:tabs>
              <w:jc w:val="center"/>
            </w:pPr>
            <w:r>
              <w:t>305,83 $</w:t>
            </w:r>
          </w:p>
        </w:tc>
        <w:tc>
          <w:tcPr>
            <w:tcW w:w="3287" w:type="dxa"/>
            <w:shd w:val="clear" w:color="auto" w:fill="B9A13F"/>
          </w:tcPr>
          <w:p w14:paraId="37007C5A" w14:textId="77777777" w:rsidR="009F7B98" w:rsidRDefault="009F7B98" w:rsidP="009F7B98">
            <w:pPr>
              <w:jc w:val="both"/>
            </w:pPr>
            <w:r>
              <w:t>Versements mensuels</w:t>
            </w:r>
          </w:p>
        </w:tc>
        <w:tc>
          <w:tcPr>
            <w:tcW w:w="3287" w:type="dxa"/>
            <w:shd w:val="clear" w:color="auto" w:fill="B9A13F"/>
          </w:tcPr>
          <w:p w14:paraId="28AF550D" w14:textId="7B1ED0B1" w:rsidR="009F7B98" w:rsidRDefault="009F7B98" w:rsidP="009F7B98">
            <w:pPr>
              <w:jc w:val="center"/>
            </w:pPr>
            <w:r>
              <w:t>300,11 $</w:t>
            </w:r>
          </w:p>
        </w:tc>
      </w:tr>
      <w:tr w:rsidR="009F7B98" w14:paraId="1E04D7B9" w14:textId="77777777" w:rsidTr="001D7AD6">
        <w:tc>
          <w:tcPr>
            <w:tcW w:w="3286" w:type="dxa"/>
            <w:shd w:val="clear" w:color="auto" w:fill="945875"/>
          </w:tcPr>
          <w:p w14:paraId="6AFC9B1E" w14:textId="77777777" w:rsidR="009F7B98" w:rsidRDefault="009F7B98" w:rsidP="009F7B98">
            <w:pPr>
              <w:jc w:val="both"/>
            </w:pPr>
          </w:p>
          <w:p w14:paraId="77D7CBC6" w14:textId="77777777" w:rsidR="009F7B98" w:rsidRDefault="009F7B98" w:rsidP="009F7B98">
            <w:pPr>
              <w:jc w:val="both"/>
            </w:pPr>
            <w:r>
              <w:t>Total capital remboursé</w:t>
            </w:r>
          </w:p>
        </w:tc>
        <w:tc>
          <w:tcPr>
            <w:tcW w:w="3287" w:type="dxa"/>
            <w:shd w:val="clear" w:color="auto" w:fill="945875"/>
          </w:tcPr>
          <w:p w14:paraId="2CB17121" w14:textId="77777777" w:rsidR="009F7B98" w:rsidRDefault="009F7B98" w:rsidP="009F7B98">
            <w:pPr>
              <w:jc w:val="center"/>
            </w:pPr>
          </w:p>
          <w:p w14:paraId="2E4DBEC1" w14:textId="77777777" w:rsidR="009F7B98" w:rsidRDefault="009F7B98" w:rsidP="009F7B98">
            <w:pPr>
              <w:jc w:val="center"/>
            </w:pPr>
            <w:r>
              <w:t>7 000 $</w:t>
            </w:r>
          </w:p>
        </w:tc>
        <w:tc>
          <w:tcPr>
            <w:tcW w:w="3287" w:type="dxa"/>
            <w:shd w:val="clear" w:color="auto" w:fill="B9A13F"/>
          </w:tcPr>
          <w:p w14:paraId="779BBBB1" w14:textId="77777777" w:rsidR="009F7B98" w:rsidRDefault="009F7B98" w:rsidP="009F7B98">
            <w:pPr>
              <w:jc w:val="both"/>
            </w:pPr>
          </w:p>
          <w:p w14:paraId="2C7C5D61" w14:textId="77777777" w:rsidR="009F7B98" w:rsidRDefault="009F7B98" w:rsidP="009F7B98">
            <w:pPr>
              <w:jc w:val="both"/>
            </w:pPr>
            <w:r>
              <w:t>Total capital remboursé</w:t>
            </w:r>
          </w:p>
        </w:tc>
        <w:tc>
          <w:tcPr>
            <w:tcW w:w="3287" w:type="dxa"/>
            <w:shd w:val="clear" w:color="auto" w:fill="B9A13F"/>
          </w:tcPr>
          <w:p w14:paraId="3A171141" w14:textId="77777777" w:rsidR="009F7B98" w:rsidRDefault="009F7B98" w:rsidP="009F7B98">
            <w:pPr>
              <w:jc w:val="center"/>
            </w:pPr>
          </w:p>
          <w:p w14:paraId="21FDBB3D" w14:textId="323EFF17" w:rsidR="009F7B98" w:rsidRDefault="009F7B98" w:rsidP="009F7B98">
            <w:pPr>
              <w:jc w:val="center"/>
            </w:pPr>
            <w:r>
              <w:t>7 000 $</w:t>
            </w:r>
          </w:p>
        </w:tc>
      </w:tr>
      <w:tr w:rsidR="009F7B98" w14:paraId="5859330B" w14:textId="77777777" w:rsidTr="001D7AD6">
        <w:tc>
          <w:tcPr>
            <w:tcW w:w="3286" w:type="dxa"/>
            <w:shd w:val="clear" w:color="auto" w:fill="945875"/>
          </w:tcPr>
          <w:p w14:paraId="3AD48F67" w14:textId="77777777" w:rsidR="009F7B98" w:rsidRDefault="009F7B98" w:rsidP="009F7B98">
            <w:pPr>
              <w:jc w:val="both"/>
            </w:pPr>
          </w:p>
          <w:p w14:paraId="078E28EE" w14:textId="77777777" w:rsidR="009F7B98" w:rsidRDefault="009F7B98" w:rsidP="009F7B98">
            <w:pPr>
              <w:jc w:val="both"/>
            </w:pPr>
            <w:r>
              <w:t>Total intérêts</w:t>
            </w:r>
          </w:p>
        </w:tc>
        <w:tc>
          <w:tcPr>
            <w:tcW w:w="3287" w:type="dxa"/>
            <w:shd w:val="clear" w:color="auto" w:fill="945875"/>
          </w:tcPr>
          <w:p w14:paraId="73C4E303" w14:textId="77777777" w:rsidR="009F7B98" w:rsidRDefault="009F7B98" w:rsidP="009F7B98">
            <w:pPr>
              <w:jc w:val="center"/>
            </w:pPr>
          </w:p>
          <w:p w14:paraId="6345DEE7" w14:textId="77777777" w:rsidR="009F7B98" w:rsidRDefault="009F7B98" w:rsidP="009F7B98">
            <w:pPr>
              <w:jc w:val="center"/>
            </w:pPr>
            <w:r>
              <w:t>339,92 $</w:t>
            </w:r>
          </w:p>
        </w:tc>
        <w:tc>
          <w:tcPr>
            <w:tcW w:w="3287" w:type="dxa"/>
            <w:shd w:val="clear" w:color="auto" w:fill="B9A13F"/>
          </w:tcPr>
          <w:p w14:paraId="0A8524A7" w14:textId="77777777" w:rsidR="009F7B98" w:rsidRDefault="009F7B98" w:rsidP="009F7B98">
            <w:pPr>
              <w:jc w:val="both"/>
            </w:pPr>
          </w:p>
          <w:p w14:paraId="30DBE140" w14:textId="77777777" w:rsidR="009F7B98" w:rsidRDefault="009F7B98" w:rsidP="009F7B98">
            <w:pPr>
              <w:jc w:val="both"/>
            </w:pPr>
            <w:r>
              <w:t>Total des intérêts</w:t>
            </w:r>
          </w:p>
        </w:tc>
        <w:tc>
          <w:tcPr>
            <w:tcW w:w="3287" w:type="dxa"/>
            <w:shd w:val="clear" w:color="auto" w:fill="B9A13F"/>
          </w:tcPr>
          <w:p w14:paraId="26E14036" w14:textId="77777777" w:rsidR="009F7B98" w:rsidRDefault="009F7B98" w:rsidP="009F7B98">
            <w:pPr>
              <w:jc w:val="center"/>
            </w:pPr>
          </w:p>
          <w:p w14:paraId="7E5D3222" w14:textId="2A692445" w:rsidR="001D7AD6" w:rsidRDefault="001D7AD6" w:rsidP="009F7B98">
            <w:pPr>
              <w:jc w:val="center"/>
            </w:pPr>
            <w:r>
              <w:t>202,64 $</w:t>
            </w:r>
          </w:p>
        </w:tc>
      </w:tr>
      <w:tr w:rsidR="009F7B98" w14:paraId="513F949D" w14:textId="77777777" w:rsidTr="001D7AD6">
        <w:tc>
          <w:tcPr>
            <w:tcW w:w="3286" w:type="dxa"/>
            <w:shd w:val="clear" w:color="auto" w:fill="945875"/>
          </w:tcPr>
          <w:p w14:paraId="71080E07" w14:textId="77777777" w:rsidR="009F7B98" w:rsidRDefault="009F7B98" w:rsidP="009F7B98">
            <w:pPr>
              <w:jc w:val="both"/>
            </w:pPr>
          </w:p>
        </w:tc>
        <w:tc>
          <w:tcPr>
            <w:tcW w:w="3287" w:type="dxa"/>
            <w:shd w:val="clear" w:color="auto" w:fill="945875"/>
          </w:tcPr>
          <w:p w14:paraId="5D0F04FF" w14:textId="77777777" w:rsidR="009F7B98" w:rsidRDefault="009F7B98" w:rsidP="009F7B98">
            <w:pPr>
              <w:jc w:val="center"/>
            </w:pPr>
          </w:p>
        </w:tc>
        <w:tc>
          <w:tcPr>
            <w:tcW w:w="3287" w:type="dxa"/>
            <w:shd w:val="clear" w:color="auto" w:fill="B9A13F"/>
          </w:tcPr>
          <w:p w14:paraId="243F9E8E" w14:textId="77777777" w:rsidR="009F7B98" w:rsidRDefault="009F7B98" w:rsidP="009F7B98">
            <w:pPr>
              <w:jc w:val="both"/>
            </w:pPr>
          </w:p>
        </w:tc>
        <w:tc>
          <w:tcPr>
            <w:tcW w:w="3287" w:type="dxa"/>
            <w:shd w:val="clear" w:color="auto" w:fill="B9A13F"/>
          </w:tcPr>
          <w:p w14:paraId="37B260FD" w14:textId="77777777" w:rsidR="009F7B98" w:rsidRDefault="009F7B98" w:rsidP="009F7B98">
            <w:pPr>
              <w:jc w:val="center"/>
            </w:pPr>
          </w:p>
        </w:tc>
      </w:tr>
    </w:tbl>
    <w:p w14:paraId="7D3D6940" w14:textId="77777777" w:rsidR="006935AB" w:rsidRPr="007B4705" w:rsidRDefault="006935AB" w:rsidP="007B4705">
      <w:pPr>
        <w:jc w:val="both"/>
      </w:pPr>
    </w:p>
    <w:p w14:paraId="34D3B397" w14:textId="77777777" w:rsidR="00A561A8" w:rsidRDefault="00A561A8" w:rsidP="00961053">
      <w:pPr>
        <w:rPr>
          <w:b/>
        </w:rPr>
      </w:pPr>
    </w:p>
    <w:p w14:paraId="48C13D89" w14:textId="77777777" w:rsidR="00961053" w:rsidRDefault="00961053" w:rsidP="00961053">
      <w:pPr>
        <w:rPr>
          <w:b/>
        </w:rPr>
      </w:pPr>
    </w:p>
    <w:p w14:paraId="157991FB" w14:textId="063771FE" w:rsidR="00A561A8" w:rsidRDefault="00A561A8" w:rsidP="00A561A8">
      <w:pPr>
        <w:rPr>
          <w:b/>
        </w:rPr>
      </w:pPr>
      <w:r>
        <w:rPr>
          <w:noProof/>
          <w:lang w:eastAsia="fr-FR"/>
        </w:rPr>
        <mc:AlternateContent>
          <mc:Choice Requires="wps">
            <w:drawing>
              <wp:anchor distT="0" distB="0" distL="114300" distR="114300" simplePos="0" relativeHeight="253028352" behindDoc="0" locked="0" layoutInCell="1" allowOverlap="1" wp14:anchorId="73E1F843" wp14:editId="5ED2CB50">
                <wp:simplePos x="0" y="0"/>
                <wp:positionH relativeFrom="column">
                  <wp:posOffset>-571500</wp:posOffset>
                </wp:positionH>
                <wp:positionV relativeFrom="paragraph">
                  <wp:posOffset>-228600</wp:posOffset>
                </wp:positionV>
                <wp:extent cx="457200" cy="457200"/>
                <wp:effectExtent l="0" t="0" r="25400" b="25400"/>
                <wp:wrapNone/>
                <wp:docPr id="750" name="Ellipse 750"/>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49D54309" w14:textId="57CEA8B5" w:rsidR="00573C95" w:rsidRPr="00BF5FC4" w:rsidRDefault="00573C95" w:rsidP="00A561A8">
                            <w:pPr>
                              <w:jc w:val="center"/>
                              <w:rPr>
                                <w:color w:val="FFFFFF" w:themeColor="background1"/>
                              </w:rPr>
                            </w:pPr>
                            <w:r>
                              <w:rPr>
                                <w:color w:val="FFFFFF" w:themeColor="background1"/>
                              </w:rPr>
                              <w:t>542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50" o:spid="_x0000_s1500" style="position:absolute;margin-left:-44.95pt;margin-top:-17.95pt;width:36pt;height:36pt;z-index:2530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" fillcolor="black [3200]" strokecolor="white [3201]" strokeweight="1.75pt">
                <v:textbox>
                  <w:txbxContent>
                    <w:p w14:paraId="49D54309" w14:textId="57CEA8B5" w:rsidR="001501D6" w:rsidRPr="00BF5FC4" w:rsidRDefault="001501D6" w:rsidP="00A561A8">
                      <w:pPr>
                        <w:jc w:val="center"/>
                        <w:rPr>
                          <w:color w:val="FFFFFF" w:themeColor="background1"/>
                        </w:rPr>
                      </w:pPr>
                      <w:r>
                        <w:rPr>
                          <w:color w:val="FFFFFF" w:themeColor="background1"/>
                        </w:rPr>
                        <w:t>542</w:t>
                      </w:r>
                      <w:r w:rsidRPr="00BF5FC4">
                        <w:rPr>
                          <w:color w:val="FFFFFF" w:themeColor="background1"/>
                        </w:rPr>
                        <w:t xml:space="preserve"> </w:t>
                      </w:r>
                    </w:p>
                  </w:txbxContent>
                </v:textbox>
              </v:oval>
            </w:pict>
          </mc:Fallback>
        </mc:AlternateContent>
      </w:r>
      <w:r>
        <w:rPr>
          <w:b/>
        </w:rPr>
        <w:t>Conclusion sur la gestion de la marge de crédit hypothécaire</w:t>
      </w:r>
    </w:p>
    <w:p w14:paraId="5B92DB72" w14:textId="77777777" w:rsidR="00A561A8" w:rsidRDefault="00A561A8" w:rsidP="00961053">
      <w:pPr>
        <w:rPr>
          <w:b/>
        </w:rPr>
      </w:pPr>
    </w:p>
    <w:p w14:paraId="240DB065" w14:textId="46B33018" w:rsidR="00A561A8" w:rsidRDefault="00AF39CA" w:rsidP="000C6397">
      <w:pPr>
        <w:jc w:val="both"/>
      </w:pPr>
      <w:r>
        <w:t xml:space="preserve">À notre avis, et nous venons d'en parler abondamment, </w:t>
      </w:r>
      <w:r w:rsidR="000C6397">
        <w:t xml:space="preserve">la marge de crédit hypothécaire </w:t>
      </w:r>
      <w:r>
        <w:t>est un piège pour une grande partie de la population qui l'utilise</w:t>
      </w:r>
      <w:r w:rsidR="000C6397">
        <w:t>. Compte tenu des faibles taux d'intérêt, certaines personnes l'utilisent quasiment comme si la marge était une source de revenu</w:t>
      </w:r>
      <w:r w:rsidR="009B1D9D">
        <w:t>s</w:t>
      </w:r>
      <w:r w:rsidR="000C6397">
        <w:t>, creusant ainsi un gouffre sans que le débiteur envisage un plan d</w:t>
      </w:r>
      <w:r w:rsidR="00C16BF2">
        <w:t>e</w:t>
      </w:r>
      <w:r w:rsidR="000C6397">
        <w:t xml:space="preserve"> remboursement.  Pourtant, cette marge de crédit, lorsqu'elle est utilisée judicieusement et avec retenue, peut devenir un outil de crédit intéressant. Voici quelques recommandations pour en faire une utilisation adéquate.</w:t>
      </w:r>
    </w:p>
    <w:p w14:paraId="34ED4FF9" w14:textId="77777777" w:rsidR="000C6397" w:rsidRPr="00AF39CA" w:rsidRDefault="000C6397" w:rsidP="000C6397">
      <w:pPr>
        <w:jc w:val="both"/>
      </w:pPr>
    </w:p>
    <w:p w14:paraId="3A0A6B24" w14:textId="75563E30" w:rsidR="00F36E81" w:rsidRDefault="000C6397" w:rsidP="006C34CF">
      <w:pPr>
        <w:pStyle w:val="Paragraphedeliste"/>
        <w:numPr>
          <w:ilvl w:val="0"/>
          <w:numId w:val="78"/>
        </w:numPr>
        <w:jc w:val="both"/>
      </w:pPr>
      <w:r>
        <w:t xml:space="preserve">Si vous êtes capable d'en contrôler l'utilisation, vous devriez effectuer une demande pour </w:t>
      </w:r>
      <w:r w:rsidR="00F36E81">
        <w:t>o</w:t>
      </w:r>
      <w:r>
        <w:t>btenir une</w:t>
      </w:r>
      <w:r w:rsidR="00F36E81">
        <w:t xml:space="preserve"> </w:t>
      </w:r>
      <w:r w:rsidR="00BC1FAE">
        <w:t>marge</w:t>
      </w:r>
      <w:r w:rsidR="00F36E81">
        <w:t xml:space="preserve"> de crédit hypothécaire</w:t>
      </w:r>
      <w:r>
        <w:t xml:space="preserve">. Du coup, cette marge autorisée deviendra votre fonds </w:t>
      </w:r>
      <w:r w:rsidR="00F36E81">
        <w:t>de prévoyance en cas d'imprévus. Il est toujours plus facile et moins coûteux d'obtenir du financement lorsque votre situation est favorable que lorsque vous êtes en pleine nécessité.</w:t>
      </w:r>
    </w:p>
    <w:p w14:paraId="3B7CD136" w14:textId="77777777" w:rsidR="00F36E81" w:rsidRDefault="00F36E81" w:rsidP="00F36E81">
      <w:pPr>
        <w:ind w:left="360"/>
      </w:pPr>
    </w:p>
    <w:p w14:paraId="24F59DED" w14:textId="6348E926" w:rsidR="00961053" w:rsidRDefault="00F36E81" w:rsidP="006C34CF">
      <w:pPr>
        <w:pStyle w:val="Paragraphedeliste"/>
        <w:numPr>
          <w:ilvl w:val="0"/>
          <w:numId w:val="78"/>
        </w:numPr>
        <w:jc w:val="both"/>
      </w:pPr>
      <w:r>
        <w:t xml:space="preserve">Une fois que vous avez fait l'analyse en terme de besoin et de capacité de faire l'achat d'un bien durable à long terme, vos pouvez utiliser la marge pour étaler les paiements sur une période raisonnable. Cet exercice demande de la discipline puisque c'est un enjeu que vous fixez à vous même. Peut-être </w:t>
      </w:r>
      <w:r>
        <w:lastRenderedPageBreak/>
        <w:t>que cette façon de faire vous permettr</w:t>
      </w:r>
      <w:r w:rsidR="00611E56">
        <w:t>a</w:t>
      </w:r>
      <w:r>
        <w:t xml:space="preserve"> d'éviter un taux d'intérêt implicite chez le marchand</w:t>
      </w:r>
      <w:r w:rsidR="00611E56">
        <w:t xml:space="preserve"> plus élevé que celui qui est rattaché à votre marge de crédit hypothécaire.</w:t>
      </w:r>
    </w:p>
    <w:p w14:paraId="18ADF3AE" w14:textId="77777777" w:rsidR="00F36E81" w:rsidRDefault="00F36E81" w:rsidP="00611E56">
      <w:pPr>
        <w:ind w:left="360"/>
      </w:pPr>
    </w:p>
    <w:p w14:paraId="60C19E51" w14:textId="1FF013F6" w:rsidR="00961053" w:rsidRDefault="00961053" w:rsidP="006C34CF">
      <w:pPr>
        <w:pStyle w:val="Paragraphedeliste"/>
        <w:numPr>
          <w:ilvl w:val="0"/>
          <w:numId w:val="78"/>
        </w:numPr>
        <w:jc w:val="both"/>
      </w:pPr>
      <w:r>
        <w:t>L’utilis</w:t>
      </w:r>
      <w:r w:rsidR="00611E56">
        <w:t>ation de la marge de crédit hypothécaire afin de rembourser d'autres dettes plus coûteuses et d'en faire la consolidation peut vous permettre de réduire v</w:t>
      </w:r>
      <w:r w:rsidR="00C16BF2">
        <w:t>o</w:t>
      </w:r>
      <w:r w:rsidR="00611E56">
        <w:t xml:space="preserve">s frais en intérêts </w:t>
      </w:r>
      <w:r w:rsidR="00B14AA9">
        <w:t>pourvu</w:t>
      </w:r>
      <w:r w:rsidR="00611E56">
        <w:t xml:space="preserve"> que vous établiss</w:t>
      </w:r>
      <w:r w:rsidR="00B14AA9">
        <w:t>i</w:t>
      </w:r>
      <w:r w:rsidR="00611E56">
        <w:t>ez un plan de remboursement sérieux et que vous vous y tenez rigoureusement.</w:t>
      </w:r>
    </w:p>
    <w:p w14:paraId="0CA00054" w14:textId="77777777" w:rsidR="00611E56" w:rsidRDefault="00611E56" w:rsidP="00611E56">
      <w:pPr>
        <w:ind w:left="360"/>
        <w:jc w:val="both"/>
      </w:pPr>
    </w:p>
    <w:p w14:paraId="46BE1CCC" w14:textId="54BBBDC1" w:rsidR="00611E56" w:rsidRDefault="00611E56" w:rsidP="007174D8">
      <w:pPr>
        <w:jc w:val="both"/>
      </w:pPr>
      <w:r>
        <w:t>Finalement, la saine gestion de ce crédit variable doit s'opérer d'une manière qui tient compte bien sûr du taux d'intérêt en visant le plus faible coût possible. Mais de la même importance, et ce principe est parfois incompris et ignoré,</w:t>
      </w:r>
      <w:r w:rsidR="007174D8">
        <w:t xml:space="preserve"> la durée du financement doit être la plus </w:t>
      </w:r>
      <w:proofErr w:type="gramStart"/>
      <w:r w:rsidR="007174D8">
        <w:t>courte</w:t>
      </w:r>
      <w:proofErr w:type="gramEnd"/>
      <w:r w:rsidR="007174D8">
        <w:t xml:space="preserve"> possible. Si vous vous retrouvez dans l'obligation d'étirer les remboursements sur une période d'une durée déraisonnable pour faire l'achat d'un bien, c'est que vous </w:t>
      </w:r>
      <w:r w:rsidR="00B14AA9">
        <w:t>n'</w:t>
      </w:r>
      <w:r w:rsidR="007174D8">
        <w:t>en</w:t>
      </w:r>
      <w:r w:rsidR="00B14AA9">
        <w:t xml:space="preserve"> </w:t>
      </w:r>
      <w:r w:rsidR="007174D8">
        <w:t xml:space="preserve">avez pas les moyens et que les intérêts engagés seront trop coûteux (même si on vous raconte que c'est "sans intérêts"). </w:t>
      </w:r>
    </w:p>
    <w:p w14:paraId="5880E81A" w14:textId="77777777" w:rsidR="007174D8" w:rsidRPr="00961053" w:rsidRDefault="007174D8" w:rsidP="007174D8">
      <w:pPr>
        <w:jc w:val="both"/>
      </w:pPr>
    </w:p>
    <w:p w14:paraId="5B9F621E" w14:textId="50465967" w:rsidR="002F4BC2" w:rsidRPr="002F4BC2" w:rsidRDefault="002F4BC2" w:rsidP="006C34CF">
      <w:pPr>
        <w:pStyle w:val="Titre3"/>
        <w:numPr>
          <w:ilvl w:val="2"/>
          <w:numId w:val="100"/>
        </w:numPr>
      </w:pPr>
      <w:bookmarkStart w:id="150" w:name="_Toc314397882"/>
      <w:bookmarkStart w:id="151" w:name="_Toc443569426"/>
      <w:r>
        <w:t>Le coût du financement</w:t>
      </w:r>
      <w:bookmarkEnd w:id="150"/>
      <w:bookmarkEnd w:id="151"/>
    </w:p>
    <w:p w14:paraId="2FE328C3" w14:textId="77777777" w:rsidR="007F1EC6" w:rsidRDefault="007F1EC6" w:rsidP="00C451B7"/>
    <w:p w14:paraId="1C80A8A4" w14:textId="6342E099" w:rsidR="004739DC" w:rsidRDefault="00B156DE" w:rsidP="004739DC">
      <w:pPr>
        <w:jc w:val="both"/>
      </w:pPr>
      <w:r>
        <w:t>Les consommateurs savent</w:t>
      </w:r>
      <w:r w:rsidR="005C3656">
        <w:t>,</w:t>
      </w:r>
      <w:r>
        <w:t xml:space="preserve"> parfois, faire usage de tous leurs talents lorsque vient le temps de négocier à la baisse le coût d'un produit qu'ils convoitent. Cette négociation qui s'articule sur l'équilibre de l'offre et de la demande peut s'avérer étonnamment efficace pour ceux qui en font usage systématiquement comme s'il s'agissait d'une seconde nature.</w:t>
      </w:r>
      <w:r w:rsidR="00783F05">
        <w:t xml:space="preserve"> Pourtant, lorsque vient le temps de comparer ou de faire l'analyse des modalités de financement, le consommateur perd souvent ses repères l'empêchant ainsi </w:t>
      </w:r>
      <w:r w:rsidR="004739DC">
        <w:t>de soutirer les avantages de la pleine concurrence du secteur financier. À ce titre, nous aborderons les thèmes de l'intérêt implicite et des conseils pour obtenir de meilleures conditions d'emprunts possibles.</w:t>
      </w:r>
    </w:p>
    <w:p w14:paraId="34FBE016" w14:textId="77777777" w:rsidR="004739DC" w:rsidRDefault="004739DC" w:rsidP="004739DC">
      <w:pPr>
        <w:jc w:val="both"/>
      </w:pPr>
    </w:p>
    <w:p w14:paraId="3DD082D6" w14:textId="77959477" w:rsidR="004739DC" w:rsidRDefault="004739DC" w:rsidP="006C34CF">
      <w:pPr>
        <w:pStyle w:val="Paragraphedeliste"/>
        <w:numPr>
          <w:ilvl w:val="0"/>
          <w:numId w:val="111"/>
        </w:numPr>
        <w:jc w:val="both"/>
      </w:pPr>
      <w:r>
        <w:rPr>
          <w:color w:val="FF6700" w:themeColor="accent3"/>
        </w:rPr>
        <w:t>Le taux d'intérêt implicite</w:t>
      </w:r>
    </w:p>
    <w:p w14:paraId="2C2D8222" w14:textId="77777777" w:rsidR="00B156DE" w:rsidRDefault="00B156DE" w:rsidP="00C451B7"/>
    <w:p w14:paraId="60FB3250" w14:textId="38A5848B" w:rsidR="008703E7" w:rsidRDefault="00E97934" w:rsidP="00DA2736">
      <w:pPr>
        <w:jc w:val="both"/>
      </w:pPr>
      <w:r>
        <w:t>À titre de consommateur, vous avez sûrement eu à choisir, à un moment donné, entre diffé</w:t>
      </w:r>
      <w:r w:rsidR="00DA2736">
        <w:t>rentes offres qui vous proposaient différentes modalités de paiements pour faire l'acquisition d'un même bien (ou un bien équivalent chez un autre marchand). Avez-vous déjà réfléchi à ce qui se cachait derrière ces différents scénarios</w:t>
      </w:r>
      <w:r w:rsidR="00DA2736" w:rsidRPr="00DA2736">
        <w:rPr>
          <w:rFonts w:ascii="Avenir Book" w:hAnsi="Avenir Book"/>
        </w:rPr>
        <w:t>?</w:t>
      </w:r>
      <w:r w:rsidR="00DA2736">
        <w:rPr>
          <w:rFonts w:ascii="Avenir Book" w:hAnsi="Avenir Book"/>
        </w:rPr>
        <w:t xml:space="preserve"> </w:t>
      </w:r>
      <w:r w:rsidR="00DA2736" w:rsidRPr="00DA2736">
        <w:t>Le loyer de l'argent, le taux d'intérêt implicite, les intérêts "cachés", et ce, même si la promotion vous assure que les versements peuvent être fait</w:t>
      </w:r>
      <w:r w:rsidR="00DA2736">
        <w:t>s</w:t>
      </w:r>
      <w:r w:rsidR="00DA2736" w:rsidRPr="00DA2736">
        <w:t xml:space="preserve"> sans intérêts.</w:t>
      </w:r>
      <w:r w:rsidR="00DA2736">
        <w:t xml:space="preserve"> Le</w:t>
      </w:r>
      <w:r w:rsidR="008703E7">
        <w:t>s</w:t>
      </w:r>
      <w:r w:rsidR="00DA2736">
        <w:t xml:space="preserve"> choses gratuites, comme le prêt de l'argent sans </w:t>
      </w:r>
      <w:r w:rsidR="00DA2736">
        <w:lastRenderedPageBreak/>
        <w:t>intérêts</w:t>
      </w:r>
      <w:r w:rsidR="008703E7">
        <w:t xml:space="preserve">, doivent interpeller chez vous le doute et </w:t>
      </w:r>
      <w:r>
        <w:t xml:space="preserve"> </w:t>
      </w:r>
      <w:r w:rsidR="008703E7">
        <w:t xml:space="preserve">une bonne dose de scepticisme. Vous devez faire les calculs et comparer les offres en tenant compte de la valeur de l'argent dans le temps, donc en appréciant le coût du financement associé à la transaction. </w:t>
      </w:r>
    </w:p>
    <w:p w14:paraId="0E284109" w14:textId="77777777" w:rsidR="008703E7" w:rsidRDefault="008703E7" w:rsidP="00DA2736">
      <w:pPr>
        <w:jc w:val="both"/>
      </w:pPr>
    </w:p>
    <w:p w14:paraId="3FC4B979" w14:textId="02C118C7" w:rsidR="00DA2736" w:rsidRDefault="008703E7" w:rsidP="00DA2736">
      <w:pPr>
        <w:jc w:val="both"/>
      </w:pPr>
      <w:r>
        <w:t>Examinons le concept en effectuant la comparaison de trois offres de paiements distinctes pour un seul et même produit.</w:t>
      </w:r>
    </w:p>
    <w:p w14:paraId="65487429" w14:textId="77777777" w:rsidR="008703E7" w:rsidRDefault="008703E7" w:rsidP="00DA2736">
      <w:pPr>
        <w:jc w:val="both"/>
      </w:pPr>
    </w:p>
    <w:p w14:paraId="60D8F4E3" w14:textId="3FF9E31B" w:rsidR="00DA2736" w:rsidRDefault="00EA58F1" w:rsidP="002F4BC2">
      <w:pPr>
        <w:rPr>
          <w:color w:val="FF6700" w:themeColor="accent3"/>
        </w:rPr>
      </w:pPr>
      <w:r w:rsidRPr="00611FEC">
        <w:rPr>
          <w:color w:val="FF6700" w:themeColor="accent3"/>
        </w:rPr>
        <w:t>EXEMPLE 7-1</w:t>
      </w:r>
      <w:r>
        <w:rPr>
          <w:color w:val="FF6700" w:themeColor="accent3"/>
        </w:rPr>
        <w:t>6</w:t>
      </w:r>
    </w:p>
    <w:p w14:paraId="5D85E8A0" w14:textId="77777777" w:rsidR="00D8163E" w:rsidRDefault="00D8163E" w:rsidP="002F4BC2">
      <w:pPr>
        <w:rPr>
          <w:color w:val="FF6700" w:themeColor="accent3"/>
        </w:rPr>
      </w:pPr>
    </w:p>
    <w:p w14:paraId="753A3C55" w14:textId="670FF16F" w:rsidR="00D8163E" w:rsidRDefault="00D8163E" w:rsidP="002F4BC2"/>
    <w:p w14:paraId="7E37952F" w14:textId="7C83E08C" w:rsidR="00DA2736" w:rsidRDefault="00DA2736" w:rsidP="002F4BC2"/>
    <w:p w14:paraId="35631B6B" w14:textId="29EE61CE" w:rsidR="00DA2736" w:rsidRDefault="007A15C9" w:rsidP="002F4BC2">
      <w:r>
        <w:rPr>
          <w:noProof/>
          <w:lang w:eastAsia="fr-FR"/>
        </w:rPr>
        <mc:AlternateContent>
          <mc:Choice Requires="wps">
            <w:drawing>
              <wp:anchor distT="0" distB="0" distL="114300" distR="114300" simplePos="0" relativeHeight="253037568" behindDoc="0" locked="0" layoutInCell="1" allowOverlap="1" wp14:anchorId="70D164D4" wp14:editId="392AD35C">
                <wp:simplePos x="0" y="0"/>
                <wp:positionH relativeFrom="column">
                  <wp:posOffset>-457200</wp:posOffset>
                </wp:positionH>
                <wp:positionV relativeFrom="paragraph">
                  <wp:posOffset>116205</wp:posOffset>
                </wp:positionV>
                <wp:extent cx="896620" cy="896620"/>
                <wp:effectExtent l="76200" t="76200" r="68580" b="68580"/>
                <wp:wrapNone/>
                <wp:docPr id="748" name="Ellipse 748"/>
                <wp:cNvGraphicFramePr/>
                <a:graphic xmlns:a="http://schemas.openxmlformats.org/drawingml/2006/main">
                  <a:graphicData uri="http://schemas.microsoft.com/office/word/2010/wordprocessingShape">
                    <wps:wsp>
                      <wps:cNvSpPr/>
                      <wps:spPr>
                        <a:xfrm>
                          <a:off x="0" y="0"/>
                          <a:ext cx="896620" cy="896620"/>
                        </a:xfrm>
                        <a:prstGeom prst="ellipse">
                          <a:avLst/>
                        </a:prstGeom>
                        <a:solidFill>
                          <a:schemeClr val="accent3"/>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3FA81F2" w14:textId="15CC6C9C" w:rsidR="00573C95" w:rsidRPr="001451AC" w:rsidRDefault="00573C95" w:rsidP="00D8163E">
                            <w:pPr>
                              <w:jc w:val="center"/>
                              <w:rPr>
                                <w:color w:val="FFFFFF" w:themeColor="background1"/>
                              </w:rPr>
                            </w:pPr>
                            <w:r w:rsidRPr="001451AC">
                              <w:rPr>
                                <w:color w:val="FFFFFF" w:themeColor="background1"/>
                              </w:rPr>
                              <w:t>Offre</w:t>
                            </w:r>
                          </w:p>
                          <w:p w14:paraId="44AC01C3" w14:textId="7156BCF9" w:rsidR="00573C95" w:rsidRPr="001451AC" w:rsidRDefault="00573C95" w:rsidP="00D8163E">
                            <w:pPr>
                              <w:jc w:val="center"/>
                              <w:rPr>
                                <w:color w:val="FFFFFF" w:themeColor="background1"/>
                                <w:sz w:val="48"/>
                                <w:szCs w:val="48"/>
                              </w:rPr>
                            </w:pPr>
                            <w:r w:rsidRPr="001451AC">
                              <w:rPr>
                                <w:color w:val="FFFFFF" w:themeColor="background1"/>
                                <w:sz w:val="48"/>
                                <w:szCs w:val="48"/>
                              </w:rPr>
                              <w:t>1</w:t>
                            </w:r>
                          </w:p>
                          <w:p w14:paraId="5E6F5D2F" w14:textId="77777777" w:rsidR="00573C95" w:rsidRPr="001451AC" w:rsidRDefault="00573C95" w:rsidP="00D8163E">
                            <w:pPr>
                              <w:jc w:val="center"/>
                              <w:rPr>
                                <w:color w:val="FFFFFF" w:themeColor="background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748" o:spid="_x0000_s1501" style="position:absolute;margin-left:-35.95pt;margin-top:9.15pt;width:70.6pt;height:70.6pt;z-index:2530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" fillcolor="#ff6700 [3206]" strokecolor="white">
                <v:textbox>
                  <w:txbxContent>
                    <w:p w14:paraId="33FA81F2" w14:textId="15CC6C9C" w:rsidR="001501D6" w:rsidRPr="001451AC" w:rsidRDefault="001501D6" w:rsidP="00D8163E">
                      <w:pPr>
                        <w:jc w:val="center"/>
                        <w:rPr>
                          <w:color w:val="FFFFFF" w:themeColor="background1"/>
                        </w:rPr>
                      </w:pPr>
                      <w:r w:rsidRPr="001451AC">
                        <w:rPr>
                          <w:color w:val="FFFFFF" w:themeColor="background1"/>
                        </w:rPr>
                        <w:t>Offre</w:t>
                      </w:r>
                    </w:p>
                    <w:p w14:paraId="44AC01C3" w14:textId="7156BCF9" w:rsidR="001501D6" w:rsidRPr="001451AC" w:rsidRDefault="001501D6" w:rsidP="00D8163E">
                      <w:pPr>
                        <w:jc w:val="center"/>
                        <w:rPr>
                          <w:color w:val="FFFFFF" w:themeColor="background1"/>
                          <w:sz w:val="48"/>
                          <w:szCs w:val="48"/>
                        </w:rPr>
                      </w:pPr>
                      <w:r w:rsidRPr="001451AC">
                        <w:rPr>
                          <w:color w:val="FFFFFF" w:themeColor="background1"/>
                          <w:sz w:val="48"/>
                          <w:szCs w:val="48"/>
                        </w:rPr>
                        <w:t>1</w:t>
                      </w:r>
                    </w:p>
                    <w:p w14:paraId="5E6F5D2F" w14:textId="77777777" w:rsidR="001501D6" w:rsidRPr="001451AC" w:rsidRDefault="001501D6" w:rsidP="00D8163E">
                      <w:pPr>
                        <w:jc w:val="center"/>
                        <w:rPr>
                          <w:color w:val="FFFFFF" w:themeColor="background1"/>
                        </w:rPr>
                      </w:pPr>
                    </w:p>
                  </w:txbxContent>
                </v:textbox>
              </v:oval>
            </w:pict>
          </mc:Fallback>
        </mc:AlternateContent>
      </w:r>
      <w:r w:rsidR="00EB3CD5">
        <w:rPr>
          <w:noProof/>
          <w:lang w:eastAsia="fr-FR"/>
        </w:rPr>
        <mc:AlternateContent>
          <mc:Choice Requires="wps">
            <w:drawing>
              <wp:anchor distT="0" distB="0" distL="114300" distR="114300" simplePos="0" relativeHeight="253039616" behindDoc="0" locked="0" layoutInCell="1" allowOverlap="1" wp14:anchorId="406A5D8C" wp14:editId="3AFC25BE">
                <wp:simplePos x="0" y="0"/>
                <wp:positionH relativeFrom="column">
                  <wp:posOffset>2400300</wp:posOffset>
                </wp:positionH>
                <wp:positionV relativeFrom="paragraph">
                  <wp:posOffset>116205</wp:posOffset>
                </wp:positionV>
                <wp:extent cx="914400" cy="914400"/>
                <wp:effectExtent l="76200" t="76200" r="76200" b="76200"/>
                <wp:wrapNone/>
                <wp:docPr id="749" name="Ellipse 749"/>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accent3"/>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0ADA1FA" w14:textId="77777777" w:rsidR="00573C95" w:rsidRDefault="00573C95" w:rsidP="00D8163E">
                            <w:pPr>
                              <w:jc w:val="center"/>
                            </w:pPr>
                            <w:r>
                              <w:t>Offre</w:t>
                            </w:r>
                          </w:p>
                          <w:p w14:paraId="602BD24E" w14:textId="1194B6B5" w:rsidR="00573C95" w:rsidRPr="00D8163E" w:rsidRDefault="00573C95" w:rsidP="00D8163E">
                            <w:pPr>
                              <w:jc w:val="center"/>
                              <w:rPr>
                                <w:sz w:val="48"/>
                                <w:szCs w:val="48"/>
                              </w:rPr>
                            </w:pPr>
                            <w:r>
                              <w:rPr>
                                <w:sz w:val="48"/>
                                <w:szCs w:val="48"/>
                              </w:rPr>
                              <w:t>2</w:t>
                            </w:r>
                          </w:p>
                          <w:p w14:paraId="0C2FD60D" w14:textId="77777777" w:rsidR="00573C95" w:rsidRDefault="00573C95" w:rsidP="00D8163E">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749" o:spid="_x0000_s1502" style="position:absolute;margin-left:189pt;margin-top:9.15pt;width:1in;height:1in;z-index:25303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" fillcolor="#ff6700 [3206]" strokecolor="white">
                <v:textbox>
                  <w:txbxContent>
                    <w:p w14:paraId="40ADA1FA" w14:textId="77777777" w:rsidR="001501D6" w:rsidRDefault="001501D6" w:rsidP="00D8163E">
                      <w:pPr>
                        <w:jc w:val="center"/>
                      </w:pPr>
                      <w:r>
                        <w:t>Offre</w:t>
                      </w:r>
                    </w:p>
                    <w:p w14:paraId="602BD24E" w14:textId="1194B6B5" w:rsidR="001501D6" w:rsidRPr="00D8163E" w:rsidRDefault="001501D6" w:rsidP="00D8163E">
                      <w:pPr>
                        <w:jc w:val="center"/>
                        <w:rPr>
                          <w:sz w:val="48"/>
                          <w:szCs w:val="48"/>
                        </w:rPr>
                      </w:pPr>
                      <w:r>
                        <w:rPr>
                          <w:sz w:val="48"/>
                          <w:szCs w:val="48"/>
                        </w:rPr>
                        <w:t>2</w:t>
                      </w:r>
                    </w:p>
                    <w:p w14:paraId="0C2FD60D" w14:textId="77777777" w:rsidR="001501D6" w:rsidRDefault="001501D6" w:rsidP="00D8163E">
                      <w:pPr>
                        <w:jc w:val="center"/>
                      </w:pPr>
                    </w:p>
                  </w:txbxContent>
                </v:textbox>
              </v:oval>
            </w:pict>
          </mc:Fallback>
        </mc:AlternateContent>
      </w:r>
      <w:r w:rsidR="00EB3CD5">
        <w:rPr>
          <w:noProof/>
          <w:lang w:eastAsia="fr-FR"/>
        </w:rPr>
        <mc:AlternateContent>
          <mc:Choice Requires="wps">
            <w:drawing>
              <wp:anchor distT="0" distB="0" distL="114300" distR="114300" simplePos="0" relativeHeight="253041664" behindDoc="0" locked="0" layoutInCell="1" allowOverlap="1" wp14:anchorId="1986F064" wp14:editId="71C4CF73">
                <wp:simplePos x="0" y="0"/>
                <wp:positionH relativeFrom="column">
                  <wp:posOffset>5257800</wp:posOffset>
                </wp:positionH>
                <wp:positionV relativeFrom="paragraph">
                  <wp:posOffset>116205</wp:posOffset>
                </wp:positionV>
                <wp:extent cx="914400" cy="914400"/>
                <wp:effectExtent l="76200" t="76200" r="76200" b="76200"/>
                <wp:wrapNone/>
                <wp:docPr id="751" name="Ellipse 751"/>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accent3"/>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132023E" w14:textId="77777777" w:rsidR="00573C95" w:rsidRDefault="00573C95" w:rsidP="00D8163E">
                            <w:pPr>
                              <w:jc w:val="center"/>
                            </w:pPr>
                            <w:r>
                              <w:t>Offre</w:t>
                            </w:r>
                          </w:p>
                          <w:p w14:paraId="468CB8C0" w14:textId="47257411" w:rsidR="00573C95" w:rsidRPr="00D8163E" w:rsidRDefault="00573C95" w:rsidP="00D8163E">
                            <w:pPr>
                              <w:jc w:val="center"/>
                              <w:rPr>
                                <w:sz w:val="48"/>
                                <w:szCs w:val="48"/>
                              </w:rPr>
                            </w:pPr>
                            <w:r>
                              <w:rPr>
                                <w:sz w:val="48"/>
                                <w:szCs w:val="48"/>
                              </w:rPr>
                              <w:t>3</w:t>
                            </w:r>
                          </w:p>
                          <w:p w14:paraId="1F986862" w14:textId="77777777" w:rsidR="00573C95" w:rsidRDefault="00573C95" w:rsidP="00D8163E">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751" o:spid="_x0000_s1503" style="position:absolute;margin-left:414pt;margin-top:9.15pt;width:1in;height:1in;z-index:2530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" fillcolor="#ff6700 [3206]" strokecolor="white">
                <v:textbox>
                  <w:txbxContent>
                    <w:p w14:paraId="1132023E" w14:textId="77777777" w:rsidR="001501D6" w:rsidRDefault="001501D6" w:rsidP="00D8163E">
                      <w:pPr>
                        <w:jc w:val="center"/>
                      </w:pPr>
                      <w:r>
                        <w:t>Offre</w:t>
                      </w:r>
                    </w:p>
                    <w:p w14:paraId="468CB8C0" w14:textId="47257411" w:rsidR="001501D6" w:rsidRPr="00D8163E" w:rsidRDefault="001501D6" w:rsidP="00D8163E">
                      <w:pPr>
                        <w:jc w:val="center"/>
                        <w:rPr>
                          <w:sz w:val="48"/>
                          <w:szCs w:val="48"/>
                        </w:rPr>
                      </w:pPr>
                      <w:r>
                        <w:rPr>
                          <w:sz w:val="48"/>
                          <w:szCs w:val="48"/>
                        </w:rPr>
                        <w:t>3</w:t>
                      </w:r>
                    </w:p>
                    <w:p w14:paraId="1F986862" w14:textId="77777777" w:rsidR="001501D6" w:rsidRDefault="001501D6" w:rsidP="00D8163E">
                      <w:pPr>
                        <w:jc w:val="center"/>
                      </w:pPr>
                    </w:p>
                  </w:txbxContent>
                </v:textbox>
              </v:oval>
            </w:pict>
          </mc:Fallback>
        </mc:AlternateContent>
      </w:r>
      <w:r w:rsidR="00D8163E">
        <w:rPr>
          <w:noProof/>
          <w:lang w:eastAsia="fr-FR"/>
        </w:rPr>
        <mc:AlternateContent>
          <mc:Choice Requires="wps">
            <w:drawing>
              <wp:anchor distT="0" distB="0" distL="114300" distR="114300" simplePos="0" relativeHeight="253035520" behindDoc="0" locked="0" layoutInCell="1" allowOverlap="1" wp14:anchorId="5FEA5FA2" wp14:editId="7FBB7A5C">
                <wp:simplePos x="0" y="0"/>
                <wp:positionH relativeFrom="column">
                  <wp:posOffset>5829300</wp:posOffset>
                </wp:positionH>
                <wp:positionV relativeFrom="paragraph">
                  <wp:posOffset>147320</wp:posOffset>
                </wp:positionV>
                <wp:extent cx="1828800" cy="1828800"/>
                <wp:effectExtent l="76200" t="76200" r="76200" b="76200"/>
                <wp:wrapNone/>
                <wp:docPr id="744" name="Ellipse 744"/>
                <wp:cNvGraphicFramePr/>
                <a:graphic xmlns:a="http://schemas.openxmlformats.org/drawingml/2006/main">
                  <a:graphicData uri="http://schemas.microsoft.com/office/word/2010/wordprocessingShape">
                    <wps:wsp>
                      <wps:cNvSpPr/>
                      <wps:spPr>
                        <a:xfrm>
                          <a:off x="0" y="0"/>
                          <a:ext cx="1828800" cy="1828800"/>
                        </a:xfrm>
                        <a:prstGeom prst="ellipse">
                          <a:avLst/>
                        </a:prstGeom>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FCE42D1" w14:textId="77777777" w:rsidR="00573C95" w:rsidRDefault="00573C95" w:rsidP="00B40B41">
                            <w:pPr>
                              <w:jc w:val="center"/>
                            </w:pPr>
                            <w:r>
                              <w:t>PRIX 4 449 $, taxes en sus</w:t>
                            </w:r>
                          </w:p>
                          <w:p w14:paraId="76E5F6B5" w14:textId="77777777" w:rsidR="00573C95" w:rsidRDefault="00573C95" w:rsidP="00B40B41">
                            <w:pPr>
                              <w:jc w:val="center"/>
                            </w:pPr>
                          </w:p>
                          <w:p w14:paraId="6F367317" w14:textId="4E56FF4F" w:rsidR="00573C95" w:rsidRDefault="00573C95" w:rsidP="00B40B41">
                            <w:pPr>
                              <w:jc w:val="center"/>
                            </w:pPr>
                            <w:r>
                              <w:t>Payable  dans 24 mois, sans intérêts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744" o:spid="_x0000_s1504" style="position:absolute;margin-left:459pt;margin-top:11.6pt;width:2in;height:2in;z-index:2530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" fillcolor="#94c600 [3204]" strokecolor="#94c600 [3204]">
                <v:fill color2="#84b100 [2884]" rotate="t" focus="100%" type="gradient">
                  <o:fill v:ext="view" type="gradientUnscaled"/>
                </v:fill>
                <v:textbox>
                  <w:txbxContent>
                    <w:p w14:paraId="0FCE42D1" w14:textId="77777777" w:rsidR="001501D6" w:rsidRDefault="001501D6" w:rsidP="00B40B41">
                      <w:pPr>
                        <w:jc w:val="center"/>
                      </w:pPr>
                      <w:r>
                        <w:t>PRIX 4 449 $, taxes en sus</w:t>
                      </w:r>
                    </w:p>
                    <w:p w14:paraId="76E5F6B5" w14:textId="77777777" w:rsidR="001501D6" w:rsidRDefault="001501D6" w:rsidP="00B40B41">
                      <w:pPr>
                        <w:jc w:val="center"/>
                      </w:pPr>
                    </w:p>
                    <w:p w14:paraId="6F367317" w14:textId="4E56FF4F" w:rsidR="001501D6" w:rsidRDefault="001501D6" w:rsidP="00B40B41">
                      <w:pPr>
                        <w:jc w:val="center"/>
                      </w:pPr>
                      <w:r>
                        <w:t>Payable  dans 24 mois, sans intérêts</w:t>
                      </w:r>
                    </w:p>
                  </w:txbxContent>
                </v:textbox>
              </v:oval>
            </w:pict>
          </mc:Fallback>
        </mc:AlternateContent>
      </w:r>
      <w:r w:rsidR="00D8163E">
        <w:rPr>
          <w:noProof/>
          <w:lang w:eastAsia="fr-FR"/>
        </w:rPr>
        <mc:AlternateContent>
          <mc:Choice Requires="wps">
            <w:drawing>
              <wp:anchor distT="0" distB="0" distL="114300" distR="114300" simplePos="0" relativeHeight="253033472" behindDoc="0" locked="0" layoutInCell="1" allowOverlap="1" wp14:anchorId="015F1EEA" wp14:editId="02FC17CD">
                <wp:simplePos x="0" y="0"/>
                <wp:positionH relativeFrom="column">
                  <wp:posOffset>2971800</wp:posOffset>
                </wp:positionH>
                <wp:positionV relativeFrom="paragraph">
                  <wp:posOffset>147320</wp:posOffset>
                </wp:positionV>
                <wp:extent cx="1828800" cy="1828800"/>
                <wp:effectExtent l="76200" t="76200" r="76200" b="76200"/>
                <wp:wrapNone/>
                <wp:docPr id="741" name="Ellipse 741"/>
                <wp:cNvGraphicFramePr/>
                <a:graphic xmlns:a="http://schemas.openxmlformats.org/drawingml/2006/main">
                  <a:graphicData uri="http://schemas.microsoft.com/office/word/2010/wordprocessingShape">
                    <wps:wsp>
                      <wps:cNvSpPr/>
                      <wps:spPr>
                        <a:xfrm>
                          <a:off x="0" y="0"/>
                          <a:ext cx="1828800" cy="1828800"/>
                        </a:xfrm>
                        <a:prstGeom prst="ellipse">
                          <a:avLst/>
                        </a:prstGeom>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35AE552" w14:textId="08189412" w:rsidR="00573C95" w:rsidRDefault="00573C95" w:rsidP="00B40B41">
                            <w:pPr>
                              <w:jc w:val="center"/>
                            </w:pPr>
                            <w:r>
                              <w:t>PRIX 4 449 $, taxes en sus</w:t>
                            </w:r>
                          </w:p>
                          <w:p w14:paraId="011C7BE5" w14:textId="77777777" w:rsidR="00573C95" w:rsidRDefault="00573C95" w:rsidP="00B40B41">
                            <w:pPr>
                              <w:jc w:val="center"/>
                            </w:pPr>
                          </w:p>
                          <w:p w14:paraId="3CC9B278" w14:textId="43088791" w:rsidR="00573C95" w:rsidRDefault="00573C95" w:rsidP="00B40B41">
                            <w:pPr>
                              <w:jc w:val="center"/>
                            </w:pPr>
                            <w:r>
                              <w:t>Payable comptant, sans taxes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741" o:spid="_x0000_s1505" style="position:absolute;margin-left:234pt;margin-top:11.6pt;width:2in;height:2in;z-index:2530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" fillcolor="#94c600 [3204]" strokecolor="#94c600 [3204]">
                <v:fill color2="#84b100 [2884]" rotate="t" focus="100%" type="gradient">
                  <o:fill v:ext="view" type="gradientUnscaled"/>
                </v:fill>
                <v:textbox>
                  <w:txbxContent>
                    <w:p w14:paraId="735AE552" w14:textId="08189412" w:rsidR="001501D6" w:rsidRDefault="001501D6" w:rsidP="00B40B41">
                      <w:pPr>
                        <w:jc w:val="center"/>
                      </w:pPr>
                      <w:r>
                        <w:t>PRIX 4 449 $, taxes en sus</w:t>
                      </w:r>
                    </w:p>
                    <w:p w14:paraId="011C7BE5" w14:textId="77777777" w:rsidR="001501D6" w:rsidRDefault="001501D6" w:rsidP="00B40B41">
                      <w:pPr>
                        <w:jc w:val="center"/>
                      </w:pPr>
                    </w:p>
                    <w:p w14:paraId="3CC9B278" w14:textId="43088791" w:rsidR="001501D6" w:rsidRDefault="001501D6" w:rsidP="00B40B41">
                      <w:pPr>
                        <w:jc w:val="center"/>
                      </w:pPr>
                      <w:r>
                        <w:t>Payable comptant, sans taxes</w:t>
                      </w:r>
                    </w:p>
                  </w:txbxContent>
                </v:textbox>
              </v:oval>
            </w:pict>
          </mc:Fallback>
        </mc:AlternateContent>
      </w:r>
      <w:r w:rsidR="00D8163E">
        <w:rPr>
          <w:noProof/>
          <w:lang w:eastAsia="fr-FR"/>
        </w:rPr>
        <mc:AlternateContent>
          <mc:Choice Requires="wps">
            <w:drawing>
              <wp:anchor distT="0" distB="0" distL="114300" distR="114300" simplePos="0" relativeHeight="253031424" behindDoc="0" locked="0" layoutInCell="1" allowOverlap="1" wp14:anchorId="03EC6CC8" wp14:editId="3DEAFA80">
                <wp:simplePos x="0" y="0"/>
                <wp:positionH relativeFrom="column">
                  <wp:posOffset>114300</wp:posOffset>
                </wp:positionH>
                <wp:positionV relativeFrom="paragraph">
                  <wp:posOffset>147320</wp:posOffset>
                </wp:positionV>
                <wp:extent cx="1828800" cy="1828800"/>
                <wp:effectExtent l="76200" t="76200" r="76200" b="76200"/>
                <wp:wrapNone/>
                <wp:docPr id="725" name="Ellipse 725"/>
                <wp:cNvGraphicFramePr/>
                <a:graphic xmlns:a="http://schemas.openxmlformats.org/drawingml/2006/main">
                  <a:graphicData uri="http://schemas.microsoft.com/office/word/2010/wordprocessingShape">
                    <wps:wsp>
                      <wps:cNvSpPr/>
                      <wps:spPr>
                        <a:xfrm>
                          <a:off x="0" y="0"/>
                          <a:ext cx="1828800" cy="1828800"/>
                        </a:xfrm>
                        <a:prstGeom prst="ellipse">
                          <a:avLst/>
                        </a:prstGeom>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458CDB" w14:textId="6A5F4B14" w:rsidR="00573C95" w:rsidRDefault="00573C95" w:rsidP="00B40B41">
                            <w:pPr>
                              <w:jc w:val="center"/>
                            </w:pPr>
                            <w:r>
                              <w:t>PRIX 4 449 $, taxes en sus</w:t>
                            </w:r>
                          </w:p>
                          <w:p w14:paraId="038F5ACC" w14:textId="77777777" w:rsidR="00573C95" w:rsidRDefault="00573C95" w:rsidP="00B40B41">
                            <w:pPr>
                              <w:jc w:val="center"/>
                            </w:pPr>
                          </w:p>
                          <w:p w14:paraId="2C52B017" w14:textId="3E0C2A33" w:rsidR="00573C95" w:rsidRDefault="00573C95" w:rsidP="00B40B41">
                            <w:pPr>
                              <w:jc w:val="center"/>
                            </w:pPr>
                            <w:r>
                              <w:t>36 versements, sans intérêts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725" o:spid="_x0000_s1506" style="position:absolute;margin-left:9pt;margin-top:11.6pt;width:2in;height:2in;z-index:2530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" fillcolor="#94c600 [3204]" strokecolor="#94c600 [3204]">
                <v:fill color2="#84b100 [2884]" rotate="t" focus="100%" type="gradient">
                  <o:fill v:ext="view" type="gradientUnscaled"/>
                </v:fill>
                <v:textbox>
                  <w:txbxContent>
                    <w:p w14:paraId="78458CDB" w14:textId="6A5F4B14" w:rsidR="001501D6" w:rsidRDefault="001501D6" w:rsidP="00B40B41">
                      <w:pPr>
                        <w:jc w:val="center"/>
                      </w:pPr>
                      <w:r>
                        <w:t>PRIX 4 449 $, taxes en sus</w:t>
                      </w:r>
                    </w:p>
                    <w:p w14:paraId="038F5ACC" w14:textId="77777777" w:rsidR="001501D6" w:rsidRDefault="001501D6" w:rsidP="00B40B41">
                      <w:pPr>
                        <w:jc w:val="center"/>
                      </w:pPr>
                    </w:p>
                    <w:p w14:paraId="2C52B017" w14:textId="3E0C2A33" w:rsidR="001501D6" w:rsidRDefault="001501D6" w:rsidP="00B40B41">
                      <w:pPr>
                        <w:jc w:val="center"/>
                      </w:pPr>
                      <w:r>
                        <w:t>36 versements, sans intérêts</w:t>
                      </w:r>
                    </w:p>
                  </w:txbxContent>
                </v:textbox>
              </v:oval>
            </w:pict>
          </mc:Fallback>
        </mc:AlternateContent>
      </w:r>
    </w:p>
    <w:p w14:paraId="361FAEB7" w14:textId="71F6F3A8" w:rsidR="00DA2736" w:rsidRDefault="00DA2736" w:rsidP="002F4BC2"/>
    <w:p w14:paraId="787E69F5" w14:textId="5BCAA93B" w:rsidR="008703E7" w:rsidRDefault="00EA58F1">
      <w:r>
        <w:rPr>
          <w:noProof/>
          <w:lang w:eastAsia="fr-FR"/>
        </w:rPr>
        <w:drawing>
          <wp:anchor distT="0" distB="0" distL="114300" distR="114300" simplePos="0" relativeHeight="253029376" behindDoc="0" locked="0" layoutInCell="1" allowOverlap="1" wp14:anchorId="0D120634" wp14:editId="76E77A44">
            <wp:simplePos x="0" y="0"/>
            <wp:positionH relativeFrom="column">
              <wp:posOffset>2743200</wp:posOffset>
            </wp:positionH>
            <wp:positionV relativeFrom="paragraph">
              <wp:posOffset>1800225</wp:posOffset>
            </wp:positionV>
            <wp:extent cx="2285799" cy="1666714"/>
            <wp:effectExtent l="0" t="0" r="635" b="10160"/>
            <wp:wrapNone/>
            <wp:docPr id="719" name="Image 719" descr="Macintosh HD:Users:marcbachand:Desktop:Unkno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Unknown.jpe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85799" cy="1666714"/>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703E7">
        <w:br w:type="page"/>
      </w:r>
    </w:p>
    <w:p w14:paraId="3337D7E6" w14:textId="77777777" w:rsidR="00EB3CD5" w:rsidRDefault="00EB3CD5">
      <w:r>
        <w:lastRenderedPageBreak/>
        <w:t>Analyse des intérêts implicites</w:t>
      </w:r>
    </w:p>
    <w:p w14:paraId="5F94D5D3" w14:textId="3E2EB1BD" w:rsidR="00C116AA" w:rsidRDefault="00851B45">
      <w:r>
        <w:rPr>
          <w:noProof/>
          <w:lang w:eastAsia="fr-FR"/>
        </w:rPr>
        <mc:AlternateContent>
          <mc:Choice Requires="wps">
            <w:drawing>
              <wp:anchor distT="0" distB="0" distL="114300" distR="114300" simplePos="0" relativeHeight="253047808" behindDoc="0" locked="0" layoutInCell="1" allowOverlap="1" wp14:anchorId="4BD9553D" wp14:editId="20658112">
                <wp:simplePos x="0" y="0"/>
                <wp:positionH relativeFrom="column">
                  <wp:posOffset>6286500</wp:posOffset>
                </wp:positionH>
                <wp:positionV relativeFrom="paragraph">
                  <wp:posOffset>156210</wp:posOffset>
                </wp:positionV>
                <wp:extent cx="914400" cy="914400"/>
                <wp:effectExtent l="76200" t="76200" r="76200" b="76200"/>
                <wp:wrapNone/>
                <wp:docPr id="754" name="Ellipse 754"/>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accent3"/>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A750BC7" w14:textId="77777777" w:rsidR="00573C95" w:rsidRDefault="00573C95" w:rsidP="00C116AA">
                            <w:pPr>
                              <w:jc w:val="center"/>
                            </w:pPr>
                            <w:r>
                              <w:t>Offre</w:t>
                            </w:r>
                          </w:p>
                          <w:p w14:paraId="37519CAC" w14:textId="77777777" w:rsidR="00573C95" w:rsidRPr="00D8163E" w:rsidRDefault="00573C95" w:rsidP="00C116AA">
                            <w:pPr>
                              <w:jc w:val="center"/>
                              <w:rPr>
                                <w:sz w:val="48"/>
                                <w:szCs w:val="48"/>
                              </w:rPr>
                            </w:pPr>
                            <w:r>
                              <w:rPr>
                                <w:sz w:val="48"/>
                                <w:szCs w:val="48"/>
                              </w:rPr>
                              <w:t>3</w:t>
                            </w:r>
                          </w:p>
                          <w:p w14:paraId="50F441FC" w14:textId="77777777" w:rsidR="00573C95" w:rsidRDefault="00573C95" w:rsidP="00C116AA">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754" o:spid="_x0000_s1507" style="position:absolute;margin-left:495pt;margin-top:12.3pt;width:1in;height:1in;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" fillcolor="#ff6700 [3206]" strokecolor="white">
                <v:textbox>
                  <w:txbxContent>
                    <w:p w14:paraId="3A750BC7" w14:textId="77777777" w:rsidR="001501D6" w:rsidRDefault="001501D6" w:rsidP="00C116AA">
                      <w:pPr>
                        <w:jc w:val="center"/>
                      </w:pPr>
                      <w:r>
                        <w:t>Offre</w:t>
                      </w:r>
                    </w:p>
                    <w:p w14:paraId="37519CAC" w14:textId="77777777" w:rsidR="001501D6" w:rsidRPr="00D8163E" w:rsidRDefault="001501D6" w:rsidP="00C116AA">
                      <w:pPr>
                        <w:jc w:val="center"/>
                        <w:rPr>
                          <w:sz w:val="48"/>
                          <w:szCs w:val="48"/>
                        </w:rPr>
                      </w:pPr>
                      <w:r>
                        <w:rPr>
                          <w:sz w:val="48"/>
                          <w:szCs w:val="48"/>
                        </w:rPr>
                        <w:t>3</w:t>
                      </w:r>
                    </w:p>
                    <w:p w14:paraId="50F441FC" w14:textId="77777777" w:rsidR="001501D6" w:rsidRDefault="001501D6" w:rsidP="00C116AA">
                      <w:pPr>
                        <w:jc w:val="center"/>
                      </w:pPr>
                    </w:p>
                  </w:txbxContent>
                </v:textbox>
              </v:oval>
            </w:pict>
          </mc:Fallback>
        </mc:AlternateContent>
      </w:r>
      <w:r>
        <w:rPr>
          <w:noProof/>
          <w:lang w:eastAsia="fr-FR"/>
        </w:rPr>
        <mc:AlternateContent>
          <mc:Choice Requires="wps">
            <w:drawing>
              <wp:anchor distT="0" distB="0" distL="114300" distR="114300" simplePos="0" relativeHeight="253045760" behindDoc="0" locked="0" layoutInCell="1" allowOverlap="1" wp14:anchorId="3B094437" wp14:editId="154C25C1">
                <wp:simplePos x="0" y="0"/>
                <wp:positionH relativeFrom="column">
                  <wp:posOffset>2857500</wp:posOffset>
                </wp:positionH>
                <wp:positionV relativeFrom="paragraph">
                  <wp:posOffset>156210</wp:posOffset>
                </wp:positionV>
                <wp:extent cx="914400" cy="914400"/>
                <wp:effectExtent l="76200" t="76200" r="76200" b="76200"/>
                <wp:wrapNone/>
                <wp:docPr id="753" name="Ellipse 753"/>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accent3"/>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17E2F5E" w14:textId="77777777" w:rsidR="00573C95" w:rsidRDefault="00573C95" w:rsidP="00C116AA">
                            <w:pPr>
                              <w:jc w:val="center"/>
                            </w:pPr>
                            <w:r>
                              <w:t>Offre</w:t>
                            </w:r>
                          </w:p>
                          <w:p w14:paraId="20EBF0B5" w14:textId="77777777" w:rsidR="00573C95" w:rsidRPr="00D8163E" w:rsidRDefault="00573C95" w:rsidP="00C116AA">
                            <w:pPr>
                              <w:jc w:val="center"/>
                              <w:rPr>
                                <w:sz w:val="48"/>
                                <w:szCs w:val="48"/>
                              </w:rPr>
                            </w:pPr>
                            <w:r>
                              <w:rPr>
                                <w:sz w:val="48"/>
                                <w:szCs w:val="48"/>
                              </w:rPr>
                              <w:t>2</w:t>
                            </w:r>
                          </w:p>
                          <w:p w14:paraId="167E1524" w14:textId="77777777" w:rsidR="00573C95" w:rsidRDefault="00573C95" w:rsidP="00C116AA">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753" o:spid="_x0000_s1508" style="position:absolute;margin-left:225pt;margin-top:12.3pt;width:1in;height:1in;z-index:2530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" fillcolor="#ff6700 [3206]" strokecolor="white">
                <v:textbox>
                  <w:txbxContent>
                    <w:p w14:paraId="417E2F5E" w14:textId="77777777" w:rsidR="001501D6" w:rsidRDefault="001501D6" w:rsidP="00C116AA">
                      <w:pPr>
                        <w:jc w:val="center"/>
                      </w:pPr>
                      <w:r>
                        <w:t>Offre</w:t>
                      </w:r>
                    </w:p>
                    <w:p w14:paraId="20EBF0B5" w14:textId="77777777" w:rsidR="001501D6" w:rsidRPr="00D8163E" w:rsidRDefault="001501D6" w:rsidP="00C116AA">
                      <w:pPr>
                        <w:jc w:val="center"/>
                        <w:rPr>
                          <w:sz w:val="48"/>
                          <w:szCs w:val="48"/>
                        </w:rPr>
                      </w:pPr>
                      <w:r>
                        <w:rPr>
                          <w:sz w:val="48"/>
                          <w:szCs w:val="48"/>
                        </w:rPr>
                        <w:t>2</w:t>
                      </w:r>
                    </w:p>
                    <w:p w14:paraId="167E1524" w14:textId="77777777" w:rsidR="001501D6" w:rsidRDefault="001501D6" w:rsidP="00C116AA">
                      <w:pPr>
                        <w:jc w:val="center"/>
                      </w:pPr>
                    </w:p>
                  </w:txbxContent>
                </v:textbox>
              </v:oval>
            </w:pict>
          </mc:Fallback>
        </mc:AlternateContent>
      </w:r>
      <w:r>
        <w:rPr>
          <w:noProof/>
          <w:lang w:eastAsia="fr-FR"/>
        </w:rPr>
        <mc:AlternateContent>
          <mc:Choice Requires="wps">
            <w:drawing>
              <wp:anchor distT="0" distB="0" distL="114300" distR="114300" simplePos="0" relativeHeight="253043712" behindDoc="0" locked="0" layoutInCell="1" allowOverlap="1" wp14:anchorId="59860FB3" wp14:editId="621E9057">
                <wp:simplePos x="0" y="0"/>
                <wp:positionH relativeFrom="column">
                  <wp:posOffset>-228600</wp:posOffset>
                </wp:positionH>
                <wp:positionV relativeFrom="paragraph">
                  <wp:posOffset>156210</wp:posOffset>
                </wp:positionV>
                <wp:extent cx="896620" cy="896620"/>
                <wp:effectExtent l="76200" t="76200" r="68580" b="68580"/>
                <wp:wrapNone/>
                <wp:docPr id="752" name="Ellipse 752"/>
                <wp:cNvGraphicFramePr/>
                <a:graphic xmlns:a="http://schemas.openxmlformats.org/drawingml/2006/main">
                  <a:graphicData uri="http://schemas.microsoft.com/office/word/2010/wordprocessingShape">
                    <wps:wsp>
                      <wps:cNvSpPr/>
                      <wps:spPr>
                        <a:xfrm>
                          <a:off x="0" y="0"/>
                          <a:ext cx="896620" cy="89662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18F3343" w14:textId="77777777" w:rsidR="00573C95" w:rsidRDefault="00573C95" w:rsidP="00C116AA">
                            <w:pPr>
                              <w:jc w:val="center"/>
                            </w:pPr>
                            <w:r>
                              <w:t>Offre</w:t>
                            </w:r>
                          </w:p>
                          <w:p w14:paraId="2DAE60EA" w14:textId="77777777" w:rsidR="00573C95" w:rsidRPr="00D8163E" w:rsidRDefault="00573C95" w:rsidP="00C116AA">
                            <w:pPr>
                              <w:jc w:val="center"/>
                              <w:rPr>
                                <w:sz w:val="48"/>
                                <w:szCs w:val="48"/>
                              </w:rPr>
                            </w:pPr>
                            <w:r w:rsidRPr="00D8163E">
                              <w:rPr>
                                <w:sz w:val="48"/>
                                <w:szCs w:val="48"/>
                              </w:rPr>
                              <w:t>1</w:t>
                            </w:r>
                          </w:p>
                          <w:p w14:paraId="15C8C71A" w14:textId="77777777" w:rsidR="00573C95" w:rsidRDefault="00573C95" w:rsidP="00C116AA">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752" o:spid="_x0000_s1509" style="position:absolute;margin-left:-17.95pt;margin-top:12.3pt;width:70.6pt;height:70.6pt;z-index:2530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" fillcolor="#ff6700 [3206]" strokecolor="white [3212]">
                <v:textbox>
                  <w:txbxContent>
                    <w:p w14:paraId="418F3343" w14:textId="77777777" w:rsidR="001501D6" w:rsidRDefault="001501D6" w:rsidP="00C116AA">
                      <w:pPr>
                        <w:jc w:val="center"/>
                      </w:pPr>
                      <w:r>
                        <w:t>Offre</w:t>
                      </w:r>
                    </w:p>
                    <w:p w14:paraId="2DAE60EA" w14:textId="77777777" w:rsidR="001501D6" w:rsidRPr="00D8163E" w:rsidRDefault="001501D6" w:rsidP="00C116AA">
                      <w:pPr>
                        <w:jc w:val="center"/>
                        <w:rPr>
                          <w:sz w:val="48"/>
                          <w:szCs w:val="48"/>
                        </w:rPr>
                      </w:pPr>
                      <w:r w:rsidRPr="00D8163E">
                        <w:rPr>
                          <w:sz w:val="48"/>
                          <w:szCs w:val="48"/>
                        </w:rPr>
                        <w:t>1</w:t>
                      </w:r>
                    </w:p>
                    <w:p w14:paraId="15C8C71A" w14:textId="77777777" w:rsidR="001501D6" w:rsidRDefault="001501D6" w:rsidP="00C116AA">
                      <w:pPr>
                        <w:jc w:val="center"/>
                      </w:pPr>
                    </w:p>
                  </w:txbxContent>
                </v:textbox>
              </v:oval>
            </w:pict>
          </mc:Fallback>
        </mc:AlternateContent>
      </w:r>
    </w:p>
    <w:p w14:paraId="58B1C9B6" w14:textId="6ADF156F" w:rsidR="00EB3CD5" w:rsidRDefault="00EB3CD5"/>
    <w:p w14:paraId="1A0C8E76" w14:textId="77777777" w:rsidR="00531AD1" w:rsidRDefault="00531AD1"/>
    <w:p w14:paraId="6EC2150A" w14:textId="77777777" w:rsidR="00531AD1" w:rsidRDefault="00531AD1"/>
    <w:p w14:paraId="3927D825" w14:textId="77777777" w:rsidR="00E1678E" w:rsidRDefault="00E1678E"/>
    <w:tbl>
      <w:tblPr>
        <w:tblStyle w:val="Grille"/>
        <w:tblpPr w:leftFromText="141" w:rightFromText="141" w:vertAnchor="page" w:horzAnchor="page" w:tblpX="626" w:tblpY="3038"/>
        <w:tblW w:w="15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1559"/>
        <w:gridCol w:w="3664"/>
        <w:gridCol w:w="687"/>
        <w:gridCol w:w="1319"/>
        <w:gridCol w:w="1116"/>
        <w:gridCol w:w="2144"/>
        <w:gridCol w:w="1276"/>
      </w:tblGrid>
      <w:tr w:rsidR="00E1678E" w14:paraId="77776F25" w14:textId="77777777" w:rsidTr="0076765C">
        <w:tc>
          <w:tcPr>
            <w:tcW w:w="4928" w:type="dxa"/>
            <w:gridSpan w:val="2"/>
            <w:shd w:val="clear" w:color="auto" w:fill="BFBFBF" w:themeFill="background1" w:themeFillShade="BF"/>
          </w:tcPr>
          <w:p w14:paraId="07AC4492" w14:textId="77777777" w:rsidR="00E1678E" w:rsidRDefault="00E1678E" w:rsidP="00E1678E">
            <w:pPr>
              <w:jc w:val="center"/>
            </w:pPr>
          </w:p>
          <w:p w14:paraId="76CF5819" w14:textId="77777777" w:rsidR="00E1678E" w:rsidRDefault="00E1678E" w:rsidP="00E1678E">
            <w:pPr>
              <w:jc w:val="center"/>
            </w:pPr>
          </w:p>
        </w:tc>
        <w:tc>
          <w:tcPr>
            <w:tcW w:w="4351" w:type="dxa"/>
            <w:gridSpan w:val="2"/>
            <w:shd w:val="clear" w:color="auto" w:fill="BFBFBF" w:themeFill="background1" w:themeFillShade="BF"/>
          </w:tcPr>
          <w:p w14:paraId="0B73A6BB" w14:textId="77777777" w:rsidR="00E1678E" w:rsidRDefault="00E1678E" w:rsidP="00E1678E">
            <w:pPr>
              <w:jc w:val="center"/>
            </w:pPr>
          </w:p>
        </w:tc>
        <w:tc>
          <w:tcPr>
            <w:tcW w:w="2435" w:type="dxa"/>
            <w:gridSpan w:val="2"/>
            <w:shd w:val="clear" w:color="auto" w:fill="BFBFBF" w:themeFill="background1" w:themeFillShade="BF"/>
          </w:tcPr>
          <w:p w14:paraId="6ECFF9EB" w14:textId="77777777" w:rsidR="00E1678E" w:rsidRDefault="00E1678E" w:rsidP="00E1678E">
            <w:pPr>
              <w:jc w:val="center"/>
            </w:pPr>
          </w:p>
        </w:tc>
        <w:tc>
          <w:tcPr>
            <w:tcW w:w="3420" w:type="dxa"/>
            <w:gridSpan w:val="2"/>
            <w:shd w:val="clear" w:color="auto" w:fill="BFBFBF" w:themeFill="background1" w:themeFillShade="BF"/>
          </w:tcPr>
          <w:p w14:paraId="3BB3B018" w14:textId="77777777" w:rsidR="00E1678E" w:rsidRDefault="00E1678E" w:rsidP="00E1678E">
            <w:pPr>
              <w:jc w:val="center"/>
            </w:pPr>
          </w:p>
        </w:tc>
      </w:tr>
      <w:tr w:rsidR="00E1678E" w14:paraId="06540584" w14:textId="77777777" w:rsidTr="0076765C">
        <w:tc>
          <w:tcPr>
            <w:tcW w:w="3369" w:type="dxa"/>
            <w:shd w:val="clear" w:color="auto" w:fill="945681"/>
          </w:tcPr>
          <w:p w14:paraId="3BEFC3E5" w14:textId="77777777" w:rsidR="00E1678E" w:rsidRPr="00A45C5F" w:rsidRDefault="00E1678E" w:rsidP="00E1678E">
            <w:pPr>
              <w:jc w:val="both"/>
              <w:rPr>
                <w:sz w:val="20"/>
                <w:szCs w:val="20"/>
              </w:rPr>
            </w:pPr>
            <w:r w:rsidRPr="00A45C5F">
              <w:rPr>
                <w:sz w:val="20"/>
                <w:szCs w:val="20"/>
              </w:rPr>
              <w:t>Le total des déboursés</w:t>
            </w:r>
          </w:p>
        </w:tc>
        <w:tc>
          <w:tcPr>
            <w:tcW w:w="1559" w:type="dxa"/>
            <w:shd w:val="clear" w:color="auto" w:fill="945681"/>
          </w:tcPr>
          <w:p w14:paraId="783AFFEE" w14:textId="77777777" w:rsidR="00E1678E" w:rsidRPr="00A45C5F" w:rsidRDefault="00E1678E" w:rsidP="00E1678E">
            <w:pPr>
              <w:tabs>
                <w:tab w:val="right" w:pos="3071"/>
              </w:tabs>
              <w:jc w:val="center"/>
              <w:rPr>
                <w:sz w:val="20"/>
                <w:szCs w:val="20"/>
              </w:rPr>
            </w:pPr>
            <w:r>
              <w:rPr>
                <w:sz w:val="20"/>
                <w:szCs w:val="20"/>
              </w:rPr>
              <w:t>5 115,24</w:t>
            </w:r>
            <w:r w:rsidRPr="00A45C5F">
              <w:rPr>
                <w:sz w:val="20"/>
                <w:szCs w:val="20"/>
              </w:rPr>
              <w:t xml:space="preserve"> $</w:t>
            </w:r>
            <w:r w:rsidRPr="007501F3">
              <w:rPr>
                <w:color w:val="FFFFFF" w:themeColor="background1"/>
                <w:vertAlign w:val="superscript"/>
              </w:rPr>
              <w:t>1</w:t>
            </w:r>
          </w:p>
        </w:tc>
        <w:tc>
          <w:tcPr>
            <w:tcW w:w="3664" w:type="dxa"/>
            <w:shd w:val="clear" w:color="auto" w:fill="5498BA"/>
          </w:tcPr>
          <w:p w14:paraId="0A794234" w14:textId="77777777" w:rsidR="00E1678E" w:rsidRPr="00A45C5F" w:rsidRDefault="00E1678E" w:rsidP="00E1678E">
            <w:pPr>
              <w:jc w:val="both"/>
              <w:rPr>
                <w:sz w:val="20"/>
                <w:szCs w:val="20"/>
              </w:rPr>
            </w:pPr>
            <w:r w:rsidRPr="00A45C5F">
              <w:rPr>
                <w:sz w:val="20"/>
                <w:szCs w:val="20"/>
              </w:rPr>
              <w:t>Le total des déboursés</w:t>
            </w:r>
          </w:p>
        </w:tc>
        <w:tc>
          <w:tcPr>
            <w:tcW w:w="2006" w:type="dxa"/>
            <w:gridSpan w:val="2"/>
            <w:shd w:val="clear" w:color="auto" w:fill="5498BA"/>
          </w:tcPr>
          <w:p w14:paraId="68ED785D" w14:textId="77777777" w:rsidR="00E1678E" w:rsidRPr="00C116AA" w:rsidRDefault="00E1678E" w:rsidP="00E1678E">
            <w:pPr>
              <w:jc w:val="center"/>
              <w:rPr>
                <w:sz w:val="20"/>
                <w:szCs w:val="20"/>
              </w:rPr>
            </w:pPr>
            <w:r>
              <w:rPr>
                <w:sz w:val="20"/>
                <w:szCs w:val="20"/>
              </w:rPr>
              <w:t>4 449 $</w:t>
            </w:r>
          </w:p>
        </w:tc>
        <w:tc>
          <w:tcPr>
            <w:tcW w:w="3260" w:type="dxa"/>
            <w:gridSpan w:val="2"/>
            <w:shd w:val="clear" w:color="auto" w:fill="78BA9B"/>
          </w:tcPr>
          <w:p w14:paraId="792F7FD1" w14:textId="77777777" w:rsidR="00E1678E" w:rsidRDefault="00E1678E" w:rsidP="00E1678E">
            <w:r w:rsidRPr="00A45C5F">
              <w:rPr>
                <w:sz w:val="20"/>
                <w:szCs w:val="20"/>
              </w:rPr>
              <w:t>Le total des déboursés</w:t>
            </w:r>
          </w:p>
        </w:tc>
        <w:tc>
          <w:tcPr>
            <w:tcW w:w="1276" w:type="dxa"/>
            <w:shd w:val="clear" w:color="auto" w:fill="78BA9B"/>
          </w:tcPr>
          <w:p w14:paraId="2E4774AE" w14:textId="77777777" w:rsidR="00E1678E" w:rsidRPr="00C116AA" w:rsidRDefault="00E1678E" w:rsidP="00E1678E">
            <w:pPr>
              <w:jc w:val="center"/>
              <w:rPr>
                <w:sz w:val="20"/>
                <w:szCs w:val="20"/>
              </w:rPr>
            </w:pPr>
            <w:r>
              <w:rPr>
                <w:sz w:val="20"/>
                <w:szCs w:val="20"/>
              </w:rPr>
              <w:t>5 115,24 $</w:t>
            </w:r>
            <w:r w:rsidRPr="007501F3">
              <w:rPr>
                <w:color w:val="FFFFFF" w:themeColor="background1"/>
                <w:vertAlign w:val="superscript"/>
              </w:rPr>
              <w:t>1</w:t>
            </w:r>
          </w:p>
        </w:tc>
      </w:tr>
      <w:tr w:rsidR="00E1678E" w14:paraId="00BB6A69" w14:textId="77777777" w:rsidTr="0076765C">
        <w:tc>
          <w:tcPr>
            <w:tcW w:w="3369" w:type="dxa"/>
            <w:shd w:val="clear" w:color="auto" w:fill="945681"/>
          </w:tcPr>
          <w:p w14:paraId="6064454F" w14:textId="77777777" w:rsidR="00E1678E" w:rsidRPr="00A45C5F" w:rsidRDefault="00E1678E" w:rsidP="00E1678E">
            <w:pPr>
              <w:jc w:val="both"/>
              <w:rPr>
                <w:sz w:val="20"/>
                <w:szCs w:val="20"/>
              </w:rPr>
            </w:pPr>
          </w:p>
          <w:p w14:paraId="01C3D5EC" w14:textId="77777777" w:rsidR="00E1678E" w:rsidRPr="00A45C5F" w:rsidRDefault="00E1678E" w:rsidP="00E1678E">
            <w:pPr>
              <w:jc w:val="both"/>
              <w:rPr>
                <w:sz w:val="20"/>
                <w:szCs w:val="20"/>
              </w:rPr>
            </w:pPr>
            <w:r w:rsidRPr="00A45C5F">
              <w:rPr>
                <w:sz w:val="20"/>
                <w:szCs w:val="20"/>
              </w:rPr>
              <w:t>Montant des versements</w:t>
            </w:r>
          </w:p>
        </w:tc>
        <w:tc>
          <w:tcPr>
            <w:tcW w:w="1559" w:type="dxa"/>
            <w:shd w:val="clear" w:color="auto" w:fill="945681"/>
          </w:tcPr>
          <w:p w14:paraId="50F279A1" w14:textId="77777777" w:rsidR="00E1678E" w:rsidRPr="00A45C5F" w:rsidRDefault="00E1678E" w:rsidP="00E1678E">
            <w:pPr>
              <w:jc w:val="center"/>
              <w:rPr>
                <w:sz w:val="20"/>
                <w:szCs w:val="20"/>
              </w:rPr>
            </w:pPr>
          </w:p>
          <w:p w14:paraId="0130E67E" w14:textId="77777777" w:rsidR="00E1678E" w:rsidRPr="00A45C5F" w:rsidRDefault="00E1678E" w:rsidP="00E1678E">
            <w:pPr>
              <w:jc w:val="center"/>
              <w:rPr>
                <w:sz w:val="20"/>
                <w:szCs w:val="20"/>
              </w:rPr>
            </w:pPr>
            <w:r>
              <w:rPr>
                <w:sz w:val="20"/>
                <w:szCs w:val="20"/>
              </w:rPr>
              <w:t>142,09 $</w:t>
            </w:r>
          </w:p>
        </w:tc>
        <w:tc>
          <w:tcPr>
            <w:tcW w:w="3664" w:type="dxa"/>
            <w:shd w:val="clear" w:color="auto" w:fill="5498BA"/>
          </w:tcPr>
          <w:p w14:paraId="4C072173" w14:textId="77777777" w:rsidR="00E1678E" w:rsidRPr="00A45C5F" w:rsidRDefault="00E1678E" w:rsidP="00E1678E">
            <w:pPr>
              <w:jc w:val="both"/>
              <w:rPr>
                <w:sz w:val="20"/>
                <w:szCs w:val="20"/>
              </w:rPr>
            </w:pPr>
          </w:p>
          <w:p w14:paraId="489B2307" w14:textId="77777777" w:rsidR="00E1678E" w:rsidRPr="00A45C5F" w:rsidRDefault="00E1678E" w:rsidP="00E1678E">
            <w:pPr>
              <w:jc w:val="both"/>
              <w:rPr>
                <w:sz w:val="20"/>
                <w:szCs w:val="20"/>
              </w:rPr>
            </w:pPr>
            <w:r w:rsidRPr="00A45C5F">
              <w:rPr>
                <w:sz w:val="20"/>
                <w:szCs w:val="20"/>
              </w:rPr>
              <w:t>Montant des versements</w:t>
            </w:r>
          </w:p>
        </w:tc>
        <w:tc>
          <w:tcPr>
            <w:tcW w:w="2006" w:type="dxa"/>
            <w:gridSpan w:val="2"/>
            <w:shd w:val="clear" w:color="auto" w:fill="5498BA"/>
          </w:tcPr>
          <w:p w14:paraId="029B9837" w14:textId="77777777" w:rsidR="00E1678E" w:rsidRPr="00C116AA" w:rsidRDefault="00E1678E" w:rsidP="00E1678E">
            <w:pPr>
              <w:jc w:val="center"/>
              <w:rPr>
                <w:sz w:val="20"/>
                <w:szCs w:val="20"/>
              </w:rPr>
            </w:pPr>
          </w:p>
          <w:p w14:paraId="262B3333" w14:textId="77777777" w:rsidR="00E1678E" w:rsidRPr="00C116AA" w:rsidRDefault="00E1678E" w:rsidP="00E1678E">
            <w:pPr>
              <w:jc w:val="center"/>
              <w:rPr>
                <w:sz w:val="20"/>
                <w:szCs w:val="20"/>
              </w:rPr>
            </w:pPr>
            <w:r>
              <w:rPr>
                <w:sz w:val="20"/>
                <w:szCs w:val="20"/>
              </w:rPr>
              <w:t>4 449</w:t>
            </w:r>
            <w:r w:rsidRPr="00C116AA">
              <w:rPr>
                <w:sz w:val="20"/>
                <w:szCs w:val="20"/>
              </w:rPr>
              <w:t xml:space="preserve"> $</w:t>
            </w:r>
          </w:p>
        </w:tc>
        <w:tc>
          <w:tcPr>
            <w:tcW w:w="3260" w:type="dxa"/>
            <w:gridSpan w:val="2"/>
            <w:shd w:val="clear" w:color="auto" w:fill="78BA9B"/>
          </w:tcPr>
          <w:p w14:paraId="6257EE5D" w14:textId="77777777" w:rsidR="00E1678E" w:rsidRPr="00A45C5F" w:rsidRDefault="00E1678E" w:rsidP="00E1678E">
            <w:pPr>
              <w:rPr>
                <w:sz w:val="20"/>
                <w:szCs w:val="20"/>
              </w:rPr>
            </w:pPr>
          </w:p>
          <w:p w14:paraId="62605786" w14:textId="77777777" w:rsidR="00E1678E" w:rsidRDefault="00E1678E" w:rsidP="00E1678E">
            <w:r w:rsidRPr="00A45C5F">
              <w:rPr>
                <w:sz w:val="20"/>
                <w:szCs w:val="20"/>
              </w:rPr>
              <w:t>Montant des versements</w:t>
            </w:r>
          </w:p>
        </w:tc>
        <w:tc>
          <w:tcPr>
            <w:tcW w:w="1276" w:type="dxa"/>
            <w:shd w:val="clear" w:color="auto" w:fill="78BA9B"/>
          </w:tcPr>
          <w:p w14:paraId="250AA58B" w14:textId="77777777" w:rsidR="00E1678E" w:rsidRDefault="00E1678E" w:rsidP="00E1678E">
            <w:pPr>
              <w:jc w:val="center"/>
              <w:rPr>
                <w:sz w:val="20"/>
                <w:szCs w:val="20"/>
              </w:rPr>
            </w:pPr>
          </w:p>
          <w:p w14:paraId="247D949F" w14:textId="77777777" w:rsidR="00E1678E" w:rsidRPr="00C116AA" w:rsidRDefault="00E1678E" w:rsidP="00E1678E">
            <w:pPr>
              <w:jc w:val="center"/>
              <w:rPr>
                <w:sz w:val="20"/>
                <w:szCs w:val="20"/>
              </w:rPr>
            </w:pPr>
            <w:r>
              <w:rPr>
                <w:sz w:val="20"/>
                <w:szCs w:val="20"/>
              </w:rPr>
              <w:t>5 115,24 $</w:t>
            </w:r>
          </w:p>
        </w:tc>
      </w:tr>
      <w:tr w:rsidR="00E1678E" w14:paraId="03E0DA7C" w14:textId="77777777" w:rsidTr="0076765C">
        <w:tc>
          <w:tcPr>
            <w:tcW w:w="3369" w:type="dxa"/>
            <w:shd w:val="clear" w:color="auto" w:fill="945681"/>
          </w:tcPr>
          <w:p w14:paraId="30EDFF09" w14:textId="77777777" w:rsidR="00E1678E" w:rsidRPr="00A45C5F" w:rsidRDefault="00E1678E" w:rsidP="00E1678E">
            <w:pPr>
              <w:jc w:val="both"/>
              <w:rPr>
                <w:sz w:val="20"/>
                <w:szCs w:val="20"/>
              </w:rPr>
            </w:pPr>
          </w:p>
          <w:p w14:paraId="355DBB49" w14:textId="77777777" w:rsidR="00E1678E" w:rsidRPr="00A45C5F" w:rsidRDefault="00E1678E" w:rsidP="00E1678E">
            <w:pPr>
              <w:jc w:val="both"/>
              <w:rPr>
                <w:sz w:val="20"/>
                <w:szCs w:val="20"/>
              </w:rPr>
            </w:pPr>
            <w:r w:rsidRPr="00A45C5F">
              <w:rPr>
                <w:sz w:val="20"/>
                <w:szCs w:val="20"/>
              </w:rPr>
              <w:t>Fréquence des versements</w:t>
            </w:r>
          </w:p>
        </w:tc>
        <w:tc>
          <w:tcPr>
            <w:tcW w:w="1559" w:type="dxa"/>
            <w:shd w:val="clear" w:color="auto" w:fill="945681"/>
          </w:tcPr>
          <w:p w14:paraId="67E6BBA4" w14:textId="77777777" w:rsidR="00E1678E" w:rsidRPr="00A45C5F" w:rsidRDefault="00E1678E" w:rsidP="00E1678E">
            <w:pPr>
              <w:jc w:val="center"/>
              <w:rPr>
                <w:sz w:val="20"/>
                <w:szCs w:val="20"/>
              </w:rPr>
            </w:pPr>
          </w:p>
          <w:p w14:paraId="19B97C27" w14:textId="77777777" w:rsidR="00E1678E" w:rsidRPr="00A45C5F" w:rsidRDefault="00E1678E" w:rsidP="00E1678E">
            <w:pPr>
              <w:jc w:val="center"/>
              <w:rPr>
                <w:sz w:val="20"/>
                <w:szCs w:val="20"/>
              </w:rPr>
            </w:pPr>
            <w:r>
              <w:rPr>
                <w:sz w:val="20"/>
                <w:szCs w:val="20"/>
              </w:rPr>
              <w:t>Mensuel</w:t>
            </w:r>
          </w:p>
        </w:tc>
        <w:tc>
          <w:tcPr>
            <w:tcW w:w="3664" w:type="dxa"/>
            <w:shd w:val="clear" w:color="auto" w:fill="5498BA"/>
          </w:tcPr>
          <w:p w14:paraId="7BDC9FCF" w14:textId="77777777" w:rsidR="00E1678E" w:rsidRPr="00A45C5F" w:rsidRDefault="00E1678E" w:rsidP="00E1678E">
            <w:pPr>
              <w:jc w:val="both"/>
              <w:rPr>
                <w:sz w:val="20"/>
                <w:szCs w:val="20"/>
              </w:rPr>
            </w:pPr>
          </w:p>
          <w:p w14:paraId="59EBB884" w14:textId="77777777" w:rsidR="00E1678E" w:rsidRPr="00A45C5F" w:rsidRDefault="00E1678E" w:rsidP="00E1678E">
            <w:pPr>
              <w:jc w:val="both"/>
              <w:rPr>
                <w:sz w:val="20"/>
                <w:szCs w:val="20"/>
              </w:rPr>
            </w:pPr>
            <w:r w:rsidRPr="00A45C5F">
              <w:rPr>
                <w:sz w:val="20"/>
                <w:szCs w:val="20"/>
              </w:rPr>
              <w:t>Fréquence des versements</w:t>
            </w:r>
          </w:p>
        </w:tc>
        <w:tc>
          <w:tcPr>
            <w:tcW w:w="2006" w:type="dxa"/>
            <w:gridSpan w:val="2"/>
            <w:shd w:val="clear" w:color="auto" w:fill="5498BA"/>
          </w:tcPr>
          <w:p w14:paraId="43128495" w14:textId="77777777" w:rsidR="00E1678E" w:rsidRPr="00C116AA" w:rsidRDefault="00E1678E" w:rsidP="00E1678E">
            <w:pPr>
              <w:jc w:val="center"/>
              <w:rPr>
                <w:sz w:val="20"/>
                <w:szCs w:val="20"/>
              </w:rPr>
            </w:pPr>
          </w:p>
          <w:p w14:paraId="38751FCC" w14:textId="77777777" w:rsidR="00E1678E" w:rsidRPr="00C116AA" w:rsidRDefault="00E1678E" w:rsidP="00E1678E">
            <w:pPr>
              <w:jc w:val="center"/>
              <w:rPr>
                <w:sz w:val="20"/>
                <w:szCs w:val="20"/>
              </w:rPr>
            </w:pPr>
            <w:r>
              <w:rPr>
                <w:sz w:val="20"/>
                <w:szCs w:val="20"/>
              </w:rPr>
              <w:t>Immédiatement</w:t>
            </w:r>
          </w:p>
        </w:tc>
        <w:tc>
          <w:tcPr>
            <w:tcW w:w="3260" w:type="dxa"/>
            <w:gridSpan w:val="2"/>
            <w:shd w:val="clear" w:color="auto" w:fill="78BA9B"/>
          </w:tcPr>
          <w:p w14:paraId="00519C85" w14:textId="77777777" w:rsidR="00E1678E" w:rsidRPr="00A45C5F" w:rsidRDefault="00E1678E" w:rsidP="00E1678E">
            <w:pPr>
              <w:rPr>
                <w:sz w:val="20"/>
                <w:szCs w:val="20"/>
              </w:rPr>
            </w:pPr>
          </w:p>
          <w:p w14:paraId="55EE51C3" w14:textId="77777777" w:rsidR="00E1678E" w:rsidRDefault="00E1678E" w:rsidP="00E1678E">
            <w:r w:rsidRPr="00A45C5F">
              <w:rPr>
                <w:sz w:val="20"/>
                <w:szCs w:val="20"/>
              </w:rPr>
              <w:t>Fréquence des versements</w:t>
            </w:r>
          </w:p>
        </w:tc>
        <w:tc>
          <w:tcPr>
            <w:tcW w:w="1276" w:type="dxa"/>
            <w:shd w:val="clear" w:color="auto" w:fill="78BA9B"/>
          </w:tcPr>
          <w:p w14:paraId="32C38F91" w14:textId="77777777" w:rsidR="00E1678E" w:rsidRDefault="00E1678E" w:rsidP="00E1678E">
            <w:pPr>
              <w:jc w:val="center"/>
              <w:rPr>
                <w:sz w:val="20"/>
                <w:szCs w:val="20"/>
              </w:rPr>
            </w:pPr>
          </w:p>
          <w:p w14:paraId="13677ADB" w14:textId="77777777" w:rsidR="00E1678E" w:rsidRPr="00C116AA" w:rsidRDefault="00E1678E" w:rsidP="00E1678E">
            <w:pPr>
              <w:jc w:val="center"/>
              <w:rPr>
                <w:sz w:val="20"/>
                <w:szCs w:val="20"/>
              </w:rPr>
            </w:pPr>
            <w:r>
              <w:rPr>
                <w:sz w:val="20"/>
                <w:szCs w:val="20"/>
              </w:rPr>
              <w:t>Dans 2 ans</w:t>
            </w:r>
          </w:p>
        </w:tc>
      </w:tr>
      <w:tr w:rsidR="00E1678E" w14:paraId="000EAA9C" w14:textId="77777777" w:rsidTr="0076765C">
        <w:tc>
          <w:tcPr>
            <w:tcW w:w="3369" w:type="dxa"/>
            <w:shd w:val="clear" w:color="auto" w:fill="945681"/>
          </w:tcPr>
          <w:p w14:paraId="642A7FFE" w14:textId="77777777" w:rsidR="00E1678E" w:rsidRPr="00A45C5F" w:rsidRDefault="00E1678E" w:rsidP="00E1678E">
            <w:pPr>
              <w:jc w:val="both"/>
              <w:rPr>
                <w:sz w:val="20"/>
                <w:szCs w:val="20"/>
              </w:rPr>
            </w:pPr>
          </w:p>
        </w:tc>
        <w:tc>
          <w:tcPr>
            <w:tcW w:w="1559" w:type="dxa"/>
            <w:shd w:val="clear" w:color="auto" w:fill="945681"/>
          </w:tcPr>
          <w:p w14:paraId="4D7D0EE9" w14:textId="77777777" w:rsidR="00E1678E" w:rsidRPr="00A45C5F" w:rsidRDefault="00E1678E" w:rsidP="00E1678E">
            <w:pPr>
              <w:jc w:val="center"/>
              <w:rPr>
                <w:sz w:val="20"/>
                <w:szCs w:val="20"/>
              </w:rPr>
            </w:pPr>
          </w:p>
        </w:tc>
        <w:tc>
          <w:tcPr>
            <w:tcW w:w="3664" w:type="dxa"/>
            <w:shd w:val="clear" w:color="auto" w:fill="5498BA"/>
          </w:tcPr>
          <w:p w14:paraId="51B1E01A" w14:textId="77777777" w:rsidR="00E1678E" w:rsidRPr="00A45C5F" w:rsidRDefault="00E1678E" w:rsidP="00E1678E">
            <w:pPr>
              <w:jc w:val="both"/>
              <w:rPr>
                <w:sz w:val="20"/>
                <w:szCs w:val="20"/>
              </w:rPr>
            </w:pPr>
          </w:p>
        </w:tc>
        <w:tc>
          <w:tcPr>
            <w:tcW w:w="2006" w:type="dxa"/>
            <w:gridSpan w:val="2"/>
            <w:shd w:val="clear" w:color="auto" w:fill="5498BA"/>
          </w:tcPr>
          <w:p w14:paraId="2FEF2F05" w14:textId="77777777" w:rsidR="00E1678E" w:rsidRPr="00C116AA" w:rsidRDefault="00E1678E" w:rsidP="00E1678E">
            <w:pPr>
              <w:jc w:val="center"/>
              <w:rPr>
                <w:sz w:val="20"/>
                <w:szCs w:val="20"/>
              </w:rPr>
            </w:pPr>
          </w:p>
        </w:tc>
        <w:tc>
          <w:tcPr>
            <w:tcW w:w="3260" w:type="dxa"/>
            <w:gridSpan w:val="2"/>
            <w:shd w:val="clear" w:color="auto" w:fill="78BA9B"/>
          </w:tcPr>
          <w:p w14:paraId="05EBAA09" w14:textId="77777777" w:rsidR="00E1678E" w:rsidRDefault="00E1678E" w:rsidP="00E1678E"/>
        </w:tc>
        <w:tc>
          <w:tcPr>
            <w:tcW w:w="1276" w:type="dxa"/>
            <w:shd w:val="clear" w:color="auto" w:fill="78BA9B"/>
          </w:tcPr>
          <w:p w14:paraId="3CE6DF3B" w14:textId="77777777" w:rsidR="00E1678E" w:rsidRPr="00C116AA" w:rsidRDefault="00E1678E" w:rsidP="00E1678E">
            <w:pPr>
              <w:jc w:val="center"/>
              <w:rPr>
                <w:sz w:val="20"/>
                <w:szCs w:val="20"/>
              </w:rPr>
            </w:pPr>
          </w:p>
        </w:tc>
      </w:tr>
      <w:tr w:rsidR="00E1678E" w14:paraId="213C6B2C" w14:textId="77777777" w:rsidTr="0076765C">
        <w:tc>
          <w:tcPr>
            <w:tcW w:w="3369" w:type="dxa"/>
            <w:shd w:val="clear" w:color="auto" w:fill="945681"/>
          </w:tcPr>
          <w:p w14:paraId="4DB3E3C9" w14:textId="77777777" w:rsidR="00E1678E" w:rsidRPr="00A45C5F" w:rsidRDefault="00E1678E" w:rsidP="00E1678E">
            <w:pPr>
              <w:jc w:val="both"/>
              <w:rPr>
                <w:sz w:val="20"/>
                <w:szCs w:val="20"/>
              </w:rPr>
            </w:pPr>
            <w:r>
              <w:rPr>
                <w:sz w:val="20"/>
                <w:szCs w:val="20"/>
              </w:rPr>
              <w:t>Nombre de versements</w:t>
            </w:r>
          </w:p>
        </w:tc>
        <w:tc>
          <w:tcPr>
            <w:tcW w:w="1559" w:type="dxa"/>
            <w:shd w:val="clear" w:color="auto" w:fill="945681"/>
          </w:tcPr>
          <w:p w14:paraId="093669F2" w14:textId="77777777" w:rsidR="00E1678E" w:rsidRPr="00A45C5F" w:rsidRDefault="00E1678E" w:rsidP="00E1678E">
            <w:pPr>
              <w:jc w:val="center"/>
              <w:rPr>
                <w:sz w:val="20"/>
                <w:szCs w:val="20"/>
              </w:rPr>
            </w:pPr>
            <w:r>
              <w:rPr>
                <w:sz w:val="20"/>
                <w:szCs w:val="20"/>
              </w:rPr>
              <w:t>36</w:t>
            </w:r>
          </w:p>
        </w:tc>
        <w:tc>
          <w:tcPr>
            <w:tcW w:w="3664" w:type="dxa"/>
            <w:shd w:val="clear" w:color="auto" w:fill="5498BA"/>
          </w:tcPr>
          <w:p w14:paraId="078B1474" w14:textId="77777777" w:rsidR="00E1678E" w:rsidRPr="00A45C5F" w:rsidRDefault="00E1678E" w:rsidP="00E1678E">
            <w:pPr>
              <w:jc w:val="both"/>
              <w:rPr>
                <w:sz w:val="20"/>
                <w:szCs w:val="20"/>
              </w:rPr>
            </w:pPr>
            <w:r>
              <w:rPr>
                <w:sz w:val="20"/>
                <w:szCs w:val="20"/>
              </w:rPr>
              <w:t>Nombre de versements</w:t>
            </w:r>
          </w:p>
        </w:tc>
        <w:tc>
          <w:tcPr>
            <w:tcW w:w="2006" w:type="dxa"/>
            <w:gridSpan w:val="2"/>
            <w:shd w:val="clear" w:color="auto" w:fill="5498BA"/>
          </w:tcPr>
          <w:p w14:paraId="7D9C47B4" w14:textId="77777777" w:rsidR="00E1678E" w:rsidRPr="00C116AA" w:rsidRDefault="00E1678E" w:rsidP="00E1678E">
            <w:pPr>
              <w:jc w:val="center"/>
              <w:rPr>
                <w:sz w:val="20"/>
                <w:szCs w:val="20"/>
              </w:rPr>
            </w:pPr>
            <w:r>
              <w:rPr>
                <w:sz w:val="20"/>
                <w:szCs w:val="20"/>
              </w:rPr>
              <w:t>1</w:t>
            </w:r>
          </w:p>
        </w:tc>
        <w:tc>
          <w:tcPr>
            <w:tcW w:w="3260" w:type="dxa"/>
            <w:gridSpan w:val="2"/>
            <w:shd w:val="clear" w:color="auto" w:fill="78BA9B"/>
          </w:tcPr>
          <w:p w14:paraId="6F77D2FA" w14:textId="77777777" w:rsidR="00E1678E" w:rsidRPr="00C116AA" w:rsidRDefault="00E1678E" w:rsidP="00E1678E">
            <w:pPr>
              <w:rPr>
                <w:sz w:val="20"/>
                <w:szCs w:val="20"/>
              </w:rPr>
            </w:pPr>
            <w:r w:rsidRPr="00C116AA">
              <w:rPr>
                <w:sz w:val="20"/>
                <w:szCs w:val="20"/>
              </w:rPr>
              <w:t>Nombre de versements</w:t>
            </w:r>
          </w:p>
        </w:tc>
        <w:tc>
          <w:tcPr>
            <w:tcW w:w="1276" w:type="dxa"/>
            <w:shd w:val="clear" w:color="auto" w:fill="78BA9B"/>
          </w:tcPr>
          <w:p w14:paraId="62E5B422" w14:textId="77777777" w:rsidR="00E1678E" w:rsidRPr="00C116AA" w:rsidRDefault="00E1678E" w:rsidP="00E1678E">
            <w:pPr>
              <w:jc w:val="center"/>
              <w:rPr>
                <w:sz w:val="20"/>
                <w:szCs w:val="20"/>
              </w:rPr>
            </w:pPr>
            <w:r>
              <w:rPr>
                <w:sz w:val="20"/>
                <w:szCs w:val="20"/>
              </w:rPr>
              <w:t>1</w:t>
            </w:r>
          </w:p>
        </w:tc>
      </w:tr>
      <w:tr w:rsidR="00E1678E" w14:paraId="3D2180E5" w14:textId="77777777" w:rsidTr="0076765C">
        <w:tc>
          <w:tcPr>
            <w:tcW w:w="3369" w:type="dxa"/>
            <w:shd w:val="clear" w:color="auto" w:fill="945681"/>
          </w:tcPr>
          <w:p w14:paraId="25E84343" w14:textId="77777777" w:rsidR="00E1678E" w:rsidRPr="00A45C5F" w:rsidRDefault="00E1678E" w:rsidP="00E1678E">
            <w:pPr>
              <w:jc w:val="both"/>
              <w:rPr>
                <w:sz w:val="20"/>
                <w:szCs w:val="20"/>
              </w:rPr>
            </w:pPr>
          </w:p>
        </w:tc>
        <w:tc>
          <w:tcPr>
            <w:tcW w:w="1559" w:type="dxa"/>
            <w:shd w:val="clear" w:color="auto" w:fill="945681"/>
          </w:tcPr>
          <w:p w14:paraId="5A6937BB" w14:textId="77777777" w:rsidR="00E1678E" w:rsidRPr="00A45C5F" w:rsidRDefault="00E1678E" w:rsidP="00E1678E">
            <w:pPr>
              <w:jc w:val="center"/>
              <w:rPr>
                <w:sz w:val="20"/>
                <w:szCs w:val="20"/>
              </w:rPr>
            </w:pPr>
          </w:p>
        </w:tc>
        <w:tc>
          <w:tcPr>
            <w:tcW w:w="3664" w:type="dxa"/>
            <w:shd w:val="clear" w:color="auto" w:fill="5498BA"/>
          </w:tcPr>
          <w:p w14:paraId="118BEB56" w14:textId="77777777" w:rsidR="00E1678E" w:rsidRPr="00A45C5F" w:rsidRDefault="00E1678E" w:rsidP="00E1678E">
            <w:pPr>
              <w:jc w:val="both"/>
              <w:rPr>
                <w:sz w:val="20"/>
                <w:szCs w:val="20"/>
              </w:rPr>
            </w:pPr>
          </w:p>
        </w:tc>
        <w:tc>
          <w:tcPr>
            <w:tcW w:w="2006" w:type="dxa"/>
            <w:gridSpan w:val="2"/>
            <w:shd w:val="clear" w:color="auto" w:fill="5498BA"/>
          </w:tcPr>
          <w:p w14:paraId="3FCFF305" w14:textId="77777777" w:rsidR="00E1678E" w:rsidRPr="00C116AA" w:rsidRDefault="00E1678E" w:rsidP="00E1678E">
            <w:pPr>
              <w:jc w:val="center"/>
              <w:rPr>
                <w:sz w:val="20"/>
                <w:szCs w:val="20"/>
              </w:rPr>
            </w:pPr>
          </w:p>
        </w:tc>
        <w:tc>
          <w:tcPr>
            <w:tcW w:w="3260" w:type="dxa"/>
            <w:gridSpan w:val="2"/>
            <w:shd w:val="clear" w:color="auto" w:fill="78BA9B"/>
          </w:tcPr>
          <w:p w14:paraId="27AAEA2C" w14:textId="77777777" w:rsidR="00E1678E" w:rsidRDefault="00E1678E" w:rsidP="00E1678E"/>
        </w:tc>
        <w:tc>
          <w:tcPr>
            <w:tcW w:w="1276" w:type="dxa"/>
            <w:shd w:val="clear" w:color="auto" w:fill="78BA9B"/>
          </w:tcPr>
          <w:p w14:paraId="62E66E47" w14:textId="77777777" w:rsidR="00E1678E" w:rsidRPr="00C116AA" w:rsidRDefault="00E1678E" w:rsidP="00E1678E">
            <w:pPr>
              <w:jc w:val="center"/>
              <w:rPr>
                <w:sz w:val="20"/>
                <w:szCs w:val="20"/>
              </w:rPr>
            </w:pPr>
          </w:p>
        </w:tc>
      </w:tr>
      <w:tr w:rsidR="00E1678E" w14:paraId="59343715" w14:textId="77777777" w:rsidTr="0076765C">
        <w:tc>
          <w:tcPr>
            <w:tcW w:w="3369" w:type="dxa"/>
            <w:shd w:val="clear" w:color="auto" w:fill="945681"/>
          </w:tcPr>
          <w:p w14:paraId="495AA8A2" w14:textId="77777777" w:rsidR="00E1678E" w:rsidRPr="00A45C5F" w:rsidRDefault="00E1678E" w:rsidP="00E1678E">
            <w:pPr>
              <w:jc w:val="both"/>
              <w:rPr>
                <w:sz w:val="20"/>
                <w:szCs w:val="20"/>
              </w:rPr>
            </w:pPr>
            <w:r w:rsidRPr="00A45C5F">
              <w:rPr>
                <w:sz w:val="20"/>
                <w:szCs w:val="20"/>
              </w:rPr>
              <w:t>Déboursés en intérêts implicites</w:t>
            </w:r>
          </w:p>
        </w:tc>
        <w:tc>
          <w:tcPr>
            <w:tcW w:w="1559" w:type="dxa"/>
            <w:shd w:val="clear" w:color="auto" w:fill="945681"/>
          </w:tcPr>
          <w:p w14:paraId="360427B8" w14:textId="77777777" w:rsidR="00E1678E" w:rsidRPr="00A45C5F" w:rsidRDefault="00E1678E" w:rsidP="00E1678E">
            <w:pPr>
              <w:jc w:val="center"/>
              <w:rPr>
                <w:sz w:val="20"/>
                <w:szCs w:val="20"/>
              </w:rPr>
            </w:pPr>
            <w:r>
              <w:rPr>
                <w:sz w:val="20"/>
                <w:szCs w:val="20"/>
              </w:rPr>
              <w:t>664,24 $</w:t>
            </w:r>
            <w:r>
              <w:rPr>
                <w:color w:val="FFFFFF" w:themeColor="background1"/>
                <w:vertAlign w:val="superscript"/>
              </w:rPr>
              <w:t>2</w:t>
            </w:r>
          </w:p>
        </w:tc>
        <w:tc>
          <w:tcPr>
            <w:tcW w:w="3664" w:type="dxa"/>
            <w:shd w:val="clear" w:color="auto" w:fill="5498BA"/>
          </w:tcPr>
          <w:p w14:paraId="587481A7" w14:textId="77777777" w:rsidR="00E1678E" w:rsidRPr="00A45C5F" w:rsidRDefault="00E1678E" w:rsidP="00E1678E">
            <w:pPr>
              <w:jc w:val="both"/>
              <w:rPr>
                <w:sz w:val="20"/>
                <w:szCs w:val="20"/>
              </w:rPr>
            </w:pPr>
            <w:r w:rsidRPr="00A45C5F">
              <w:rPr>
                <w:sz w:val="20"/>
                <w:szCs w:val="20"/>
              </w:rPr>
              <w:t>Déboursés en intérêts implicites</w:t>
            </w:r>
          </w:p>
        </w:tc>
        <w:tc>
          <w:tcPr>
            <w:tcW w:w="2006" w:type="dxa"/>
            <w:gridSpan w:val="2"/>
            <w:shd w:val="clear" w:color="auto" w:fill="5498BA"/>
          </w:tcPr>
          <w:p w14:paraId="089ECC46" w14:textId="77777777" w:rsidR="00E1678E" w:rsidRPr="00C116AA" w:rsidRDefault="00E1678E" w:rsidP="00E1678E">
            <w:pPr>
              <w:jc w:val="center"/>
              <w:rPr>
                <w:sz w:val="20"/>
                <w:szCs w:val="20"/>
              </w:rPr>
            </w:pPr>
            <w:r>
              <w:rPr>
                <w:sz w:val="20"/>
                <w:szCs w:val="20"/>
              </w:rPr>
              <w:t>Aucun</w:t>
            </w:r>
          </w:p>
        </w:tc>
        <w:tc>
          <w:tcPr>
            <w:tcW w:w="3260" w:type="dxa"/>
            <w:gridSpan w:val="2"/>
            <w:shd w:val="clear" w:color="auto" w:fill="78BA9B"/>
          </w:tcPr>
          <w:p w14:paraId="4F0F3C6C" w14:textId="77777777" w:rsidR="00E1678E" w:rsidRDefault="00E1678E" w:rsidP="00E1678E">
            <w:r w:rsidRPr="00A45C5F">
              <w:rPr>
                <w:sz w:val="20"/>
                <w:szCs w:val="20"/>
              </w:rPr>
              <w:t>Déboursés en intérêts implicites</w:t>
            </w:r>
          </w:p>
        </w:tc>
        <w:tc>
          <w:tcPr>
            <w:tcW w:w="1276" w:type="dxa"/>
            <w:shd w:val="clear" w:color="auto" w:fill="78BA9B"/>
          </w:tcPr>
          <w:p w14:paraId="168DCE68" w14:textId="77777777" w:rsidR="00E1678E" w:rsidRPr="00C116AA" w:rsidRDefault="00E1678E" w:rsidP="00E1678E">
            <w:pPr>
              <w:jc w:val="center"/>
              <w:rPr>
                <w:sz w:val="20"/>
                <w:szCs w:val="20"/>
              </w:rPr>
            </w:pPr>
            <w:r>
              <w:rPr>
                <w:sz w:val="20"/>
                <w:szCs w:val="20"/>
              </w:rPr>
              <w:t>666,24 $</w:t>
            </w:r>
            <w:r>
              <w:rPr>
                <w:color w:val="FFFFFF" w:themeColor="background1"/>
                <w:vertAlign w:val="superscript"/>
              </w:rPr>
              <w:t>2</w:t>
            </w:r>
          </w:p>
        </w:tc>
      </w:tr>
      <w:tr w:rsidR="00E1678E" w14:paraId="37ED89C6" w14:textId="77777777" w:rsidTr="0076765C">
        <w:tc>
          <w:tcPr>
            <w:tcW w:w="3369" w:type="dxa"/>
            <w:shd w:val="clear" w:color="auto" w:fill="945681"/>
          </w:tcPr>
          <w:p w14:paraId="43320F86" w14:textId="77777777" w:rsidR="00E1678E" w:rsidRPr="00A45C5F" w:rsidRDefault="00E1678E" w:rsidP="00E1678E">
            <w:pPr>
              <w:jc w:val="both"/>
              <w:rPr>
                <w:sz w:val="20"/>
                <w:szCs w:val="20"/>
              </w:rPr>
            </w:pPr>
          </w:p>
        </w:tc>
        <w:tc>
          <w:tcPr>
            <w:tcW w:w="1559" w:type="dxa"/>
            <w:shd w:val="clear" w:color="auto" w:fill="945681"/>
          </w:tcPr>
          <w:p w14:paraId="728A5AEC" w14:textId="77777777" w:rsidR="00E1678E" w:rsidRPr="00A45C5F" w:rsidRDefault="00E1678E" w:rsidP="00E1678E">
            <w:pPr>
              <w:jc w:val="center"/>
              <w:rPr>
                <w:sz w:val="20"/>
                <w:szCs w:val="20"/>
              </w:rPr>
            </w:pPr>
          </w:p>
        </w:tc>
        <w:tc>
          <w:tcPr>
            <w:tcW w:w="3664" w:type="dxa"/>
            <w:shd w:val="clear" w:color="auto" w:fill="5498BA"/>
          </w:tcPr>
          <w:p w14:paraId="40CF085F" w14:textId="77777777" w:rsidR="00E1678E" w:rsidRPr="00A45C5F" w:rsidRDefault="00E1678E" w:rsidP="00E1678E">
            <w:pPr>
              <w:jc w:val="both"/>
              <w:rPr>
                <w:sz w:val="20"/>
                <w:szCs w:val="20"/>
              </w:rPr>
            </w:pPr>
          </w:p>
        </w:tc>
        <w:tc>
          <w:tcPr>
            <w:tcW w:w="2006" w:type="dxa"/>
            <w:gridSpan w:val="2"/>
            <w:shd w:val="clear" w:color="auto" w:fill="5498BA"/>
          </w:tcPr>
          <w:p w14:paraId="6180E912" w14:textId="77777777" w:rsidR="00E1678E" w:rsidRPr="00C116AA" w:rsidRDefault="00E1678E" w:rsidP="00E1678E">
            <w:pPr>
              <w:jc w:val="center"/>
              <w:rPr>
                <w:sz w:val="20"/>
                <w:szCs w:val="20"/>
              </w:rPr>
            </w:pPr>
          </w:p>
        </w:tc>
        <w:tc>
          <w:tcPr>
            <w:tcW w:w="3260" w:type="dxa"/>
            <w:gridSpan w:val="2"/>
            <w:shd w:val="clear" w:color="auto" w:fill="78BA9B"/>
          </w:tcPr>
          <w:p w14:paraId="297A3919" w14:textId="77777777" w:rsidR="00E1678E" w:rsidRDefault="00E1678E" w:rsidP="00E1678E"/>
        </w:tc>
        <w:tc>
          <w:tcPr>
            <w:tcW w:w="1276" w:type="dxa"/>
            <w:shd w:val="clear" w:color="auto" w:fill="78BA9B"/>
          </w:tcPr>
          <w:p w14:paraId="50ED3A97" w14:textId="77777777" w:rsidR="00E1678E" w:rsidRPr="00C116AA" w:rsidRDefault="00E1678E" w:rsidP="00E1678E">
            <w:pPr>
              <w:jc w:val="center"/>
              <w:rPr>
                <w:sz w:val="20"/>
                <w:szCs w:val="20"/>
              </w:rPr>
            </w:pPr>
          </w:p>
        </w:tc>
      </w:tr>
      <w:tr w:rsidR="00E1678E" w14:paraId="2A772DE1" w14:textId="77777777" w:rsidTr="0076765C">
        <w:tc>
          <w:tcPr>
            <w:tcW w:w="3369" w:type="dxa"/>
            <w:shd w:val="clear" w:color="auto" w:fill="945681"/>
          </w:tcPr>
          <w:p w14:paraId="2ECB3F62" w14:textId="77777777" w:rsidR="00E1678E" w:rsidRPr="00A45C5F" w:rsidRDefault="00E1678E" w:rsidP="00E1678E">
            <w:pPr>
              <w:jc w:val="both"/>
              <w:rPr>
                <w:sz w:val="20"/>
                <w:szCs w:val="20"/>
              </w:rPr>
            </w:pPr>
            <w:r w:rsidRPr="00A45C5F">
              <w:rPr>
                <w:sz w:val="20"/>
                <w:szCs w:val="20"/>
              </w:rPr>
              <w:t>Taux d’intérêt implicite</w:t>
            </w:r>
          </w:p>
        </w:tc>
        <w:tc>
          <w:tcPr>
            <w:tcW w:w="1559" w:type="dxa"/>
            <w:shd w:val="clear" w:color="auto" w:fill="945681"/>
          </w:tcPr>
          <w:p w14:paraId="464B4CE5" w14:textId="77777777" w:rsidR="00E1678E" w:rsidRPr="00A45C5F" w:rsidRDefault="00E1678E" w:rsidP="00E1678E">
            <w:pPr>
              <w:jc w:val="center"/>
              <w:rPr>
                <w:sz w:val="20"/>
                <w:szCs w:val="20"/>
              </w:rPr>
            </w:pPr>
            <w:r>
              <w:rPr>
                <w:sz w:val="20"/>
                <w:szCs w:val="20"/>
              </w:rPr>
              <w:t>9,86 %</w:t>
            </w:r>
            <w:r>
              <w:rPr>
                <w:color w:val="FFFFFF" w:themeColor="background1"/>
                <w:vertAlign w:val="superscript"/>
              </w:rPr>
              <w:t>3</w:t>
            </w:r>
          </w:p>
        </w:tc>
        <w:tc>
          <w:tcPr>
            <w:tcW w:w="3664" w:type="dxa"/>
            <w:shd w:val="clear" w:color="auto" w:fill="5498BA"/>
          </w:tcPr>
          <w:p w14:paraId="51D1D32B" w14:textId="77777777" w:rsidR="00E1678E" w:rsidRPr="00A45C5F" w:rsidRDefault="00E1678E" w:rsidP="00E1678E">
            <w:pPr>
              <w:jc w:val="both"/>
              <w:rPr>
                <w:sz w:val="20"/>
                <w:szCs w:val="20"/>
              </w:rPr>
            </w:pPr>
            <w:r w:rsidRPr="00A45C5F">
              <w:rPr>
                <w:sz w:val="20"/>
                <w:szCs w:val="20"/>
              </w:rPr>
              <w:t>Taux d’intérêt implicite</w:t>
            </w:r>
          </w:p>
        </w:tc>
        <w:tc>
          <w:tcPr>
            <w:tcW w:w="2006" w:type="dxa"/>
            <w:gridSpan w:val="2"/>
            <w:shd w:val="clear" w:color="auto" w:fill="5498BA"/>
          </w:tcPr>
          <w:p w14:paraId="799EFAA0" w14:textId="77777777" w:rsidR="00E1678E" w:rsidRPr="00C116AA" w:rsidRDefault="00E1678E" w:rsidP="00E1678E">
            <w:pPr>
              <w:jc w:val="center"/>
              <w:rPr>
                <w:sz w:val="20"/>
                <w:szCs w:val="20"/>
              </w:rPr>
            </w:pPr>
            <w:r>
              <w:rPr>
                <w:sz w:val="20"/>
                <w:szCs w:val="20"/>
              </w:rPr>
              <w:t>0 %</w:t>
            </w:r>
            <w:r>
              <w:rPr>
                <w:color w:val="FFFFFF" w:themeColor="background1"/>
                <w:vertAlign w:val="superscript"/>
              </w:rPr>
              <w:t>4</w:t>
            </w:r>
          </w:p>
        </w:tc>
        <w:tc>
          <w:tcPr>
            <w:tcW w:w="3260" w:type="dxa"/>
            <w:gridSpan w:val="2"/>
            <w:shd w:val="clear" w:color="auto" w:fill="78BA9B"/>
          </w:tcPr>
          <w:p w14:paraId="6301BC71" w14:textId="77777777" w:rsidR="00E1678E" w:rsidRDefault="00E1678E" w:rsidP="00E1678E">
            <w:r w:rsidRPr="00A45C5F">
              <w:rPr>
                <w:sz w:val="20"/>
                <w:szCs w:val="20"/>
              </w:rPr>
              <w:t>Taux d’intérêt implicite</w:t>
            </w:r>
          </w:p>
        </w:tc>
        <w:tc>
          <w:tcPr>
            <w:tcW w:w="1276" w:type="dxa"/>
            <w:shd w:val="clear" w:color="auto" w:fill="78BA9B"/>
          </w:tcPr>
          <w:p w14:paraId="54A71FAE" w14:textId="77777777" w:rsidR="00E1678E" w:rsidRPr="00C116AA" w:rsidRDefault="00E1678E" w:rsidP="00E1678E">
            <w:pPr>
              <w:jc w:val="center"/>
              <w:rPr>
                <w:sz w:val="20"/>
                <w:szCs w:val="20"/>
              </w:rPr>
            </w:pPr>
            <w:r>
              <w:rPr>
                <w:sz w:val="20"/>
                <w:szCs w:val="20"/>
              </w:rPr>
              <w:t>7,23 %</w:t>
            </w:r>
            <w:r>
              <w:rPr>
                <w:color w:val="FFFFFF" w:themeColor="background1"/>
                <w:vertAlign w:val="superscript"/>
              </w:rPr>
              <w:t>5</w:t>
            </w:r>
          </w:p>
        </w:tc>
      </w:tr>
    </w:tbl>
    <w:p w14:paraId="481D3DB2" w14:textId="77777777" w:rsidR="00531AD1" w:rsidRDefault="00531AD1"/>
    <w:p w14:paraId="24D4AE88" w14:textId="2F9ABD9D" w:rsidR="00531AD1" w:rsidRDefault="00E1678E">
      <w:r>
        <w:t>(1)</w:t>
      </w:r>
      <w:r w:rsidR="00FA2CC0">
        <w:t xml:space="preserve"> </w:t>
      </w:r>
      <w:r w:rsidR="00E142E6">
        <w:tab/>
      </w:r>
      <w:r w:rsidR="00FA2CC0">
        <w:t>4 449 $ * 1,14975 = 5 115,24 $ (Pour tenir compte des taxes à la consommation TPS/TVQ)</w:t>
      </w:r>
      <w:r w:rsidR="00A15FD8">
        <w:t>.</w:t>
      </w:r>
    </w:p>
    <w:p w14:paraId="489BE140" w14:textId="77777777" w:rsidR="00E1678E" w:rsidRDefault="00E1678E"/>
    <w:p w14:paraId="561758E0" w14:textId="77777777" w:rsidR="0075418B" w:rsidRDefault="0075418B"/>
    <w:p w14:paraId="3FDF5E9C" w14:textId="3B586221" w:rsidR="00E1678E" w:rsidRDefault="00E1678E" w:rsidP="00A15FD8">
      <w:pPr>
        <w:jc w:val="both"/>
      </w:pPr>
      <w:r>
        <w:t>(2)</w:t>
      </w:r>
      <w:r w:rsidR="00E142E6">
        <w:tab/>
      </w:r>
      <w:r w:rsidR="00A15FD8">
        <w:t xml:space="preserve"> Le véritable coût du produit est 4 449 $ puisque ce déboursé comptant permet l'acquisition des biens. </w:t>
      </w:r>
      <w:r w:rsidR="00E142E6">
        <w:tab/>
      </w:r>
      <w:r w:rsidR="00A15FD8">
        <w:t xml:space="preserve">Donc </w:t>
      </w:r>
      <w:r w:rsidR="00E142E6">
        <w:tab/>
      </w:r>
      <w:r w:rsidR="00A15FD8">
        <w:t xml:space="preserve">la différence entre 5 115,24 $ (déboursés échelonnés dans le temps) et 4 449 $ (déboursé </w:t>
      </w:r>
      <w:r w:rsidR="00E142E6">
        <w:tab/>
      </w:r>
      <w:r w:rsidR="00A15FD8">
        <w:t xml:space="preserve">comptant), </w:t>
      </w:r>
      <w:r w:rsidR="00E142E6">
        <w:tab/>
      </w:r>
      <w:r w:rsidR="00A15FD8">
        <w:t xml:space="preserve">n'est rien d'autre que la facturation de l'usage de l'argent dans le temps; les intérêts implicites </w:t>
      </w:r>
      <w:r w:rsidR="00E142E6">
        <w:tab/>
      </w:r>
      <w:r w:rsidR="00A15FD8">
        <w:t>(puisqu'ils sont cachés, il est annoncé qu'il n'y a pas d'intérêts). 5 115,24 $ - 4 449 $ = 666,24 $</w:t>
      </w:r>
    </w:p>
    <w:p w14:paraId="773D68C0" w14:textId="77777777" w:rsidR="00E1678E" w:rsidRDefault="00E1678E"/>
    <w:p w14:paraId="33F67F82" w14:textId="77777777" w:rsidR="0075418B" w:rsidRDefault="0075418B"/>
    <w:p w14:paraId="12867034" w14:textId="77777777" w:rsidR="0075418B" w:rsidRDefault="0075418B"/>
    <w:p w14:paraId="4A8B236D" w14:textId="77777777" w:rsidR="0075418B" w:rsidRDefault="0075418B"/>
    <w:p w14:paraId="56DAF0B3" w14:textId="77777777" w:rsidR="0075418B" w:rsidRDefault="0075418B"/>
    <w:p w14:paraId="38448AB4" w14:textId="5E68FA70" w:rsidR="00E1678E" w:rsidRDefault="00E1678E">
      <w:r>
        <w:lastRenderedPageBreak/>
        <w:t>(3)</w:t>
      </w:r>
      <w:r w:rsidR="00A15FD8">
        <w:t xml:space="preserve"> </w:t>
      </w:r>
      <w:r w:rsidR="00E142E6">
        <w:tab/>
      </w:r>
      <w:r w:rsidR="00A15FD8">
        <w:t xml:space="preserve">Le calcul du taux d'intérêt implicite s'effectue par l'usage des mathématiques financières. </w:t>
      </w:r>
    </w:p>
    <w:p w14:paraId="0BE21CBA" w14:textId="77777777" w:rsidR="0075418B" w:rsidRDefault="00A15FD8">
      <w:r>
        <w:tab/>
      </w:r>
    </w:p>
    <w:p w14:paraId="2386DBC6" w14:textId="2492EF63" w:rsidR="00A15FD8" w:rsidRDefault="0075418B">
      <w:r>
        <w:tab/>
      </w:r>
      <w:r w:rsidR="00A15FD8">
        <w:t>Paiements = 142,09 $ (5 115,24 $/36)</w:t>
      </w:r>
    </w:p>
    <w:p w14:paraId="1D42DC6C" w14:textId="7149E3BE" w:rsidR="00A15FD8" w:rsidRDefault="00A15FD8">
      <w:r>
        <w:tab/>
        <w:t>N = 36</w:t>
      </w:r>
    </w:p>
    <w:p w14:paraId="11CDD1A4" w14:textId="3AB2E24A" w:rsidR="00A15FD8" w:rsidRDefault="00A15FD8">
      <w:r>
        <w:tab/>
        <w:t>Valeur actuelle = 4 449 $ (c'est le vrai coût, le capital emprunté)</w:t>
      </w:r>
    </w:p>
    <w:p w14:paraId="2850F6A5" w14:textId="77777777" w:rsidR="0075418B" w:rsidRDefault="0075418B"/>
    <w:p w14:paraId="58B95E58" w14:textId="77777777" w:rsidR="0075418B" w:rsidRDefault="0075418B"/>
    <w:p w14:paraId="4C0941FD" w14:textId="6D9AA007" w:rsidR="00E1678E" w:rsidRDefault="00E1678E" w:rsidP="00E70A4D">
      <w:pPr>
        <w:jc w:val="both"/>
      </w:pPr>
      <w:r>
        <w:t>(4)</w:t>
      </w:r>
      <w:r w:rsidR="000D6598">
        <w:t xml:space="preserve"> </w:t>
      </w:r>
      <w:r w:rsidR="00E142E6">
        <w:tab/>
      </w:r>
      <w:r w:rsidR="000D6598">
        <w:t xml:space="preserve">Le taux d'intérêt est nul si le consommateur possède à sa disposition 4 449 $. Dans le cas contraire, il doit </w:t>
      </w:r>
      <w:r w:rsidR="00E142E6">
        <w:tab/>
      </w:r>
      <w:r w:rsidR="000D6598">
        <w:t>utiliser sa marge de crédit hypothécaire</w:t>
      </w:r>
      <w:r w:rsidR="00E70A4D">
        <w:t xml:space="preserve"> (présentement entre 3 % et 4 %) pour effectuer le paiement. Par </w:t>
      </w:r>
      <w:r w:rsidR="00E142E6">
        <w:tab/>
      </w:r>
      <w:r w:rsidR="00E70A4D">
        <w:t xml:space="preserve">la suite, il doit établir et respecter un mode remboursement approprié de sa marge de crédit. Par </w:t>
      </w:r>
      <w:r w:rsidR="00E142E6">
        <w:tab/>
      </w:r>
      <w:r w:rsidR="00E70A4D">
        <w:t xml:space="preserve">exemple, les versements mensuels seront de 191,64 $ (si le remboursement s'effectue sur 24 mois et que la </w:t>
      </w:r>
      <w:r w:rsidR="00E142E6">
        <w:tab/>
      </w:r>
      <w:r w:rsidR="00E70A4D">
        <w:t xml:space="preserve">marge de crédit porte un intérêt de 3,5 %). </w:t>
      </w:r>
    </w:p>
    <w:p w14:paraId="1A357608" w14:textId="77777777" w:rsidR="00E1678E" w:rsidRDefault="00E1678E"/>
    <w:p w14:paraId="5A652F0F" w14:textId="77777777" w:rsidR="0075418B" w:rsidRDefault="0075418B"/>
    <w:p w14:paraId="2FE004FC" w14:textId="5614AF81" w:rsidR="006C2A2A" w:rsidRDefault="00E1678E" w:rsidP="006C2A2A">
      <w:r>
        <w:t>(5)</w:t>
      </w:r>
      <w:r w:rsidR="00E142E6">
        <w:tab/>
      </w:r>
      <w:r w:rsidR="006C2A2A" w:rsidRPr="006C2A2A">
        <w:t xml:space="preserve"> </w:t>
      </w:r>
      <w:r w:rsidR="006C2A2A">
        <w:t xml:space="preserve">Le calcul du taux d'intérêt implicite s'effectue par l'usage des mathématiques financières. </w:t>
      </w:r>
    </w:p>
    <w:p w14:paraId="2BB2E5EC" w14:textId="77777777" w:rsidR="0075418B" w:rsidRDefault="006C2A2A" w:rsidP="006C2A2A">
      <w:r>
        <w:tab/>
      </w:r>
    </w:p>
    <w:p w14:paraId="09816C74" w14:textId="5F243A6C" w:rsidR="006C2A2A" w:rsidRDefault="0075418B" w:rsidP="006C2A2A">
      <w:r>
        <w:tab/>
      </w:r>
      <w:r w:rsidR="006C2A2A">
        <w:t>Valeur actuelle = 4 449 $</w:t>
      </w:r>
    </w:p>
    <w:p w14:paraId="733F902E" w14:textId="452A421B" w:rsidR="006C2A2A" w:rsidRDefault="006C2A2A" w:rsidP="006C2A2A">
      <w:r>
        <w:tab/>
        <w:t>N = 2</w:t>
      </w:r>
    </w:p>
    <w:p w14:paraId="688B2FE4" w14:textId="3F76B055" w:rsidR="006C2A2A" w:rsidRDefault="006C2A2A" w:rsidP="006C2A2A">
      <w:r>
        <w:tab/>
        <w:t xml:space="preserve">Valeur future = 5 115,24 $ </w:t>
      </w:r>
    </w:p>
    <w:p w14:paraId="76CB2B29" w14:textId="77777777" w:rsidR="0075418B" w:rsidRDefault="0075418B" w:rsidP="006C2A2A"/>
    <w:p w14:paraId="3858D26E" w14:textId="7FCB0CD2" w:rsidR="007603F9" w:rsidRDefault="007603F9" w:rsidP="00622048">
      <w:pPr>
        <w:jc w:val="both"/>
      </w:pPr>
      <w:r>
        <w:t xml:space="preserve">Les promotions sans intérêts n'existent tout simplement pas et vous devez </w:t>
      </w:r>
      <w:r w:rsidR="006A708E">
        <w:t>être en mesure d'</w:t>
      </w:r>
      <w:r>
        <w:t>évaluer les options</w:t>
      </w:r>
      <w:r w:rsidR="000107C3">
        <w:t xml:space="preserve"> offertes afin de </w:t>
      </w:r>
      <w:r>
        <w:t>saisir celle dont le coût de financement est le plus faible</w:t>
      </w:r>
      <w:r w:rsidR="006A708E">
        <w:t>,</w:t>
      </w:r>
      <w:r>
        <w:t xml:space="preserve"> selon votre situation.</w:t>
      </w:r>
      <w:r w:rsidR="006A708E">
        <w:t xml:space="preserve"> Seriez-vous en mesure d'évaluer une offre dont la promotion consisterait à </w:t>
      </w:r>
      <w:r w:rsidR="000107C3">
        <w:t>un congé</w:t>
      </w:r>
      <w:r w:rsidR="00D8378E">
        <w:t>, offert par le concessionnaire, à l'égard des</w:t>
      </w:r>
      <w:r w:rsidR="006A708E">
        <w:t xml:space="preserve"> quatre premiers paiements requis par l'achat de votre nouvelle voiture </w:t>
      </w:r>
      <w:r w:rsidR="006A708E" w:rsidRPr="006A708E">
        <w:rPr>
          <w:rFonts w:ascii="Avenir Book" w:hAnsi="Avenir Book"/>
        </w:rPr>
        <w:t>?</w:t>
      </w:r>
      <w:r w:rsidR="006A708E">
        <w:t xml:space="preserve"> </w:t>
      </w:r>
    </w:p>
    <w:p w14:paraId="76E0368E" w14:textId="77777777" w:rsidR="006A708E" w:rsidRDefault="006A708E"/>
    <w:p w14:paraId="729DCDFD" w14:textId="77777777" w:rsidR="00E142E6" w:rsidRDefault="00E142E6"/>
    <w:p w14:paraId="30B1F42E" w14:textId="77777777" w:rsidR="00B61A7C" w:rsidRDefault="00B61A7C"/>
    <w:p w14:paraId="6F2C8D3E" w14:textId="77777777" w:rsidR="0076765C" w:rsidRDefault="0076765C"/>
    <w:p w14:paraId="2AF452DB" w14:textId="77777777" w:rsidR="00E142E6" w:rsidRDefault="00E142E6"/>
    <w:p w14:paraId="7A1B5D6B" w14:textId="77777777" w:rsidR="00E142E6" w:rsidRDefault="00E142E6"/>
    <w:p w14:paraId="06DBC51D" w14:textId="77777777" w:rsidR="00E142E6" w:rsidRDefault="00E142E6"/>
    <w:p w14:paraId="673BDC6E" w14:textId="64C7703B" w:rsidR="00DA2736" w:rsidRPr="004739DC" w:rsidRDefault="00851B45" w:rsidP="006C34CF">
      <w:pPr>
        <w:pStyle w:val="Paragraphedeliste"/>
        <w:numPr>
          <w:ilvl w:val="0"/>
          <w:numId w:val="111"/>
        </w:numPr>
        <w:rPr>
          <w:color w:val="FF6700" w:themeColor="accent3"/>
        </w:rPr>
      </w:pPr>
      <w:r>
        <w:rPr>
          <w:color w:val="FF6700" w:themeColor="accent3"/>
        </w:rPr>
        <w:lastRenderedPageBreak/>
        <w:t>C</w:t>
      </w:r>
      <w:r w:rsidR="004739DC" w:rsidRPr="004739DC">
        <w:rPr>
          <w:color w:val="FF6700" w:themeColor="accent3"/>
        </w:rPr>
        <w:t xml:space="preserve">onseils pour obtenir </w:t>
      </w:r>
      <w:r w:rsidR="001D6036">
        <w:rPr>
          <w:color w:val="FF6700" w:themeColor="accent3"/>
        </w:rPr>
        <w:t>de</w:t>
      </w:r>
      <w:r w:rsidR="004739DC" w:rsidRPr="004739DC">
        <w:rPr>
          <w:color w:val="FF6700" w:themeColor="accent3"/>
        </w:rPr>
        <w:t xml:space="preserve"> meilleures conditions d'emprunts</w:t>
      </w:r>
    </w:p>
    <w:p w14:paraId="45A46017" w14:textId="77777777" w:rsidR="004739DC" w:rsidRDefault="004739DC" w:rsidP="002F4BC2"/>
    <w:p w14:paraId="6BDF7A62" w14:textId="080EEF86" w:rsidR="000B6201" w:rsidRDefault="000B6201" w:rsidP="00EB61B1">
      <w:pPr>
        <w:jc w:val="both"/>
      </w:pPr>
      <w:r>
        <w:t>La notion de meilleures conditions d'emprunts possibles</w:t>
      </w:r>
      <w:r w:rsidR="00EB61B1">
        <w:t xml:space="preserve"> peut être interprété</w:t>
      </w:r>
      <w:r w:rsidR="00756B84">
        <w:t>e</w:t>
      </w:r>
      <w:r w:rsidR="00EB61B1">
        <w:t xml:space="preserve"> comme un ensemble de conditions qui rend le coût du crédit le </w:t>
      </w:r>
      <w:r w:rsidR="00756B84">
        <w:t xml:space="preserve">plus </w:t>
      </w:r>
      <w:r w:rsidR="00EB61B1">
        <w:t>faible possible et qui permet, à la fois, l'acquittement de la dette sans étouffer le débiteur, tout en proposant des</w:t>
      </w:r>
      <w:r w:rsidR="00F455B9">
        <w:t xml:space="preserve"> modalités de</w:t>
      </w:r>
      <w:r w:rsidR="00EB61B1">
        <w:t xml:space="preserve"> remboursements qui favorisent une saine gestion du crédit (le plus éloigné possible du Plus Petit Paiement Possible).</w:t>
      </w:r>
      <w:r w:rsidR="00F455B9">
        <w:t xml:space="preserve"> Ceci étant dit, ayant abondamment discuté des pièges comportementaux, nous axerons nos conseils sur la réduction des coûts en intérêts, en privilégiant le débiteur discipliné qui n'a aucun problème à rembourser </w:t>
      </w:r>
      <w:r w:rsidR="009E6B36">
        <w:t>s</w:t>
      </w:r>
      <w:r w:rsidR="00F455B9">
        <w:t>es dettes.</w:t>
      </w:r>
    </w:p>
    <w:p w14:paraId="68474CA2" w14:textId="77777777" w:rsidR="00F455B9" w:rsidRDefault="00F455B9" w:rsidP="00EB61B1">
      <w:pPr>
        <w:jc w:val="both"/>
      </w:pPr>
    </w:p>
    <w:p w14:paraId="43F7165B" w14:textId="473FED6F" w:rsidR="00AA4689" w:rsidRDefault="00AA4689" w:rsidP="00EB61B1">
      <w:pPr>
        <w:jc w:val="both"/>
      </w:pPr>
      <w:r>
        <w:t xml:space="preserve">Comme nous l'avons vu, l'établissement du taux d'intérêt sur un prêt reflète l'évaluation que le créancier effectue à l'égard d'une demande de crédit. Conceptuellement, pour obtenir les meilleurs taux d'intérêt possible sur un prêt l'emprunteur doit donc agir sur les variables à risque de son profil et aussi reprendre le flambeau du négociant qui </w:t>
      </w:r>
      <w:r w:rsidR="005E112F">
        <w:t xml:space="preserve">sait prendre avantage d'un marché de concurrence. De manière concrète, l'individu à la recherche d'un prêt doit entreprendre les actions suivantes: </w:t>
      </w:r>
    </w:p>
    <w:p w14:paraId="0BCBC978" w14:textId="77777777" w:rsidR="00AA4689" w:rsidRDefault="00AA4689" w:rsidP="00EB61B1">
      <w:pPr>
        <w:jc w:val="both"/>
      </w:pPr>
    </w:p>
    <w:p w14:paraId="34FB7BA0" w14:textId="7141C4EA" w:rsidR="00F455B9" w:rsidRDefault="003E2763" w:rsidP="006C34CF">
      <w:pPr>
        <w:pStyle w:val="Paragraphedeliste"/>
        <w:numPr>
          <w:ilvl w:val="0"/>
          <w:numId w:val="112"/>
        </w:numPr>
        <w:jc w:val="both"/>
      </w:pPr>
      <w:r>
        <w:t xml:space="preserve"> </w:t>
      </w:r>
      <w:r w:rsidR="00F455B9">
        <w:t>Dossier de crédit</w:t>
      </w:r>
    </w:p>
    <w:p w14:paraId="02FB0714" w14:textId="361E71A0" w:rsidR="00F455B9" w:rsidRDefault="005E112F" w:rsidP="00F455B9">
      <w:pPr>
        <w:ind w:left="348"/>
        <w:jc w:val="both"/>
      </w:pPr>
      <w:r>
        <w:tab/>
      </w:r>
      <w:r>
        <w:tab/>
      </w:r>
      <w:r>
        <w:tab/>
      </w:r>
    </w:p>
    <w:p w14:paraId="2B6AE78C" w14:textId="4CE97008" w:rsidR="005E112F" w:rsidRDefault="002339FD" w:rsidP="002339FD">
      <w:pPr>
        <w:ind w:left="1134"/>
        <w:jc w:val="both"/>
      </w:pPr>
      <w:r>
        <w:t>La</w:t>
      </w:r>
      <w:r w:rsidR="005E112F">
        <w:tab/>
      </w:r>
      <w:r>
        <w:t xml:space="preserve"> qualité du dossier de crédit aura une influence sur les conditions d'emprunt qui seront offertes relativement à une demande de crédit. Bien que celui-ci reflète le comportement et les agissements passés, il est important de prendre connaissance du dossier de crédit afin de s'assurer que le tout est exempt d'erreur</w:t>
      </w:r>
      <w:r w:rsidR="005706F0">
        <w:t>s</w:t>
      </w:r>
      <w:r>
        <w:t>. Les demandes de dossier par la poste sont habituellement gratuites.</w:t>
      </w:r>
      <w:r w:rsidR="005E112F">
        <w:tab/>
      </w:r>
      <w:r w:rsidR="005E112F">
        <w:tab/>
      </w:r>
    </w:p>
    <w:p w14:paraId="3F419D75" w14:textId="77777777" w:rsidR="005E112F" w:rsidRDefault="005E112F" w:rsidP="00F455B9">
      <w:pPr>
        <w:ind w:left="348"/>
        <w:jc w:val="both"/>
      </w:pPr>
    </w:p>
    <w:p w14:paraId="409916BB" w14:textId="62BC6A2A" w:rsidR="00F455B9" w:rsidRDefault="003E2763" w:rsidP="006C34CF">
      <w:pPr>
        <w:pStyle w:val="Paragraphedeliste"/>
        <w:numPr>
          <w:ilvl w:val="0"/>
          <w:numId w:val="112"/>
        </w:numPr>
        <w:jc w:val="both"/>
      </w:pPr>
      <w:r>
        <w:t xml:space="preserve"> </w:t>
      </w:r>
      <w:r w:rsidR="00F455B9">
        <w:t>Magasinez votre crédit</w:t>
      </w:r>
    </w:p>
    <w:p w14:paraId="327BBA93" w14:textId="77777777" w:rsidR="005706F0" w:rsidRDefault="005706F0" w:rsidP="005706F0">
      <w:pPr>
        <w:ind w:left="348"/>
        <w:jc w:val="both"/>
      </w:pPr>
    </w:p>
    <w:p w14:paraId="30E42E3C" w14:textId="31517AB3" w:rsidR="00F455B9" w:rsidRDefault="00281C3C" w:rsidP="005706F0">
      <w:pPr>
        <w:ind w:left="1134"/>
        <w:jc w:val="both"/>
      </w:pPr>
      <w:r>
        <w:t>Pour une raison difficile à saisir, les gens hésitent parfois à négocier la teneur de leur demande de crédit. C'est une grave erreur, puisque la concurrence est féroce dans le secteur financier. Vous devriez donc</w:t>
      </w:r>
      <w:r w:rsidR="003E2763">
        <w:t xml:space="preserve"> en prendre avantage en </w:t>
      </w:r>
      <w:r>
        <w:t xml:space="preserve"> étudi</w:t>
      </w:r>
      <w:r w:rsidR="003E2763">
        <w:t>ant</w:t>
      </w:r>
      <w:r>
        <w:t xml:space="preserve"> jusqu'à leur maîtrise, chacune des variables (taux fixe, taux variable, pénalités, remboursement, garantie, etc.) </w:t>
      </w:r>
      <w:r w:rsidR="003E2763">
        <w:t xml:space="preserve">afin de </w:t>
      </w:r>
      <w:r>
        <w:t>solliciter</w:t>
      </w:r>
      <w:r w:rsidR="003E2763">
        <w:t xml:space="preserve"> et comparer</w:t>
      </w:r>
      <w:r>
        <w:t xml:space="preserve"> des offres de prêts de plusieurs institutions financières. Arrivez bien préparé, avec des tableaux comparatifs des offres qui vous sont proposées.</w:t>
      </w:r>
    </w:p>
    <w:p w14:paraId="1D1618A2" w14:textId="77777777" w:rsidR="005706F0" w:rsidRDefault="005706F0" w:rsidP="005706F0">
      <w:pPr>
        <w:ind w:left="1134"/>
        <w:jc w:val="both"/>
      </w:pPr>
    </w:p>
    <w:p w14:paraId="298F280F" w14:textId="109FEFBA" w:rsidR="00F455B9" w:rsidRDefault="003E2763" w:rsidP="006C34CF">
      <w:pPr>
        <w:pStyle w:val="Paragraphedeliste"/>
        <w:numPr>
          <w:ilvl w:val="0"/>
          <w:numId w:val="112"/>
        </w:numPr>
        <w:jc w:val="both"/>
      </w:pPr>
      <w:r>
        <w:lastRenderedPageBreak/>
        <w:t xml:space="preserve"> </w:t>
      </w:r>
      <w:r w:rsidR="00F455B9">
        <w:t xml:space="preserve">Augmentez la fréquence de vos remboursements </w:t>
      </w:r>
    </w:p>
    <w:p w14:paraId="08286463" w14:textId="77777777" w:rsidR="003E2763" w:rsidRDefault="003E2763" w:rsidP="003E2763">
      <w:pPr>
        <w:ind w:left="1134"/>
        <w:jc w:val="both"/>
      </w:pPr>
    </w:p>
    <w:p w14:paraId="383F3D4C" w14:textId="40079E01" w:rsidR="003E2763" w:rsidRDefault="003E2763" w:rsidP="003E2763">
      <w:pPr>
        <w:ind w:left="1134"/>
        <w:jc w:val="both"/>
      </w:pPr>
      <w:r>
        <w:t xml:space="preserve">Prenez l'habitude de rembourser plus rapidement votre prêt en scindant les versements afin de favoriser </w:t>
      </w:r>
      <w:r w:rsidR="00C06570">
        <w:t xml:space="preserve">plus </w:t>
      </w:r>
      <w:r>
        <w:t xml:space="preserve">une grande fréquence. Par exemple, le versement mensuel qui serait divisé </w:t>
      </w:r>
      <w:r w:rsidR="009E6B36">
        <w:t xml:space="preserve">par </w:t>
      </w:r>
      <w:r>
        <w:t>un facteur de deux pour en faire des versements</w:t>
      </w:r>
      <w:r w:rsidR="00D8378E">
        <w:t xml:space="preserve"> </w:t>
      </w:r>
      <w:r>
        <w:t>chaque deux semaines ajoutera l'équivalent d'un versement mensuel par année</w:t>
      </w:r>
      <w:r w:rsidR="003B4543">
        <w:rPr>
          <w:rStyle w:val="Marquenotebasdepage"/>
        </w:rPr>
        <w:footnoteReference w:customMarkFollows="1" w:id="81"/>
        <w:t>78</w:t>
      </w:r>
      <w:r>
        <w:t>.</w:t>
      </w:r>
    </w:p>
    <w:p w14:paraId="3FDD16D5" w14:textId="77777777" w:rsidR="003E2763" w:rsidRDefault="003E2763" w:rsidP="00F455B9">
      <w:pPr>
        <w:ind w:left="348"/>
        <w:jc w:val="both"/>
      </w:pPr>
    </w:p>
    <w:p w14:paraId="1048B35F" w14:textId="5CDC23AB" w:rsidR="00F455B9" w:rsidRDefault="003E2763" w:rsidP="006C34CF">
      <w:pPr>
        <w:pStyle w:val="Paragraphedeliste"/>
        <w:numPr>
          <w:ilvl w:val="0"/>
          <w:numId w:val="112"/>
        </w:numPr>
        <w:jc w:val="both"/>
      </w:pPr>
      <w:r>
        <w:t xml:space="preserve"> </w:t>
      </w:r>
      <w:r w:rsidR="00F455B9">
        <w:t xml:space="preserve">Prenez le taux </w:t>
      </w:r>
      <w:r w:rsidR="001B3071">
        <w:t>le plus bas</w:t>
      </w:r>
    </w:p>
    <w:p w14:paraId="5F142151" w14:textId="77777777" w:rsidR="00F455B9" w:rsidRDefault="00F455B9" w:rsidP="00F455B9">
      <w:pPr>
        <w:ind w:left="348"/>
        <w:jc w:val="both"/>
      </w:pPr>
    </w:p>
    <w:p w14:paraId="208EA8A8" w14:textId="46D66B29" w:rsidR="001B3071" w:rsidRDefault="001B3071" w:rsidP="001B3071">
      <w:pPr>
        <w:ind w:left="1134"/>
        <w:jc w:val="both"/>
      </w:pPr>
      <w:r>
        <w:t xml:space="preserve">Lorsque le type de prêt envisagé est un prêt à terme dont les taux peuvent être fixés jusqu'à la fin de ce terme ou </w:t>
      </w:r>
      <w:r w:rsidR="00C06570">
        <w:t xml:space="preserve">devenir </w:t>
      </w:r>
      <w:r>
        <w:t xml:space="preserve">variables, </w:t>
      </w:r>
      <w:r w:rsidR="00C06570">
        <w:t xml:space="preserve">si l'on considère le </w:t>
      </w:r>
      <w:r>
        <w:t>coût global en intérêt, l'approche de choisir le plus</w:t>
      </w:r>
      <w:r w:rsidR="009E6B36">
        <w:t xml:space="preserve"> petit</w:t>
      </w:r>
      <w:r>
        <w:t xml:space="preserve"> taux disponible</w:t>
      </w:r>
      <w:r w:rsidR="00C06570">
        <w:t xml:space="preserve"> (presque toujours var</w:t>
      </w:r>
      <w:r w:rsidR="009E6B36">
        <w:t>i</w:t>
      </w:r>
      <w:r w:rsidR="00C06570">
        <w:t>able)</w:t>
      </w:r>
      <w:r>
        <w:t xml:space="preserve"> donne, la plupart du temps, le meilleur résultat financier. Ce constat est normal puisque lorsque </w:t>
      </w:r>
      <w:r w:rsidR="005663C1">
        <w:t>vous fixez le</w:t>
      </w:r>
      <w:r>
        <w:t xml:space="preserve"> taux, ce geste vise à éliminer le risque de voir de trop grands écarts de taux se produire. Comme pour toute opération de réduction de risque, il y a un coût. Cette approche ne peut être recommandé</w:t>
      </w:r>
      <w:r w:rsidR="005663C1">
        <w:t>e</w:t>
      </w:r>
      <w:r>
        <w:t xml:space="preserve"> qu'à ceux </w:t>
      </w:r>
      <w:r w:rsidR="005663C1">
        <w:t>possédant</w:t>
      </w:r>
      <w:r>
        <w:t xml:space="preserve"> la marge de manoeuvre leur permettant d'assumer une variation à la hausse des taux. Lorsque vous avez une telle marge, vous devriez la marchander à votre avantage.</w:t>
      </w:r>
    </w:p>
    <w:p w14:paraId="25601817" w14:textId="77777777" w:rsidR="003B4543" w:rsidRDefault="003B4543" w:rsidP="00F455B9">
      <w:pPr>
        <w:ind w:left="348"/>
        <w:jc w:val="both"/>
      </w:pPr>
    </w:p>
    <w:p w14:paraId="4B680E6D" w14:textId="63A4D0C2" w:rsidR="00F455B9" w:rsidRDefault="003E2763" w:rsidP="006C34CF">
      <w:pPr>
        <w:pStyle w:val="Paragraphedeliste"/>
        <w:numPr>
          <w:ilvl w:val="0"/>
          <w:numId w:val="112"/>
        </w:numPr>
        <w:jc w:val="both"/>
      </w:pPr>
      <w:r>
        <w:t xml:space="preserve"> </w:t>
      </w:r>
      <w:r w:rsidR="005663C1">
        <w:t>Emprunt v</w:t>
      </w:r>
      <w:r w:rsidR="00F455B9">
        <w:t xml:space="preserve">ariable </w:t>
      </w:r>
      <w:r w:rsidR="005663C1">
        <w:t>ou</w:t>
      </w:r>
      <w:r w:rsidR="00F455B9">
        <w:t xml:space="preserve"> fixe (ou avec </w:t>
      </w:r>
      <w:r w:rsidR="00A40D2C">
        <w:t xml:space="preserve">la </w:t>
      </w:r>
      <w:r w:rsidR="00F455B9">
        <w:t>possibilité de rembourser par anticipation)</w:t>
      </w:r>
    </w:p>
    <w:p w14:paraId="18ECAFB0" w14:textId="77777777" w:rsidR="00F455B9" w:rsidRDefault="00F455B9" w:rsidP="00F455B9">
      <w:pPr>
        <w:ind w:left="348"/>
        <w:jc w:val="both"/>
      </w:pPr>
    </w:p>
    <w:p w14:paraId="2A968D68" w14:textId="3EF85135" w:rsidR="005663C1" w:rsidRDefault="005663C1" w:rsidP="005663C1">
      <w:pPr>
        <w:ind w:left="1134"/>
        <w:jc w:val="both"/>
      </w:pPr>
      <w:r>
        <w:t>Encore une fois, pour ceux n'ayant aucun problème de discipline, il est préférable de choisir l'option d'emprunt qui est variable plutôt que fixe. De cette façon, seule la portion en lien avec l'acquisition d'un bien</w:t>
      </w:r>
      <w:r w:rsidR="005317D5">
        <w:t xml:space="preserve"> </w:t>
      </w:r>
      <w:r>
        <w:t xml:space="preserve">affectera l'emprunt. De plus, et c'est l'avantage premier, </w:t>
      </w:r>
      <w:r w:rsidR="005317D5">
        <w:t>ce type d'emprunt</w:t>
      </w:r>
      <w:r>
        <w:t xml:space="preserve"> vous permettra d'en faire un remboursement anticipé sans avoir à subir des pénalités. À tout le moins, si vous optez pour un emprunt à terme, négociez en votre faveur l'abandon de pénalités ou de frais dans le cas d'un remboursement anticipé. </w:t>
      </w:r>
    </w:p>
    <w:p w14:paraId="6CBB8660" w14:textId="77777777" w:rsidR="005663C1" w:rsidRDefault="005663C1" w:rsidP="00F455B9">
      <w:pPr>
        <w:ind w:left="348"/>
        <w:jc w:val="both"/>
      </w:pPr>
    </w:p>
    <w:p w14:paraId="473E83FA" w14:textId="77777777" w:rsidR="003D24C1" w:rsidRDefault="003D24C1" w:rsidP="00F455B9">
      <w:pPr>
        <w:ind w:left="348"/>
        <w:jc w:val="both"/>
      </w:pPr>
    </w:p>
    <w:p w14:paraId="4B1CB540" w14:textId="5D40B7CA" w:rsidR="00F455B9" w:rsidRDefault="003E2763" w:rsidP="006C34CF">
      <w:pPr>
        <w:pStyle w:val="Paragraphedeliste"/>
        <w:numPr>
          <w:ilvl w:val="0"/>
          <w:numId w:val="112"/>
        </w:numPr>
        <w:jc w:val="both"/>
      </w:pPr>
      <w:r>
        <w:lastRenderedPageBreak/>
        <w:t xml:space="preserve"> </w:t>
      </w:r>
      <w:r w:rsidR="00F455B9">
        <w:t>Donnez des garanties</w:t>
      </w:r>
    </w:p>
    <w:p w14:paraId="4459F78B" w14:textId="12DB2641" w:rsidR="003D24C1" w:rsidRDefault="003D24C1" w:rsidP="003D24C1">
      <w:pPr>
        <w:tabs>
          <w:tab w:val="left" w:pos="1355"/>
        </w:tabs>
        <w:ind w:left="348"/>
        <w:jc w:val="both"/>
      </w:pPr>
      <w:r>
        <w:tab/>
      </w:r>
    </w:p>
    <w:p w14:paraId="7C573FFC" w14:textId="7A898422" w:rsidR="003D24C1" w:rsidRDefault="003D24C1" w:rsidP="003D24C1">
      <w:pPr>
        <w:tabs>
          <w:tab w:val="left" w:pos="1355"/>
        </w:tabs>
        <w:ind w:left="1134"/>
        <w:jc w:val="both"/>
      </w:pPr>
      <w:r>
        <w:t>Si vous détenez des actifs, évaluez l'effet de joindre des garanties à votre demande de prêt</w:t>
      </w:r>
      <w:r w:rsidR="006446A3">
        <w:t xml:space="preserve"> pour ainsi réduire le coût en intérêt relié à votre demande de prêt. Cette approche peut porter à la controverse puisqu'elle augmente le risque de l'emprunteur (et diminue celui d</w:t>
      </w:r>
      <w:r w:rsidR="007F19CC">
        <w:t>u prê</w:t>
      </w:r>
      <w:r w:rsidR="006446A3">
        <w:t>teur)</w:t>
      </w:r>
      <w:r w:rsidR="007F19CC">
        <w:t xml:space="preserve"> en joignant une partie de son patrimoine à sa demande de prêt. À notre avis, lorsque l'individu possède tous les atouts pour honorer son emprunt, il devrait envisager l'idée d'y joindre une garantie et ainsi économiser des intérêts. C'est une façon de donner un rendement supplémentaire à son actif.</w:t>
      </w:r>
    </w:p>
    <w:p w14:paraId="307C0495" w14:textId="77777777" w:rsidR="003D24C1" w:rsidRDefault="003D24C1" w:rsidP="003D24C1">
      <w:pPr>
        <w:ind w:left="348"/>
        <w:jc w:val="both"/>
      </w:pPr>
    </w:p>
    <w:p w14:paraId="2ABBB6C7" w14:textId="16D7B4F9" w:rsidR="00F455B9" w:rsidRDefault="003E2763" w:rsidP="006C34CF">
      <w:pPr>
        <w:pStyle w:val="Paragraphedeliste"/>
        <w:numPr>
          <w:ilvl w:val="0"/>
          <w:numId w:val="112"/>
        </w:numPr>
        <w:jc w:val="both"/>
      </w:pPr>
      <w:r>
        <w:t xml:space="preserve"> </w:t>
      </w:r>
      <w:r w:rsidR="00F455B9">
        <w:t xml:space="preserve">Évaluez l'effet de joindre le cautionnement </w:t>
      </w:r>
    </w:p>
    <w:p w14:paraId="7CBE681C" w14:textId="77777777" w:rsidR="00F455B9" w:rsidRDefault="00F455B9" w:rsidP="00EB61B1">
      <w:pPr>
        <w:jc w:val="both"/>
      </w:pPr>
    </w:p>
    <w:p w14:paraId="20C89216" w14:textId="444B13F8" w:rsidR="003D24C1" w:rsidRDefault="003D24C1" w:rsidP="003D24C1">
      <w:pPr>
        <w:ind w:left="1134"/>
        <w:jc w:val="both"/>
      </w:pPr>
      <w:r>
        <w:t>L'ajout d</w:t>
      </w:r>
      <w:r w:rsidR="007F19CC">
        <w:t>'</w:t>
      </w:r>
      <w:r>
        <w:t>u</w:t>
      </w:r>
      <w:r w:rsidR="007F19CC">
        <w:t>n</w:t>
      </w:r>
      <w:r>
        <w:t xml:space="preserve"> cautionnement</w:t>
      </w:r>
      <w:r w:rsidR="007F19CC">
        <w:t xml:space="preserve"> par une personne à la situation financière très avantageuse, proche de l'emprunteur, peut permettre à </w:t>
      </w:r>
      <w:r w:rsidR="00D8378E">
        <w:t>c</w:t>
      </w:r>
      <w:r w:rsidR="007F19CC">
        <w:t>e dernier d'économiser des intérêts sur son emprunt. Encore une fois, les mises en garde présentées au sujet des garanties sont applicables et doivent faire l'objet de prudence.</w:t>
      </w:r>
    </w:p>
    <w:p w14:paraId="1D18D6A4" w14:textId="77777777" w:rsidR="008F524B" w:rsidRDefault="008F524B" w:rsidP="00C451B7"/>
    <w:p w14:paraId="3C2D9E5A" w14:textId="77777777" w:rsidR="005167A0" w:rsidRDefault="005167A0" w:rsidP="00C451B7"/>
    <w:p w14:paraId="3D20C1DB" w14:textId="77777777" w:rsidR="005167A0" w:rsidRDefault="005167A0" w:rsidP="00C451B7"/>
    <w:p w14:paraId="2CB9BC43" w14:textId="77777777" w:rsidR="005167A0" w:rsidRDefault="005167A0" w:rsidP="00C451B7"/>
    <w:p w14:paraId="6C7817AD" w14:textId="77777777" w:rsidR="005167A0" w:rsidRDefault="005167A0" w:rsidP="00C451B7"/>
    <w:p w14:paraId="563130AC" w14:textId="77777777" w:rsidR="005167A0" w:rsidRDefault="005167A0" w:rsidP="00C451B7"/>
    <w:p w14:paraId="382514D2" w14:textId="77777777" w:rsidR="005167A0" w:rsidRDefault="005167A0" w:rsidP="00C451B7"/>
    <w:p w14:paraId="019C8A12" w14:textId="77777777" w:rsidR="005167A0" w:rsidRDefault="005167A0" w:rsidP="00C451B7"/>
    <w:p w14:paraId="6D69767B" w14:textId="77777777" w:rsidR="005167A0" w:rsidRDefault="005167A0" w:rsidP="00C451B7"/>
    <w:p w14:paraId="01F33164" w14:textId="77777777" w:rsidR="005167A0" w:rsidRDefault="005167A0" w:rsidP="00C451B7"/>
    <w:p w14:paraId="69BA8D23" w14:textId="77777777" w:rsidR="005167A0" w:rsidRDefault="005167A0" w:rsidP="00C451B7"/>
    <w:p w14:paraId="34C56051" w14:textId="77777777" w:rsidR="005167A0" w:rsidRDefault="005167A0" w:rsidP="00C451B7"/>
    <w:p w14:paraId="130CE3C9" w14:textId="77777777" w:rsidR="005167A0" w:rsidRDefault="005167A0" w:rsidP="00C451B7"/>
    <w:p w14:paraId="708B601F" w14:textId="77777777" w:rsidR="005167A0" w:rsidRDefault="005167A0" w:rsidP="00C451B7"/>
    <w:p w14:paraId="2DF377C1" w14:textId="77777777" w:rsidR="005167A0" w:rsidRDefault="005167A0" w:rsidP="00C451B7"/>
    <w:p w14:paraId="04B1C3ED" w14:textId="77777777" w:rsidR="0013782F" w:rsidRDefault="0013782F" w:rsidP="0013782F">
      <w:pPr>
        <w:rPr>
          <w:color w:val="FF6700" w:themeColor="accent3"/>
        </w:rPr>
      </w:pPr>
    </w:p>
    <w:p w14:paraId="26DAC135" w14:textId="0E1A866A" w:rsidR="0013782F" w:rsidRDefault="0013782F" w:rsidP="0013782F">
      <w:pPr>
        <w:rPr>
          <w:color w:val="FF6700" w:themeColor="accent3"/>
        </w:rPr>
      </w:pPr>
      <w:r w:rsidRPr="00611FEC">
        <w:rPr>
          <w:color w:val="FF6700" w:themeColor="accent3"/>
        </w:rPr>
        <w:lastRenderedPageBreak/>
        <w:t>EXEMPLE 7-1</w:t>
      </w:r>
      <w:r>
        <w:rPr>
          <w:color w:val="FF6700" w:themeColor="accent3"/>
        </w:rPr>
        <w:t>7</w:t>
      </w:r>
    </w:p>
    <w:p w14:paraId="2AA33BF8" w14:textId="77777777" w:rsidR="0013782F" w:rsidRDefault="0013782F" w:rsidP="0013782F">
      <w:pPr>
        <w:rPr>
          <w:color w:val="FF6700" w:themeColor="accent3"/>
        </w:rPr>
      </w:pPr>
    </w:p>
    <w:p w14:paraId="53405A0E" w14:textId="6BE224BC" w:rsidR="0013782F" w:rsidRDefault="0013782F" w:rsidP="00424310">
      <w:pPr>
        <w:jc w:val="both"/>
      </w:pPr>
      <w:r w:rsidRPr="0013782F">
        <w:t>Voici l'effet</w:t>
      </w:r>
      <w:r>
        <w:t xml:space="preserve"> financier</w:t>
      </w:r>
      <w:r w:rsidRPr="0013782F">
        <w:t xml:space="preserve"> d'une réduction  de taux d'intérêt sur une demande de prêt.</w:t>
      </w:r>
      <w:r w:rsidR="00AA1DEC">
        <w:t xml:space="preserve"> </w:t>
      </w:r>
      <w:r w:rsidR="00424310">
        <w:t xml:space="preserve">Prenons l'exemple d'un emprunt visant à acquitter la </w:t>
      </w:r>
      <w:r w:rsidR="00AA1DEC">
        <w:t>valeur résiduelle</w:t>
      </w:r>
      <w:r w:rsidR="00424310">
        <w:t xml:space="preserve"> de </w:t>
      </w:r>
      <w:r w:rsidR="00424310" w:rsidRPr="00424310">
        <w:rPr>
          <w:color w:val="FF6700" w:themeColor="accent3"/>
        </w:rPr>
        <w:t>23 000 $</w:t>
      </w:r>
      <w:r w:rsidR="00424310">
        <w:t xml:space="preserve"> sur une voiture qui avait été initialement louée. Analysons deux offres de financement différentes.</w:t>
      </w:r>
    </w:p>
    <w:p w14:paraId="77A1060B" w14:textId="77777777" w:rsidR="00BB6EBE" w:rsidRDefault="00BB6EBE" w:rsidP="00424310">
      <w:pPr>
        <w:jc w:val="both"/>
      </w:pPr>
    </w:p>
    <w:p w14:paraId="7771D5D8" w14:textId="77777777" w:rsidR="00BB6EBE" w:rsidRDefault="00BB6EBE" w:rsidP="00424310">
      <w:pPr>
        <w:jc w:val="both"/>
      </w:pPr>
    </w:p>
    <w:p w14:paraId="6525B76D" w14:textId="77777777" w:rsidR="00BB6EBE" w:rsidRPr="0013782F" w:rsidRDefault="00BB6EBE" w:rsidP="00424310">
      <w:pPr>
        <w:jc w:val="both"/>
      </w:pPr>
    </w:p>
    <w:p w14:paraId="29369CAB" w14:textId="6A92CE1E" w:rsidR="0013782F" w:rsidRDefault="00C34CC6" w:rsidP="00C451B7">
      <w:r w:rsidRPr="00424310">
        <w:rPr>
          <w:noProof/>
          <w:lang w:eastAsia="fr-FR"/>
        </w:rPr>
        <mc:AlternateContent>
          <mc:Choice Requires="wps">
            <w:drawing>
              <wp:anchor distT="0" distB="0" distL="114300" distR="114300" simplePos="0" relativeHeight="253050880" behindDoc="0" locked="0" layoutInCell="1" allowOverlap="1" wp14:anchorId="42D1A023" wp14:editId="2A3D158E">
                <wp:simplePos x="0" y="0"/>
                <wp:positionH relativeFrom="column">
                  <wp:posOffset>-228600</wp:posOffset>
                </wp:positionH>
                <wp:positionV relativeFrom="paragraph">
                  <wp:posOffset>429895</wp:posOffset>
                </wp:positionV>
                <wp:extent cx="896620" cy="896620"/>
                <wp:effectExtent l="76200" t="76200" r="68580" b="68580"/>
                <wp:wrapNone/>
                <wp:docPr id="756" name="Ellipse 756"/>
                <wp:cNvGraphicFramePr/>
                <a:graphic xmlns:a="http://schemas.openxmlformats.org/drawingml/2006/main">
                  <a:graphicData uri="http://schemas.microsoft.com/office/word/2010/wordprocessingShape">
                    <wps:wsp>
                      <wps:cNvSpPr/>
                      <wps:spPr>
                        <a:xfrm>
                          <a:off x="0" y="0"/>
                          <a:ext cx="896620" cy="896620"/>
                        </a:xfrm>
                        <a:prstGeom prst="ellipse">
                          <a:avLst/>
                        </a:prstGeom>
                        <a:solidFill>
                          <a:schemeClr val="tx1">
                            <a:lumMod val="50000"/>
                            <a:lumOff val="50000"/>
                          </a:schemeClr>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A444186" w14:textId="77777777" w:rsidR="00573C95" w:rsidRPr="001451AC" w:rsidRDefault="00573C95" w:rsidP="00424310">
                            <w:pPr>
                              <w:jc w:val="center"/>
                              <w:rPr>
                                <w:color w:val="FFFFFF" w:themeColor="background1"/>
                              </w:rPr>
                            </w:pPr>
                            <w:r w:rsidRPr="001451AC">
                              <w:rPr>
                                <w:color w:val="FFFFFF" w:themeColor="background1"/>
                              </w:rPr>
                              <w:t>Offre</w:t>
                            </w:r>
                          </w:p>
                          <w:p w14:paraId="57928F6A" w14:textId="77777777" w:rsidR="00573C95" w:rsidRPr="001451AC" w:rsidRDefault="00573C95" w:rsidP="00424310">
                            <w:pPr>
                              <w:jc w:val="center"/>
                              <w:rPr>
                                <w:color w:val="FFFFFF" w:themeColor="background1"/>
                                <w:sz w:val="48"/>
                                <w:szCs w:val="48"/>
                              </w:rPr>
                            </w:pPr>
                            <w:r w:rsidRPr="001451AC">
                              <w:rPr>
                                <w:color w:val="FFFFFF" w:themeColor="background1"/>
                                <w:sz w:val="48"/>
                                <w:szCs w:val="48"/>
                              </w:rPr>
                              <w:t>1</w:t>
                            </w:r>
                          </w:p>
                          <w:p w14:paraId="2C94B844" w14:textId="77777777" w:rsidR="00573C95" w:rsidRPr="001451AC" w:rsidRDefault="00573C95" w:rsidP="00424310">
                            <w:pPr>
                              <w:jc w:val="center"/>
                              <w:rPr>
                                <w:color w:val="FFFFFF" w:themeColor="background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756" o:spid="_x0000_s1510" style="position:absolute;margin-left:-17.95pt;margin-top:33.85pt;width:70.6pt;height:70.6pt;z-index:2530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" fillcolor="gray [1629]" strokecolor="white">
                <v:textbox>
                  <w:txbxContent>
                    <w:p w14:paraId="6A444186" w14:textId="77777777" w:rsidR="001501D6" w:rsidRPr="001451AC" w:rsidRDefault="001501D6" w:rsidP="00424310">
                      <w:pPr>
                        <w:jc w:val="center"/>
                        <w:rPr>
                          <w:color w:val="FFFFFF" w:themeColor="background1"/>
                        </w:rPr>
                      </w:pPr>
                      <w:r w:rsidRPr="001451AC">
                        <w:rPr>
                          <w:color w:val="FFFFFF" w:themeColor="background1"/>
                        </w:rPr>
                        <w:t>Offre</w:t>
                      </w:r>
                    </w:p>
                    <w:p w14:paraId="57928F6A" w14:textId="77777777" w:rsidR="001501D6" w:rsidRPr="001451AC" w:rsidRDefault="001501D6" w:rsidP="00424310">
                      <w:pPr>
                        <w:jc w:val="center"/>
                        <w:rPr>
                          <w:color w:val="FFFFFF" w:themeColor="background1"/>
                          <w:sz w:val="48"/>
                          <w:szCs w:val="48"/>
                        </w:rPr>
                      </w:pPr>
                      <w:r w:rsidRPr="001451AC">
                        <w:rPr>
                          <w:color w:val="FFFFFF" w:themeColor="background1"/>
                          <w:sz w:val="48"/>
                          <w:szCs w:val="48"/>
                        </w:rPr>
                        <w:t>1</w:t>
                      </w:r>
                    </w:p>
                    <w:p w14:paraId="2C94B844" w14:textId="77777777" w:rsidR="001501D6" w:rsidRPr="001451AC" w:rsidRDefault="001501D6" w:rsidP="00424310">
                      <w:pPr>
                        <w:jc w:val="center"/>
                        <w:rPr>
                          <w:color w:val="FFFFFF" w:themeColor="background1"/>
                        </w:rPr>
                      </w:pPr>
                    </w:p>
                  </w:txbxContent>
                </v:textbox>
              </v:oval>
            </w:pict>
          </mc:Fallback>
        </mc:AlternateContent>
      </w:r>
      <w:r w:rsidRPr="00424310">
        <w:rPr>
          <w:noProof/>
          <w:lang w:eastAsia="fr-FR"/>
        </w:rPr>
        <mc:AlternateContent>
          <mc:Choice Requires="wps">
            <w:drawing>
              <wp:anchor distT="0" distB="0" distL="114300" distR="114300" simplePos="0" relativeHeight="253049856" behindDoc="0" locked="0" layoutInCell="1" allowOverlap="1" wp14:anchorId="18E67878" wp14:editId="31872FAF">
                <wp:simplePos x="0" y="0"/>
                <wp:positionH relativeFrom="column">
                  <wp:posOffset>342900</wp:posOffset>
                </wp:positionH>
                <wp:positionV relativeFrom="paragraph">
                  <wp:posOffset>346710</wp:posOffset>
                </wp:positionV>
                <wp:extent cx="2057400" cy="2057400"/>
                <wp:effectExtent l="76200" t="76200" r="76200" b="76200"/>
                <wp:wrapNone/>
                <wp:docPr id="755" name="Ellipse 755"/>
                <wp:cNvGraphicFramePr/>
                <a:graphic xmlns:a="http://schemas.openxmlformats.org/drawingml/2006/main">
                  <a:graphicData uri="http://schemas.microsoft.com/office/word/2010/wordprocessingShape">
                    <wps:wsp>
                      <wps:cNvSpPr/>
                      <wps:spPr>
                        <a:xfrm>
                          <a:off x="0" y="0"/>
                          <a:ext cx="2057400" cy="2057400"/>
                        </a:xfrm>
                        <a:prstGeom prst="ellipse">
                          <a:avLst/>
                        </a:prstGeom>
                        <a:solidFill>
                          <a:srgbClr val="800000"/>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1334678" w14:textId="0A49D58E" w:rsidR="00573C95" w:rsidRDefault="00573C95" w:rsidP="00424310">
                            <w:pPr>
                              <w:jc w:val="center"/>
                            </w:pPr>
                            <w:r>
                              <w:t>Durée - 36 versements</w:t>
                            </w:r>
                          </w:p>
                          <w:p w14:paraId="2484CE33" w14:textId="77777777" w:rsidR="00573C95" w:rsidRDefault="00573C95" w:rsidP="00424310">
                            <w:pPr>
                              <w:jc w:val="center"/>
                            </w:pPr>
                          </w:p>
                          <w:p w14:paraId="1723423D" w14:textId="589A7CB9" w:rsidR="00573C95" w:rsidRDefault="00573C95" w:rsidP="00424310">
                            <w:pPr>
                              <w:jc w:val="center"/>
                            </w:pPr>
                            <w:r>
                              <w:t>Fréquence - mensuelle</w:t>
                            </w:r>
                          </w:p>
                          <w:p w14:paraId="15E73C8B" w14:textId="77777777" w:rsidR="00573C95" w:rsidRDefault="00573C95" w:rsidP="00424310">
                            <w:pPr>
                              <w:jc w:val="center"/>
                            </w:pPr>
                          </w:p>
                          <w:p w14:paraId="3EB0CD11" w14:textId="4CB0308D" w:rsidR="00573C95" w:rsidRDefault="00573C95" w:rsidP="00424310">
                            <w:pPr>
                              <w:jc w:val="center"/>
                            </w:pPr>
                            <w:r>
                              <w:t>Taux - 6,5 %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755" o:spid="_x0000_s1511" style="position:absolute;margin-left:27pt;margin-top:27.3pt;width:162pt;height:162pt;z-index:2530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" fillcolor="maroon" strokecolor="black [3213]">
                <v:textbox>
                  <w:txbxContent>
                    <w:p w14:paraId="31334678" w14:textId="0A49D58E" w:rsidR="001501D6" w:rsidRDefault="001501D6" w:rsidP="00424310">
                      <w:pPr>
                        <w:jc w:val="center"/>
                      </w:pPr>
                      <w:r>
                        <w:t>Durée - 36 versements</w:t>
                      </w:r>
                    </w:p>
                    <w:p w14:paraId="2484CE33" w14:textId="77777777" w:rsidR="001501D6" w:rsidRDefault="001501D6" w:rsidP="00424310">
                      <w:pPr>
                        <w:jc w:val="center"/>
                      </w:pPr>
                    </w:p>
                    <w:p w14:paraId="1723423D" w14:textId="589A7CB9" w:rsidR="001501D6" w:rsidRDefault="001501D6" w:rsidP="00424310">
                      <w:pPr>
                        <w:jc w:val="center"/>
                      </w:pPr>
                      <w:r>
                        <w:t>Fréquence - mensuelle</w:t>
                      </w:r>
                    </w:p>
                    <w:p w14:paraId="15E73C8B" w14:textId="77777777" w:rsidR="001501D6" w:rsidRDefault="001501D6" w:rsidP="00424310">
                      <w:pPr>
                        <w:jc w:val="center"/>
                      </w:pPr>
                    </w:p>
                    <w:p w14:paraId="3EB0CD11" w14:textId="4CB0308D" w:rsidR="001501D6" w:rsidRDefault="001501D6" w:rsidP="00424310">
                      <w:pPr>
                        <w:jc w:val="center"/>
                      </w:pPr>
                      <w:r>
                        <w:t>Taux - 6,5 %</w:t>
                      </w:r>
                    </w:p>
                  </w:txbxContent>
                </v:textbox>
              </v:oval>
            </w:pict>
          </mc:Fallback>
        </mc:AlternateContent>
      </w:r>
      <w:r w:rsidRPr="00424310">
        <w:rPr>
          <w:noProof/>
          <w:lang w:eastAsia="fr-FR"/>
        </w:rPr>
        <mc:AlternateContent>
          <mc:Choice Requires="wps">
            <w:drawing>
              <wp:anchor distT="0" distB="0" distL="114300" distR="114300" simplePos="0" relativeHeight="253056000" behindDoc="0" locked="0" layoutInCell="1" allowOverlap="1" wp14:anchorId="7B0A3AFA" wp14:editId="2B06736F">
                <wp:simplePos x="0" y="0"/>
                <wp:positionH relativeFrom="column">
                  <wp:posOffset>2057400</wp:posOffset>
                </wp:positionH>
                <wp:positionV relativeFrom="paragraph">
                  <wp:posOffset>3810</wp:posOffset>
                </wp:positionV>
                <wp:extent cx="1943100" cy="1943100"/>
                <wp:effectExtent l="76200" t="76200" r="63500" b="63500"/>
                <wp:wrapNone/>
                <wp:docPr id="759" name="Ellipse 759"/>
                <wp:cNvGraphicFramePr/>
                <a:graphic xmlns:a="http://schemas.openxmlformats.org/drawingml/2006/main">
                  <a:graphicData uri="http://schemas.microsoft.com/office/word/2010/wordprocessingShape">
                    <wps:wsp>
                      <wps:cNvSpPr/>
                      <wps:spPr>
                        <a:xfrm>
                          <a:off x="0" y="0"/>
                          <a:ext cx="1943100" cy="1943100"/>
                        </a:xfrm>
                        <a:prstGeom prst="ellipse">
                          <a:avLst/>
                        </a:prstGeom>
                        <a:solidFill>
                          <a:schemeClr val="accent1">
                            <a:lumMod val="75000"/>
                          </a:schemeClr>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9BBF39" w14:textId="087CF816" w:rsidR="00573C95" w:rsidRDefault="00573C95" w:rsidP="0091015E">
                            <w:pPr>
                              <w:jc w:val="center"/>
                              <w:rPr>
                                <w:color w:val="FFFFFF" w:themeColor="background1"/>
                              </w:rPr>
                            </w:pPr>
                            <w:r>
                              <w:rPr>
                                <w:color w:val="FFFFFF" w:themeColor="background1"/>
                              </w:rPr>
                              <w:t>Aucune garantie</w:t>
                            </w:r>
                          </w:p>
                          <w:p w14:paraId="08C5EF21" w14:textId="77777777" w:rsidR="00573C95" w:rsidRDefault="00573C95" w:rsidP="0091015E">
                            <w:pPr>
                              <w:jc w:val="center"/>
                              <w:rPr>
                                <w:color w:val="FFFFFF" w:themeColor="background1"/>
                              </w:rPr>
                            </w:pPr>
                          </w:p>
                          <w:p w14:paraId="42CC387C" w14:textId="2F9FC7A3" w:rsidR="00573C95" w:rsidRPr="001451AC" w:rsidRDefault="00573C95" w:rsidP="0091015E">
                            <w:pPr>
                              <w:jc w:val="center"/>
                              <w:rPr>
                                <w:color w:val="FFFFFF" w:themeColor="background1"/>
                              </w:rPr>
                            </w:pPr>
                            <w:r>
                              <w:rPr>
                                <w:color w:val="FFFFFF" w:themeColor="background1"/>
                              </w:rPr>
                              <w:t>Aucun cautionnement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759" o:spid="_x0000_s1512" style="position:absolute;margin-left:162pt;margin-top:.3pt;width:153pt;height:153pt;z-index:2530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" fillcolor="#6e9400 [2404]" strokecolor="white">
                <v:textbox>
                  <w:txbxContent>
                    <w:p w14:paraId="629BBF39" w14:textId="087CF816" w:rsidR="001501D6" w:rsidRDefault="001501D6" w:rsidP="0091015E">
                      <w:pPr>
                        <w:jc w:val="center"/>
                        <w:rPr>
                          <w:color w:val="FFFFFF" w:themeColor="background1"/>
                        </w:rPr>
                      </w:pPr>
                      <w:r>
                        <w:rPr>
                          <w:color w:val="FFFFFF" w:themeColor="background1"/>
                        </w:rPr>
                        <w:t>Aucune garantie</w:t>
                      </w:r>
                    </w:p>
                    <w:p w14:paraId="08C5EF21" w14:textId="77777777" w:rsidR="001501D6" w:rsidRDefault="001501D6" w:rsidP="0091015E">
                      <w:pPr>
                        <w:jc w:val="center"/>
                        <w:rPr>
                          <w:color w:val="FFFFFF" w:themeColor="background1"/>
                        </w:rPr>
                      </w:pPr>
                    </w:p>
                    <w:p w14:paraId="42CC387C" w14:textId="2F9FC7A3" w:rsidR="001501D6" w:rsidRPr="001451AC" w:rsidRDefault="001501D6" w:rsidP="0091015E">
                      <w:pPr>
                        <w:jc w:val="center"/>
                        <w:rPr>
                          <w:color w:val="FFFFFF" w:themeColor="background1"/>
                        </w:rPr>
                      </w:pPr>
                      <w:r>
                        <w:rPr>
                          <w:color w:val="FFFFFF" w:themeColor="background1"/>
                        </w:rPr>
                        <w:t>Aucun cautionnement</w:t>
                      </w:r>
                    </w:p>
                  </w:txbxContent>
                </v:textbox>
              </v:oval>
            </w:pict>
          </mc:Fallback>
        </mc:AlternateContent>
      </w:r>
      <w:r w:rsidR="0091015E" w:rsidRPr="00424310">
        <w:rPr>
          <w:noProof/>
          <w:lang w:eastAsia="fr-FR"/>
        </w:rPr>
        <mc:AlternateContent>
          <mc:Choice Requires="wps">
            <w:drawing>
              <wp:anchor distT="0" distB="0" distL="114300" distR="114300" simplePos="0" relativeHeight="253058048" behindDoc="0" locked="0" layoutInCell="1" allowOverlap="1" wp14:anchorId="31B287E5" wp14:editId="0ECC89E5">
                <wp:simplePos x="0" y="0"/>
                <wp:positionH relativeFrom="column">
                  <wp:posOffset>6858000</wp:posOffset>
                </wp:positionH>
                <wp:positionV relativeFrom="paragraph">
                  <wp:posOffset>3810</wp:posOffset>
                </wp:positionV>
                <wp:extent cx="1943100" cy="1943100"/>
                <wp:effectExtent l="76200" t="76200" r="63500" b="63500"/>
                <wp:wrapNone/>
                <wp:docPr id="760" name="Ellipse 760"/>
                <wp:cNvGraphicFramePr/>
                <a:graphic xmlns:a="http://schemas.openxmlformats.org/drawingml/2006/main">
                  <a:graphicData uri="http://schemas.microsoft.com/office/word/2010/wordprocessingShape">
                    <wps:wsp>
                      <wps:cNvSpPr/>
                      <wps:spPr>
                        <a:xfrm>
                          <a:off x="0" y="0"/>
                          <a:ext cx="1943100" cy="1943100"/>
                        </a:xfrm>
                        <a:prstGeom prst="ellipse">
                          <a:avLst/>
                        </a:prstGeom>
                        <a:solidFill>
                          <a:schemeClr val="accent1">
                            <a:lumMod val="75000"/>
                          </a:schemeClr>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1CD9D5D" w14:textId="20214E8B" w:rsidR="00573C95" w:rsidRDefault="00573C95" w:rsidP="0091015E">
                            <w:pPr>
                              <w:jc w:val="center"/>
                              <w:rPr>
                                <w:color w:val="FFFFFF" w:themeColor="background1"/>
                              </w:rPr>
                            </w:pPr>
                            <w:r>
                              <w:rPr>
                                <w:color w:val="FFFFFF" w:themeColor="background1"/>
                              </w:rPr>
                              <w:t>Garantie hypothécaire</w:t>
                            </w:r>
                          </w:p>
                          <w:p w14:paraId="581AE608" w14:textId="77777777" w:rsidR="00573C95" w:rsidRDefault="00573C95" w:rsidP="0091015E">
                            <w:pPr>
                              <w:jc w:val="center"/>
                              <w:rPr>
                                <w:color w:val="FFFFFF" w:themeColor="background1"/>
                              </w:rPr>
                            </w:pPr>
                          </w:p>
                          <w:p w14:paraId="1AF7944E" w14:textId="77777777" w:rsidR="00573C95" w:rsidRPr="001451AC" w:rsidRDefault="00573C95" w:rsidP="0091015E">
                            <w:pPr>
                              <w:jc w:val="center"/>
                              <w:rPr>
                                <w:color w:val="FFFFFF" w:themeColor="background1"/>
                              </w:rPr>
                            </w:pPr>
                            <w:r>
                              <w:rPr>
                                <w:color w:val="FFFFFF" w:themeColor="background1"/>
                              </w:rPr>
                              <w:t>Aucun cautionnement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760" o:spid="_x0000_s1513" style="position:absolute;margin-left:540pt;margin-top:.3pt;width:153pt;height:153pt;z-index:2530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" fillcolor="#6e9400 [2404]" strokecolor="white">
                <v:textbox>
                  <w:txbxContent>
                    <w:p w14:paraId="51CD9D5D" w14:textId="20214E8B" w:rsidR="001501D6" w:rsidRDefault="001501D6" w:rsidP="0091015E">
                      <w:pPr>
                        <w:jc w:val="center"/>
                        <w:rPr>
                          <w:color w:val="FFFFFF" w:themeColor="background1"/>
                        </w:rPr>
                      </w:pPr>
                      <w:r>
                        <w:rPr>
                          <w:color w:val="FFFFFF" w:themeColor="background1"/>
                        </w:rPr>
                        <w:t>Garantie hypothécaire</w:t>
                      </w:r>
                    </w:p>
                    <w:p w14:paraId="581AE608" w14:textId="77777777" w:rsidR="001501D6" w:rsidRDefault="001501D6" w:rsidP="0091015E">
                      <w:pPr>
                        <w:jc w:val="center"/>
                        <w:rPr>
                          <w:color w:val="FFFFFF" w:themeColor="background1"/>
                        </w:rPr>
                      </w:pPr>
                    </w:p>
                    <w:p w14:paraId="1AF7944E" w14:textId="77777777" w:rsidR="001501D6" w:rsidRPr="001451AC" w:rsidRDefault="001501D6" w:rsidP="0091015E">
                      <w:pPr>
                        <w:jc w:val="center"/>
                        <w:rPr>
                          <w:color w:val="FFFFFF" w:themeColor="background1"/>
                        </w:rPr>
                      </w:pPr>
                      <w:r>
                        <w:rPr>
                          <w:color w:val="FFFFFF" w:themeColor="background1"/>
                        </w:rPr>
                        <w:t>Aucun cautionnement</w:t>
                      </w:r>
                    </w:p>
                  </w:txbxContent>
                </v:textbox>
              </v:oval>
            </w:pict>
          </mc:Fallback>
        </mc:AlternateContent>
      </w:r>
    </w:p>
    <w:p w14:paraId="5C537135" w14:textId="5990A28B" w:rsidR="0013782F" w:rsidRDefault="00151D73">
      <w:r>
        <w:rPr>
          <w:noProof/>
          <w:lang w:eastAsia="fr-FR"/>
        </w:rPr>
        <mc:AlternateContent>
          <mc:Choice Requires="wps">
            <w:drawing>
              <wp:anchor distT="0" distB="0" distL="114300" distR="114300" simplePos="0" relativeHeight="253062144" behindDoc="0" locked="0" layoutInCell="1" allowOverlap="1" wp14:anchorId="48D5F647" wp14:editId="0CD79E39">
                <wp:simplePos x="0" y="0"/>
                <wp:positionH relativeFrom="column">
                  <wp:posOffset>4686300</wp:posOffset>
                </wp:positionH>
                <wp:positionV relativeFrom="paragraph">
                  <wp:posOffset>2890520</wp:posOffset>
                </wp:positionV>
                <wp:extent cx="4457700" cy="1028700"/>
                <wp:effectExtent l="76200" t="76200" r="63500" b="63500"/>
                <wp:wrapThrough wrapText="bothSides">
                  <wp:wrapPolygon edited="0">
                    <wp:start x="-123" y="-1600"/>
                    <wp:lineTo x="-369" y="-533"/>
                    <wp:lineTo x="-369" y="16533"/>
                    <wp:lineTo x="-123" y="22400"/>
                    <wp:lineTo x="21538" y="22400"/>
                    <wp:lineTo x="21785" y="16533"/>
                    <wp:lineTo x="21785" y="8000"/>
                    <wp:lineTo x="21538" y="0"/>
                    <wp:lineTo x="21538" y="-1600"/>
                    <wp:lineTo x="-123" y="-1600"/>
                  </wp:wrapPolygon>
                </wp:wrapThrough>
                <wp:docPr id="762" name="Rectangle à coins arrondis 762"/>
                <wp:cNvGraphicFramePr/>
                <a:graphic xmlns:a="http://schemas.openxmlformats.org/drawingml/2006/main">
                  <a:graphicData uri="http://schemas.microsoft.com/office/word/2010/wordprocessingShape">
                    <wps:wsp>
                      <wps:cNvSpPr/>
                      <wps:spPr>
                        <a:xfrm>
                          <a:off x="0" y="0"/>
                          <a:ext cx="4457700" cy="1028700"/>
                        </a:xfrm>
                        <a:prstGeom prst="roundRect">
                          <a:avLst/>
                        </a:prstGeom>
                        <a:solidFill>
                          <a:srgbClr val="000000"/>
                        </a:solidFill>
                        <a:ln>
                          <a:solidFill>
                            <a:srgbClr val="FFFFFF"/>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A6E949" w14:textId="77777777" w:rsidR="00573C95" w:rsidRDefault="00573C95" w:rsidP="00F71C1A">
                            <w:pPr>
                              <w:jc w:val="center"/>
                            </w:pPr>
                            <w:r>
                              <w:t>INTÉRÊTS DÉBOURSÉS</w:t>
                            </w:r>
                          </w:p>
                          <w:p w14:paraId="555053A2" w14:textId="77777777" w:rsidR="00573C95" w:rsidRDefault="00573C95" w:rsidP="00F71C1A">
                            <w:pPr>
                              <w:jc w:val="center"/>
                            </w:pPr>
                          </w:p>
                          <w:p w14:paraId="05A55DF3" w14:textId="046C1005" w:rsidR="00573C95" w:rsidRPr="00192DB9" w:rsidRDefault="00573C95" w:rsidP="00F71C1A">
                            <w:pPr>
                              <w:jc w:val="center"/>
                              <w:rPr>
                                <w:sz w:val="32"/>
                                <w:szCs w:val="32"/>
                              </w:rPr>
                            </w:pPr>
                            <w:r w:rsidRPr="00192DB9">
                              <w:rPr>
                                <w:sz w:val="32"/>
                                <w:szCs w:val="32"/>
                              </w:rPr>
                              <w:t>1 211 $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62" o:spid="_x0000_s1514" style="position:absolute;margin-left:369pt;margin-top:227.6pt;width:351pt;height:81pt;z-index:2530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" fillcolor="black" strokecolor="white">
                <v:textbox>
                  <w:txbxContent>
                    <w:p w14:paraId="23A6E949" w14:textId="77777777" w:rsidR="001501D6" w:rsidRDefault="001501D6" w:rsidP="00F71C1A">
                      <w:pPr>
                        <w:jc w:val="center"/>
                      </w:pPr>
                      <w:r>
                        <w:t>INTÉRÊTS DÉBOURSÉS</w:t>
                      </w:r>
                    </w:p>
                    <w:p w14:paraId="555053A2" w14:textId="77777777" w:rsidR="001501D6" w:rsidRDefault="001501D6" w:rsidP="00F71C1A">
                      <w:pPr>
                        <w:jc w:val="center"/>
                      </w:pPr>
                    </w:p>
                    <w:p w14:paraId="05A55DF3" w14:textId="046C1005" w:rsidR="001501D6" w:rsidRPr="00192DB9" w:rsidRDefault="001501D6" w:rsidP="00F71C1A">
                      <w:pPr>
                        <w:jc w:val="center"/>
                        <w:rPr>
                          <w:sz w:val="32"/>
                          <w:szCs w:val="32"/>
                        </w:rPr>
                      </w:pPr>
                      <w:r w:rsidRPr="00192DB9">
                        <w:rPr>
                          <w:sz w:val="32"/>
                          <w:szCs w:val="32"/>
                        </w:rPr>
                        <w:t>1 211 $</w:t>
                      </w:r>
                    </w:p>
                  </w:txbxContent>
                </v:textbox>
                <w10:wrap type="through"/>
              </v:roundrect>
            </w:pict>
          </mc:Fallback>
        </mc:AlternateContent>
      </w:r>
      <w:r w:rsidR="00BB6EBE" w:rsidRPr="00424310">
        <w:rPr>
          <w:noProof/>
          <w:lang w:eastAsia="fr-FR"/>
        </w:rPr>
        <mc:AlternateContent>
          <mc:Choice Requires="wps">
            <w:drawing>
              <wp:anchor distT="0" distB="0" distL="114300" distR="114300" simplePos="0" relativeHeight="253064192" behindDoc="0" locked="0" layoutInCell="1" allowOverlap="1" wp14:anchorId="32B97445" wp14:editId="0C61E8AA">
                <wp:simplePos x="0" y="0"/>
                <wp:positionH relativeFrom="column">
                  <wp:posOffset>-228600</wp:posOffset>
                </wp:positionH>
                <wp:positionV relativeFrom="paragraph">
                  <wp:posOffset>2433320</wp:posOffset>
                </wp:positionV>
                <wp:extent cx="896620" cy="896620"/>
                <wp:effectExtent l="76200" t="76200" r="68580" b="68580"/>
                <wp:wrapNone/>
                <wp:docPr id="763" name="Ellipse 763"/>
                <wp:cNvGraphicFramePr/>
                <a:graphic xmlns:a="http://schemas.openxmlformats.org/drawingml/2006/main">
                  <a:graphicData uri="http://schemas.microsoft.com/office/word/2010/wordprocessingShape">
                    <wps:wsp>
                      <wps:cNvSpPr/>
                      <wps:spPr>
                        <a:xfrm>
                          <a:off x="0" y="0"/>
                          <a:ext cx="896620" cy="896620"/>
                        </a:xfrm>
                        <a:prstGeom prst="ellipse">
                          <a:avLst/>
                        </a:prstGeom>
                        <a:solidFill>
                          <a:schemeClr val="tx1">
                            <a:lumMod val="50000"/>
                            <a:lumOff val="50000"/>
                          </a:schemeClr>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3558341" w14:textId="77777777" w:rsidR="00573C95" w:rsidRPr="001451AC" w:rsidRDefault="00573C95" w:rsidP="00A13177">
                            <w:pPr>
                              <w:jc w:val="center"/>
                              <w:rPr>
                                <w:color w:val="FFFFFF" w:themeColor="background1"/>
                              </w:rPr>
                            </w:pPr>
                            <w:r w:rsidRPr="001451AC">
                              <w:rPr>
                                <w:color w:val="FFFFFF" w:themeColor="background1"/>
                              </w:rPr>
                              <w:t>Offre</w:t>
                            </w:r>
                          </w:p>
                          <w:p w14:paraId="229910E5" w14:textId="77777777" w:rsidR="00573C95" w:rsidRPr="001451AC" w:rsidRDefault="00573C95" w:rsidP="00A13177">
                            <w:pPr>
                              <w:jc w:val="center"/>
                              <w:rPr>
                                <w:color w:val="FFFFFF" w:themeColor="background1"/>
                                <w:sz w:val="48"/>
                                <w:szCs w:val="48"/>
                              </w:rPr>
                            </w:pPr>
                            <w:r w:rsidRPr="001451AC">
                              <w:rPr>
                                <w:color w:val="FFFFFF" w:themeColor="background1"/>
                                <w:sz w:val="48"/>
                                <w:szCs w:val="48"/>
                              </w:rPr>
                              <w:t>1</w:t>
                            </w:r>
                          </w:p>
                          <w:p w14:paraId="6529ECD4" w14:textId="77777777" w:rsidR="00573C95" w:rsidRPr="001451AC" w:rsidRDefault="00573C95" w:rsidP="00A13177">
                            <w:pPr>
                              <w:jc w:val="center"/>
                              <w:rPr>
                                <w:color w:val="FFFFFF" w:themeColor="background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763" o:spid="_x0000_s1515" style="position:absolute;margin-left:-17.95pt;margin-top:191.6pt;width:70.6pt;height:70.6pt;z-index:2530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" fillcolor="gray [1629]" strokecolor="white">
                <v:textbox>
                  <w:txbxContent>
                    <w:p w14:paraId="23558341" w14:textId="77777777" w:rsidR="001501D6" w:rsidRPr="001451AC" w:rsidRDefault="001501D6" w:rsidP="00A13177">
                      <w:pPr>
                        <w:jc w:val="center"/>
                        <w:rPr>
                          <w:color w:val="FFFFFF" w:themeColor="background1"/>
                        </w:rPr>
                      </w:pPr>
                      <w:r w:rsidRPr="001451AC">
                        <w:rPr>
                          <w:color w:val="FFFFFF" w:themeColor="background1"/>
                        </w:rPr>
                        <w:t>Offre</w:t>
                      </w:r>
                    </w:p>
                    <w:p w14:paraId="229910E5" w14:textId="77777777" w:rsidR="001501D6" w:rsidRPr="001451AC" w:rsidRDefault="001501D6" w:rsidP="00A13177">
                      <w:pPr>
                        <w:jc w:val="center"/>
                        <w:rPr>
                          <w:color w:val="FFFFFF" w:themeColor="background1"/>
                          <w:sz w:val="48"/>
                          <w:szCs w:val="48"/>
                        </w:rPr>
                      </w:pPr>
                      <w:r w:rsidRPr="001451AC">
                        <w:rPr>
                          <w:color w:val="FFFFFF" w:themeColor="background1"/>
                          <w:sz w:val="48"/>
                          <w:szCs w:val="48"/>
                        </w:rPr>
                        <w:t>1</w:t>
                      </w:r>
                    </w:p>
                    <w:p w14:paraId="6529ECD4" w14:textId="77777777" w:rsidR="001501D6" w:rsidRPr="001451AC" w:rsidRDefault="001501D6" w:rsidP="00A13177">
                      <w:pPr>
                        <w:jc w:val="center"/>
                        <w:rPr>
                          <w:color w:val="FFFFFF" w:themeColor="background1"/>
                        </w:rPr>
                      </w:pPr>
                    </w:p>
                  </w:txbxContent>
                </v:textbox>
              </v:oval>
            </w:pict>
          </mc:Fallback>
        </mc:AlternateContent>
      </w:r>
      <w:r w:rsidR="00BB6EBE">
        <w:rPr>
          <w:noProof/>
          <w:lang w:eastAsia="fr-FR"/>
        </w:rPr>
        <mc:AlternateContent>
          <mc:Choice Requires="wps">
            <w:drawing>
              <wp:anchor distT="0" distB="0" distL="114300" distR="114300" simplePos="0" relativeHeight="253060096" behindDoc="0" locked="0" layoutInCell="1" allowOverlap="1" wp14:anchorId="3EA584FF" wp14:editId="1CB8918E">
                <wp:simplePos x="0" y="0"/>
                <wp:positionH relativeFrom="column">
                  <wp:posOffset>-114300</wp:posOffset>
                </wp:positionH>
                <wp:positionV relativeFrom="paragraph">
                  <wp:posOffset>2879090</wp:posOffset>
                </wp:positionV>
                <wp:extent cx="4457700" cy="1028700"/>
                <wp:effectExtent l="76200" t="76200" r="63500" b="63500"/>
                <wp:wrapThrough wrapText="bothSides">
                  <wp:wrapPolygon edited="0">
                    <wp:start x="-123" y="-1600"/>
                    <wp:lineTo x="-369" y="-533"/>
                    <wp:lineTo x="-369" y="16533"/>
                    <wp:lineTo x="-123" y="22400"/>
                    <wp:lineTo x="21538" y="22400"/>
                    <wp:lineTo x="21785" y="16533"/>
                    <wp:lineTo x="21785" y="8000"/>
                    <wp:lineTo x="21538" y="0"/>
                    <wp:lineTo x="21538" y="-1600"/>
                    <wp:lineTo x="-123" y="-1600"/>
                  </wp:wrapPolygon>
                </wp:wrapThrough>
                <wp:docPr id="761" name="Rectangle à coins arrondis 761"/>
                <wp:cNvGraphicFramePr/>
                <a:graphic xmlns:a="http://schemas.openxmlformats.org/drawingml/2006/main">
                  <a:graphicData uri="http://schemas.microsoft.com/office/word/2010/wordprocessingShape">
                    <wps:wsp>
                      <wps:cNvSpPr/>
                      <wps:spPr>
                        <a:xfrm>
                          <a:off x="0" y="0"/>
                          <a:ext cx="4457700" cy="1028700"/>
                        </a:xfrm>
                        <a:prstGeom prst="round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D18F837" w14:textId="6AE53318" w:rsidR="00573C95" w:rsidRDefault="00573C95" w:rsidP="00C34CC6">
                            <w:pPr>
                              <w:jc w:val="center"/>
                            </w:pPr>
                            <w:r>
                              <w:t>INTÉRÊTS DÉBOURSÉS</w:t>
                            </w:r>
                          </w:p>
                          <w:p w14:paraId="691BCF1B" w14:textId="77777777" w:rsidR="00573C95" w:rsidRDefault="00573C95" w:rsidP="00C34CC6">
                            <w:pPr>
                              <w:jc w:val="center"/>
                            </w:pPr>
                          </w:p>
                          <w:p w14:paraId="75E61C52" w14:textId="3EF6AAC0" w:rsidR="00573C95" w:rsidRPr="00192DB9" w:rsidRDefault="00573C95" w:rsidP="00C34CC6">
                            <w:pPr>
                              <w:jc w:val="center"/>
                              <w:rPr>
                                <w:sz w:val="56"/>
                                <w:szCs w:val="56"/>
                              </w:rPr>
                            </w:pPr>
                            <w:r w:rsidRPr="00192DB9">
                              <w:rPr>
                                <w:sz w:val="56"/>
                                <w:szCs w:val="56"/>
                              </w:rPr>
                              <w:t>2 240 $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61" o:spid="_x0000_s1516" style="position:absolute;margin-left:-8.95pt;margin-top:226.7pt;width:351pt;height:81pt;z-index:2530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" fillcolor="black [3213]" stroked="f">
                <v:textbox>
                  <w:txbxContent>
                    <w:p w14:paraId="7D18F837" w14:textId="6AE53318" w:rsidR="001501D6" w:rsidRDefault="001501D6" w:rsidP="00C34CC6">
                      <w:pPr>
                        <w:jc w:val="center"/>
                      </w:pPr>
                      <w:r>
                        <w:t>INTÉRÊTS DÉBOURSÉS</w:t>
                      </w:r>
                    </w:p>
                    <w:p w14:paraId="691BCF1B" w14:textId="77777777" w:rsidR="001501D6" w:rsidRDefault="001501D6" w:rsidP="00C34CC6">
                      <w:pPr>
                        <w:jc w:val="center"/>
                      </w:pPr>
                    </w:p>
                    <w:p w14:paraId="75E61C52" w14:textId="3EF6AAC0" w:rsidR="001501D6" w:rsidRPr="00192DB9" w:rsidRDefault="001501D6" w:rsidP="00C34CC6">
                      <w:pPr>
                        <w:jc w:val="center"/>
                        <w:rPr>
                          <w:sz w:val="56"/>
                          <w:szCs w:val="56"/>
                        </w:rPr>
                      </w:pPr>
                      <w:r w:rsidRPr="00192DB9">
                        <w:rPr>
                          <w:sz w:val="56"/>
                          <w:szCs w:val="56"/>
                        </w:rPr>
                        <w:t>2 240 $</w:t>
                      </w:r>
                    </w:p>
                  </w:txbxContent>
                </v:textbox>
                <w10:wrap type="through"/>
              </v:roundrect>
            </w:pict>
          </mc:Fallback>
        </mc:AlternateContent>
      </w:r>
      <w:r w:rsidR="00BB6EBE" w:rsidRPr="00424310">
        <w:rPr>
          <w:noProof/>
          <w:lang w:eastAsia="fr-FR"/>
        </w:rPr>
        <mc:AlternateContent>
          <mc:Choice Requires="wps">
            <w:drawing>
              <wp:anchor distT="0" distB="0" distL="114300" distR="114300" simplePos="0" relativeHeight="253066240" behindDoc="0" locked="0" layoutInCell="1" allowOverlap="1" wp14:anchorId="1FCCF527" wp14:editId="429B918D">
                <wp:simplePos x="0" y="0"/>
                <wp:positionH relativeFrom="column">
                  <wp:posOffset>4572000</wp:posOffset>
                </wp:positionH>
                <wp:positionV relativeFrom="paragraph">
                  <wp:posOffset>2421890</wp:posOffset>
                </wp:positionV>
                <wp:extent cx="896620" cy="896620"/>
                <wp:effectExtent l="76200" t="76200" r="68580" b="68580"/>
                <wp:wrapNone/>
                <wp:docPr id="764" name="Ellipse 764"/>
                <wp:cNvGraphicFramePr/>
                <a:graphic xmlns:a="http://schemas.openxmlformats.org/drawingml/2006/main">
                  <a:graphicData uri="http://schemas.microsoft.com/office/word/2010/wordprocessingShape">
                    <wps:wsp>
                      <wps:cNvSpPr/>
                      <wps:spPr>
                        <a:xfrm>
                          <a:off x="0" y="0"/>
                          <a:ext cx="896620" cy="896620"/>
                        </a:xfrm>
                        <a:prstGeom prst="ellipse">
                          <a:avLst/>
                        </a:prstGeom>
                        <a:solidFill>
                          <a:srgbClr val="7F7F7F"/>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6B63B7E" w14:textId="77777777" w:rsidR="00573C95" w:rsidRPr="001451AC" w:rsidRDefault="00573C95" w:rsidP="000745D2">
                            <w:pPr>
                              <w:jc w:val="center"/>
                              <w:rPr>
                                <w:color w:val="FFFFFF" w:themeColor="background1"/>
                              </w:rPr>
                            </w:pPr>
                            <w:r w:rsidRPr="001451AC">
                              <w:rPr>
                                <w:color w:val="FFFFFF" w:themeColor="background1"/>
                              </w:rPr>
                              <w:t>Offre</w:t>
                            </w:r>
                          </w:p>
                          <w:p w14:paraId="1815065A" w14:textId="77777777" w:rsidR="00573C95" w:rsidRPr="001451AC" w:rsidRDefault="00573C95" w:rsidP="000745D2">
                            <w:pPr>
                              <w:jc w:val="center"/>
                              <w:rPr>
                                <w:color w:val="FFFFFF" w:themeColor="background1"/>
                                <w:sz w:val="48"/>
                                <w:szCs w:val="48"/>
                              </w:rPr>
                            </w:pPr>
                            <w:r>
                              <w:rPr>
                                <w:color w:val="FFFFFF" w:themeColor="background1"/>
                                <w:sz w:val="48"/>
                                <w:szCs w:val="48"/>
                              </w:rPr>
                              <w:t>2</w:t>
                            </w:r>
                          </w:p>
                          <w:p w14:paraId="79A1594C" w14:textId="77777777" w:rsidR="00573C95" w:rsidRPr="001451AC" w:rsidRDefault="00573C95" w:rsidP="000745D2">
                            <w:pPr>
                              <w:jc w:val="center"/>
                              <w:rPr>
                                <w:color w:val="FFFFFF" w:themeColor="background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764" o:spid="_x0000_s1517" style="position:absolute;margin-left:5in;margin-top:190.7pt;width:70.6pt;height:70.6pt;z-index:2530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" fillcolor="#7f7f7f" strokecolor="white">
                <v:textbox>
                  <w:txbxContent>
                    <w:p w14:paraId="06B63B7E" w14:textId="77777777" w:rsidR="001501D6" w:rsidRPr="001451AC" w:rsidRDefault="001501D6" w:rsidP="000745D2">
                      <w:pPr>
                        <w:jc w:val="center"/>
                        <w:rPr>
                          <w:color w:val="FFFFFF" w:themeColor="background1"/>
                        </w:rPr>
                      </w:pPr>
                      <w:r w:rsidRPr="001451AC">
                        <w:rPr>
                          <w:color w:val="FFFFFF" w:themeColor="background1"/>
                        </w:rPr>
                        <w:t>Offre</w:t>
                      </w:r>
                    </w:p>
                    <w:p w14:paraId="1815065A" w14:textId="77777777" w:rsidR="001501D6" w:rsidRPr="001451AC" w:rsidRDefault="001501D6" w:rsidP="000745D2">
                      <w:pPr>
                        <w:jc w:val="center"/>
                        <w:rPr>
                          <w:color w:val="FFFFFF" w:themeColor="background1"/>
                          <w:sz w:val="48"/>
                          <w:szCs w:val="48"/>
                        </w:rPr>
                      </w:pPr>
                      <w:r>
                        <w:rPr>
                          <w:color w:val="FFFFFF" w:themeColor="background1"/>
                          <w:sz w:val="48"/>
                          <w:szCs w:val="48"/>
                        </w:rPr>
                        <w:t>2</w:t>
                      </w:r>
                    </w:p>
                    <w:p w14:paraId="79A1594C" w14:textId="77777777" w:rsidR="001501D6" w:rsidRPr="001451AC" w:rsidRDefault="001501D6" w:rsidP="000745D2">
                      <w:pPr>
                        <w:jc w:val="center"/>
                        <w:rPr>
                          <w:color w:val="FFFFFF" w:themeColor="background1"/>
                        </w:rPr>
                      </w:pPr>
                    </w:p>
                  </w:txbxContent>
                </v:textbox>
              </v:oval>
            </w:pict>
          </mc:Fallback>
        </mc:AlternateContent>
      </w:r>
      <w:r w:rsidR="0091015E" w:rsidRPr="00424310">
        <w:rPr>
          <w:noProof/>
          <w:lang w:eastAsia="fr-FR"/>
        </w:rPr>
        <mc:AlternateContent>
          <mc:Choice Requires="wps">
            <w:drawing>
              <wp:anchor distT="0" distB="0" distL="114300" distR="114300" simplePos="0" relativeHeight="253052928" behindDoc="0" locked="0" layoutInCell="1" allowOverlap="1" wp14:anchorId="012C45A0" wp14:editId="6E2483F8">
                <wp:simplePos x="0" y="0"/>
                <wp:positionH relativeFrom="column">
                  <wp:posOffset>5143500</wp:posOffset>
                </wp:positionH>
                <wp:positionV relativeFrom="paragraph">
                  <wp:posOffset>160020</wp:posOffset>
                </wp:positionV>
                <wp:extent cx="2057400" cy="2057400"/>
                <wp:effectExtent l="76200" t="76200" r="76200" b="76200"/>
                <wp:wrapNone/>
                <wp:docPr id="757" name="Ellipse 757"/>
                <wp:cNvGraphicFramePr/>
                <a:graphic xmlns:a="http://schemas.openxmlformats.org/drawingml/2006/main">
                  <a:graphicData uri="http://schemas.microsoft.com/office/word/2010/wordprocessingShape">
                    <wps:wsp>
                      <wps:cNvSpPr/>
                      <wps:spPr>
                        <a:xfrm>
                          <a:off x="0" y="0"/>
                          <a:ext cx="2057400" cy="20574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330F228" w14:textId="60637BED" w:rsidR="00573C95" w:rsidRDefault="00573C95" w:rsidP="0091015E">
                            <w:pPr>
                              <w:jc w:val="center"/>
                            </w:pPr>
                            <w:r>
                              <w:t>Durée - 78 versements</w:t>
                            </w:r>
                          </w:p>
                          <w:p w14:paraId="37C6D2B5" w14:textId="77777777" w:rsidR="00573C95" w:rsidRDefault="00573C95" w:rsidP="0091015E">
                            <w:pPr>
                              <w:jc w:val="center"/>
                            </w:pPr>
                          </w:p>
                          <w:p w14:paraId="618E2C10" w14:textId="3D7EBCA9" w:rsidR="00573C95" w:rsidRDefault="00573C95" w:rsidP="0091015E">
                            <w:pPr>
                              <w:jc w:val="center"/>
                            </w:pPr>
                            <w:r>
                              <w:t>Fréquence - aux 2 semaines</w:t>
                            </w:r>
                          </w:p>
                          <w:p w14:paraId="263D5880" w14:textId="77777777" w:rsidR="00573C95" w:rsidRDefault="00573C95" w:rsidP="0091015E">
                            <w:pPr>
                              <w:jc w:val="center"/>
                            </w:pPr>
                          </w:p>
                          <w:p w14:paraId="1A78F58D" w14:textId="40825DE0" w:rsidR="00573C95" w:rsidRDefault="00573C95" w:rsidP="0091015E">
                            <w:pPr>
                              <w:jc w:val="center"/>
                            </w:pPr>
                            <w:r>
                              <w:t>Taux - 3,5 %</w:t>
                            </w:r>
                          </w:p>
                          <w:p w14:paraId="02AA1465" w14:textId="1E437E19" w:rsidR="00573C95" w:rsidRDefault="00573C95" w:rsidP="00424310">
                            <w:pPr>
                              <w:jc w:val="center"/>
                            </w:pP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757" o:spid="_x0000_s1518" style="position:absolute;margin-left:405pt;margin-top:12.6pt;width:162pt;height:162pt;z-index:2530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" fillcolor="maroon">
                <v:textbox>
                  <w:txbxContent>
                    <w:p w14:paraId="7330F228" w14:textId="60637BED" w:rsidR="001501D6" w:rsidRDefault="001501D6" w:rsidP="0091015E">
                      <w:pPr>
                        <w:jc w:val="center"/>
                      </w:pPr>
                      <w:r>
                        <w:t>Durée - 78 versements</w:t>
                      </w:r>
                    </w:p>
                    <w:p w14:paraId="37C6D2B5" w14:textId="77777777" w:rsidR="001501D6" w:rsidRDefault="001501D6" w:rsidP="0091015E">
                      <w:pPr>
                        <w:jc w:val="center"/>
                      </w:pPr>
                    </w:p>
                    <w:p w14:paraId="618E2C10" w14:textId="3D7EBCA9" w:rsidR="001501D6" w:rsidRDefault="001501D6" w:rsidP="0091015E">
                      <w:pPr>
                        <w:jc w:val="center"/>
                      </w:pPr>
                      <w:r>
                        <w:t>Fréquence - aux 2 semaines</w:t>
                      </w:r>
                    </w:p>
                    <w:p w14:paraId="263D5880" w14:textId="77777777" w:rsidR="001501D6" w:rsidRDefault="001501D6" w:rsidP="0091015E">
                      <w:pPr>
                        <w:jc w:val="center"/>
                      </w:pPr>
                    </w:p>
                    <w:p w14:paraId="1A78F58D" w14:textId="40825DE0" w:rsidR="001501D6" w:rsidRDefault="001501D6" w:rsidP="0091015E">
                      <w:pPr>
                        <w:jc w:val="center"/>
                      </w:pPr>
                      <w:r>
                        <w:t>Taux - 3,5 %</w:t>
                      </w:r>
                    </w:p>
                    <w:p w14:paraId="02AA1465" w14:textId="1E437E19" w:rsidR="001501D6" w:rsidRDefault="001501D6" w:rsidP="00424310">
                      <w:pPr>
                        <w:jc w:val="center"/>
                      </w:pPr>
                    </w:p>
                  </w:txbxContent>
                </v:textbox>
              </v:oval>
            </w:pict>
          </mc:Fallback>
        </mc:AlternateContent>
      </w:r>
      <w:r w:rsidR="00424310" w:rsidRPr="00424310">
        <w:rPr>
          <w:noProof/>
          <w:lang w:eastAsia="fr-FR"/>
        </w:rPr>
        <mc:AlternateContent>
          <mc:Choice Requires="wps">
            <w:drawing>
              <wp:anchor distT="0" distB="0" distL="114300" distR="114300" simplePos="0" relativeHeight="253053952" behindDoc="0" locked="0" layoutInCell="1" allowOverlap="1" wp14:anchorId="7F50A62F" wp14:editId="09E7B756">
                <wp:simplePos x="0" y="0"/>
                <wp:positionH relativeFrom="column">
                  <wp:posOffset>4572000</wp:posOffset>
                </wp:positionH>
                <wp:positionV relativeFrom="paragraph">
                  <wp:posOffset>243205</wp:posOffset>
                </wp:positionV>
                <wp:extent cx="896620" cy="896620"/>
                <wp:effectExtent l="76200" t="76200" r="68580" b="68580"/>
                <wp:wrapNone/>
                <wp:docPr id="758" name="Ellipse 758"/>
                <wp:cNvGraphicFramePr/>
                <a:graphic xmlns:a="http://schemas.openxmlformats.org/drawingml/2006/main">
                  <a:graphicData uri="http://schemas.microsoft.com/office/word/2010/wordprocessingShape">
                    <wps:wsp>
                      <wps:cNvSpPr/>
                      <wps:spPr>
                        <a:xfrm>
                          <a:off x="0" y="0"/>
                          <a:ext cx="896620" cy="896620"/>
                        </a:xfrm>
                        <a:prstGeom prst="ellipse">
                          <a:avLst/>
                        </a:prstGeom>
                        <a:solidFill>
                          <a:srgbClr val="7F7F7F"/>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BD7B3F" w14:textId="77777777" w:rsidR="00573C95" w:rsidRPr="001451AC" w:rsidRDefault="00573C95" w:rsidP="00424310">
                            <w:pPr>
                              <w:jc w:val="center"/>
                              <w:rPr>
                                <w:color w:val="FFFFFF" w:themeColor="background1"/>
                              </w:rPr>
                            </w:pPr>
                            <w:r w:rsidRPr="001451AC">
                              <w:rPr>
                                <w:color w:val="FFFFFF" w:themeColor="background1"/>
                              </w:rPr>
                              <w:t>Offre</w:t>
                            </w:r>
                          </w:p>
                          <w:p w14:paraId="652DE7AB" w14:textId="0078810E" w:rsidR="00573C95" w:rsidRPr="001451AC" w:rsidRDefault="00573C95" w:rsidP="00424310">
                            <w:pPr>
                              <w:jc w:val="center"/>
                              <w:rPr>
                                <w:color w:val="FFFFFF" w:themeColor="background1"/>
                                <w:sz w:val="48"/>
                                <w:szCs w:val="48"/>
                              </w:rPr>
                            </w:pPr>
                            <w:r>
                              <w:rPr>
                                <w:color w:val="FFFFFF" w:themeColor="background1"/>
                                <w:sz w:val="48"/>
                                <w:szCs w:val="48"/>
                              </w:rPr>
                              <w:t>2</w:t>
                            </w:r>
                          </w:p>
                          <w:p w14:paraId="2D1D6569" w14:textId="77777777" w:rsidR="00573C95" w:rsidRPr="001451AC" w:rsidRDefault="00573C95" w:rsidP="00424310">
                            <w:pPr>
                              <w:jc w:val="center"/>
                              <w:rPr>
                                <w:color w:val="FFFFFF" w:themeColor="background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758" o:spid="_x0000_s1519" style="position:absolute;margin-left:5in;margin-top:19.15pt;width:70.6pt;height:70.6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" fillcolor="#7f7f7f" strokecolor="white">
                <v:textbox>
                  <w:txbxContent>
                    <w:p w14:paraId="29BD7B3F" w14:textId="77777777" w:rsidR="001501D6" w:rsidRPr="001451AC" w:rsidRDefault="001501D6" w:rsidP="00424310">
                      <w:pPr>
                        <w:jc w:val="center"/>
                        <w:rPr>
                          <w:color w:val="FFFFFF" w:themeColor="background1"/>
                        </w:rPr>
                      </w:pPr>
                      <w:r w:rsidRPr="001451AC">
                        <w:rPr>
                          <w:color w:val="FFFFFF" w:themeColor="background1"/>
                        </w:rPr>
                        <w:t>Offre</w:t>
                      </w:r>
                    </w:p>
                    <w:p w14:paraId="652DE7AB" w14:textId="0078810E" w:rsidR="001501D6" w:rsidRPr="001451AC" w:rsidRDefault="001501D6" w:rsidP="00424310">
                      <w:pPr>
                        <w:jc w:val="center"/>
                        <w:rPr>
                          <w:color w:val="FFFFFF" w:themeColor="background1"/>
                          <w:sz w:val="48"/>
                          <w:szCs w:val="48"/>
                        </w:rPr>
                      </w:pPr>
                      <w:r>
                        <w:rPr>
                          <w:color w:val="FFFFFF" w:themeColor="background1"/>
                          <w:sz w:val="48"/>
                          <w:szCs w:val="48"/>
                        </w:rPr>
                        <w:t>2</w:t>
                      </w:r>
                    </w:p>
                    <w:p w14:paraId="2D1D6569" w14:textId="77777777" w:rsidR="001501D6" w:rsidRPr="001451AC" w:rsidRDefault="001501D6" w:rsidP="00424310">
                      <w:pPr>
                        <w:jc w:val="center"/>
                        <w:rPr>
                          <w:color w:val="FFFFFF" w:themeColor="background1"/>
                        </w:rPr>
                      </w:pPr>
                    </w:p>
                  </w:txbxContent>
                </v:textbox>
              </v:oval>
            </w:pict>
          </mc:Fallback>
        </mc:AlternateContent>
      </w:r>
      <w:r w:rsidR="0013782F">
        <w:br w:type="page"/>
      </w:r>
    </w:p>
    <w:p w14:paraId="316FADA1" w14:textId="0C035A04" w:rsidR="002F4BC2" w:rsidRPr="002F4BC2" w:rsidRDefault="00BB6EBE" w:rsidP="006C34CF">
      <w:pPr>
        <w:pStyle w:val="Titre3"/>
        <w:numPr>
          <w:ilvl w:val="2"/>
          <w:numId w:val="100"/>
        </w:numPr>
      </w:pPr>
      <w:bookmarkStart w:id="152" w:name="_Toc314397883"/>
      <w:bookmarkStart w:id="153" w:name="_Toc443569427"/>
      <w:r>
        <w:lastRenderedPageBreak/>
        <w:t>Ca</w:t>
      </w:r>
      <w:r w:rsidR="002F4BC2">
        <w:t>pacité d'emprunt</w:t>
      </w:r>
      <w:bookmarkEnd w:id="152"/>
      <w:bookmarkEnd w:id="153"/>
    </w:p>
    <w:p w14:paraId="652CF608" w14:textId="77777777" w:rsidR="002F4BC2" w:rsidRDefault="002F4BC2" w:rsidP="00C451B7"/>
    <w:p w14:paraId="2BB41244" w14:textId="10D9640A" w:rsidR="005E1DD4" w:rsidRDefault="005E1DD4" w:rsidP="005E33B9">
      <w:pPr>
        <w:jc w:val="both"/>
        <w:rPr>
          <w:rFonts w:ascii="Avenir Book" w:hAnsi="Avenir Book"/>
        </w:rPr>
      </w:pPr>
      <w:r>
        <w:t xml:space="preserve">En matière de gestion de l'endettement, il peut sembler étonnant d'insister sur une certaine méfiance que les individus devraient démontrer à l'égard de leur </w:t>
      </w:r>
      <w:r w:rsidRPr="005E1DD4">
        <w:rPr>
          <w:color w:val="FF6700" w:themeColor="accent3"/>
        </w:rPr>
        <w:t>CAPACITÉ D'EMPRUNT</w:t>
      </w:r>
      <w:r>
        <w:t>.</w:t>
      </w:r>
      <w:r w:rsidR="005E33B9">
        <w:t xml:space="preserve"> Après tout, comme nous en avons discuté précédemment, les institutions financières ne prêtent pas de l'argent, n'importe comment, à n'importe qui. Si l'on vous offre du financement, c'est que vous en avez les capacités, </w:t>
      </w:r>
      <w:r w:rsidR="005E33B9" w:rsidRPr="005E33B9">
        <w:rPr>
          <w:color w:val="FF6700" w:themeColor="accent3"/>
        </w:rPr>
        <w:t>NON</w:t>
      </w:r>
      <w:r w:rsidR="005E33B9" w:rsidRPr="005E33B9">
        <w:rPr>
          <w:rFonts w:ascii="Avenir Book" w:hAnsi="Avenir Book"/>
        </w:rPr>
        <w:t>?</w:t>
      </w:r>
      <w:r w:rsidR="005E33B9">
        <w:rPr>
          <w:rFonts w:ascii="Avenir Book" w:hAnsi="Avenir Book"/>
        </w:rPr>
        <w:t xml:space="preserve"> </w:t>
      </w:r>
    </w:p>
    <w:p w14:paraId="4D42A5A4" w14:textId="77777777" w:rsidR="005E33B9" w:rsidRDefault="005E33B9" w:rsidP="005E33B9">
      <w:pPr>
        <w:jc w:val="both"/>
        <w:rPr>
          <w:rFonts w:ascii="Avenir Book" w:hAnsi="Avenir Book"/>
        </w:rPr>
      </w:pPr>
    </w:p>
    <w:p w14:paraId="5898A18B" w14:textId="099F6923" w:rsidR="00C5259E" w:rsidRDefault="005E33B9" w:rsidP="00C5259E">
      <w:pPr>
        <w:jc w:val="both"/>
      </w:pPr>
      <w:r w:rsidRPr="005E33B9">
        <w:rPr>
          <w:rFonts w:asciiTheme="majorHAnsi" w:hAnsiTheme="majorHAnsi"/>
        </w:rPr>
        <w:t>Il faut savoir</w:t>
      </w:r>
      <w:r>
        <w:rPr>
          <w:rFonts w:asciiTheme="majorHAnsi" w:hAnsiTheme="majorHAnsi"/>
        </w:rPr>
        <w:t xml:space="preserve"> que malgré une approche qualitative et quantitative bien documentée, qui s'appuie notamment sur des ratios financiers</w:t>
      </w:r>
      <w:r w:rsidR="00C5259E">
        <w:rPr>
          <w:rFonts w:asciiTheme="majorHAnsi" w:hAnsiTheme="majorHAnsi"/>
        </w:rPr>
        <w:t xml:space="preserve"> (ABD et ATD), le modèle d'affaire des institutions financières se fonde sur l</w:t>
      </w:r>
      <w:r w:rsidR="00E057D5">
        <w:rPr>
          <w:rFonts w:asciiTheme="majorHAnsi" w:hAnsiTheme="majorHAnsi"/>
        </w:rPr>
        <w:t>a théorie des</w:t>
      </w:r>
      <w:r w:rsidR="00C5259E">
        <w:rPr>
          <w:rFonts w:asciiTheme="majorHAnsi" w:hAnsiTheme="majorHAnsi"/>
        </w:rPr>
        <w:t xml:space="preserve"> grands nombres alors que votre cas est unique. C'est-à-dire que les prêteurs, sur un nombre élevé des prêts effectués, sont </w:t>
      </w:r>
      <w:r w:rsidR="00E057D5">
        <w:rPr>
          <w:rFonts w:asciiTheme="majorHAnsi" w:hAnsiTheme="majorHAnsi"/>
        </w:rPr>
        <w:t>tout à fait à l'aise avec l'idée d'</w:t>
      </w:r>
      <w:r w:rsidR="00C5259E">
        <w:rPr>
          <w:rFonts w:asciiTheme="majorHAnsi" w:hAnsiTheme="majorHAnsi"/>
        </w:rPr>
        <w:t>a</w:t>
      </w:r>
      <w:r w:rsidR="00C5259E">
        <w:t>ccorder, en petit nombre, un prêt à un individu qui n'arrivera pas à le rembourser, si cela leur permet de maximiser le nombre de prêts à un individu qui parviendra à le rembourser pleinement.</w:t>
      </w:r>
      <w:r w:rsidR="00E057D5">
        <w:t xml:space="preserve"> Les prêteurs peuvent assumer des pertes </w:t>
      </w:r>
      <w:r w:rsidR="00D8378E">
        <w:t xml:space="preserve">pourvu </w:t>
      </w:r>
      <w:r w:rsidR="00E057D5">
        <w:t xml:space="preserve">qu'au final les gains leurs soient supérieurs. </w:t>
      </w:r>
      <w:r w:rsidR="00D868E6">
        <w:t>Il en est tout autre pour</w:t>
      </w:r>
      <w:r w:rsidR="00E057D5">
        <w:t xml:space="preserve"> l'emprunteur, l'étranglement par des dettes trop nombreuses et trop coûteuses peut être catastrophique</w:t>
      </w:r>
      <w:r w:rsidR="00D868E6">
        <w:t xml:space="preserve"> pour lui</w:t>
      </w:r>
      <w:r w:rsidR="00E057D5">
        <w:t xml:space="preserve"> et mettre en péril sa santé financière.</w:t>
      </w:r>
    </w:p>
    <w:p w14:paraId="0A3B4B08" w14:textId="77777777" w:rsidR="00E057D5" w:rsidRDefault="00C5259E" w:rsidP="005E33B9">
      <w:pPr>
        <w:jc w:val="both"/>
        <w:rPr>
          <w:rFonts w:asciiTheme="majorHAnsi" w:hAnsiTheme="majorHAnsi"/>
        </w:rPr>
      </w:pPr>
      <w:r>
        <w:rPr>
          <w:rFonts w:asciiTheme="majorHAnsi" w:hAnsiTheme="majorHAnsi"/>
        </w:rPr>
        <w:t xml:space="preserve"> </w:t>
      </w:r>
    </w:p>
    <w:p w14:paraId="0C9FF612" w14:textId="71B91AD0" w:rsidR="005E1DD4" w:rsidRDefault="00076D36" w:rsidP="0043669F">
      <w:pPr>
        <w:jc w:val="both"/>
        <w:rPr>
          <w:rFonts w:asciiTheme="majorHAnsi" w:hAnsiTheme="majorHAnsi"/>
        </w:rPr>
      </w:pPr>
      <w:r>
        <w:rPr>
          <w:rFonts w:asciiTheme="majorHAnsi" w:hAnsiTheme="majorHAnsi"/>
        </w:rPr>
        <w:t xml:space="preserve">Le conseil est simple, ne vous fiez pas aux limites et </w:t>
      </w:r>
      <w:r w:rsidR="00D868E6">
        <w:rPr>
          <w:rFonts w:asciiTheme="majorHAnsi" w:hAnsiTheme="majorHAnsi"/>
        </w:rPr>
        <w:t xml:space="preserve">aux </w:t>
      </w:r>
      <w:r>
        <w:rPr>
          <w:rFonts w:asciiTheme="majorHAnsi" w:hAnsiTheme="majorHAnsi"/>
        </w:rPr>
        <w:t>offres de crédit que les institu</w:t>
      </w:r>
      <w:r w:rsidR="00D868E6">
        <w:rPr>
          <w:rFonts w:asciiTheme="majorHAnsi" w:hAnsiTheme="majorHAnsi"/>
        </w:rPr>
        <w:t>t</w:t>
      </w:r>
      <w:r>
        <w:rPr>
          <w:rFonts w:asciiTheme="majorHAnsi" w:hAnsiTheme="majorHAnsi"/>
        </w:rPr>
        <w:t>ions sont</w:t>
      </w:r>
      <w:r w:rsidR="00C5259E">
        <w:rPr>
          <w:rFonts w:asciiTheme="majorHAnsi" w:hAnsiTheme="majorHAnsi"/>
        </w:rPr>
        <w:t xml:space="preserve"> </w:t>
      </w:r>
      <w:r>
        <w:rPr>
          <w:rFonts w:asciiTheme="majorHAnsi" w:hAnsiTheme="majorHAnsi"/>
        </w:rPr>
        <w:t>prêtes à vous accorde</w:t>
      </w:r>
      <w:r w:rsidR="00D868E6">
        <w:rPr>
          <w:rFonts w:asciiTheme="majorHAnsi" w:hAnsiTheme="majorHAnsi"/>
        </w:rPr>
        <w:t>r</w:t>
      </w:r>
      <w:r w:rsidR="00EB4777">
        <w:rPr>
          <w:rFonts w:asciiTheme="majorHAnsi" w:hAnsiTheme="majorHAnsi"/>
        </w:rPr>
        <w:t>. Effectuez vos propres calculs, établissez des prévisions, utilisez des hypothèses qui ne seront pas trop complaisantes</w:t>
      </w:r>
      <w:r w:rsidR="00D868E6">
        <w:rPr>
          <w:rFonts w:asciiTheme="majorHAnsi" w:hAnsiTheme="majorHAnsi"/>
        </w:rPr>
        <w:t xml:space="preserve"> à votre endroit</w:t>
      </w:r>
      <w:r w:rsidR="00EB4777">
        <w:rPr>
          <w:rFonts w:asciiTheme="majorHAnsi" w:hAnsiTheme="majorHAnsi"/>
        </w:rPr>
        <w:t>, préparez différents scénarios en utilisant plusieurs taux d'intérêt. Ce dernier point est particulièrement important, compte tenu des taux d'intérêt qui se solde</w:t>
      </w:r>
      <w:r w:rsidR="00A73D7F">
        <w:rPr>
          <w:rFonts w:asciiTheme="majorHAnsi" w:hAnsiTheme="majorHAnsi"/>
        </w:rPr>
        <w:t>nt</w:t>
      </w:r>
      <w:r w:rsidR="00EB4777">
        <w:rPr>
          <w:rFonts w:asciiTheme="majorHAnsi" w:hAnsiTheme="majorHAnsi"/>
        </w:rPr>
        <w:t xml:space="preserve"> à </w:t>
      </w:r>
      <w:r w:rsidR="00A73D7F">
        <w:rPr>
          <w:rFonts w:asciiTheme="majorHAnsi" w:hAnsiTheme="majorHAnsi"/>
        </w:rPr>
        <w:t xml:space="preserve">des </w:t>
      </w:r>
      <w:r w:rsidR="00EB4777">
        <w:rPr>
          <w:rFonts w:asciiTheme="majorHAnsi" w:hAnsiTheme="majorHAnsi"/>
        </w:rPr>
        <w:t>seuil</w:t>
      </w:r>
      <w:r w:rsidR="00A73D7F">
        <w:rPr>
          <w:rFonts w:asciiTheme="majorHAnsi" w:hAnsiTheme="majorHAnsi"/>
        </w:rPr>
        <w:t>s</w:t>
      </w:r>
      <w:r w:rsidR="00EB4777">
        <w:rPr>
          <w:rFonts w:asciiTheme="majorHAnsi" w:hAnsiTheme="majorHAnsi"/>
        </w:rPr>
        <w:t xml:space="preserve"> historiquement bas. En bref, soyez votre </w:t>
      </w:r>
      <w:r w:rsidR="0043669F">
        <w:rPr>
          <w:rFonts w:asciiTheme="majorHAnsi" w:hAnsiTheme="majorHAnsi"/>
        </w:rPr>
        <w:t>propre analyste et ne vous fiez pas au rôle</w:t>
      </w:r>
      <w:r w:rsidR="00D8378E">
        <w:rPr>
          <w:rFonts w:asciiTheme="majorHAnsi" w:hAnsiTheme="majorHAnsi"/>
        </w:rPr>
        <w:t>-</w:t>
      </w:r>
      <w:r w:rsidR="0043669F">
        <w:rPr>
          <w:rFonts w:asciiTheme="majorHAnsi" w:hAnsiTheme="majorHAnsi"/>
        </w:rPr>
        <w:t>conseil des institutions financières lorsque vient le temps d'évaluer votre capacité d'emprunt. Vous devez protéger un espace de manoeuvre qui vous permettra de maintenir votre liberté d'agir dans le futur.</w:t>
      </w:r>
    </w:p>
    <w:p w14:paraId="52F68351" w14:textId="77777777" w:rsidR="006D1B55" w:rsidRDefault="006D1B55" w:rsidP="0043669F">
      <w:pPr>
        <w:jc w:val="both"/>
        <w:rPr>
          <w:rFonts w:asciiTheme="majorHAnsi" w:hAnsiTheme="majorHAnsi"/>
        </w:rPr>
      </w:pPr>
    </w:p>
    <w:p w14:paraId="0183DF61" w14:textId="1354FB51" w:rsidR="00C451B7" w:rsidRDefault="00C451B7" w:rsidP="006C34CF">
      <w:pPr>
        <w:pStyle w:val="Titre2"/>
        <w:numPr>
          <w:ilvl w:val="1"/>
          <w:numId w:val="74"/>
        </w:numPr>
      </w:pPr>
      <w:bookmarkStart w:id="154" w:name="_Toc314397884"/>
      <w:bookmarkStart w:id="155" w:name="_Toc443569428"/>
      <w:r>
        <w:t>Optimisation</w:t>
      </w:r>
      <w:bookmarkEnd w:id="154"/>
      <w:bookmarkEnd w:id="155"/>
      <w:r>
        <w:t xml:space="preserve"> </w:t>
      </w:r>
    </w:p>
    <w:p w14:paraId="0EACFE44" w14:textId="77777777" w:rsidR="00E3137E" w:rsidRDefault="00E3137E" w:rsidP="00E3137E"/>
    <w:p w14:paraId="03B63559" w14:textId="600B465D" w:rsidR="00D713ED" w:rsidRDefault="002607B3" w:rsidP="00292102">
      <w:pPr>
        <w:jc w:val="both"/>
      </w:pPr>
      <w:r>
        <w:t>Dans le paysage des finances personnelles et de la planification de la retraite, nous retrouvons d'innombrables débats entourant la priorisation à donner aux stratégies vouées à optimiser le patrimoine financier global des individus et des ménages. Est-il préférable d'investir dans un CÉLI ou un REÉR</w:t>
      </w:r>
      <w:r w:rsidR="00D713ED" w:rsidRPr="00562C14">
        <w:rPr>
          <w:rFonts w:ascii="Avenir Book" w:hAnsi="Avenir Book"/>
        </w:rPr>
        <w:t>?</w:t>
      </w:r>
      <w:r w:rsidR="00D713ED">
        <w:t xml:space="preserve"> </w:t>
      </w:r>
      <w:r w:rsidR="00562C14">
        <w:t>V</w:t>
      </w:r>
      <w:r w:rsidR="00D713ED">
        <w:t>aut</w:t>
      </w:r>
      <w:r w:rsidR="00562C14">
        <w:t>-il</w:t>
      </w:r>
      <w:r w:rsidR="00D713ED">
        <w:t xml:space="preserve"> mieux rembourser plus rapidement l'hypothèque de la maison ou de préserver ces montants supplémentaire</w:t>
      </w:r>
      <w:r w:rsidR="00562C14">
        <w:t>s</w:t>
      </w:r>
      <w:r w:rsidR="00D713ED">
        <w:t xml:space="preserve"> pour les faire fructifier </w:t>
      </w:r>
      <w:r w:rsidR="00D713ED">
        <w:lastRenderedPageBreak/>
        <w:t>dans un REÉR</w:t>
      </w:r>
      <w:r w:rsidR="00D713ED" w:rsidRPr="00562C14">
        <w:rPr>
          <w:rFonts w:ascii="Avenir Book" w:hAnsi="Avenir Book"/>
        </w:rPr>
        <w:t>?</w:t>
      </w:r>
      <w:r w:rsidR="00D713ED">
        <w:t xml:space="preserve"> Et l'idée, qui avait fait l'objet d'une publicité d'un groupe de conseillers financier, de favoriser l'approche hybride d'investir tout d'abord dans le REÉR pour ensuite utiliser le remboursement qui en découle pour effectuer un remboursement supplémentaire du prêt hypothécaire, elle est bonne</w:t>
      </w:r>
      <w:r w:rsidR="00D713ED" w:rsidRPr="00562C14">
        <w:rPr>
          <w:rFonts w:ascii="Avenir Book" w:hAnsi="Avenir Book"/>
        </w:rPr>
        <w:t>?</w:t>
      </w:r>
      <w:r w:rsidR="00D713ED">
        <w:t xml:space="preserve"> Nous verrons que tous ces débats sont surtout attribuables à une mauvaise compréhension et une grille d'analyse inadéquate des différents véhicules de placements. </w:t>
      </w:r>
    </w:p>
    <w:p w14:paraId="0EBF4F0E" w14:textId="77777777" w:rsidR="00D713ED" w:rsidRDefault="00D713ED" w:rsidP="00292102">
      <w:pPr>
        <w:jc w:val="both"/>
      </w:pPr>
    </w:p>
    <w:p w14:paraId="6D030CE1" w14:textId="75B6EE85" w:rsidR="00E3137E" w:rsidRDefault="00527AEF" w:rsidP="006C34CF">
      <w:pPr>
        <w:pStyle w:val="Titre3"/>
        <w:numPr>
          <w:ilvl w:val="2"/>
          <w:numId w:val="101"/>
        </w:numPr>
      </w:pPr>
      <w:bookmarkStart w:id="156" w:name="_Toc314397885"/>
      <w:bookmarkStart w:id="157" w:name="_Toc443569429"/>
      <w:r>
        <w:t>Placements ou dettes, c'est une question de taux!</w:t>
      </w:r>
      <w:bookmarkEnd w:id="156"/>
      <w:bookmarkEnd w:id="157"/>
    </w:p>
    <w:p w14:paraId="65325A87" w14:textId="77777777" w:rsidR="00527AEF" w:rsidRDefault="00527AEF" w:rsidP="00527AEF"/>
    <w:p w14:paraId="03618EAE" w14:textId="2B974A22" w:rsidR="006D1B55" w:rsidRPr="006D1B55" w:rsidRDefault="007D29E5" w:rsidP="006D1B55">
      <w:pPr>
        <w:jc w:val="both"/>
      </w:pPr>
      <w:r>
        <w:t xml:space="preserve">La question d'optimisation à l'égard d'un dollar qui serait disponible, non pas pour en faire la consommation, mais pour accroitre l'avoir net d'un individu s'étudie essentiellement en tenant compte de la comparaison des taux de rendement et d'intérêt qui s'appliquent aux différents véhicules de placement et aux dettes. C'est donc une question de taux, </w:t>
      </w:r>
      <w:r w:rsidR="00DE5858">
        <w:t xml:space="preserve">après avoir tenu compte des </w:t>
      </w:r>
      <w:r w:rsidRPr="00DE5858">
        <w:rPr>
          <w:color w:val="FF6700" w:themeColor="accent3"/>
        </w:rPr>
        <w:t>IMPACT</w:t>
      </w:r>
      <w:r w:rsidR="00DE5858" w:rsidRPr="00DE5858">
        <w:rPr>
          <w:color w:val="FF6700" w:themeColor="accent3"/>
        </w:rPr>
        <w:t>S</w:t>
      </w:r>
      <w:r w:rsidRPr="00DE5858">
        <w:rPr>
          <w:color w:val="FF6700" w:themeColor="accent3"/>
        </w:rPr>
        <w:t xml:space="preserve"> FISCA</w:t>
      </w:r>
      <w:r w:rsidR="00DE5858" w:rsidRPr="00DE5858">
        <w:rPr>
          <w:color w:val="FF6700" w:themeColor="accent3"/>
        </w:rPr>
        <w:t>UX</w:t>
      </w:r>
      <w:r w:rsidR="00DE5858">
        <w:t xml:space="preserve">. Par exemple, </w:t>
      </w:r>
      <w:r w:rsidR="00DE5858" w:rsidRPr="00292102">
        <w:t>le remboursement anticipé d’une mauvaise dette est souvent le meilleur placement qu’un individu peut accomplir</w:t>
      </w:r>
      <w:r w:rsidR="00DE5858">
        <w:t>.</w:t>
      </w:r>
      <w:r w:rsidR="00DE5858" w:rsidRPr="00971946">
        <w:t xml:space="preserve"> </w:t>
      </w:r>
      <w:r w:rsidR="00DE5858">
        <w:t>À l'inverse, le choix d'effectuer un placement dans un véhicule de retraite (REÉR, CÉLI, REÉÉ) au détriment du remboursement d'une dette constitue une stratégie faisant usage de l'effet de levier du crédit. C'est-à-dire que le coût de la dette est inférieur au taux de rendement espéré sur le placement effectué.</w:t>
      </w:r>
      <w:r w:rsidR="006D1B55" w:rsidRPr="006D1B55">
        <w:t xml:space="preserve"> </w:t>
      </w:r>
      <w:r w:rsidR="006D1B55">
        <w:t>Par ailleurs, lorsque l'option du remboursement de la dette est étudiée, i</w:t>
      </w:r>
      <w:r w:rsidR="006D1B55" w:rsidRPr="006D1B55">
        <w:t>l est important</w:t>
      </w:r>
      <w:r w:rsidR="006D1B55">
        <w:t xml:space="preserve"> </w:t>
      </w:r>
      <w:r w:rsidR="006D1B55" w:rsidRPr="006D1B55">
        <w:t xml:space="preserve">de s'assurer que </w:t>
      </w:r>
      <w:r w:rsidR="006D1B55">
        <w:t>ce</w:t>
      </w:r>
      <w:r w:rsidR="006D1B55" w:rsidRPr="006D1B55">
        <w:t xml:space="preserve"> remboursement anticipé n'est pas assorti d'une pénalité. Dans un  tel cas, la pénalité devra être ajouté</w:t>
      </w:r>
      <w:r w:rsidR="00D8378E">
        <w:t>e</w:t>
      </w:r>
      <w:r w:rsidR="006D1B55" w:rsidRPr="006D1B55">
        <w:t xml:space="preserve"> dans le calcul financier.</w:t>
      </w:r>
    </w:p>
    <w:p w14:paraId="34C8982D" w14:textId="2BA5CFB3" w:rsidR="00DE5858" w:rsidRDefault="00DE5858" w:rsidP="00DE5858">
      <w:pPr>
        <w:jc w:val="both"/>
      </w:pPr>
    </w:p>
    <w:p w14:paraId="5BFA47EA" w14:textId="77777777" w:rsidR="00DE5858" w:rsidRDefault="00DE5858" w:rsidP="00DE5858">
      <w:pPr>
        <w:jc w:val="both"/>
      </w:pPr>
    </w:p>
    <w:p w14:paraId="5266D52E" w14:textId="4D293AD1" w:rsidR="006D1B55" w:rsidRDefault="00683BA2" w:rsidP="00F717B6">
      <w:pPr>
        <w:jc w:val="both"/>
      </w:pPr>
      <w:r>
        <w:t xml:space="preserve">Pour </w:t>
      </w:r>
      <w:r w:rsidR="00F717B6">
        <w:t xml:space="preserve">en </w:t>
      </w:r>
      <w:r>
        <w:t xml:space="preserve">arriver à des règles du pouce en la matière d'optimisation, il faut avoir le recul qui permet </w:t>
      </w:r>
      <w:r w:rsidR="00F717B6">
        <w:t xml:space="preserve">d'intégrer </w:t>
      </w:r>
      <w:r>
        <w:t xml:space="preserve">une vue d'ensemble des outils qui sont mis à la disposition de l'épargnant. Il ne faut pas, par exemple, </w:t>
      </w:r>
      <w:r w:rsidR="00F717B6">
        <w:t>mettre l'emphase sur la déductibilité du REÉR pour en faire la panacée des choix. Nous vous proposons à la page suivante un schéma d'analyse visant à identifier la meilleure option en matière de priorisation d'un dollar disponible.</w:t>
      </w:r>
    </w:p>
    <w:p w14:paraId="41C2384C" w14:textId="77777777" w:rsidR="006D1B55" w:rsidRDefault="006D1B55">
      <w:r>
        <w:br w:type="page"/>
      </w:r>
    </w:p>
    <w:p w14:paraId="3AB42B49" w14:textId="2405F4EB" w:rsidR="00F717B6" w:rsidRDefault="00AA1A1F">
      <w:r>
        <w:rPr>
          <w:noProof/>
          <w:lang w:eastAsia="fr-FR"/>
        </w:rPr>
        <w:lastRenderedPageBreak/>
        <mc:AlternateContent>
          <mc:Choice Requires="wps">
            <w:drawing>
              <wp:anchor distT="0" distB="0" distL="114300" distR="114300" simplePos="0" relativeHeight="253123584" behindDoc="0" locked="0" layoutInCell="1" allowOverlap="1" wp14:anchorId="1391A554" wp14:editId="35E78AAB">
                <wp:simplePos x="0" y="0"/>
                <wp:positionH relativeFrom="column">
                  <wp:posOffset>5943600</wp:posOffset>
                </wp:positionH>
                <wp:positionV relativeFrom="paragraph">
                  <wp:posOffset>914400</wp:posOffset>
                </wp:positionV>
                <wp:extent cx="1371600" cy="914400"/>
                <wp:effectExtent l="0" t="0" r="0" b="0"/>
                <wp:wrapSquare wrapText="bothSides"/>
                <wp:docPr id="795" name="Zone de texte 795"/>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37D1E0" w14:textId="77777777" w:rsidR="00573C95" w:rsidRPr="00AA1A1F" w:rsidRDefault="00573C95" w:rsidP="00AA1A1F">
                            <w:pPr>
                              <w:jc w:val="center"/>
                              <w:rPr>
                                <w:sz w:val="40"/>
                                <w:szCs w:val="40"/>
                              </w:rPr>
                            </w:pPr>
                            <w:proofErr w:type="gramStart"/>
                            <w:r w:rsidRPr="00AA1A1F">
                              <w:rPr>
                                <w:sz w:val="40"/>
                                <w:szCs w:val="40"/>
                              </w:rPr>
                              <w:t>OU</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Zone de texte 795" o:spid="_x0000_s1520" type="#_x0000_t202" style="position:absolute;margin-left:468pt;margin-top:1in;width:108pt;height:1in;z-index:25312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" filled="f" stroked="f">
                <v:textbox>
                  <w:txbxContent>
                    <w:p w14:paraId="3137D1E0" w14:textId="77777777" w:rsidR="001501D6" w:rsidRPr="00AA1A1F" w:rsidRDefault="001501D6" w:rsidP="00AA1A1F">
                      <w:pPr>
                        <w:jc w:val="center"/>
                        <w:rPr>
                          <w:sz w:val="40"/>
                          <w:szCs w:val="40"/>
                        </w:rPr>
                      </w:pPr>
                      <w:proofErr w:type="gramStart"/>
                      <w:r w:rsidRPr="00AA1A1F">
                        <w:rPr>
                          <w:sz w:val="40"/>
                          <w:szCs w:val="40"/>
                        </w:rPr>
                        <w:t>OU</w:t>
                      </w:r>
                      <w:proofErr w:type="gramEnd"/>
                    </w:p>
                  </w:txbxContent>
                </v:textbox>
                <w10:wrap type="square"/>
              </v:shape>
            </w:pict>
          </mc:Fallback>
        </mc:AlternateContent>
      </w:r>
      <w:r>
        <w:rPr>
          <w:noProof/>
          <w:lang w:eastAsia="fr-FR"/>
        </w:rPr>
        <mc:AlternateContent>
          <mc:Choice Requires="wps">
            <w:drawing>
              <wp:anchor distT="0" distB="0" distL="114300" distR="114300" simplePos="0" relativeHeight="253121536" behindDoc="0" locked="0" layoutInCell="1" allowOverlap="1" wp14:anchorId="48087429" wp14:editId="7C8263B3">
                <wp:simplePos x="0" y="0"/>
                <wp:positionH relativeFrom="column">
                  <wp:posOffset>3543300</wp:posOffset>
                </wp:positionH>
                <wp:positionV relativeFrom="paragraph">
                  <wp:posOffset>914400</wp:posOffset>
                </wp:positionV>
                <wp:extent cx="1371600" cy="914400"/>
                <wp:effectExtent l="0" t="0" r="0" b="0"/>
                <wp:wrapSquare wrapText="bothSides"/>
                <wp:docPr id="794" name="Zone de texte 794"/>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FEC1EE" w14:textId="77777777" w:rsidR="00573C95" w:rsidRPr="00AA1A1F" w:rsidRDefault="00573C95" w:rsidP="00AA1A1F">
                            <w:pPr>
                              <w:jc w:val="center"/>
                              <w:rPr>
                                <w:sz w:val="40"/>
                                <w:szCs w:val="40"/>
                              </w:rPr>
                            </w:pPr>
                            <w:proofErr w:type="gramStart"/>
                            <w:r w:rsidRPr="00AA1A1F">
                              <w:rPr>
                                <w:sz w:val="40"/>
                                <w:szCs w:val="40"/>
                              </w:rPr>
                              <w:t>OU</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Zone de texte 794" o:spid="_x0000_s1521" type="#_x0000_t202" style="position:absolute;margin-left:279pt;margin-top:1in;width:108pt;height:1in;z-index:25312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" filled="f" stroked="f">
                <v:textbox>
                  <w:txbxContent>
                    <w:p w14:paraId="03FEC1EE" w14:textId="77777777" w:rsidR="001501D6" w:rsidRPr="00AA1A1F" w:rsidRDefault="001501D6" w:rsidP="00AA1A1F">
                      <w:pPr>
                        <w:jc w:val="center"/>
                        <w:rPr>
                          <w:sz w:val="40"/>
                          <w:szCs w:val="40"/>
                        </w:rPr>
                      </w:pPr>
                      <w:proofErr w:type="gramStart"/>
                      <w:r w:rsidRPr="00AA1A1F">
                        <w:rPr>
                          <w:sz w:val="40"/>
                          <w:szCs w:val="40"/>
                        </w:rPr>
                        <w:t>OU</w:t>
                      </w:r>
                      <w:proofErr w:type="gramEnd"/>
                    </w:p>
                  </w:txbxContent>
                </v:textbox>
                <w10:wrap type="square"/>
              </v:shape>
            </w:pict>
          </mc:Fallback>
        </mc:AlternateContent>
      </w:r>
      <w:r>
        <w:rPr>
          <w:noProof/>
          <w:lang w:eastAsia="fr-FR"/>
        </w:rPr>
        <mc:AlternateContent>
          <mc:Choice Requires="wps">
            <w:drawing>
              <wp:anchor distT="0" distB="0" distL="114300" distR="114300" simplePos="0" relativeHeight="253119488" behindDoc="0" locked="0" layoutInCell="1" allowOverlap="1" wp14:anchorId="2C85BB5F" wp14:editId="021CB970">
                <wp:simplePos x="0" y="0"/>
                <wp:positionH relativeFrom="column">
                  <wp:posOffset>1143000</wp:posOffset>
                </wp:positionH>
                <wp:positionV relativeFrom="paragraph">
                  <wp:posOffset>914400</wp:posOffset>
                </wp:positionV>
                <wp:extent cx="1371600" cy="914400"/>
                <wp:effectExtent l="0" t="0" r="0" b="0"/>
                <wp:wrapSquare wrapText="bothSides"/>
                <wp:docPr id="793" name="Zone de texte 793"/>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49DF1C" w14:textId="27EFC5A1" w:rsidR="00573C95" w:rsidRPr="00AA1A1F" w:rsidRDefault="00573C95" w:rsidP="00AA1A1F">
                            <w:pPr>
                              <w:jc w:val="center"/>
                              <w:rPr>
                                <w:sz w:val="40"/>
                                <w:szCs w:val="40"/>
                              </w:rPr>
                            </w:pPr>
                            <w:proofErr w:type="gramStart"/>
                            <w:r w:rsidRPr="00AA1A1F">
                              <w:rPr>
                                <w:sz w:val="40"/>
                                <w:szCs w:val="40"/>
                              </w:rPr>
                              <w:t>OU</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Zone de texte 793" o:spid="_x0000_s1522" type="#_x0000_t202" style="position:absolute;margin-left:90pt;margin-top:1in;width:108pt;height:1in;z-index:25311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" filled="f" stroked="f">
                <v:textbox>
                  <w:txbxContent>
                    <w:p w14:paraId="2E49DF1C" w14:textId="27EFC5A1" w:rsidR="001501D6" w:rsidRPr="00AA1A1F" w:rsidRDefault="001501D6" w:rsidP="00AA1A1F">
                      <w:pPr>
                        <w:jc w:val="center"/>
                        <w:rPr>
                          <w:sz w:val="40"/>
                          <w:szCs w:val="40"/>
                        </w:rPr>
                      </w:pPr>
                      <w:proofErr w:type="gramStart"/>
                      <w:r w:rsidRPr="00AA1A1F">
                        <w:rPr>
                          <w:sz w:val="40"/>
                          <w:szCs w:val="40"/>
                        </w:rPr>
                        <w:t>OU</w:t>
                      </w:r>
                      <w:proofErr w:type="gramEnd"/>
                    </w:p>
                  </w:txbxContent>
                </v:textbox>
                <w10:wrap type="square"/>
              </v:shape>
            </w:pict>
          </mc:Fallback>
        </mc:AlternateContent>
      </w:r>
      <w:r w:rsidR="001B2781">
        <w:rPr>
          <w:noProof/>
          <w:lang w:eastAsia="fr-FR"/>
        </w:rPr>
        <mc:AlternateContent>
          <mc:Choice Requires="wps">
            <w:drawing>
              <wp:anchor distT="0" distB="0" distL="114300" distR="114300" simplePos="0" relativeHeight="253108224" behindDoc="0" locked="0" layoutInCell="1" allowOverlap="1" wp14:anchorId="3797C00F" wp14:editId="28A8B425">
                <wp:simplePos x="0" y="0"/>
                <wp:positionH relativeFrom="column">
                  <wp:posOffset>3745865</wp:posOffset>
                </wp:positionH>
                <wp:positionV relativeFrom="paragraph">
                  <wp:posOffset>4607560</wp:posOffset>
                </wp:positionV>
                <wp:extent cx="800100" cy="914400"/>
                <wp:effectExtent l="152400" t="127000" r="165100" b="127000"/>
                <wp:wrapSquare wrapText="bothSides"/>
                <wp:docPr id="786" name="Zone de texte 786"/>
                <wp:cNvGraphicFramePr/>
                <a:graphic xmlns:a="http://schemas.openxmlformats.org/drawingml/2006/main">
                  <a:graphicData uri="http://schemas.microsoft.com/office/word/2010/wordprocessingShape">
                    <wps:wsp>
                      <wps:cNvSpPr txBox="1"/>
                      <wps:spPr>
                        <a:xfrm rot="2502166">
                          <a:off x="0" y="0"/>
                          <a:ext cx="800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DCA0B5" w14:textId="77777777" w:rsidR="00573C95" w:rsidRPr="00834320" w:rsidRDefault="00573C95" w:rsidP="00834320">
                            <w:pPr>
                              <w:jc w:val="center"/>
                              <w:rPr>
                                <w:sz w:val="44"/>
                                <w:szCs w:val="44"/>
                              </w:rPr>
                            </w:pPr>
                            <w:r w:rsidRPr="00834320">
                              <w:rPr>
                                <w:sz w:val="44"/>
                                <w:szCs w:val="44"/>
                              </w:rPr>
                              <w:t>VS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Zone de texte 786" o:spid="_x0000_s1523" type="#_x0000_t202" style="position:absolute;margin-left:294.95pt;margin-top:362.8pt;width:63pt;height:1in;rotation:2733033fd;z-index:25310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" filled="f" stroked="f">
                <v:textbox>
                  <w:txbxContent>
                    <w:p w14:paraId="5EDCA0B5" w14:textId="77777777" w:rsidR="001501D6" w:rsidRPr="00834320" w:rsidRDefault="001501D6" w:rsidP="00834320">
                      <w:pPr>
                        <w:jc w:val="center"/>
                        <w:rPr>
                          <w:sz w:val="44"/>
                          <w:szCs w:val="44"/>
                        </w:rPr>
                      </w:pPr>
                      <w:r w:rsidRPr="00834320">
                        <w:rPr>
                          <w:sz w:val="44"/>
                          <w:szCs w:val="44"/>
                        </w:rPr>
                        <w:t>VS</w:t>
                      </w:r>
                    </w:p>
                  </w:txbxContent>
                </v:textbox>
                <w10:wrap type="square"/>
              </v:shape>
            </w:pict>
          </mc:Fallback>
        </mc:AlternateContent>
      </w:r>
      <w:r w:rsidR="00EB51DB">
        <w:rPr>
          <w:noProof/>
          <w:lang w:eastAsia="fr-FR"/>
        </w:rPr>
        <mc:AlternateContent>
          <mc:Choice Requires="wps">
            <w:drawing>
              <wp:anchor distT="0" distB="0" distL="114300" distR="114300" simplePos="0" relativeHeight="253110272" behindDoc="0" locked="0" layoutInCell="1" allowOverlap="1" wp14:anchorId="3633B84D" wp14:editId="61D15157">
                <wp:simplePos x="0" y="0"/>
                <wp:positionH relativeFrom="column">
                  <wp:posOffset>6717030</wp:posOffset>
                </wp:positionH>
                <wp:positionV relativeFrom="paragraph">
                  <wp:posOffset>4700905</wp:posOffset>
                </wp:positionV>
                <wp:extent cx="800100" cy="914400"/>
                <wp:effectExtent l="120650" t="133350" r="107950" b="158750"/>
                <wp:wrapSquare wrapText="bothSides"/>
                <wp:docPr id="787" name="Zone de texte 787"/>
                <wp:cNvGraphicFramePr/>
                <a:graphic xmlns:a="http://schemas.openxmlformats.org/drawingml/2006/main">
                  <a:graphicData uri="http://schemas.microsoft.com/office/word/2010/wordprocessingShape">
                    <wps:wsp>
                      <wps:cNvSpPr txBox="1"/>
                      <wps:spPr>
                        <a:xfrm rot="18218190">
                          <a:off x="0" y="0"/>
                          <a:ext cx="800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006F77" w14:textId="77777777" w:rsidR="00573C95" w:rsidRPr="00834320" w:rsidRDefault="00573C95" w:rsidP="00834320">
                            <w:pPr>
                              <w:jc w:val="center"/>
                              <w:rPr>
                                <w:sz w:val="44"/>
                                <w:szCs w:val="44"/>
                              </w:rPr>
                            </w:pPr>
                            <w:r w:rsidRPr="00834320">
                              <w:rPr>
                                <w:sz w:val="44"/>
                                <w:szCs w:val="44"/>
                              </w:rPr>
                              <w:t>VS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Zone de texte 787" o:spid="_x0000_s1524" type="#_x0000_t202" style="position:absolute;margin-left:528.9pt;margin-top:370.15pt;width:63pt;height:1in;rotation:-3693838fd;z-index:25311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" filled="f" stroked="f">
                <v:textbox>
                  <w:txbxContent>
                    <w:p w14:paraId="12006F77" w14:textId="77777777" w:rsidR="001501D6" w:rsidRPr="00834320" w:rsidRDefault="001501D6" w:rsidP="00834320">
                      <w:pPr>
                        <w:jc w:val="center"/>
                        <w:rPr>
                          <w:sz w:val="44"/>
                          <w:szCs w:val="44"/>
                        </w:rPr>
                      </w:pPr>
                      <w:r w:rsidRPr="00834320">
                        <w:rPr>
                          <w:sz w:val="44"/>
                          <w:szCs w:val="44"/>
                        </w:rPr>
                        <w:t>VS</w:t>
                      </w:r>
                    </w:p>
                  </w:txbxContent>
                </v:textbox>
                <w10:wrap type="square"/>
              </v:shape>
            </w:pict>
          </mc:Fallback>
        </mc:AlternateContent>
      </w:r>
      <w:r w:rsidR="00EB51DB">
        <w:rPr>
          <w:noProof/>
          <w:lang w:eastAsia="fr-FR"/>
        </w:rPr>
        <mc:AlternateContent>
          <mc:Choice Requires="wps">
            <w:drawing>
              <wp:anchor distT="0" distB="0" distL="114300" distR="114300" simplePos="0" relativeHeight="253118464" behindDoc="1" locked="0" layoutInCell="1" allowOverlap="1" wp14:anchorId="4DB6E525" wp14:editId="59D7D319">
                <wp:simplePos x="0" y="0"/>
                <wp:positionH relativeFrom="column">
                  <wp:posOffset>6552988</wp:posOffset>
                </wp:positionH>
                <wp:positionV relativeFrom="paragraph">
                  <wp:posOffset>4702608</wp:posOffset>
                </wp:positionV>
                <wp:extent cx="1257300" cy="685800"/>
                <wp:effectExtent l="133350" t="0" r="171450" b="69850"/>
                <wp:wrapNone/>
                <wp:docPr id="792" name="Flèche vers la droite 792"/>
                <wp:cNvGraphicFramePr/>
                <a:graphic xmlns:a="http://schemas.openxmlformats.org/drawingml/2006/main">
                  <a:graphicData uri="http://schemas.microsoft.com/office/word/2010/wordprocessingShape">
                    <wps:wsp>
                      <wps:cNvSpPr/>
                      <wps:spPr>
                        <a:xfrm rot="18182527">
                          <a:off x="0" y="0"/>
                          <a:ext cx="1257300" cy="685800"/>
                        </a:xfrm>
                        <a:prstGeom prst="rightArrow">
                          <a:avLst/>
                        </a:prstGeom>
                        <a:solidFill>
                          <a:srgbClr val="FF67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lèche vers la droite 792" o:spid="_x0000_s1026" type="#_x0000_t13" style="position:absolute;margin-left:516pt;margin-top:370.3pt;width:99pt;height:54pt;rotation:-3732792fd;z-index:-2501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" adj="15709" fillcolor="#ff6700"/>
            </w:pict>
          </mc:Fallback>
        </mc:AlternateContent>
      </w:r>
      <w:r w:rsidR="00EB51DB">
        <w:rPr>
          <w:noProof/>
          <w:lang w:eastAsia="fr-FR"/>
        </w:rPr>
        <mc:AlternateContent>
          <mc:Choice Requires="wps">
            <w:drawing>
              <wp:anchor distT="0" distB="0" distL="114300" distR="114300" simplePos="0" relativeHeight="253116416" behindDoc="1" locked="0" layoutInCell="1" allowOverlap="1" wp14:anchorId="1491AAA7" wp14:editId="75750F5A">
                <wp:simplePos x="0" y="0"/>
                <wp:positionH relativeFrom="column">
                  <wp:posOffset>3543300</wp:posOffset>
                </wp:positionH>
                <wp:positionV relativeFrom="paragraph">
                  <wp:posOffset>4800600</wp:posOffset>
                </wp:positionV>
                <wp:extent cx="1257300" cy="685800"/>
                <wp:effectExtent l="25400" t="304800" r="0" b="177800"/>
                <wp:wrapNone/>
                <wp:docPr id="791" name="Flèche vers la droite 791"/>
                <wp:cNvGraphicFramePr/>
                <a:graphic xmlns:a="http://schemas.openxmlformats.org/drawingml/2006/main">
                  <a:graphicData uri="http://schemas.microsoft.com/office/word/2010/wordprocessingShape">
                    <wps:wsp>
                      <wps:cNvSpPr/>
                      <wps:spPr>
                        <a:xfrm rot="2517497">
                          <a:off x="0" y="0"/>
                          <a:ext cx="1257300" cy="685800"/>
                        </a:xfrm>
                        <a:prstGeom prst="rightArrow">
                          <a:avLst/>
                        </a:prstGeom>
                        <a:solidFill>
                          <a:srgbClr val="FF67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lèche vers la droite 791" o:spid="_x0000_s1026" type="#_x0000_t13" style="position:absolute;margin-left:279pt;margin-top:378pt;width:99pt;height:54pt;rotation:2749778fd;z-index:-2502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" adj="15709" fillcolor="#ff6700"/>
            </w:pict>
          </mc:Fallback>
        </mc:AlternateContent>
      </w:r>
      <w:r w:rsidR="00EB51DB">
        <w:rPr>
          <w:noProof/>
          <w:lang w:eastAsia="fr-FR"/>
        </w:rPr>
        <mc:AlternateContent>
          <mc:Choice Requires="wps">
            <w:drawing>
              <wp:anchor distT="0" distB="0" distL="114300" distR="114300" simplePos="0" relativeHeight="253112320" behindDoc="1" locked="0" layoutInCell="1" allowOverlap="1" wp14:anchorId="64F5475E" wp14:editId="5670AC25">
                <wp:simplePos x="0" y="0"/>
                <wp:positionH relativeFrom="column">
                  <wp:posOffset>1257300</wp:posOffset>
                </wp:positionH>
                <wp:positionV relativeFrom="paragraph">
                  <wp:posOffset>3543300</wp:posOffset>
                </wp:positionV>
                <wp:extent cx="1257300" cy="685800"/>
                <wp:effectExtent l="76200" t="76200" r="38100" b="76200"/>
                <wp:wrapNone/>
                <wp:docPr id="788" name="Flèche vers la droite 788"/>
                <wp:cNvGraphicFramePr/>
                <a:graphic xmlns:a="http://schemas.openxmlformats.org/drawingml/2006/main">
                  <a:graphicData uri="http://schemas.microsoft.com/office/word/2010/wordprocessingShape">
                    <wps:wsp>
                      <wps:cNvSpPr/>
                      <wps:spPr>
                        <a:xfrm>
                          <a:off x="0" y="0"/>
                          <a:ext cx="1257300" cy="685800"/>
                        </a:xfrm>
                        <a:prstGeom prst="rightArrow">
                          <a:avLst/>
                        </a:prstGeom>
                        <a:solidFill>
                          <a:schemeClr val="accent3"/>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lèche vers la droite 788" o:spid="_x0000_s1026" type="#_x0000_t13" style="position:absolute;margin-left:99pt;margin-top:279pt;width:99pt;height:54pt;z-index:-2502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" adj="15709" fillcolor="#ff6700 [3206]"/>
            </w:pict>
          </mc:Fallback>
        </mc:AlternateContent>
      </w:r>
      <w:r w:rsidR="00834320">
        <w:rPr>
          <w:noProof/>
          <w:lang w:eastAsia="fr-FR"/>
        </w:rPr>
        <mc:AlternateContent>
          <mc:Choice Requires="wps">
            <w:drawing>
              <wp:anchor distT="0" distB="0" distL="114300" distR="114300" simplePos="0" relativeHeight="253106176" behindDoc="0" locked="0" layoutInCell="1" allowOverlap="1" wp14:anchorId="66D91900" wp14:editId="49897919">
                <wp:simplePos x="0" y="0"/>
                <wp:positionH relativeFrom="column">
                  <wp:posOffset>1485900</wp:posOffset>
                </wp:positionH>
                <wp:positionV relativeFrom="paragraph">
                  <wp:posOffset>3429000</wp:posOffset>
                </wp:positionV>
                <wp:extent cx="800100" cy="914400"/>
                <wp:effectExtent l="0" t="0" r="0" b="0"/>
                <wp:wrapSquare wrapText="bothSides"/>
                <wp:docPr id="785" name="Zone de texte 785"/>
                <wp:cNvGraphicFramePr/>
                <a:graphic xmlns:a="http://schemas.openxmlformats.org/drawingml/2006/main">
                  <a:graphicData uri="http://schemas.microsoft.com/office/word/2010/wordprocessingShape">
                    <wps:wsp>
                      <wps:cNvSpPr txBox="1"/>
                      <wps:spPr>
                        <a:xfrm>
                          <a:off x="0" y="0"/>
                          <a:ext cx="800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BEDC91" w14:textId="09FE12D9" w:rsidR="00573C95" w:rsidRPr="00834320" w:rsidRDefault="00573C95" w:rsidP="00834320">
                            <w:pPr>
                              <w:jc w:val="center"/>
                              <w:rPr>
                                <w:sz w:val="44"/>
                                <w:szCs w:val="44"/>
                              </w:rPr>
                            </w:pPr>
                            <w:r w:rsidRPr="00834320">
                              <w:rPr>
                                <w:sz w:val="44"/>
                                <w:szCs w:val="44"/>
                              </w:rPr>
                              <w:t>VS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Zone de texte 785" o:spid="_x0000_s1525" type="#_x0000_t202" style="position:absolute;margin-left:117pt;margin-top:270pt;width:63pt;height:1in;z-index:25310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" filled="f" stroked="f">
                <v:textbox>
                  <w:txbxContent>
                    <w:p w14:paraId="68BEDC91" w14:textId="09FE12D9" w:rsidR="001501D6" w:rsidRPr="00834320" w:rsidRDefault="001501D6" w:rsidP="00834320">
                      <w:pPr>
                        <w:jc w:val="center"/>
                        <w:rPr>
                          <w:sz w:val="44"/>
                          <w:szCs w:val="44"/>
                        </w:rPr>
                      </w:pPr>
                      <w:r w:rsidRPr="00834320">
                        <w:rPr>
                          <w:sz w:val="44"/>
                          <w:szCs w:val="44"/>
                        </w:rPr>
                        <w:t>VS</w:t>
                      </w:r>
                    </w:p>
                  </w:txbxContent>
                </v:textbox>
                <w10:wrap type="square"/>
              </v:shape>
            </w:pict>
          </mc:Fallback>
        </mc:AlternateContent>
      </w:r>
      <w:r w:rsidR="0093688C">
        <w:rPr>
          <w:noProof/>
          <w:lang w:eastAsia="fr-FR"/>
        </w:rPr>
        <mc:AlternateContent>
          <mc:Choice Requires="wps">
            <w:drawing>
              <wp:anchor distT="0" distB="0" distL="114300" distR="114300" simplePos="0" relativeHeight="253105152" behindDoc="0" locked="0" layoutInCell="1" allowOverlap="1" wp14:anchorId="25E8D271" wp14:editId="79B24747">
                <wp:simplePos x="0" y="0"/>
                <wp:positionH relativeFrom="column">
                  <wp:posOffset>7315200</wp:posOffset>
                </wp:positionH>
                <wp:positionV relativeFrom="paragraph">
                  <wp:posOffset>3314700</wp:posOffset>
                </wp:positionV>
                <wp:extent cx="1040130" cy="1040130"/>
                <wp:effectExtent l="76200" t="76200" r="77470" b="77470"/>
                <wp:wrapNone/>
                <wp:docPr id="784" name="Ellipse 784"/>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6A1D132" w14:textId="73379D05" w:rsidR="00573C95" w:rsidRPr="00AA1A1F" w:rsidRDefault="00573C95" w:rsidP="0093688C">
                            <w:pPr>
                              <w:jc w:val="center"/>
                              <w:rPr>
                                <w:sz w:val="36"/>
                                <w:szCs w:val="36"/>
                              </w:rPr>
                            </w:pPr>
                            <w:r>
                              <w:rPr>
                                <w:sz w:val="36"/>
                                <w:szCs w:val="36"/>
                              </w:rPr>
                              <w:t>Taux</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784" o:spid="_x0000_s1526" style="position:absolute;margin-left:8in;margin-top:261pt;width:81.9pt;height:81.9pt;z-index:2531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" fillcolor="#517151" strokecolor="black [3213]">
                <v:textbox>
                  <w:txbxContent>
                    <w:p w14:paraId="46A1D132" w14:textId="73379D05" w:rsidR="001501D6" w:rsidRPr="00AA1A1F" w:rsidRDefault="001501D6" w:rsidP="0093688C">
                      <w:pPr>
                        <w:jc w:val="center"/>
                        <w:rPr>
                          <w:sz w:val="36"/>
                          <w:szCs w:val="36"/>
                        </w:rPr>
                      </w:pPr>
                      <w:r>
                        <w:rPr>
                          <w:sz w:val="36"/>
                          <w:szCs w:val="36"/>
                        </w:rPr>
                        <w:t>Taux</w:t>
                      </w:r>
                    </w:p>
                  </w:txbxContent>
                </v:textbox>
              </v:oval>
            </w:pict>
          </mc:Fallback>
        </mc:AlternateContent>
      </w:r>
      <w:r w:rsidR="0093688C">
        <w:rPr>
          <w:noProof/>
          <w:lang w:eastAsia="fr-FR"/>
        </w:rPr>
        <mc:AlternateContent>
          <mc:Choice Requires="wps">
            <w:drawing>
              <wp:anchor distT="0" distB="0" distL="114300" distR="114300" simplePos="0" relativeHeight="253103104" behindDoc="0" locked="0" layoutInCell="1" allowOverlap="1" wp14:anchorId="6AE1C5E4" wp14:editId="4765663B">
                <wp:simplePos x="0" y="0"/>
                <wp:positionH relativeFrom="column">
                  <wp:posOffset>5257800</wp:posOffset>
                </wp:positionH>
                <wp:positionV relativeFrom="paragraph">
                  <wp:posOffset>5600700</wp:posOffset>
                </wp:positionV>
                <wp:extent cx="1040130" cy="1040130"/>
                <wp:effectExtent l="76200" t="76200" r="77470" b="77470"/>
                <wp:wrapNone/>
                <wp:docPr id="782" name="Ellipse 782"/>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517151"/>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27C3983" w14:textId="72AD63BA" w:rsidR="00573C95" w:rsidRPr="00AA1A1F" w:rsidRDefault="00573C95" w:rsidP="0093688C">
                            <w:pPr>
                              <w:jc w:val="center"/>
                              <w:rPr>
                                <w:sz w:val="36"/>
                                <w:szCs w:val="36"/>
                              </w:rPr>
                            </w:pPr>
                            <w:r>
                              <w:rPr>
                                <w:sz w:val="36"/>
                                <w:szCs w:val="36"/>
                              </w:rPr>
                              <w:t>Taux</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782" o:spid="_x0000_s1527" style="position:absolute;margin-left:414pt;margin-top:441pt;width:81.9pt;height:81.9pt;z-index:2531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" fillcolor="#517151">
                <v:textbox>
                  <w:txbxContent>
                    <w:p w14:paraId="127C3983" w14:textId="72AD63BA" w:rsidR="001501D6" w:rsidRPr="00AA1A1F" w:rsidRDefault="001501D6" w:rsidP="0093688C">
                      <w:pPr>
                        <w:jc w:val="center"/>
                        <w:rPr>
                          <w:sz w:val="36"/>
                          <w:szCs w:val="36"/>
                        </w:rPr>
                      </w:pPr>
                      <w:r>
                        <w:rPr>
                          <w:sz w:val="36"/>
                          <w:szCs w:val="36"/>
                        </w:rPr>
                        <w:t>Taux</w:t>
                      </w:r>
                    </w:p>
                  </w:txbxContent>
                </v:textbox>
              </v:oval>
            </w:pict>
          </mc:Fallback>
        </mc:AlternateContent>
      </w:r>
      <w:r w:rsidR="0093688C">
        <w:rPr>
          <w:noProof/>
          <w:lang w:eastAsia="fr-FR"/>
        </w:rPr>
        <mc:AlternateContent>
          <mc:Choice Requires="wps">
            <w:drawing>
              <wp:anchor distT="0" distB="0" distL="114300" distR="114300" simplePos="0" relativeHeight="253101056" behindDoc="0" locked="0" layoutInCell="1" allowOverlap="1" wp14:anchorId="1ED9232C" wp14:editId="1DCDC2AE">
                <wp:simplePos x="0" y="0"/>
                <wp:positionH relativeFrom="column">
                  <wp:posOffset>2743200</wp:posOffset>
                </wp:positionH>
                <wp:positionV relativeFrom="paragraph">
                  <wp:posOffset>3429000</wp:posOffset>
                </wp:positionV>
                <wp:extent cx="1040130" cy="1040130"/>
                <wp:effectExtent l="76200" t="76200" r="77470" b="77470"/>
                <wp:wrapNone/>
                <wp:docPr id="781" name="Ellipse 781"/>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F57CA81" w14:textId="4FCD0405" w:rsidR="00573C95" w:rsidRPr="00AA1A1F" w:rsidRDefault="00573C95" w:rsidP="0093688C">
                            <w:pPr>
                              <w:jc w:val="center"/>
                              <w:rPr>
                                <w:sz w:val="36"/>
                                <w:szCs w:val="36"/>
                              </w:rPr>
                            </w:pPr>
                            <w:r w:rsidRPr="00AA1A1F">
                              <w:rPr>
                                <w:sz w:val="36"/>
                                <w:szCs w:val="36"/>
                              </w:rPr>
                              <w:t>Taux</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781" o:spid="_x0000_s1528" style="position:absolute;margin-left:3in;margin-top:270pt;width:81.9pt;height:81.9pt;z-index:2531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" fillcolor="#517151" strokecolor="black [3213]">
                <v:textbox>
                  <w:txbxContent>
                    <w:p w14:paraId="1F57CA81" w14:textId="4FCD0405" w:rsidR="001501D6" w:rsidRPr="00AA1A1F" w:rsidRDefault="001501D6" w:rsidP="0093688C">
                      <w:pPr>
                        <w:jc w:val="center"/>
                        <w:rPr>
                          <w:sz w:val="36"/>
                          <w:szCs w:val="36"/>
                        </w:rPr>
                      </w:pPr>
                      <w:r w:rsidRPr="00AA1A1F">
                        <w:rPr>
                          <w:sz w:val="36"/>
                          <w:szCs w:val="36"/>
                        </w:rPr>
                        <w:t>Taux</w:t>
                      </w:r>
                    </w:p>
                  </w:txbxContent>
                </v:textbox>
              </v:oval>
            </w:pict>
          </mc:Fallback>
        </mc:AlternateContent>
      </w:r>
      <w:r w:rsidR="0093688C">
        <w:rPr>
          <w:noProof/>
          <w:lang w:eastAsia="fr-FR"/>
        </w:rPr>
        <mc:AlternateContent>
          <mc:Choice Requires="wps">
            <w:drawing>
              <wp:anchor distT="0" distB="0" distL="114300" distR="114300" simplePos="0" relativeHeight="253099008" behindDoc="0" locked="0" layoutInCell="1" allowOverlap="1" wp14:anchorId="6C324532" wp14:editId="5C7121A4">
                <wp:simplePos x="0" y="0"/>
                <wp:positionH relativeFrom="column">
                  <wp:posOffset>0</wp:posOffset>
                </wp:positionH>
                <wp:positionV relativeFrom="paragraph">
                  <wp:posOffset>3429000</wp:posOffset>
                </wp:positionV>
                <wp:extent cx="1040130" cy="1040130"/>
                <wp:effectExtent l="76200" t="76200" r="77470" b="77470"/>
                <wp:wrapNone/>
                <wp:docPr id="780" name="Ellipse 780"/>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E39659A" w14:textId="7924AF1F" w:rsidR="00573C95" w:rsidRPr="00AA1A1F" w:rsidRDefault="00573C95" w:rsidP="0093688C">
                            <w:pPr>
                              <w:jc w:val="center"/>
                              <w:rPr>
                                <w:sz w:val="36"/>
                                <w:szCs w:val="36"/>
                              </w:rPr>
                            </w:pPr>
                            <w:r w:rsidRPr="00AA1A1F">
                              <w:rPr>
                                <w:sz w:val="36"/>
                                <w:szCs w:val="36"/>
                              </w:rPr>
                              <w:t>Taux</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780" o:spid="_x0000_s1529" style="position:absolute;margin-left:0;margin-top:270pt;width:81.9pt;height:81.9pt;z-index:2530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" fillcolor="#517151" strokecolor="black [3213]">
                <v:textbox>
                  <w:txbxContent>
                    <w:p w14:paraId="5E39659A" w14:textId="7924AF1F" w:rsidR="001501D6" w:rsidRPr="00AA1A1F" w:rsidRDefault="001501D6" w:rsidP="0093688C">
                      <w:pPr>
                        <w:jc w:val="center"/>
                        <w:rPr>
                          <w:sz w:val="36"/>
                          <w:szCs w:val="36"/>
                        </w:rPr>
                      </w:pPr>
                      <w:r w:rsidRPr="00AA1A1F">
                        <w:rPr>
                          <w:sz w:val="36"/>
                          <w:szCs w:val="36"/>
                        </w:rPr>
                        <w:t>Taux</w:t>
                      </w:r>
                    </w:p>
                  </w:txbxContent>
                </v:textbox>
              </v:oval>
            </w:pict>
          </mc:Fallback>
        </mc:AlternateContent>
      </w:r>
      <w:r w:rsidR="0093688C">
        <w:rPr>
          <w:noProof/>
          <w:lang w:eastAsia="fr-FR"/>
        </w:rPr>
        <mc:AlternateContent>
          <mc:Choice Requires="wps">
            <w:drawing>
              <wp:anchor distT="0" distB="0" distL="114300" distR="114300" simplePos="0" relativeHeight="253096960" behindDoc="0" locked="0" layoutInCell="1" allowOverlap="1" wp14:anchorId="0F1A8354" wp14:editId="42B92CC3">
                <wp:simplePos x="0" y="0"/>
                <wp:positionH relativeFrom="column">
                  <wp:posOffset>6972300</wp:posOffset>
                </wp:positionH>
                <wp:positionV relativeFrom="paragraph">
                  <wp:posOffset>2057400</wp:posOffset>
                </wp:positionV>
                <wp:extent cx="1600200" cy="800100"/>
                <wp:effectExtent l="76200" t="76200" r="76200" b="63500"/>
                <wp:wrapNone/>
                <wp:docPr id="779" name="Rectangle à coins arrondis 779"/>
                <wp:cNvGraphicFramePr/>
                <a:graphic xmlns:a="http://schemas.openxmlformats.org/drawingml/2006/main">
                  <a:graphicData uri="http://schemas.microsoft.com/office/word/2010/wordprocessingShape">
                    <wps:wsp>
                      <wps:cNvSpPr/>
                      <wps:spPr>
                        <a:xfrm>
                          <a:off x="0" y="0"/>
                          <a:ext cx="1600200" cy="8001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7876DD2" w14:textId="233FA483" w:rsidR="00573C95" w:rsidRDefault="00573C95" w:rsidP="00DF69FC">
                            <w:pPr>
                              <w:jc w:val="center"/>
                            </w:pPr>
                            <w:r>
                              <w:t>Taux le plus élevé des dettes, après 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79" o:spid="_x0000_s1530" style="position:absolute;margin-left:549pt;margin-top:162pt;width:126pt;height:63pt;z-index:2530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" fillcolor="#595959">
                <v:textbox>
                  <w:txbxContent>
                    <w:p w14:paraId="47876DD2" w14:textId="233FA483" w:rsidR="001501D6" w:rsidRDefault="001501D6" w:rsidP="00DF69FC">
                      <w:pPr>
                        <w:jc w:val="center"/>
                      </w:pPr>
                      <w:r>
                        <w:t>Taux le plus élevé des dettes, après impôt</w:t>
                      </w:r>
                    </w:p>
                  </w:txbxContent>
                </v:textbox>
              </v:roundrect>
            </w:pict>
          </mc:Fallback>
        </mc:AlternateContent>
      </w:r>
      <w:r w:rsidR="0093688C">
        <w:rPr>
          <w:noProof/>
          <w:lang w:eastAsia="fr-FR"/>
        </w:rPr>
        <mc:AlternateContent>
          <mc:Choice Requires="wps">
            <w:drawing>
              <wp:anchor distT="0" distB="0" distL="114300" distR="114300" simplePos="0" relativeHeight="253090816" behindDoc="0" locked="0" layoutInCell="1" allowOverlap="1" wp14:anchorId="311F4768" wp14:editId="5E609762">
                <wp:simplePos x="0" y="0"/>
                <wp:positionH relativeFrom="column">
                  <wp:posOffset>4000500</wp:posOffset>
                </wp:positionH>
                <wp:positionV relativeFrom="paragraph">
                  <wp:posOffset>2057400</wp:posOffset>
                </wp:positionV>
                <wp:extent cx="822960" cy="822960"/>
                <wp:effectExtent l="0" t="0" r="0" b="0"/>
                <wp:wrapThrough wrapText="bothSides">
                  <wp:wrapPolygon edited="0">
                    <wp:start x="1333" y="2667"/>
                    <wp:lineTo x="1333" y="18000"/>
                    <wp:lineTo x="20000" y="18000"/>
                    <wp:lineTo x="20000" y="2667"/>
                    <wp:lineTo x="1333" y="2667"/>
                  </wp:wrapPolygon>
                </wp:wrapThrough>
                <wp:docPr id="776" name="Égal 776"/>
                <wp:cNvGraphicFramePr/>
                <a:graphic xmlns:a="http://schemas.openxmlformats.org/drawingml/2006/main">
                  <a:graphicData uri="http://schemas.microsoft.com/office/word/2010/wordprocessingShape">
                    <wps:wsp>
                      <wps:cNvSpPr/>
                      <wps:spPr>
                        <a:xfrm>
                          <a:off x="0" y="0"/>
                          <a:ext cx="822960" cy="822960"/>
                        </a:xfrm>
                        <a:prstGeom prst="mathEqual">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Égal 776" o:spid="_x0000_s1026" style="position:absolute;margin-left:315pt;margin-top:162pt;width:64.8pt;height:64.8pt;z-index:253090816;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" path="m109083,169530l713877,169530,713877,363090,109083,363090,109083,169530xm109083,459870l713877,459870,713877,653430,109083,653430,109083,459870xe" fillcolor="#94c600 [3204]" strokecolor="#94c600 [3204]">
                <v:fill color2="#84b100 [2884]" rotate="t" focus="100%" type="gradient">
                  <o:fill v:ext="view" type="gradientUnscaled"/>
                </v:fill>
                <v:path arrowok="t" o:connecttype="custom" o:connectlocs="109083,169530;713877,169530;713877,363090;109083,363090;109083,169530;109083,459870;713877,459870;713877,653430;109083,653430;109083,459870" o:connectangles="0,0,0,0,0,0,0,0,0,0"/>
                <w10:wrap type="through"/>
              </v:shape>
            </w:pict>
          </mc:Fallback>
        </mc:AlternateContent>
      </w:r>
      <w:r w:rsidR="0093688C">
        <w:rPr>
          <w:noProof/>
          <w:lang w:eastAsia="fr-FR"/>
        </w:rPr>
        <mc:AlternateContent>
          <mc:Choice Requires="wps">
            <w:drawing>
              <wp:anchor distT="0" distB="0" distL="114300" distR="114300" simplePos="0" relativeHeight="253088768" behindDoc="0" locked="0" layoutInCell="1" allowOverlap="1" wp14:anchorId="0E0CE368" wp14:editId="447E0EA6">
                <wp:simplePos x="0" y="0"/>
                <wp:positionH relativeFrom="column">
                  <wp:posOffset>1485900</wp:posOffset>
                </wp:positionH>
                <wp:positionV relativeFrom="paragraph">
                  <wp:posOffset>2057400</wp:posOffset>
                </wp:positionV>
                <wp:extent cx="822960" cy="822960"/>
                <wp:effectExtent l="0" t="0" r="0" b="0"/>
                <wp:wrapThrough wrapText="bothSides">
                  <wp:wrapPolygon edited="0">
                    <wp:start x="1333" y="2667"/>
                    <wp:lineTo x="1333" y="18000"/>
                    <wp:lineTo x="20000" y="18000"/>
                    <wp:lineTo x="20000" y="2667"/>
                    <wp:lineTo x="1333" y="2667"/>
                  </wp:wrapPolygon>
                </wp:wrapThrough>
                <wp:docPr id="775" name="Égal 775"/>
                <wp:cNvGraphicFramePr/>
                <a:graphic xmlns:a="http://schemas.openxmlformats.org/drawingml/2006/main">
                  <a:graphicData uri="http://schemas.microsoft.com/office/word/2010/wordprocessingShape">
                    <wps:wsp>
                      <wps:cNvSpPr/>
                      <wps:spPr>
                        <a:xfrm>
                          <a:off x="0" y="0"/>
                          <a:ext cx="822960" cy="822960"/>
                        </a:xfrm>
                        <a:prstGeom prst="mathEqual">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Égal 775" o:spid="_x0000_s1026" style="position:absolute;margin-left:117pt;margin-top:162pt;width:64.8pt;height:64.8pt;z-index:253088768;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" path="m109083,169530l713877,169530,713877,363090,109083,363090,109083,169530xm109083,459870l713877,459870,713877,653430,109083,653430,109083,459870xe" fillcolor="#94c600 [3204]" strokecolor="#94c600 [3204]">
                <v:fill color2="#84b100 [2884]" rotate="t" focus="100%" type="gradient">
                  <o:fill v:ext="view" type="gradientUnscaled"/>
                </v:fill>
                <v:path arrowok="t" o:connecttype="custom" o:connectlocs="109083,169530;713877,169530;713877,363090;109083,363090;109083,169530;109083,459870;713877,459870;713877,653430;109083,653430;109083,459870" o:connectangles="0,0,0,0,0,0,0,0,0,0"/>
                <w10:wrap type="through"/>
              </v:shape>
            </w:pict>
          </mc:Fallback>
        </mc:AlternateContent>
      </w:r>
      <w:r w:rsidR="0093688C">
        <w:rPr>
          <w:noProof/>
          <w:lang w:eastAsia="fr-FR"/>
        </w:rPr>
        <mc:AlternateContent>
          <mc:Choice Requires="wps">
            <w:drawing>
              <wp:anchor distT="0" distB="0" distL="114300" distR="114300" simplePos="0" relativeHeight="253082624" behindDoc="0" locked="0" layoutInCell="1" allowOverlap="1" wp14:anchorId="61B096F6" wp14:editId="1BED1ACB">
                <wp:simplePos x="0" y="0"/>
                <wp:positionH relativeFrom="column">
                  <wp:posOffset>-228600</wp:posOffset>
                </wp:positionH>
                <wp:positionV relativeFrom="paragraph">
                  <wp:posOffset>2057400</wp:posOffset>
                </wp:positionV>
                <wp:extent cx="1600200" cy="800100"/>
                <wp:effectExtent l="76200" t="76200" r="76200" b="63500"/>
                <wp:wrapNone/>
                <wp:docPr id="772" name="Rectangle à coins arrondis 772"/>
                <wp:cNvGraphicFramePr/>
                <a:graphic xmlns:a="http://schemas.openxmlformats.org/drawingml/2006/main">
                  <a:graphicData uri="http://schemas.microsoft.com/office/word/2010/wordprocessingShape">
                    <wps:wsp>
                      <wps:cNvSpPr/>
                      <wps:spPr>
                        <a:xfrm>
                          <a:off x="0" y="0"/>
                          <a:ext cx="1600200" cy="800100"/>
                        </a:xfrm>
                        <a:prstGeom prst="roundRect">
                          <a:avLst/>
                        </a:prstGeom>
                        <a:solidFill>
                          <a:schemeClr val="tx1">
                            <a:lumMod val="65000"/>
                            <a:lumOff val="35000"/>
                          </a:schemeClr>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D2739B4" w14:textId="46D9A14D" w:rsidR="00573C95" w:rsidRDefault="00573C95" w:rsidP="00CE4336">
                            <w:pPr>
                              <w:jc w:val="center"/>
                            </w:pPr>
                            <w:r>
                              <w:t>Rendement, sans tenir compte de l'impôt</w:t>
                            </w:r>
                          </w:p>
                        </w:txbxContent>
                      </wps:txbx>
                      <wps:bodyPr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72" o:spid="_x0000_s1531" style="position:absolute;margin-left:-17.95pt;margin-top:162pt;width:126pt;height:63pt;z-index:2530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" fillcolor="#5a5a5a [2109]">
                <v:textbox>
                  <w:txbxContent>
                    <w:p w14:paraId="1D2739B4" w14:textId="46D9A14D" w:rsidR="001501D6" w:rsidRDefault="001501D6" w:rsidP="00CE4336">
                      <w:pPr>
                        <w:jc w:val="center"/>
                      </w:pPr>
                      <w:r>
                        <w:t>Rendement, sans tenir compte de l'impôt</w:t>
                      </w:r>
                    </w:p>
                  </w:txbxContent>
                </v:textbox>
              </v:roundrect>
            </w:pict>
          </mc:Fallback>
        </mc:AlternateContent>
      </w:r>
      <w:r w:rsidR="00DF69FC">
        <w:rPr>
          <w:noProof/>
          <w:lang w:eastAsia="fr-FR"/>
        </w:rPr>
        <mc:AlternateContent>
          <mc:Choice Requires="wps">
            <w:drawing>
              <wp:anchor distT="0" distB="0" distL="114300" distR="114300" simplePos="0" relativeHeight="253080576" behindDoc="0" locked="0" layoutInCell="1" allowOverlap="1" wp14:anchorId="62E9E0E2" wp14:editId="33D254D3">
                <wp:simplePos x="0" y="0"/>
                <wp:positionH relativeFrom="column">
                  <wp:posOffset>4343400</wp:posOffset>
                </wp:positionH>
                <wp:positionV relativeFrom="paragraph">
                  <wp:posOffset>342900</wp:posOffset>
                </wp:positionV>
                <wp:extent cx="1040130" cy="1040130"/>
                <wp:effectExtent l="76200" t="76200" r="77470" b="77470"/>
                <wp:wrapNone/>
                <wp:docPr id="771" name="Ellipse 771"/>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C1C088D" w14:textId="77777777" w:rsidR="00573C95" w:rsidRDefault="00573C95" w:rsidP="004E3EB2">
                            <w:pPr>
                              <w:jc w:val="center"/>
                            </w:pPr>
                            <w:r>
                              <w:t>Abri fiscal à 100 %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771" o:spid="_x0000_s1532" style="position:absolute;margin-left:342pt;margin-top:27pt;width:81.9pt;height:81.9pt;z-index:2530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" fillcolor="#71685a" strokecolor="black [3213]">
                <v:textbox>
                  <w:txbxContent>
                    <w:p w14:paraId="4C1C088D" w14:textId="77777777" w:rsidR="001501D6" w:rsidRDefault="001501D6" w:rsidP="004E3EB2">
                      <w:pPr>
                        <w:jc w:val="center"/>
                      </w:pPr>
                      <w:r>
                        <w:t>Abri fiscal à 100 %</w:t>
                      </w:r>
                    </w:p>
                  </w:txbxContent>
                </v:textbox>
              </v:oval>
            </w:pict>
          </mc:Fallback>
        </mc:AlternateContent>
      </w:r>
      <w:r w:rsidR="00DF69FC">
        <w:rPr>
          <w:noProof/>
          <w:lang w:eastAsia="fr-FR"/>
        </w:rPr>
        <mc:AlternateContent>
          <mc:Choice Requires="wps">
            <w:drawing>
              <wp:anchor distT="0" distB="0" distL="114300" distR="114300" simplePos="0" relativeHeight="253084672" behindDoc="0" locked="0" layoutInCell="1" allowOverlap="1" wp14:anchorId="753DEE07" wp14:editId="404D6286">
                <wp:simplePos x="0" y="0"/>
                <wp:positionH relativeFrom="column">
                  <wp:posOffset>2400300</wp:posOffset>
                </wp:positionH>
                <wp:positionV relativeFrom="paragraph">
                  <wp:posOffset>2057400</wp:posOffset>
                </wp:positionV>
                <wp:extent cx="1600200" cy="800100"/>
                <wp:effectExtent l="76200" t="76200" r="76200" b="63500"/>
                <wp:wrapNone/>
                <wp:docPr id="773" name="Rectangle à coins arrondis 773"/>
                <wp:cNvGraphicFramePr/>
                <a:graphic xmlns:a="http://schemas.openxmlformats.org/drawingml/2006/main">
                  <a:graphicData uri="http://schemas.microsoft.com/office/word/2010/wordprocessingShape">
                    <wps:wsp>
                      <wps:cNvSpPr/>
                      <wps:spPr>
                        <a:xfrm>
                          <a:off x="0" y="0"/>
                          <a:ext cx="1600200" cy="8001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4A0A9AE" w14:textId="77777777" w:rsidR="00573C95" w:rsidRDefault="00573C95" w:rsidP="00CE4336">
                            <w:pPr>
                              <w:jc w:val="center"/>
                            </w:pPr>
                            <w:r>
                              <w:t>Rendement, sans tenir compte de l'impôt</w:t>
                            </w:r>
                          </w:p>
                        </w:txbxContent>
                      </wps:txbx>
                      <wps:bodyPr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73" o:spid="_x0000_s1533" style="position:absolute;margin-left:189pt;margin-top:162pt;width:126pt;height:63pt;z-index:2530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" fillcolor="#595959">
                <v:textbox>
                  <w:txbxContent>
                    <w:p w14:paraId="44A0A9AE" w14:textId="77777777" w:rsidR="001501D6" w:rsidRDefault="001501D6" w:rsidP="00CE4336">
                      <w:pPr>
                        <w:jc w:val="center"/>
                      </w:pPr>
                      <w:r>
                        <w:t>Rendement, sans tenir compte de l'impôt</w:t>
                      </w:r>
                    </w:p>
                  </w:txbxContent>
                </v:textbox>
              </v:roundrect>
            </w:pict>
          </mc:Fallback>
        </mc:AlternateContent>
      </w:r>
      <w:r w:rsidR="00DF69FC">
        <w:rPr>
          <w:noProof/>
          <w:lang w:eastAsia="fr-FR"/>
        </w:rPr>
        <mc:AlternateContent>
          <mc:Choice Requires="wps">
            <w:drawing>
              <wp:anchor distT="0" distB="0" distL="114300" distR="114300" simplePos="0" relativeHeight="253074432" behindDoc="0" locked="0" layoutInCell="1" allowOverlap="1" wp14:anchorId="7E23F36A" wp14:editId="097FA319">
                <wp:simplePos x="0" y="0"/>
                <wp:positionH relativeFrom="column">
                  <wp:posOffset>7200900</wp:posOffset>
                </wp:positionH>
                <wp:positionV relativeFrom="paragraph">
                  <wp:posOffset>800100</wp:posOffset>
                </wp:positionV>
                <wp:extent cx="1028700" cy="1028700"/>
                <wp:effectExtent l="76200" t="76200" r="63500" b="63500"/>
                <wp:wrapNone/>
                <wp:docPr id="768" name="Rectangle à coins arrondis 768"/>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B12BADE" w14:textId="7F90EF30" w:rsidR="00573C95" w:rsidRDefault="00573C95" w:rsidP="00CB32BB">
                            <w:pPr>
                              <w:jc w:val="center"/>
                            </w:pPr>
                            <w:r>
                              <w:t>DETTE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68" o:spid="_x0000_s1534" style="position:absolute;margin-left:567pt;margin-top:63pt;width:81pt;height:81pt;z-index:2530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" fillcolor="#94c600 [3204]" strokecolor="#94c600 [3204]">
                <v:fill color2="#84b100 [2884]" rotate="t" focus="100%" type="gradient">
                  <o:fill v:ext="view" type="gradientUnscaled"/>
                </v:fill>
                <v:textbox>
                  <w:txbxContent>
                    <w:p w14:paraId="6B12BADE" w14:textId="7F90EF30" w:rsidR="001501D6" w:rsidRDefault="001501D6" w:rsidP="00CB32BB">
                      <w:pPr>
                        <w:jc w:val="center"/>
                      </w:pPr>
                      <w:r>
                        <w:t>DETTE</w:t>
                      </w:r>
                    </w:p>
                  </w:txbxContent>
                </v:textbox>
              </v:roundrect>
            </w:pict>
          </mc:Fallback>
        </mc:AlternateContent>
      </w:r>
      <w:r w:rsidR="00DF69FC">
        <w:rPr>
          <w:noProof/>
          <w:lang w:eastAsia="fr-FR"/>
        </w:rPr>
        <mc:AlternateContent>
          <mc:Choice Requires="wps">
            <w:drawing>
              <wp:anchor distT="0" distB="0" distL="114300" distR="114300" simplePos="0" relativeHeight="253094912" behindDoc="0" locked="0" layoutInCell="1" allowOverlap="1" wp14:anchorId="4B321FD7" wp14:editId="00A0BCF8">
                <wp:simplePos x="0" y="0"/>
                <wp:positionH relativeFrom="column">
                  <wp:posOffset>5372100</wp:posOffset>
                </wp:positionH>
                <wp:positionV relativeFrom="paragraph">
                  <wp:posOffset>3314700</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778" name="Croix 778"/>
                <wp:cNvGraphicFramePr/>
                <a:graphic xmlns:a="http://schemas.openxmlformats.org/drawingml/2006/main">
                  <a:graphicData uri="http://schemas.microsoft.com/office/word/2010/wordprocessingShape">
                    <wps:wsp>
                      <wps:cNvSpPr/>
                      <wps:spPr>
                        <a:xfrm>
                          <a:off x="0" y="0"/>
                          <a:ext cx="822960" cy="822960"/>
                        </a:xfrm>
                        <a:prstGeom prst="mathPlus">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xmlns:w15="http://schemas.microsoft.com/office/word/2012/wordml">
            <w:pict>
              <v:shape id="Croix 778" o:spid="_x0000_s1026" style="position:absolute;margin-left:423pt;margin-top:261pt;width:64.8pt;height:64.8pt;z-index:253094912;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" path="m109083,314700l314700,314700,314700,109083,508260,109083,508260,314700,713877,314700,713877,508260,508260,508260,508260,713877,314700,713877,314700,508260,109083,508260,109083,314700xe" fillcolor="#94c600 [3204]" strokecolor="#94c600 [3204]">
                <v:fill color2="#84b100 [2884]" rotate="t" focus="100%" type="gradient">
                  <o:fill v:ext="view" type="gradientUnscaled"/>
                </v:fill>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r w:rsidR="00DF69FC">
        <w:rPr>
          <w:noProof/>
          <w:lang w:eastAsia="fr-FR"/>
        </w:rPr>
        <mc:AlternateContent>
          <mc:Choice Requires="wps">
            <w:drawing>
              <wp:anchor distT="0" distB="0" distL="114300" distR="114300" simplePos="0" relativeHeight="253086720" behindDoc="0" locked="0" layoutInCell="1" allowOverlap="1" wp14:anchorId="3B08FDD6" wp14:editId="173C1455">
                <wp:simplePos x="0" y="0"/>
                <wp:positionH relativeFrom="column">
                  <wp:posOffset>4914900</wp:posOffset>
                </wp:positionH>
                <wp:positionV relativeFrom="paragraph">
                  <wp:posOffset>2057400</wp:posOffset>
                </wp:positionV>
                <wp:extent cx="1600200" cy="1257300"/>
                <wp:effectExtent l="76200" t="76200" r="76200" b="63500"/>
                <wp:wrapNone/>
                <wp:docPr id="774" name="Rectangle à coins arrondis 774"/>
                <wp:cNvGraphicFramePr/>
                <a:graphic xmlns:a="http://schemas.openxmlformats.org/drawingml/2006/main">
                  <a:graphicData uri="http://schemas.microsoft.com/office/word/2010/wordprocessingShape">
                    <wps:wsp>
                      <wps:cNvSpPr/>
                      <wps:spPr>
                        <a:xfrm>
                          <a:off x="0" y="0"/>
                          <a:ext cx="1600200" cy="12573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E79E244" w14:textId="064E6EF4" w:rsidR="00573C95" w:rsidRDefault="00573C95" w:rsidP="00CE4336">
                            <w:pPr>
                              <w:jc w:val="center"/>
                            </w:pPr>
                            <w:r>
                              <w:t>Rendement avant les subventions, sans tenir compte de l'impôt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74" o:spid="_x0000_s1535" style="position:absolute;margin-left:387pt;margin-top:162pt;width:126pt;height:99pt;z-index:2530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" fillcolor="#595959">
                <v:textbox>
                  <w:txbxContent>
                    <w:p w14:paraId="0E79E244" w14:textId="064E6EF4" w:rsidR="001501D6" w:rsidRDefault="001501D6" w:rsidP="00CE4336">
                      <w:pPr>
                        <w:jc w:val="center"/>
                      </w:pPr>
                      <w:r>
                        <w:t>Rendement avant les subventions, sans tenir compte de l'impôt</w:t>
                      </w:r>
                    </w:p>
                  </w:txbxContent>
                </v:textbox>
              </v:roundrect>
            </w:pict>
          </mc:Fallback>
        </mc:AlternateContent>
      </w:r>
      <w:r w:rsidR="00DF69FC">
        <w:rPr>
          <w:noProof/>
          <w:lang w:eastAsia="fr-FR"/>
        </w:rPr>
        <mc:AlternateContent>
          <mc:Choice Requires="wps">
            <w:drawing>
              <wp:anchor distT="0" distB="0" distL="114300" distR="114300" simplePos="0" relativeHeight="253092864" behindDoc="0" locked="0" layoutInCell="1" allowOverlap="1" wp14:anchorId="17736310" wp14:editId="21ED1E10">
                <wp:simplePos x="0" y="0"/>
                <wp:positionH relativeFrom="column">
                  <wp:posOffset>5029200</wp:posOffset>
                </wp:positionH>
                <wp:positionV relativeFrom="paragraph">
                  <wp:posOffset>4114800</wp:posOffset>
                </wp:positionV>
                <wp:extent cx="1600200" cy="1257300"/>
                <wp:effectExtent l="76200" t="76200" r="76200" b="63500"/>
                <wp:wrapNone/>
                <wp:docPr id="777" name="Rectangle à coins arrondis 777"/>
                <wp:cNvGraphicFramePr/>
                <a:graphic xmlns:a="http://schemas.openxmlformats.org/drawingml/2006/main">
                  <a:graphicData uri="http://schemas.microsoft.com/office/word/2010/wordprocessingShape">
                    <wps:wsp>
                      <wps:cNvSpPr/>
                      <wps:spPr>
                        <a:xfrm>
                          <a:off x="0" y="0"/>
                          <a:ext cx="1600200" cy="12573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37478D1" w14:textId="430AEBA4" w:rsidR="00573C95" w:rsidRDefault="00573C95" w:rsidP="00DF69FC">
                            <w:pPr>
                              <w:jc w:val="center"/>
                            </w:pPr>
                            <w:r>
                              <w:t>Convertir les subventions en taux de rendement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77" o:spid="_x0000_s1536" style="position:absolute;margin-left:396pt;margin-top:324pt;width:126pt;height:99pt;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" fillcolor="#595959">
                <v:textbox>
                  <w:txbxContent>
                    <w:p w14:paraId="637478D1" w14:textId="430AEBA4" w:rsidR="001501D6" w:rsidRDefault="001501D6" w:rsidP="00DF69FC">
                      <w:pPr>
                        <w:jc w:val="center"/>
                      </w:pPr>
                      <w:r>
                        <w:t>Convertir les subventions en taux de rendement</w:t>
                      </w:r>
                    </w:p>
                  </w:txbxContent>
                </v:textbox>
              </v:roundrect>
            </w:pict>
          </mc:Fallback>
        </mc:AlternateContent>
      </w:r>
      <w:r w:rsidR="00DF69FC">
        <w:rPr>
          <w:noProof/>
          <w:lang w:eastAsia="fr-FR"/>
        </w:rPr>
        <mc:AlternateContent>
          <mc:Choice Requires="wps">
            <w:drawing>
              <wp:anchor distT="0" distB="0" distL="114300" distR="114300" simplePos="0" relativeHeight="253072384" behindDoc="0" locked="0" layoutInCell="1" allowOverlap="1" wp14:anchorId="75FE0595" wp14:editId="1DF5162E">
                <wp:simplePos x="0" y="0"/>
                <wp:positionH relativeFrom="column">
                  <wp:posOffset>5143500</wp:posOffset>
                </wp:positionH>
                <wp:positionV relativeFrom="paragraph">
                  <wp:posOffset>800100</wp:posOffset>
                </wp:positionV>
                <wp:extent cx="1028700" cy="1028700"/>
                <wp:effectExtent l="76200" t="76200" r="63500" b="63500"/>
                <wp:wrapNone/>
                <wp:docPr id="767" name="Rectangle à coins arrondis 767"/>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6675643" w14:textId="24500B36" w:rsidR="00573C95" w:rsidRDefault="00573C95" w:rsidP="00CB32BB">
                            <w:pPr>
                              <w:jc w:val="center"/>
                            </w:pPr>
                            <w:r>
                              <w:t>REÉÉ</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67" o:spid="_x0000_s1537" style="position:absolute;margin-left:405pt;margin-top:63pt;width:81pt;height:81pt;z-index:2530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" fillcolor="#94c600 [3204]" strokecolor="#94c600 [3204]">
                <v:fill color2="#84b100 [2884]" rotate="t" focus="100%" type="gradient">
                  <o:fill v:ext="view" type="gradientUnscaled"/>
                </v:fill>
                <v:textbox>
                  <w:txbxContent>
                    <w:p w14:paraId="56675643" w14:textId="24500B36" w:rsidR="001501D6" w:rsidRDefault="001501D6" w:rsidP="00CB32BB">
                      <w:pPr>
                        <w:jc w:val="center"/>
                      </w:pPr>
                      <w:r>
                        <w:t>REÉÉ</w:t>
                      </w:r>
                    </w:p>
                  </w:txbxContent>
                </v:textbox>
              </v:roundrect>
            </w:pict>
          </mc:Fallback>
        </mc:AlternateContent>
      </w:r>
      <w:r w:rsidR="00DF69FC">
        <w:rPr>
          <w:noProof/>
          <w:lang w:eastAsia="fr-FR"/>
        </w:rPr>
        <mc:AlternateContent>
          <mc:Choice Requires="wps">
            <w:drawing>
              <wp:anchor distT="0" distB="0" distL="114300" distR="114300" simplePos="0" relativeHeight="253070336" behindDoc="0" locked="0" layoutInCell="1" allowOverlap="1" wp14:anchorId="3CEC4C2E" wp14:editId="35A231B3">
                <wp:simplePos x="0" y="0"/>
                <wp:positionH relativeFrom="column">
                  <wp:posOffset>2628900</wp:posOffset>
                </wp:positionH>
                <wp:positionV relativeFrom="paragraph">
                  <wp:posOffset>800100</wp:posOffset>
                </wp:positionV>
                <wp:extent cx="1028700" cy="1028700"/>
                <wp:effectExtent l="76200" t="76200" r="63500" b="63500"/>
                <wp:wrapNone/>
                <wp:docPr id="766" name="Rectangle à coins arrondis 766"/>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BDEB3F0" w14:textId="5812C533" w:rsidR="00573C95" w:rsidRDefault="00573C95" w:rsidP="00CB32BB">
                            <w:pPr>
                              <w:jc w:val="center"/>
                            </w:pPr>
                            <w:r>
                              <w:t>CÉLI</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66" o:spid="_x0000_s1538" style="position:absolute;margin-left:207pt;margin-top:63pt;width:81pt;height:81pt;z-index:2530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" fillcolor="#94c600 [3204]" strokecolor="#94c600 [3204]">
                <v:fill color2="#84b100 [2884]" rotate="t" focus="100%" type="gradient">
                  <o:fill v:ext="view" type="gradientUnscaled"/>
                </v:fill>
                <v:textbox>
                  <w:txbxContent>
                    <w:p w14:paraId="5BDEB3F0" w14:textId="5812C533" w:rsidR="001501D6" w:rsidRDefault="001501D6" w:rsidP="00CB32BB">
                      <w:pPr>
                        <w:jc w:val="center"/>
                      </w:pPr>
                      <w:r>
                        <w:t>CÉLI</w:t>
                      </w:r>
                    </w:p>
                  </w:txbxContent>
                </v:textbox>
              </v:roundrect>
            </w:pict>
          </mc:Fallback>
        </mc:AlternateContent>
      </w:r>
      <w:r w:rsidR="00DF69FC">
        <w:rPr>
          <w:noProof/>
          <w:lang w:eastAsia="fr-FR"/>
        </w:rPr>
        <mc:AlternateContent>
          <mc:Choice Requires="wps">
            <w:drawing>
              <wp:anchor distT="0" distB="0" distL="114300" distR="114300" simplePos="0" relativeHeight="253078528" behindDoc="0" locked="0" layoutInCell="1" allowOverlap="1" wp14:anchorId="6AF51EF3" wp14:editId="0EF06044">
                <wp:simplePos x="0" y="0"/>
                <wp:positionH relativeFrom="column">
                  <wp:posOffset>1828800</wp:posOffset>
                </wp:positionH>
                <wp:positionV relativeFrom="paragraph">
                  <wp:posOffset>342900</wp:posOffset>
                </wp:positionV>
                <wp:extent cx="1040130" cy="1040130"/>
                <wp:effectExtent l="76200" t="76200" r="77470" b="77470"/>
                <wp:wrapNone/>
                <wp:docPr id="770" name="Ellipse 770"/>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B3854BD" w14:textId="77777777" w:rsidR="00573C95" w:rsidRDefault="00573C95" w:rsidP="004E3EB2">
                            <w:pPr>
                              <w:jc w:val="center"/>
                            </w:pPr>
                            <w:r>
                              <w:t>Abri fiscal à 100 %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770" o:spid="_x0000_s1539" style="position:absolute;margin-left:2in;margin-top:27pt;width:81.9pt;height:81.9pt;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" fillcolor="#71685a" strokecolor="black [3213]">
                <v:textbox>
                  <w:txbxContent>
                    <w:p w14:paraId="5B3854BD" w14:textId="77777777" w:rsidR="001501D6" w:rsidRDefault="001501D6" w:rsidP="004E3EB2">
                      <w:pPr>
                        <w:jc w:val="center"/>
                      </w:pPr>
                      <w:r>
                        <w:t>Abri fiscal à 100 %</w:t>
                      </w:r>
                    </w:p>
                  </w:txbxContent>
                </v:textbox>
              </v:oval>
            </w:pict>
          </mc:Fallback>
        </mc:AlternateContent>
      </w:r>
      <w:r w:rsidR="00DF69FC">
        <w:rPr>
          <w:noProof/>
          <w:lang w:eastAsia="fr-FR"/>
        </w:rPr>
        <mc:AlternateContent>
          <mc:Choice Requires="wps">
            <w:drawing>
              <wp:anchor distT="0" distB="0" distL="114300" distR="114300" simplePos="0" relativeHeight="253068288" behindDoc="0" locked="0" layoutInCell="1" allowOverlap="1" wp14:anchorId="4324197D" wp14:editId="01270587">
                <wp:simplePos x="0" y="0"/>
                <wp:positionH relativeFrom="column">
                  <wp:posOffset>114300</wp:posOffset>
                </wp:positionH>
                <wp:positionV relativeFrom="paragraph">
                  <wp:posOffset>800100</wp:posOffset>
                </wp:positionV>
                <wp:extent cx="1028700" cy="1028700"/>
                <wp:effectExtent l="76200" t="76200" r="63500" b="63500"/>
                <wp:wrapNone/>
                <wp:docPr id="765" name="Rectangle à coins arrondis 765"/>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8D22BED" w14:textId="51E69C4E" w:rsidR="00573C95" w:rsidRDefault="00573C95" w:rsidP="00CB32BB">
                            <w:pPr>
                              <w:jc w:val="center"/>
                            </w:pPr>
                            <w:r>
                              <w:t>REÉR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65" o:spid="_x0000_s1540" style="position:absolute;margin-left:9pt;margin-top:63pt;width:81pt;height:81pt;z-index:2530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" fillcolor="#94c600 [3204]" strokecolor="#94c600 [3204]">
                <v:fill color2="#84b100 [2884]" rotate="t" focus="100%" type="gradient">
                  <o:fill v:ext="view" type="gradientUnscaled"/>
                </v:fill>
                <v:textbox>
                  <w:txbxContent>
                    <w:p w14:paraId="08D22BED" w14:textId="51E69C4E" w:rsidR="001501D6" w:rsidRDefault="001501D6" w:rsidP="00CB32BB">
                      <w:pPr>
                        <w:jc w:val="center"/>
                      </w:pPr>
                      <w:r>
                        <w:t>REÉR</w:t>
                      </w:r>
                    </w:p>
                  </w:txbxContent>
                </v:textbox>
              </v:roundrect>
            </w:pict>
          </mc:Fallback>
        </mc:AlternateContent>
      </w:r>
      <w:r w:rsidR="00DF69FC">
        <w:rPr>
          <w:noProof/>
          <w:lang w:eastAsia="fr-FR"/>
        </w:rPr>
        <mc:AlternateContent>
          <mc:Choice Requires="wps">
            <w:drawing>
              <wp:anchor distT="0" distB="0" distL="114300" distR="114300" simplePos="0" relativeHeight="253076480" behindDoc="0" locked="0" layoutInCell="1" allowOverlap="1" wp14:anchorId="1233A0CE" wp14:editId="3E544C59">
                <wp:simplePos x="0" y="0"/>
                <wp:positionH relativeFrom="column">
                  <wp:posOffset>-685800</wp:posOffset>
                </wp:positionH>
                <wp:positionV relativeFrom="paragraph">
                  <wp:posOffset>342900</wp:posOffset>
                </wp:positionV>
                <wp:extent cx="1040130" cy="1040130"/>
                <wp:effectExtent l="76200" t="76200" r="77470" b="77470"/>
                <wp:wrapNone/>
                <wp:docPr id="769" name="Ellipse 769"/>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4034B96" w14:textId="10C34563" w:rsidR="00573C95" w:rsidRDefault="00573C95" w:rsidP="004E3EB2">
                            <w:pPr>
                              <w:jc w:val="center"/>
                            </w:pPr>
                            <w:r>
                              <w:t>Abri fiscal à 100 %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769" o:spid="_x0000_s1541" style="position:absolute;margin-left:-53.95pt;margin-top:27pt;width:81.9pt;height:81.9pt;z-index:2530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" fillcolor="#71685a" strokecolor="black [3213]">
                <v:textbox>
                  <w:txbxContent>
                    <w:p w14:paraId="54034B96" w14:textId="10C34563" w:rsidR="001501D6" w:rsidRDefault="001501D6" w:rsidP="004E3EB2">
                      <w:pPr>
                        <w:jc w:val="center"/>
                      </w:pPr>
                      <w:r>
                        <w:t>Abri fiscal à 100 %</w:t>
                      </w:r>
                    </w:p>
                  </w:txbxContent>
                </v:textbox>
              </v:oval>
            </w:pict>
          </mc:Fallback>
        </mc:AlternateContent>
      </w:r>
      <w:r w:rsidR="00F717B6">
        <w:rPr>
          <w:color w:val="FF6700" w:themeColor="accent3"/>
        </w:rPr>
        <w:t>IMAGE 7-21 Optimisation</w:t>
      </w:r>
      <w:r w:rsidR="007036CC" w:rsidRPr="007036CC">
        <w:rPr>
          <w:noProof/>
          <w:lang w:eastAsia="fr-FR"/>
        </w:rPr>
        <w:t xml:space="preserve"> </w:t>
      </w:r>
      <w:r w:rsidR="00F717B6">
        <w:rPr>
          <w:color w:val="FF6700" w:themeColor="accent3"/>
        </w:rPr>
        <w:t xml:space="preserve"> véhicules de placement vs dettes </w:t>
      </w:r>
      <w:r w:rsidR="00F717B6">
        <w:br w:type="page"/>
      </w:r>
    </w:p>
    <w:p w14:paraId="3B5BBC43" w14:textId="72778F95" w:rsidR="00BE1CC0" w:rsidRDefault="00BE1CC0" w:rsidP="00527AEF">
      <w:r>
        <w:lastRenderedPageBreak/>
        <w:t xml:space="preserve">Notes explicatives à </w:t>
      </w:r>
      <w:r w:rsidR="009D0832" w:rsidRPr="00A06709">
        <w:rPr>
          <w:color w:val="FF6700" w:themeColor="accent3"/>
        </w:rPr>
        <w:t>l</w:t>
      </w:r>
      <w:r w:rsidRPr="00A06709">
        <w:rPr>
          <w:color w:val="FF6700" w:themeColor="accent3"/>
        </w:rPr>
        <w:t>'</w:t>
      </w:r>
      <w:r w:rsidR="009D0832" w:rsidRPr="009D0832">
        <w:rPr>
          <w:color w:val="FF6700" w:themeColor="accent3"/>
        </w:rPr>
        <w:t>IMAGE</w:t>
      </w:r>
      <w:r w:rsidRPr="009D0832">
        <w:rPr>
          <w:color w:val="FF6700" w:themeColor="accent3"/>
        </w:rPr>
        <w:t xml:space="preserve"> 7-21</w:t>
      </w:r>
    </w:p>
    <w:p w14:paraId="6EB3818A" w14:textId="5145E6FC" w:rsidR="00BE1CC0" w:rsidRDefault="00595779" w:rsidP="00527AEF">
      <w:r>
        <w:rPr>
          <w:noProof/>
          <w:lang w:eastAsia="fr-FR"/>
        </w:rPr>
        <mc:AlternateContent>
          <mc:Choice Requires="wps">
            <w:drawing>
              <wp:anchor distT="0" distB="0" distL="114300" distR="114300" simplePos="0" relativeHeight="253125632" behindDoc="0" locked="0" layoutInCell="1" allowOverlap="1" wp14:anchorId="5EEAC114" wp14:editId="01BB277E">
                <wp:simplePos x="0" y="0"/>
                <wp:positionH relativeFrom="column">
                  <wp:posOffset>-457200</wp:posOffset>
                </wp:positionH>
                <wp:positionV relativeFrom="paragraph">
                  <wp:posOffset>156210</wp:posOffset>
                </wp:positionV>
                <wp:extent cx="1040130" cy="1040130"/>
                <wp:effectExtent l="76200" t="76200" r="77470" b="77470"/>
                <wp:wrapNone/>
                <wp:docPr id="796" name="Ellipse 796"/>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7F0CD55" w14:textId="77777777" w:rsidR="00573C95" w:rsidRDefault="00573C95" w:rsidP="009D0832">
                            <w:pPr>
                              <w:jc w:val="center"/>
                            </w:pPr>
                            <w:r>
                              <w:t>Abri fiscal à 100 %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796" o:spid="_x0000_s1542" style="position:absolute;margin-left:-35.95pt;margin-top:12.3pt;width:81.9pt;height:81.9pt;z-index:2531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" fillcolor="#71685a" strokecolor="black [3213]">
                <v:textbox>
                  <w:txbxContent>
                    <w:p w14:paraId="17F0CD55" w14:textId="77777777" w:rsidR="001501D6" w:rsidRDefault="001501D6" w:rsidP="009D0832">
                      <w:pPr>
                        <w:jc w:val="center"/>
                      </w:pPr>
                      <w:r>
                        <w:t>Abri fiscal à 100 %</w:t>
                      </w:r>
                    </w:p>
                  </w:txbxContent>
                </v:textbox>
              </v:oval>
            </w:pict>
          </mc:Fallback>
        </mc:AlternateContent>
      </w:r>
    </w:p>
    <w:p w14:paraId="433F7D82" w14:textId="6603C6DA" w:rsidR="00595779" w:rsidRDefault="00D31BED" w:rsidP="00595779">
      <w:pPr>
        <w:ind w:left="1560"/>
        <w:jc w:val="both"/>
      </w:pPr>
      <w:r>
        <w:t>L'expression abri fiscal fait référence à la défiscalisation des trois véhicules de placements selon diverses hypothèses. Il va de soi que le CÉLI est complètement défiscalisé. Par ailleurs, nous avons vu que le REÉR était aussi complètement défiscalisé lorsque le taux d'impôt au moment de  la cotisation correspondait</w:t>
      </w:r>
      <w:r w:rsidR="00F03987">
        <w:t xml:space="preserve"> </w:t>
      </w:r>
      <w:r>
        <w:t>au taux d'impôt anticipé au moment des encaissements des retraits et que le remboursement d'impôt était intégralement réinvesti</w:t>
      </w:r>
      <w:r w:rsidR="00595779">
        <w:t xml:space="preserve"> dans un CÉLI ou REÉR. Finalement, le REÉÉ est également un abri fiscal pur</w:t>
      </w:r>
      <w:r w:rsidR="00F03987">
        <w:t xml:space="preserve"> </w:t>
      </w:r>
      <w:r w:rsidR="00595779">
        <w:t>lorsque les revenus (subventions et rendement) qui seront payés à l'enfant sont inférieurs aux crédits d'impôt personnel disponible</w:t>
      </w:r>
      <w:r w:rsidR="00D8378E">
        <w:t>s</w:t>
      </w:r>
      <w:r w:rsidR="00595779">
        <w:t xml:space="preserve"> pour ce dernier.</w:t>
      </w:r>
    </w:p>
    <w:p w14:paraId="2E9A65DD" w14:textId="06A93109" w:rsidR="00595779" w:rsidRDefault="00595779" w:rsidP="00D31BED">
      <w:pPr>
        <w:jc w:val="both"/>
      </w:pPr>
    </w:p>
    <w:p w14:paraId="217A419B" w14:textId="0A762FFD" w:rsidR="00595779" w:rsidRDefault="00595779" w:rsidP="00595779">
      <w:pPr>
        <w:ind w:left="1560" w:hanging="1560"/>
        <w:jc w:val="both"/>
      </w:pPr>
      <w:r>
        <w:rPr>
          <w:noProof/>
          <w:lang w:eastAsia="fr-FR"/>
        </w:rPr>
        <mc:AlternateContent>
          <mc:Choice Requires="wps">
            <w:drawing>
              <wp:anchor distT="0" distB="0" distL="114300" distR="114300" simplePos="0" relativeHeight="253127680" behindDoc="0" locked="0" layoutInCell="1" allowOverlap="1" wp14:anchorId="7752924E" wp14:editId="71105413">
                <wp:simplePos x="0" y="0"/>
                <wp:positionH relativeFrom="column">
                  <wp:posOffset>-800100</wp:posOffset>
                </wp:positionH>
                <wp:positionV relativeFrom="paragraph">
                  <wp:posOffset>1905</wp:posOffset>
                </wp:positionV>
                <wp:extent cx="1600200" cy="800100"/>
                <wp:effectExtent l="76200" t="76200" r="76200" b="63500"/>
                <wp:wrapNone/>
                <wp:docPr id="797" name="Rectangle à coins arrondis 797"/>
                <wp:cNvGraphicFramePr/>
                <a:graphic xmlns:a="http://schemas.openxmlformats.org/drawingml/2006/main">
                  <a:graphicData uri="http://schemas.microsoft.com/office/word/2010/wordprocessingShape">
                    <wps:wsp>
                      <wps:cNvSpPr/>
                      <wps:spPr>
                        <a:xfrm>
                          <a:off x="0" y="0"/>
                          <a:ext cx="1600200" cy="800100"/>
                        </a:xfrm>
                        <a:prstGeom prst="roundRect">
                          <a:avLst/>
                        </a:prstGeom>
                        <a:solidFill>
                          <a:schemeClr val="tx1">
                            <a:lumMod val="65000"/>
                            <a:lumOff val="35000"/>
                          </a:schemeClr>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81B927" w14:textId="77777777" w:rsidR="00573C95" w:rsidRDefault="00573C95" w:rsidP="009D0832">
                            <w:pPr>
                              <w:jc w:val="center"/>
                            </w:pPr>
                            <w:r>
                              <w:t>Rendement, sans tenir compte de l'impôt</w:t>
                            </w:r>
                          </w:p>
                        </w:txbxContent>
                      </wps:txbx>
                      <wps:bodyPr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97" o:spid="_x0000_s1543" style="position:absolute;left:0;text-align:left;margin-left:-62.95pt;margin-top:.15pt;width:126pt;height:63pt;z-index:2531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" fillcolor="#5a5a5a [2109]">
                <v:textbox>
                  <w:txbxContent>
                    <w:p w14:paraId="2981B927" w14:textId="77777777" w:rsidR="001501D6" w:rsidRDefault="001501D6" w:rsidP="009D0832">
                      <w:pPr>
                        <w:jc w:val="center"/>
                      </w:pPr>
                      <w:r>
                        <w:t>Rendement, sans tenir compte de l'impôt</w:t>
                      </w:r>
                    </w:p>
                  </w:txbxContent>
                </v:textbox>
              </v:roundrect>
            </w:pict>
          </mc:Fallback>
        </mc:AlternateContent>
      </w:r>
      <w:r>
        <w:tab/>
        <w:t>Puisque</w:t>
      </w:r>
      <w:r w:rsidR="009E6B36">
        <w:t xml:space="preserve"> </w:t>
      </w:r>
      <w:r>
        <w:t xml:space="preserve">les hypothèses que nous venons de présenter font en sorte qu'aucun impôt ne sera exigible dans le cas des trois véhicules de placement, il est normal d'utiliser des rendements sans tenir compte de </w:t>
      </w:r>
      <w:r>
        <w:tab/>
        <w:t>l'impôt</w:t>
      </w:r>
      <w:r w:rsidR="00F03987">
        <w:t xml:space="preserve"> </w:t>
      </w:r>
      <w:r>
        <w:t>à</w:t>
      </w:r>
      <w:r w:rsidR="00F03987">
        <w:t xml:space="preserve"> </w:t>
      </w:r>
      <w:r>
        <w:t>des</w:t>
      </w:r>
      <w:r w:rsidR="00F03987">
        <w:t xml:space="preserve"> </w:t>
      </w:r>
      <w:r>
        <w:t>fins</w:t>
      </w:r>
      <w:r w:rsidR="00F03987">
        <w:t xml:space="preserve"> </w:t>
      </w:r>
      <w:r>
        <w:t>comparatifs. Puisque</w:t>
      </w:r>
      <w:r w:rsidR="00F03987">
        <w:t xml:space="preserve"> </w:t>
      </w:r>
      <w:r>
        <w:t>les</w:t>
      </w:r>
      <w:r w:rsidR="00F03987">
        <w:t xml:space="preserve"> </w:t>
      </w:r>
      <w:r>
        <w:t>placements</w:t>
      </w:r>
      <w:r w:rsidR="00F03987">
        <w:t xml:space="preserve"> </w:t>
      </w:r>
      <w:r>
        <w:t>admissibles</w:t>
      </w:r>
      <w:r w:rsidR="00F03987">
        <w:t xml:space="preserve"> </w:t>
      </w:r>
      <w:r>
        <w:t>sont essentiellement les mêmes, nous</w:t>
      </w:r>
      <w:r w:rsidR="00F03987">
        <w:t xml:space="preserve"> </w:t>
      </w:r>
      <w:r>
        <w:t>utiliserons le même taux de rendement  pour le REÉR, le CÉLI et le REÉÉ.</w:t>
      </w:r>
    </w:p>
    <w:p w14:paraId="5914D386" w14:textId="77777777" w:rsidR="00595779" w:rsidRDefault="00595779" w:rsidP="00595779">
      <w:pPr>
        <w:ind w:left="1560" w:hanging="1560"/>
        <w:jc w:val="both"/>
      </w:pPr>
    </w:p>
    <w:p w14:paraId="68A8F2F9" w14:textId="77777777" w:rsidR="006F5B79" w:rsidRDefault="0094373F" w:rsidP="00595779">
      <w:pPr>
        <w:ind w:left="1560" w:hanging="1560"/>
        <w:jc w:val="both"/>
      </w:pPr>
      <w:r>
        <w:rPr>
          <w:noProof/>
          <w:lang w:eastAsia="fr-FR"/>
        </w:rPr>
        <mc:AlternateContent>
          <mc:Choice Requires="wps">
            <w:drawing>
              <wp:anchor distT="0" distB="0" distL="114300" distR="114300" simplePos="0" relativeHeight="253129728" behindDoc="0" locked="0" layoutInCell="1" allowOverlap="1" wp14:anchorId="1E4513DC" wp14:editId="1A764A60">
                <wp:simplePos x="0" y="0"/>
                <wp:positionH relativeFrom="column">
                  <wp:posOffset>-800100</wp:posOffset>
                </wp:positionH>
                <wp:positionV relativeFrom="paragraph">
                  <wp:posOffset>24130</wp:posOffset>
                </wp:positionV>
                <wp:extent cx="1600200" cy="1257300"/>
                <wp:effectExtent l="76200" t="76200" r="76200" b="63500"/>
                <wp:wrapNone/>
                <wp:docPr id="798" name="Rectangle à coins arrondis 798"/>
                <wp:cNvGraphicFramePr/>
                <a:graphic xmlns:a="http://schemas.openxmlformats.org/drawingml/2006/main">
                  <a:graphicData uri="http://schemas.microsoft.com/office/word/2010/wordprocessingShape">
                    <wps:wsp>
                      <wps:cNvSpPr/>
                      <wps:spPr>
                        <a:xfrm>
                          <a:off x="0" y="0"/>
                          <a:ext cx="1600200" cy="12573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654156A" w14:textId="77777777" w:rsidR="00573C95" w:rsidRDefault="00573C95" w:rsidP="009D0832">
                            <w:pPr>
                              <w:jc w:val="center"/>
                            </w:pPr>
                            <w:r>
                              <w:t>Convertir les subventions en taux de rendement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98" o:spid="_x0000_s1544" style="position:absolute;left:0;text-align:left;margin-left:-62.95pt;margin-top:1.9pt;width:126pt;height:99pt;z-index:2531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" fillcolor="#595959">
                <v:textbox>
                  <w:txbxContent>
                    <w:p w14:paraId="0654156A" w14:textId="77777777" w:rsidR="001501D6" w:rsidRDefault="001501D6" w:rsidP="009D0832">
                      <w:pPr>
                        <w:jc w:val="center"/>
                      </w:pPr>
                      <w:r>
                        <w:t>Convertir les subventions en taux de rendement</w:t>
                      </w:r>
                    </w:p>
                  </w:txbxContent>
                </v:textbox>
              </v:roundrect>
            </w:pict>
          </mc:Fallback>
        </mc:AlternateContent>
      </w:r>
      <w:r w:rsidR="00595779">
        <w:tab/>
        <w:t>Puisque le modèle d'optimisation visera à comparer tout simplement des taux, il est essentiel de tr</w:t>
      </w:r>
      <w:r>
        <w:t>a</w:t>
      </w:r>
      <w:r w:rsidR="00595779">
        <w:t>duire en taux la bonification du REEÉ qui est attribuable aux subventions gouvernementales</w:t>
      </w:r>
      <w:r>
        <w:t xml:space="preserve"> qui seront versées au régime. Ces subventions constituent un rendement.</w:t>
      </w:r>
      <w:r w:rsidR="00595779">
        <w:t xml:space="preserve"> </w:t>
      </w:r>
    </w:p>
    <w:p w14:paraId="669519FB" w14:textId="77777777" w:rsidR="006F5B79" w:rsidRDefault="006F5B79" w:rsidP="00595779">
      <w:pPr>
        <w:ind w:left="1560" w:hanging="1560"/>
        <w:jc w:val="both"/>
      </w:pPr>
    </w:p>
    <w:p w14:paraId="0112B217" w14:textId="77777777" w:rsidR="006F5B79" w:rsidRDefault="006F5B79" w:rsidP="00595779">
      <w:pPr>
        <w:ind w:left="1560" w:hanging="1560"/>
        <w:jc w:val="both"/>
      </w:pPr>
    </w:p>
    <w:p w14:paraId="4546D227" w14:textId="77777777" w:rsidR="006F5B79" w:rsidRDefault="006F5B79" w:rsidP="00595779">
      <w:pPr>
        <w:ind w:left="1560" w:hanging="1560"/>
        <w:jc w:val="both"/>
      </w:pPr>
    </w:p>
    <w:p w14:paraId="48F90C0B" w14:textId="77777777" w:rsidR="006F5B79" w:rsidRDefault="006F5B79" w:rsidP="00595779">
      <w:pPr>
        <w:ind w:left="1560" w:hanging="1560"/>
        <w:jc w:val="both"/>
      </w:pPr>
    </w:p>
    <w:p w14:paraId="154FDA31" w14:textId="77777777" w:rsidR="006F5B79" w:rsidRDefault="006F5B79" w:rsidP="00595779">
      <w:pPr>
        <w:ind w:left="1560" w:hanging="1560"/>
        <w:jc w:val="both"/>
      </w:pPr>
    </w:p>
    <w:p w14:paraId="16C79ABF" w14:textId="6DE2EA34" w:rsidR="00626F48" w:rsidRDefault="006F5B79" w:rsidP="00595779">
      <w:pPr>
        <w:ind w:left="1560" w:hanging="1560"/>
        <w:jc w:val="both"/>
      </w:pPr>
      <w:r>
        <w:rPr>
          <w:noProof/>
          <w:lang w:eastAsia="fr-FR"/>
        </w:rPr>
        <mc:AlternateContent>
          <mc:Choice Requires="wps">
            <w:drawing>
              <wp:anchor distT="0" distB="0" distL="114300" distR="114300" simplePos="0" relativeHeight="253131776" behindDoc="0" locked="0" layoutInCell="1" allowOverlap="1" wp14:anchorId="2E3035F9" wp14:editId="464E6761">
                <wp:simplePos x="0" y="0"/>
                <wp:positionH relativeFrom="column">
                  <wp:posOffset>-800100</wp:posOffset>
                </wp:positionH>
                <wp:positionV relativeFrom="paragraph">
                  <wp:posOffset>15240</wp:posOffset>
                </wp:positionV>
                <wp:extent cx="1600200" cy="800100"/>
                <wp:effectExtent l="76200" t="76200" r="76200" b="63500"/>
                <wp:wrapNone/>
                <wp:docPr id="799" name="Rectangle à coins arrondis 799"/>
                <wp:cNvGraphicFramePr/>
                <a:graphic xmlns:a="http://schemas.openxmlformats.org/drawingml/2006/main">
                  <a:graphicData uri="http://schemas.microsoft.com/office/word/2010/wordprocessingShape">
                    <wps:wsp>
                      <wps:cNvSpPr/>
                      <wps:spPr>
                        <a:xfrm>
                          <a:off x="0" y="0"/>
                          <a:ext cx="1600200" cy="8001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8B1BAE" w14:textId="77777777" w:rsidR="00573C95" w:rsidRDefault="00573C95" w:rsidP="009D0832">
                            <w:pPr>
                              <w:jc w:val="center"/>
                            </w:pPr>
                            <w:r>
                              <w:t>Taux le plus élevé des dettes, après 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99" o:spid="_x0000_s1545" style="position:absolute;left:0;text-align:left;margin-left:-62.95pt;margin-top:1.2pt;width:126pt;height:63pt;z-index:2531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" fillcolor="#595959">
                <v:textbox>
                  <w:txbxContent>
                    <w:p w14:paraId="298B1BAE" w14:textId="77777777" w:rsidR="001501D6" w:rsidRDefault="001501D6" w:rsidP="009D0832">
                      <w:pPr>
                        <w:jc w:val="center"/>
                      </w:pPr>
                      <w:r>
                        <w:t>Taux le plus élevé des dettes, après impôt</w:t>
                      </w:r>
                    </w:p>
                  </w:txbxContent>
                </v:textbox>
              </v:roundrect>
            </w:pict>
          </mc:Fallback>
        </mc:AlternateContent>
      </w:r>
      <w:r>
        <w:tab/>
        <w:t>Pour évaluer l'option de la priorisation de la dette, il faut isoler la dette la plus coûteuse puisqu'un remboursement de celle-ci permettra à l'individu de cesser le paiement d'intérêts sur le montant ainsi rembourser. Un intérêt qui ne doit pas être déboursé enrichit le patrimoine financier de la même façon qu'un intérêt encaissé en tant que revenu. Finalement, toutes les comparaison</w:t>
      </w:r>
      <w:r w:rsidR="00F774AD">
        <w:t>s</w:t>
      </w:r>
      <w:r>
        <w:t xml:space="preserve"> s'effectueront après avoir tenu compte de l'impôt, s'il y a lieu. Dans le cas d'une dette, l'impact fiscal  sera quantifié si la dette est déduct</w:t>
      </w:r>
      <w:r w:rsidR="00F774AD">
        <w:t>ible  d'impôt.</w:t>
      </w:r>
      <w:r w:rsidR="006D1B55">
        <w:t xml:space="preserve"> </w:t>
      </w:r>
    </w:p>
    <w:p w14:paraId="353FC8E6" w14:textId="77777777" w:rsidR="00626F48" w:rsidRDefault="00626F48">
      <w:r>
        <w:br w:type="page"/>
      </w:r>
    </w:p>
    <w:p w14:paraId="44125A92" w14:textId="459E6A40" w:rsidR="00626F48" w:rsidRDefault="00626F48" w:rsidP="00626F48">
      <w:pPr>
        <w:rPr>
          <w:color w:val="FF6700" w:themeColor="accent3"/>
        </w:rPr>
      </w:pPr>
      <w:r w:rsidRPr="00611FEC">
        <w:rPr>
          <w:color w:val="FF6700" w:themeColor="accent3"/>
        </w:rPr>
        <w:lastRenderedPageBreak/>
        <w:t>EXEMPLE 7-1</w:t>
      </w:r>
      <w:r>
        <w:rPr>
          <w:color w:val="FF6700" w:themeColor="accent3"/>
        </w:rPr>
        <w:t>8</w:t>
      </w:r>
    </w:p>
    <w:p w14:paraId="2FC538C9" w14:textId="77777777" w:rsidR="00614B65" w:rsidRDefault="00614B65"/>
    <w:p w14:paraId="18D414F7" w14:textId="77777777" w:rsidR="00614B65" w:rsidRDefault="00614B65">
      <w:r>
        <w:t>Nous illustrerons le principe de la priorisation et de l'optimisation à l'aide d'une courte mise en situation. Marie Richer reçoit un héritage de 10 000 $ et elle se demande ce qu'elle doit faire pour accroître la valeur de son patrimoine retraite.</w:t>
      </w:r>
    </w:p>
    <w:p w14:paraId="5F0DFE74" w14:textId="77777777" w:rsidR="00614B65" w:rsidRDefault="00614B65"/>
    <w:p w14:paraId="6BCB3C55" w14:textId="78E93DD6" w:rsidR="00614B65" w:rsidRDefault="00614B65">
      <w:r>
        <w:t>Voici quelques informations à considérer</w:t>
      </w:r>
    </w:p>
    <w:p w14:paraId="37E575E9" w14:textId="77777777" w:rsidR="00614B65" w:rsidRDefault="00614B65"/>
    <w:tbl>
      <w:tblPr>
        <w:tblStyle w:val="Grille"/>
        <w:tblpPr w:leftFromText="141" w:rightFromText="141" w:vertAnchor="page" w:horzAnchor="page" w:tblpX="1346" w:tblpY="41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3117"/>
      </w:tblGrid>
      <w:tr w:rsidR="0076765C" w14:paraId="3E2584E1" w14:textId="77777777" w:rsidTr="0076765C">
        <w:tc>
          <w:tcPr>
            <w:tcW w:w="5070" w:type="dxa"/>
            <w:shd w:val="clear" w:color="auto" w:fill="899DD1"/>
          </w:tcPr>
          <w:p w14:paraId="68D5E993" w14:textId="77777777" w:rsidR="0076765C" w:rsidRDefault="0076765C" w:rsidP="0076765C">
            <w:r>
              <w:t>Âge</w:t>
            </w:r>
          </w:p>
        </w:tc>
        <w:tc>
          <w:tcPr>
            <w:tcW w:w="3117" w:type="dxa"/>
            <w:shd w:val="clear" w:color="auto" w:fill="D1CF8B"/>
          </w:tcPr>
          <w:p w14:paraId="716EAE66" w14:textId="77777777" w:rsidR="0076765C" w:rsidRDefault="0076765C" w:rsidP="0076765C">
            <w:r>
              <w:t>40 ans</w:t>
            </w:r>
          </w:p>
        </w:tc>
      </w:tr>
      <w:tr w:rsidR="0076765C" w14:paraId="27A29AE1" w14:textId="77777777" w:rsidTr="0076765C">
        <w:tc>
          <w:tcPr>
            <w:tcW w:w="5070" w:type="dxa"/>
            <w:shd w:val="clear" w:color="auto" w:fill="899DD1"/>
          </w:tcPr>
          <w:p w14:paraId="40676F19" w14:textId="77777777" w:rsidR="0076765C" w:rsidRDefault="0076765C" w:rsidP="0076765C">
            <w:r>
              <w:t>Revenu actuel</w:t>
            </w:r>
          </w:p>
        </w:tc>
        <w:tc>
          <w:tcPr>
            <w:tcW w:w="3117" w:type="dxa"/>
            <w:shd w:val="clear" w:color="auto" w:fill="D1CF8B"/>
          </w:tcPr>
          <w:p w14:paraId="5B1DF73C" w14:textId="77777777" w:rsidR="0076765C" w:rsidRDefault="0076765C" w:rsidP="0076765C">
            <w:r>
              <w:t>80 000 $</w:t>
            </w:r>
          </w:p>
        </w:tc>
      </w:tr>
      <w:tr w:rsidR="0076765C" w14:paraId="0A0CE717" w14:textId="77777777" w:rsidTr="0076765C">
        <w:tc>
          <w:tcPr>
            <w:tcW w:w="5070" w:type="dxa"/>
            <w:shd w:val="clear" w:color="auto" w:fill="899DD1"/>
          </w:tcPr>
          <w:p w14:paraId="241C7AAA" w14:textId="77777777" w:rsidR="0076765C" w:rsidRDefault="0076765C" w:rsidP="0076765C">
            <w:r>
              <w:t>Revenu anticipé retraite</w:t>
            </w:r>
          </w:p>
        </w:tc>
        <w:tc>
          <w:tcPr>
            <w:tcW w:w="3117" w:type="dxa"/>
            <w:shd w:val="clear" w:color="auto" w:fill="D1CF8B"/>
          </w:tcPr>
          <w:p w14:paraId="739A85D3" w14:textId="77777777" w:rsidR="0076765C" w:rsidRDefault="0076765C" w:rsidP="0076765C">
            <w:r>
              <w:t>100 % du revenu actuel</w:t>
            </w:r>
          </w:p>
        </w:tc>
      </w:tr>
      <w:tr w:rsidR="0076765C" w14:paraId="73FE2EEF" w14:textId="77777777" w:rsidTr="0076765C">
        <w:tc>
          <w:tcPr>
            <w:tcW w:w="5070" w:type="dxa"/>
            <w:shd w:val="clear" w:color="auto" w:fill="899DD1"/>
          </w:tcPr>
          <w:p w14:paraId="2C0A2583" w14:textId="77777777" w:rsidR="0076765C" w:rsidRDefault="0076765C" w:rsidP="0076765C">
            <w:r>
              <w:t>Espace CÉLI disponible</w:t>
            </w:r>
          </w:p>
        </w:tc>
        <w:tc>
          <w:tcPr>
            <w:tcW w:w="3117" w:type="dxa"/>
            <w:shd w:val="clear" w:color="auto" w:fill="D1CF8B"/>
          </w:tcPr>
          <w:p w14:paraId="1C4DE95C" w14:textId="77777777" w:rsidR="0076765C" w:rsidRDefault="0076765C" w:rsidP="0076765C">
            <w:r>
              <w:t>31 000 $</w:t>
            </w:r>
          </w:p>
        </w:tc>
      </w:tr>
      <w:tr w:rsidR="0076765C" w14:paraId="1B101874" w14:textId="77777777" w:rsidTr="0076765C">
        <w:tc>
          <w:tcPr>
            <w:tcW w:w="5070" w:type="dxa"/>
            <w:shd w:val="clear" w:color="auto" w:fill="899DD1"/>
          </w:tcPr>
          <w:p w14:paraId="795B6FB8" w14:textId="77777777" w:rsidR="0076765C" w:rsidRDefault="0076765C" w:rsidP="0076765C">
            <w:r>
              <w:t>Espace REÉR disponible</w:t>
            </w:r>
          </w:p>
        </w:tc>
        <w:tc>
          <w:tcPr>
            <w:tcW w:w="3117" w:type="dxa"/>
            <w:shd w:val="clear" w:color="auto" w:fill="D1CF8B"/>
          </w:tcPr>
          <w:p w14:paraId="43D9F16F" w14:textId="77777777" w:rsidR="0076765C" w:rsidRDefault="0076765C" w:rsidP="0076765C">
            <w:r>
              <w:t>54 325 $</w:t>
            </w:r>
          </w:p>
        </w:tc>
      </w:tr>
      <w:tr w:rsidR="0076765C" w14:paraId="0B1422CA" w14:textId="77777777" w:rsidTr="0076765C">
        <w:tc>
          <w:tcPr>
            <w:tcW w:w="5070" w:type="dxa"/>
            <w:shd w:val="clear" w:color="auto" w:fill="899DD1"/>
          </w:tcPr>
          <w:p w14:paraId="5386C78C" w14:textId="77777777" w:rsidR="0076765C" w:rsidRDefault="0076765C" w:rsidP="0076765C">
            <w:r>
              <w:t>État civil</w:t>
            </w:r>
          </w:p>
        </w:tc>
        <w:tc>
          <w:tcPr>
            <w:tcW w:w="3117" w:type="dxa"/>
            <w:shd w:val="clear" w:color="auto" w:fill="D1CF8B"/>
          </w:tcPr>
          <w:p w14:paraId="74A2228B" w14:textId="77777777" w:rsidR="0076765C" w:rsidRDefault="0076765C" w:rsidP="0076765C">
            <w:r>
              <w:t>Monoparental</w:t>
            </w:r>
          </w:p>
        </w:tc>
      </w:tr>
      <w:tr w:rsidR="0076765C" w14:paraId="27312CDC" w14:textId="77777777" w:rsidTr="0076765C">
        <w:tc>
          <w:tcPr>
            <w:tcW w:w="5070" w:type="dxa"/>
            <w:shd w:val="clear" w:color="auto" w:fill="899DD1"/>
          </w:tcPr>
          <w:p w14:paraId="1E874F44" w14:textId="77777777" w:rsidR="0076765C" w:rsidRDefault="0076765C" w:rsidP="0076765C">
            <w:r>
              <w:t>Nombre d'enfants</w:t>
            </w:r>
          </w:p>
        </w:tc>
        <w:tc>
          <w:tcPr>
            <w:tcW w:w="3117" w:type="dxa"/>
            <w:shd w:val="clear" w:color="auto" w:fill="D1CF8B"/>
          </w:tcPr>
          <w:p w14:paraId="47F899CD" w14:textId="77777777" w:rsidR="0076765C" w:rsidRDefault="0076765C" w:rsidP="0076765C">
            <w:r>
              <w:t>Charlotte 15 ans</w:t>
            </w:r>
          </w:p>
        </w:tc>
      </w:tr>
      <w:tr w:rsidR="0076765C" w14:paraId="1BD8AF2B" w14:textId="77777777" w:rsidTr="0076765C">
        <w:tc>
          <w:tcPr>
            <w:tcW w:w="5070" w:type="dxa"/>
            <w:shd w:val="clear" w:color="auto" w:fill="899DD1"/>
          </w:tcPr>
          <w:p w14:paraId="2492B02B" w14:textId="77777777" w:rsidR="0076765C" w:rsidRDefault="0076765C" w:rsidP="0076765C">
            <w:r>
              <w:t>Contributions au REÉÉ</w:t>
            </w:r>
          </w:p>
        </w:tc>
        <w:tc>
          <w:tcPr>
            <w:tcW w:w="3117" w:type="dxa"/>
            <w:shd w:val="clear" w:color="auto" w:fill="D1CF8B"/>
          </w:tcPr>
          <w:p w14:paraId="2A7D1699" w14:textId="77777777" w:rsidR="0076765C" w:rsidRDefault="0076765C" w:rsidP="0076765C">
            <w:r>
              <w:t>Aucune</w:t>
            </w:r>
          </w:p>
        </w:tc>
      </w:tr>
      <w:tr w:rsidR="0076765C" w14:paraId="30206A7D" w14:textId="77777777" w:rsidTr="0076765C">
        <w:tc>
          <w:tcPr>
            <w:tcW w:w="5070" w:type="dxa"/>
            <w:shd w:val="clear" w:color="auto" w:fill="899DD1"/>
          </w:tcPr>
          <w:p w14:paraId="62C4D850" w14:textId="77777777" w:rsidR="0076765C" w:rsidRDefault="0076765C" w:rsidP="0076765C">
            <w:r>
              <w:t>Rendement anticipé REÉR, CÉLI, REÉÉ</w:t>
            </w:r>
          </w:p>
        </w:tc>
        <w:tc>
          <w:tcPr>
            <w:tcW w:w="3117" w:type="dxa"/>
            <w:shd w:val="clear" w:color="auto" w:fill="D1CF8B"/>
          </w:tcPr>
          <w:p w14:paraId="34AB7125" w14:textId="77777777" w:rsidR="0076765C" w:rsidRDefault="0076765C" w:rsidP="0076765C">
            <w:r>
              <w:t>5 %</w:t>
            </w:r>
          </w:p>
        </w:tc>
      </w:tr>
      <w:tr w:rsidR="0076765C" w14:paraId="5A6F21EB" w14:textId="77777777" w:rsidTr="0076765C">
        <w:tc>
          <w:tcPr>
            <w:tcW w:w="5070" w:type="dxa"/>
            <w:shd w:val="clear" w:color="auto" w:fill="899DD1"/>
          </w:tcPr>
          <w:p w14:paraId="66A21347" w14:textId="77777777" w:rsidR="0076765C" w:rsidRDefault="0076765C" w:rsidP="0076765C">
            <w:r>
              <w:t>Marge de crédit hypothécaire et taux</w:t>
            </w:r>
          </w:p>
        </w:tc>
        <w:tc>
          <w:tcPr>
            <w:tcW w:w="3117" w:type="dxa"/>
            <w:shd w:val="clear" w:color="auto" w:fill="D1CF8B"/>
          </w:tcPr>
          <w:p w14:paraId="72CA6AC6" w14:textId="77777777" w:rsidR="0076765C" w:rsidRDefault="0076765C" w:rsidP="0076765C">
            <w:r>
              <w:t>12 000 $ (3,5 %)</w:t>
            </w:r>
          </w:p>
        </w:tc>
      </w:tr>
      <w:tr w:rsidR="0076765C" w14:paraId="7AD2A15C" w14:textId="77777777" w:rsidTr="0076765C">
        <w:tc>
          <w:tcPr>
            <w:tcW w:w="5070" w:type="dxa"/>
            <w:shd w:val="clear" w:color="auto" w:fill="899DD1"/>
          </w:tcPr>
          <w:p w14:paraId="7475151A" w14:textId="77777777" w:rsidR="0076765C" w:rsidRDefault="0076765C" w:rsidP="0076765C">
            <w:r>
              <w:t>Prêt hypothécaire et taux</w:t>
            </w:r>
          </w:p>
        </w:tc>
        <w:tc>
          <w:tcPr>
            <w:tcW w:w="3117" w:type="dxa"/>
            <w:shd w:val="clear" w:color="auto" w:fill="D1CF8B"/>
          </w:tcPr>
          <w:p w14:paraId="4AB77364" w14:textId="77777777" w:rsidR="0076765C" w:rsidRDefault="0076765C" w:rsidP="0076765C">
            <w:r>
              <w:t>125 000 $ (2,9 %)</w:t>
            </w:r>
          </w:p>
        </w:tc>
      </w:tr>
      <w:tr w:rsidR="0076765C" w14:paraId="0E3C309D" w14:textId="77777777" w:rsidTr="0076765C">
        <w:tc>
          <w:tcPr>
            <w:tcW w:w="5070" w:type="dxa"/>
            <w:shd w:val="clear" w:color="auto" w:fill="899DD1"/>
          </w:tcPr>
          <w:p w14:paraId="7D85450C" w14:textId="77777777" w:rsidR="0076765C" w:rsidRDefault="0076765C" w:rsidP="0076765C">
            <w:r>
              <w:t>Prêt auto et taux</w:t>
            </w:r>
          </w:p>
        </w:tc>
        <w:tc>
          <w:tcPr>
            <w:tcW w:w="3117" w:type="dxa"/>
            <w:shd w:val="clear" w:color="auto" w:fill="D1CF8B"/>
          </w:tcPr>
          <w:p w14:paraId="7CB6DCA9" w14:textId="77777777" w:rsidR="0076765C" w:rsidRDefault="0076765C" w:rsidP="0076765C">
            <w:r>
              <w:t>30 000 $ (8 %)</w:t>
            </w:r>
          </w:p>
        </w:tc>
      </w:tr>
    </w:tbl>
    <w:p w14:paraId="70F7CF91" w14:textId="6ED68CD3" w:rsidR="00626F48" w:rsidRDefault="00626F48">
      <w:r>
        <w:br w:type="page"/>
      </w:r>
    </w:p>
    <w:p w14:paraId="5EA8A518" w14:textId="77777777" w:rsidR="000130AB" w:rsidRDefault="000130AB">
      <w:r>
        <w:lastRenderedPageBreak/>
        <w:t>Voici l'analyse de la priorisation en fonction des taux</w:t>
      </w:r>
    </w:p>
    <w:p w14:paraId="51870802" w14:textId="77777777" w:rsidR="000130AB" w:rsidRDefault="000130AB"/>
    <w:p w14:paraId="1E08F519" w14:textId="089F91E2" w:rsidR="003374AA" w:rsidRDefault="002D7D2F">
      <w:bookmarkStart w:id="158" w:name="_GoBack"/>
      <w:bookmarkEnd w:id="158"/>
      <w:r>
        <w:rPr>
          <w:noProof/>
          <w:lang w:eastAsia="fr-FR"/>
        </w:rPr>
        <mc:AlternateContent>
          <mc:Choice Requires="wps">
            <w:drawing>
              <wp:anchor distT="0" distB="0" distL="114300" distR="114300" simplePos="0" relativeHeight="253157376" behindDoc="0" locked="0" layoutInCell="1" allowOverlap="1" wp14:anchorId="161636D1" wp14:editId="5D04F3C6">
                <wp:simplePos x="0" y="0"/>
                <wp:positionH relativeFrom="column">
                  <wp:posOffset>-457200</wp:posOffset>
                </wp:positionH>
                <wp:positionV relativeFrom="paragraph">
                  <wp:posOffset>5340985</wp:posOffset>
                </wp:positionV>
                <wp:extent cx="8915400" cy="914400"/>
                <wp:effectExtent l="0" t="0" r="0" b="0"/>
                <wp:wrapSquare wrapText="bothSides"/>
                <wp:docPr id="809" name="Zone de texte 809"/>
                <wp:cNvGraphicFramePr/>
                <a:graphic xmlns:a="http://schemas.openxmlformats.org/drawingml/2006/main">
                  <a:graphicData uri="http://schemas.microsoft.com/office/word/2010/wordprocessingShape">
                    <wps:wsp>
                      <wps:cNvSpPr txBox="1"/>
                      <wps:spPr>
                        <a:xfrm>
                          <a:off x="0" y="0"/>
                          <a:ext cx="89154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001946" w14:textId="5A08179E" w:rsidR="00573C95" w:rsidRDefault="00573C95">
                            <w:r>
                              <w:t xml:space="preserve">(1) Le taux de 10,01 % a été établi en utilisant le taux de base (5 %) et l'effet des subventions (30 % de 5 000 $ = 1 500 $) sur le rendement. La durée du placement a été fixée à 3 ans (CEGEP). Donc, VA = 1 500, I = 5 %, N = 3, FV = </w:t>
                            </w:r>
                            <w:r w:rsidRPr="00DC7D25">
                              <w:rPr>
                                <w:rFonts w:ascii="Avenir Book" w:hAnsi="Avenir Book"/>
                              </w:rPr>
                              <w:t>?</w:t>
                            </w:r>
                            <w:r>
                              <w:t xml:space="preserve"> 1 736 $. Par la suite, VA = 10 000 $,</w:t>
                            </w:r>
                            <w:r w:rsidR="002D7D2F">
                              <w:t xml:space="preserve"> </w:t>
                            </w:r>
                            <w:r w:rsidR="002D7D2F">
                              <w:t>I = 5 %</w:t>
                            </w:r>
                            <w:r>
                              <w:t>, N = 3,</w:t>
                            </w:r>
                            <w:r w:rsidR="002D7D2F">
                              <w:t xml:space="preserve"> </w:t>
                            </w:r>
                            <w:r w:rsidR="002D7D2F">
                              <w:t>VF =</w:t>
                            </w:r>
                            <w:r w:rsidR="002D7D2F">
                              <w:t> </w:t>
                            </w:r>
                            <w:r w:rsidR="002D7D2F" w:rsidRPr="002D7D2F">
                              <w:rPr>
                                <w:rFonts w:ascii="Avenir Book" w:hAnsi="Avenir Book"/>
                              </w:rPr>
                              <w:t>?</w:t>
                            </w:r>
                            <w:r w:rsidR="002D7D2F">
                              <w:rPr>
                                <w:rFonts w:ascii="Avenir Book" w:hAnsi="Avenir Book"/>
                              </w:rPr>
                              <w:t xml:space="preserve"> </w:t>
                            </w:r>
                            <w:r w:rsidR="002D7D2F">
                              <w:t xml:space="preserve">11 </w:t>
                            </w:r>
                            <w:r w:rsidR="002D7D2F">
                              <w:t>576</w:t>
                            </w:r>
                            <w:r w:rsidR="002D7D2F">
                              <w:t xml:space="preserve"> $</w:t>
                            </w:r>
                            <w:r>
                              <w:t xml:space="preserve">. Finalement, </w:t>
                            </w:r>
                            <w:r w:rsidR="002D7D2F">
                              <w:t>VA = 1</w:t>
                            </w:r>
                            <w:r w:rsidR="002D7D2F">
                              <w:t>0 0</w:t>
                            </w:r>
                            <w:r w:rsidR="002D7D2F">
                              <w:t>00, N = 3, FV =</w:t>
                            </w:r>
                            <w:r w:rsidR="002D7D2F">
                              <w:t xml:space="preserve"> </w:t>
                            </w:r>
                            <w:r w:rsidR="002D7D2F">
                              <w:t>1</w:t>
                            </w:r>
                            <w:r w:rsidR="002D7D2F">
                              <w:t>3 312</w:t>
                            </w:r>
                            <w:r w:rsidR="002D7D2F">
                              <w:t xml:space="preserve"> $</w:t>
                            </w:r>
                            <w:r w:rsidR="002D7D2F">
                              <w:t xml:space="preserve">, </w:t>
                            </w:r>
                            <w:r w:rsidR="002D7D2F">
                              <w:t>I =</w:t>
                            </w:r>
                            <w:r w:rsidR="002D7D2F">
                              <w:t> </w:t>
                            </w:r>
                            <w:r w:rsidR="002D7D2F" w:rsidRPr="002D7D2F">
                              <w:rPr>
                                <w:rFonts w:ascii="Avenir Book" w:hAnsi="Avenir Book"/>
                              </w:rPr>
                              <w:t>?</w:t>
                            </w:r>
                            <w:r w:rsidR="002D7D2F">
                              <w:t xml:space="preserve"> </w:t>
                            </w:r>
                            <w:r w:rsidR="002D7D2F">
                              <w:t>10,01</w:t>
                            </w:r>
                            <w:r w:rsidR="002D7D2F">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Zone de texte 809" o:spid="_x0000_s1546" type="#_x0000_t202" style="position:absolute;margin-left:-35.95pt;margin-top:420.55pt;width:702pt;height:1in;z-index:25315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" filled="f" stroked="f">
                <v:textbox>
                  <w:txbxContent>
                    <w:p w14:paraId="79001946" w14:textId="5A08179E" w:rsidR="00573C95" w:rsidRDefault="00573C95">
                      <w:r>
                        <w:t xml:space="preserve">(1) Le taux de 10,01 % a été établi en utilisant le taux de base (5 %) et l'effet des subventions (30 % de 5 000 $ = 1 500 $) sur le rendement. La durée du placement a été fixée à 3 ans (CEGEP). Donc, VA = 1 500, I = 5 %, N = 3, FV = </w:t>
                      </w:r>
                      <w:r w:rsidRPr="00DC7D25">
                        <w:rPr>
                          <w:rFonts w:ascii="Avenir Book" w:hAnsi="Avenir Book"/>
                        </w:rPr>
                        <w:t>?</w:t>
                      </w:r>
                      <w:r>
                        <w:t xml:space="preserve"> 1 736 $. Par la suite, VA = 10 000 $,</w:t>
                      </w:r>
                      <w:r w:rsidR="002D7D2F">
                        <w:t xml:space="preserve"> </w:t>
                      </w:r>
                      <w:r w:rsidR="002D7D2F">
                        <w:t>I = 5 %</w:t>
                      </w:r>
                      <w:r>
                        <w:t>, N = 3,</w:t>
                      </w:r>
                      <w:r w:rsidR="002D7D2F">
                        <w:t xml:space="preserve"> </w:t>
                      </w:r>
                      <w:r w:rsidR="002D7D2F">
                        <w:t>VF =</w:t>
                      </w:r>
                      <w:r w:rsidR="002D7D2F">
                        <w:t> </w:t>
                      </w:r>
                      <w:r w:rsidR="002D7D2F" w:rsidRPr="002D7D2F">
                        <w:rPr>
                          <w:rFonts w:ascii="Avenir Book" w:hAnsi="Avenir Book"/>
                        </w:rPr>
                        <w:t>?</w:t>
                      </w:r>
                      <w:r w:rsidR="002D7D2F">
                        <w:rPr>
                          <w:rFonts w:ascii="Avenir Book" w:hAnsi="Avenir Book"/>
                        </w:rPr>
                        <w:t xml:space="preserve"> </w:t>
                      </w:r>
                      <w:r w:rsidR="002D7D2F">
                        <w:t xml:space="preserve">11 </w:t>
                      </w:r>
                      <w:r w:rsidR="002D7D2F">
                        <w:t>576</w:t>
                      </w:r>
                      <w:r w:rsidR="002D7D2F">
                        <w:t xml:space="preserve"> $</w:t>
                      </w:r>
                      <w:r>
                        <w:t xml:space="preserve">. Finalement, </w:t>
                      </w:r>
                      <w:r w:rsidR="002D7D2F">
                        <w:t>VA = 1</w:t>
                      </w:r>
                      <w:r w:rsidR="002D7D2F">
                        <w:t>0 0</w:t>
                      </w:r>
                      <w:r w:rsidR="002D7D2F">
                        <w:t>00, N = 3, FV =</w:t>
                      </w:r>
                      <w:r w:rsidR="002D7D2F">
                        <w:t xml:space="preserve"> </w:t>
                      </w:r>
                      <w:r w:rsidR="002D7D2F">
                        <w:t>1</w:t>
                      </w:r>
                      <w:r w:rsidR="002D7D2F">
                        <w:t>3 312</w:t>
                      </w:r>
                      <w:r w:rsidR="002D7D2F">
                        <w:t xml:space="preserve"> $</w:t>
                      </w:r>
                      <w:r w:rsidR="002D7D2F">
                        <w:t xml:space="preserve">, </w:t>
                      </w:r>
                      <w:r w:rsidR="002D7D2F">
                        <w:t>I =</w:t>
                      </w:r>
                      <w:r w:rsidR="002D7D2F">
                        <w:t> </w:t>
                      </w:r>
                      <w:r w:rsidR="002D7D2F" w:rsidRPr="002D7D2F">
                        <w:rPr>
                          <w:rFonts w:ascii="Avenir Book" w:hAnsi="Avenir Book"/>
                        </w:rPr>
                        <w:t>?</w:t>
                      </w:r>
                      <w:r w:rsidR="002D7D2F">
                        <w:t xml:space="preserve"> </w:t>
                      </w:r>
                      <w:r w:rsidR="002D7D2F">
                        <w:t>10,01</w:t>
                      </w:r>
                      <w:r w:rsidR="002D7D2F">
                        <w:t xml:space="preserve"> %</w:t>
                      </w:r>
                    </w:p>
                  </w:txbxContent>
                </v:textbox>
                <w10:wrap type="square"/>
              </v:shape>
            </w:pict>
          </mc:Fallback>
        </mc:AlternateContent>
      </w:r>
      <w:r w:rsidR="00BB5676">
        <w:rPr>
          <w:noProof/>
          <w:lang w:eastAsia="fr-FR"/>
        </w:rPr>
        <mc:AlternateContent>
          <mc:Choice Requires="wps">
            <w:drawing>
              <wp:anchor distT="0" distB="0" distL="114300" distR="114300" simplePos="0" relativeHeight="253156352" behindDoc="1" locked="0" layoutInCell="1" allowOverlap="1" wp14:anchorId="3D13FC72" wp14:editId="467EA07B">
                <wp:simplePos x="0" y="0"/>
                <wp:positionH relativeFrom="column">
                  <wp:posOffset>2266950</wp:posOffset>
                </wp:positionH>
                <wp:positionV relativeFrom="paragraph">
                  <wp:posOffset>2914650</wp:posOffset>
                </wp:positionV>
                <wp:extent cx="2141855" cy="934085"/>
                <wp:effectExtent l="76200" t="304800" r="0" b="335915"/>
                <wp:wrapNone/>
                <wp:docPr id="808" name="Flèche vers la droite 808"/>
                <wp:cNvGraphicFramePr/>
                <a:graphic xmlns:a="http://schemas.openxmlformats.org/drawingml/2006/main">
                  <a:graphicData uri="http://schemas.microsoft.com/office/word/2010/wordprocessingShape">
                    <wps:wsp>
                      <wps:cNvSpPr/>
                      <wps:spPr>
                        <a:xfrm rot="19998249">
                          <a:off x="0" y="0"/>
                          <a:ext cx="2141855" cy="934085"/>
                        </a:xfrm>
                        <a:prstGeom prst="rightArrow">
                          <a:avLst/>
                        </a:prstGeom>
                        <a:solidFill>
                          <a:schemeClr val="accent3"/>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F00F84C" w14:textId="51B29B83" w:rsidR="00573C95" w:rsidRDefault="00573C95" w:rsidP="00127498">
                            <w:pPr>
                              <w:jc w:val="center"/>
                            </w:pPr>
                            <w:r>
                              <w:t>OPTIMISATION</w:t>
                            </w:r>
                          </w:p>
                        </w:txbxContent>
                      </wps:txbx>
                      <wps:bodyPr wrap="square" anchor="ctr" anchorCtr="0"/>
                    </wps:wsp>
                  </a:graphicData>
                </a:graphic>
                <wp14:sizeRelH relativeFrom="margin">
                  <wp14:pctWidth>0</wp14:pctWidth>
                </wp14:sizeRelH>
                <wp14:sizeRelV relativeFrom="margin">
                  <wp14:pctHeight>0</wp14:pctHeight>
                </wp14:sizeRelV>
              </wp:anchor>
            </w:drawing>
          </mc:Choice>
          <mc:Fallback>
            <w:pict>
              <v:shape id="Flèche vers la droite 808" o:spid="_x0000_s1546" type="#_x0000_t13" style="position:absolute;margin-left:178.5pt;margin-top:229.5pt;width:168.65pt;height:73.55pt;rotation:-1749539fd;z-index:-2501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" adj="16890" fillcolor="#ff6700 [3206]">
                <v:textbox>
                  <w:txbxContent>
                    <w:p w14:paraId="4F00F84C" w14:textId="51B29B83" w:rsidR="001501D6" w:rsidRDefault="001501D6" w:rsidP="00127498">
                      <w:pPr>
                        <w:jc w:val="center"/>
                      </w:pPr>
                      <w:r>
                        <w:t>OPTIMISATION</w:t>
                      </w:r>
                    </w:p>
                  </w:txbxContent>
                </v:textbox>
              </v:shape>
            </w:pict>
          </mc:Fallback>
        </mc:AlternateContent>
      </w:r>
      <w:r w:rsidR="00BB5676">
        <w:rPr>
          <w:noProof/>
          <w:lang w:eastAsia="fr-FR"/>
        </w:rPr>
        <mc:AlternateContent>
          <mc:Choice Requires="wps">
            <w:drawing>
              <wp:anchor distT="0" distB="0" distL="114300" distR="114300" simplePos="0" relativeHeight="253152256" behindDoc="0" locked="0" layoutInCell="1" allowOverlap="1" wp14:anchorId="32990C48" wp14:editId="35CFB773">
                <wp:simplePos x="0" y="0"/>
                <wp:positionH relativeFrom="column">
                  <wp:posOffset>4229100</wp:posOffset>
                </wp:positionH>
                <wp:positionV relativeFrom="paragraph">
                  <wp:posOffset>1454785</wp:posOffset>
                </wp:positionV>
                <wp:extent cx="2057400" cy="2057400"/>
                <wp:effectExtent l="76200" t="76200" r="76200" b="76200"/>
                <wp:wrapNone/>
                <wp:docPr id="806" name="Ellipse 806"/>
                <wp:cNvGraphicFramePr/>
                <a:graphic xmlns:a="http://schemas.openxmlformats.org/drawingml/2006/main">
                  <a:graphicData uri="http://schemas.microsoft.com/office/word/2010/wordprocessingShape">
                    <wps:wsp>
                      <wps:cNvSpPr/>
                      <wps:spPr>
                        <a:xfrm>
                          <a:off x="0" y="0"/>
                          <a:ext cx="2057400" cy="20574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2EB201F" w14:textId="77777777" w:rsidR="00573C95" w:rsidRDefault="00573C95" w:rsidP="00A06709">
                            <w:pPr>
                              <w:jc w:val="center"/>
                              <w:rPr>
                                <w:sz w:val="36"/>
                                <w:szCs w:val="36"/>
                              </w:rPr>
                            </w:pPr>
                            <w:r w:rsidRPr="00AA1A1F">
                              <w:rPr>
                                <w:sz w:val="36"/>
                                <w:szCs w:val="36"/>
                              </w:rPr>
                              <w:t>Taux</w:t>
                            </w:r>
                          </w:p>
                          <w:p w14:paraId="413C4CA8" w14:textId="7BCDA7E0" w:rsidR="00573C95" w:rsidRPr="00BB5676" w:rsidRDefault="00573C95" w:rsidP="00A06709">
                            <w:pPr>
                              <w:jc w:val="center"/>
                              <w:rPr>
                                <w:sz w:val="48"/>
                                <w:szCs w:val="48"/>
                              </w:rPr>
                            </w:pPr>
                            <w:r w:rsidRPr="00BB5676">
                              <w:rPr>
                                <w:sz w:val="48"/>
                                <w:szCs w:val="48"/>
                              </w:rPr>
                              <w:t>10,</w:t>
                            </w:r>
                            <w:r>
                              <w:rPr>
                                <w:sz w:val="48"/>
                                <w:szCs w:val="48"/>
                              </w:rPr>
                              <w:t>01</w:t>
                            </w:r>
                            <w:r w:rsidRPr="00BB5676">
                              <w:rPr>
                                <w:sz w:val="48"/>
                                <w:szCs w:val="48"/>
                              </w:rPr>
                              <w:t xml:space="preserve"> %</w:t>
                            </w:r>
                            <w:r w:rsidRPr="00BB5676">
                              <w:rPr>
                                <w:sz w:val="48"/>
                                <w:szCs w:val="48"/>
                                <w:vertAlign w:val="superscript"/>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06" o:spid="_x0000_s1548" style="position:absolute;margin-left:333pt;margin-top:114.55pt;width:162pt;height:162pt;z-index:2531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" fillcolor="#517151" strokecolor="black [3213]">
                <v:textbox>
                  <w:txbxContent>
                    <w:p w14:paraId="72EB201F" w14:textId="77777777" w:rsidR="00573C95" w:rsidRDefault="00573C95" w:rsidP="00A06709">
                      <w:pPr>
                        <w:jc w:val="center"/>
                        <w:rPr>
                          <w:sz w:val="36"/>
                          <w:szCs w:val="36"/>
                        </w:rPr>
                      </w:pPr>
                      <w:r w:rsidRPr="00AA1A1F">
                        <w:rPr>
                          <w:sz w:val="36"/>
                          <w:szCs w:val="36"/>
                        </w:rPr>
                        <w:t>Taux</w:t>
                      </w:r>
                    </w:p>
                    <w:p w14:paraId="413C4CA8" w14:textId="7BCDA7E0" w:rsidR="00573C95" w:rsidRPr="00BB5676" w:rsidRDefault="00573C95" w:rsidP="00A06709">
                      <w:pPr>
                        <w:jc w:val="center"/>
                        <w:rPr>
                          <w:sz w:val="48"/>
                          <w:szCs w:val="48"/>
                        </w:rPr>
                      </w:pPr>
                      <w:r w:rsidRPr="00BB5676">
                        <w:rPr>
                          <w:sz w:val="48"/>
                          <w:szCs w:val="48"/>
                        </w:rPr>
                        <w:t>10,</w:t>
                      </w:r>
                      <w:r>
                        <w:rPr>
                          <w:sz w:val="48"/>
                          <w:szCs w:val="48"/>
                        </w:rPr>
                        <w:t>01</w:t>
                      </w:r>
                      <w:r w:rsidRPr="00BB5676">
                        <w:rPr>
                          <w:sz w:val="48"/>
                          <w:szCs w:val="48"/>
                        </w:rPr>
                        <w:t xml:space="preserve"> %</w:t>
                      </w:r>
                      <w:r w:rsidRPr="00BB5676">
                        <w:rPr>
                          <w:sz w:val="48"/>
                          <w:szCs w:val="48"/>
                          <w:vertAlign w:val="superscript"/>
                        </w:rPr>
                        <w:t>1</w:t>
                      </w:r>
                    </w:p>
                  </w:txbxContent>
                </v:textbox>
              </v:oval>
            </w:pict>
          </mc:Fallback>
        </mc:AlternateContent>
      </w:r>
      <w:r w:rsidR="00BB5676">
        <w:rPr>
          <w:noProof/>
          <w:lang w:eastAsia="fr-FR"/>
        </w:rPr>
        <mc:AlternateContent>
          <mc:Choice Requires="wps">
            <w:drawing>
              <wp:anchor distT="0" distB="0" distL="114300" distR="114300" simplePos="0" relativeHeight="253150208" behindDoc="0" locked="0" layoutInCell="1" allowOverlap="1" wp14:anchorId="4EAD8965" wp14:editId="6CAC2EB1">
                <wp:simplePos x="0" y="0"/>
                <wp:positionH relativeFrom="column">
                  <wp:posOffset>2400300</wp:posOffset>
                </wp:positionH>
                <wp:positionV relativeFrom="paragraph">
                  <wp:posOffset>1797685</wp:posOffset>
                </wp:positionV>
                <wp:extent cx="1028700" cy="1028700"/>
                <wp:effectExtent l="76200" t="76200" r="63500" b="63500"/>
                <wp:wrapNone/>
                <wp:docPr id="805" name="Ellipse 805"/>
                <wp:cNvGraphicFramePr/>
                <a:graphic xmlns:a="http://schemas.openxmlformats.org/drawingml/2006/main">
                  <a:graphicData uri="http://schemas.microsoft.com/office/word/2010/wordprocessingShape">
                    <wps:wsp>
                      <wps:cNvSpPr/>
                      <wps:spPr>
                        <a:xfrm>
                          <a:off x="0" y="0"/>
                          <a:ext cx="1028700" cy="10287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AD80B41" w14:textId="77777777" w:rsidR="00573C95" w:rsidRDefault="00573C95" w:rsidP="00A06709">
                            <w:pPr>
                              <w:jc w:val="center"/>
                              <w:rPr>
                                <w:sz w:val="36"/>
                                <w:szCs w:val="36"/>
                              </w:rPr>
                            </w:pPr>
                            <w:r w:rsidRPr="00AA1A1F">
                              <w:rPr>
                                <w:sz w:val="36"/>
                                <w:szCs w:val="36"/>
                              </w:rPr>
                              <w:t>Taux</w:t>
                            </w:r>
                          </w:p>
                          <w:p w14:paraId="6D3489B6" w14:textId="77777777" w:rsidR="00573C95" w:rsidRPr="00BB5676" w:rsidRDefault="00573C95" w:rsidP="00A06709">
                            <w:pPr>
                              <w:jc w:val="center"/>
                              <w:rPr>
                                <w:sz w:val="32"/>
                                <w:szCs w:val="32"/>
                              </w:rPr>
                            </w:pPr>
                            <w:r w:rsidRPr="00BB5676">
                              <w:rPr>
                                <w:sz w:val="32"/>
                                <w:szCs w:val="32"/>
                              </w:rPr>
                              <w:t>5 %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05" o:spid="_x0000_s1549" style="position:absolute;margin-left:189pt;margin-top:141.55pt;width:81pt;height:81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" fillcolor="#517151" strokecolor="black [3213]">
                <v:textbox>
                  <w:txbxContent>
                    <w:p w14:paraId="1AD80B41" w14:textId="77777777" w:rsidR="00573C95" w:rsidRDefault="00573C95" w:rsidP="00A06709">
                      <w:pPr>
                        <w:jc w:val="center"/>
                        <w:rPr>
                          <w:sz w:val="36"/>
                          <w:szCs w:val="36"/>
                        </w:rPr>
                      </w:pPr>
                      <w:r w:rsidRPr="00AA1A1F">
                        <w:rPr>
                          <w:sz w:val="36"/>
                          <w:szCs w:val="36"/>
                        </w:rPr>
                        <w:t>Taux</w:t>
                      </w:r>
                    </w:p>
                    <w:p w14:paraId="6D3489B6" w14:textId="77777777" w:rsidR="00573C95" w:rsidRPr="00BB5676" w:rsidRDefault="00573C95" w:rsidP="00A06709">
                      <w:pPr>
                        <w:jc w:val="center"/>
                        <w:rPr>
                          <w:sz w:val="32"/>
                          <w:szCs w:val="32"/>
                        </w:rPr>
                      </w:pPr>
                      <w:r w:rsidRPr="00BB5676">
                        <w:rPr>
                          <w:sz w:val="32"/>
                          <w:szCs w:val="32"/>
                        </w:rPr>
                        <w:t>5 %</w:t>
                      </w:r>
                    </w:p>
                  </w:txbxContent>
                </v:textbox>
              </v:oval>
            </w:pict>
          </mc:Fallback>
        </mc:AlternateContent>
      </w:r>
      <w:r w:rsidR="00127498">
        <w:rPr>
          <w:noProof/>
          <w:lang w:eastAsia="fr-FR"/>
        </w:rPr>
        <mc:AlternateContent>
          <mc:Choice Requires="wps">
            <w:drawing>
              <wp:anchor distT="0" distB="0" distL="114300" distR="114300" simplePos="0" relativeHeight="253154304" behindDoc="0" locked="0" layoutInCell="1" allowOverlap="1" wp14:anchorId="1A156B2A" wp14:editId="4523A785">
                <wp:simplePos x="0" y="0"/>
                <wp:positionH relativeFrom="column">
                  <wp:posOffset>6972300</wp:posOffset>
                </wp:positionH>
                <wp:positionV relativeFrom="paragraph">
                  <wp:posOffset>1683385</wp:posOffset>
                </wp:positionV>
                <wp:extent cx="1600200" cy="1600200"/>
                <wp:effectExtent l="76200" t="76200" r="76200" b="76200"/>
                <wp:wrapNone/>
                <wp:docPr id="807" name="Ellipse 807"/>
                <wp:cNvGraphicFramePr/>
                <a:graphic xmlns:a="http://schemas.openxmlformats.org/drawingml/2006/main">
                  <a:graphicData uri="http://schemas.microsoft.com/office/word/2010/wordprocessingShape">
                    <wps:wsp>
                      <wps:cNvSpPr/>
                      <wps:spPr>
                        <a:xfrm>
                          <a:off x="0" y="0"/>
                          <a:ext cx="1600200" cy="1600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B8F9C03" w14:textId="77777777" w:rsidR="00573C95" w:rsidRDefault="00573C95" w:rsidP="00A06709">
                            <w:pPr>
                              <w:jc w:val="center"/>
                              <w:rPr>
                                <w:sz w:val="36"/>
                                <w:szCs w:val="36"/>
                              </w:rPr>
                            </w:pPr>
                            <w:r w:rsidRPr="00AA1A1F">
                              <w:rPr>
                                <w:sz w:val="36"/>
                                <w:szCs w:val="36"/>
                              </w:rPr>
                              <w:t>Taux</w:t>
                            </w:r>
                          </w:p>
                          <w:p w14:paraId="2F6111A8" w14:textId="397F96A2" w:rsidR="00573C95" w:rsidRPr="00BB5676" w:rsidRDefault="00573C95" w:rsidP="00A06709">
                            <w:pPr>
                              <w:jc w:val="center"/>
                              <w:rPr>
                                <w:sz w:val="40"/>
                                <w:szCs w:val="40"/>
                              </w:rPr>
                            </w:pPr>
                            <w:r w:rsidRPr="00BB5676">
                              <w:rPr>
                                <w:sz w:val="40"/>
                                <w:szCs w:val="40"/>
                              </w:rPr>
                              <w:t>8 %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07" o:spid="_x0000_s1550" style="position:absolute;margin-left:549pt;margin-top:132.55pt;width:126pt;height:126pt;z-index:2531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" fillcolor="#517151" strokecolor="black [3213]">
                <v:textbox>
                  <w:txbxContent>
                    <w:p w14:paraId="5B8F9C03" w14:textId="77777777" w:rsidR="001501D6" w:rsidRDefault="001501D6" w:rsidP="00A06709">
                      <w:pPr>
                        <w:jc w:val="center"/>
                        <w:rPr>
                          <w:sz w:val="36"/>
                          <w:szCs w:val="36"/>
                        </w:rPr>
                      </w:pPr>
                      <w:r w:rsidRPr="00AA1A1F">
                        <w:rPr>
                          <w:sz w:val="36"/>
                          <w:szCs w:val="36"/>
                        </w:rPr>
                        <w:t>Taux</w:t>
                      </w:r>
                    </w:p>
                    <w:p w14:paraId="2F6111A8" w14:textId="397F96A2" w:rsidR="001501D6" w:rsidRPr="00BB5676" w:rsidRDefault="001501D6" w:rsidP="00A06709">
                      <w:pPr>
                        <w:jc w:val="center"/>
                        <w:rPr>
                          <w:sz w:val="40"/>
                          <w:szCs w:val="40"/>
                        </w:rPr>
                      </w:pPr>
                      <w:r w:rsidRPr="00BB5676">
                        <w:rPr>
                          <w:sz w:val="40"/>
                          <w:szCs w:val="40"/>
                        </w:rPr>
                        <w:t>8 %</w:t>
                      </w:r>
                    </w:p>
                  </w:txbxContent>
                </v:textbox>
              </v:oval>
            </w:pict>
          </mc:Fallback>
        </mc:AlternateContent>
      </w:r>
      <w:r w:rsidR="00127498">
        <w:rPr>
          <w:noProof/>
          <w:lang w:eastAsia="fr-FR"/>
        </w:rPr>
        <mc:AlternateContent>
          <mc:Choice Requires="wps">
            <w:drawing>
              <wp:anchor distT="0" distB="0" distL="114300" distR="114300" simplePos="0" relativeHeight="253148160" behindDoc="0" locked="0" layoutInCell="1" allowOverlap="1" wp14:anchorId="7BECAF94" wp14:editId="36680F30">
                <wp:simplePos x="0" y="0"/>
                <wp:positionH relativeFrom="column">
                  <wp:posOffset>-114300</wp:posOffset>
                </wp:positionH>
                <wp:positionV relativeFrom="paragraph">
                  <wp:posOffset>1797685</wp:posOffset>
                </wp:positionV>
                <wp:extent cx="1028700" cy="1028700"/>
                <wp:effectExtent l="76200" t="76200" r="63500" b="63500"/>
                <wp:wrapNone/>
                <wp:docPr id="804" name="Ellipse 804"/>
                <wp:cNvGraphicFramePr/>
                <a:graphic xmlns:a="http://schemas.openxmlformats.org/drawingml/2006/main">
                  <a:graphicData uri="http://schemas.microsoft.com/office/word/2010/wordprocessingShape">
                    <wps:wsp>
                      <wps:cNvSpPr/>
                      <wps:spPr>
                        <a:xfrm>
                          <a:off x="0" y="0"/>
                          <a:ext cx="1028700" cy="10287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E165A37" w14:textId="77777777" w:rsidR="00573C95" w:rsidRDefault="00573C95" w:rsidP="00A06709">
                            <w:pPr>
                              <w:jc w:val="center"/>
                              <w:rPr>
                                <w:sz w:val="36"/>
                                <w:szCs w:val="36"/>
                              </w:rPr>
                            </w:pPr>
                            <w:r w:rsidRPr="00AA1A1F">
                              <w:rPr>
                                <w:sz w:val="36"/>
                                <w:szCs w:val="36"/>
                              </w:rPr>
                              <w:t>Taux</w:t>
                            </w:r>
                          </w:p>
                          <w:p w14:paraId="41819245" w14:textId="22D5337D" w:rsidR="00573C95" w:rsidRPr="00BB5676" w:rsidRDefault="00573C95" w:rsidP="00A06709">
                            <w:pPr>
                              <w:jc w:val="center"/>
                              <w:rPr>
                                <w:sz w:val="32"/>
                                <w:szCs w:val="32"/>
                              </w:rPr>
                            </w:pPr>
                            <w:r w:rsidRPr="00BB5676">
                              <w:rPr>
                                <w:sz w:val="32"/>
                                <w:szCs w:val="32"/>
                              </w:rPr>
                              <w:t>5 %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04" o:spid="_x0000_s1551" style="position:absolute;margin-left:-8.95pt;margin-top:141.55pt;width:81pt;height:81pt;z-index:2531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" fillcolor="#517151" strokecolor="black [3213]">
                <v:textbox>
                  <w:txbxContent>
                    <w:p w14:paraId="5E165A37" w14:textId="77777777" w:rsidR="001501D6" w:rsidRDefault="001501D6" w:rsidP="00A06709">
                      <w:pPr>
                        <w:jc w:val="center"/>
                        <w:rPr>
                          <w:sz w:val="36"/>
                          <w:szCs w:val="36"/>
                        </w:rPr>
                      </w:pPr>
                      <w:r w:rsidRPr="00AA1A1F">
                        <w:rPr>
                          <w:sz w:val="36"/>
                          <w:szCs w:val="36"/>
                        </w:rPr>
                        <w:t>Taux</w:t>
                      </w:r>
                    </w:p>
                    <w:p w14:paraId="41819245" w14:textId="22D5337D" w:rsidR="001501D6" w:rsidRPr="00BB5676" w:rsidRDefault="001501D6" w:rsidP="00A06709">
                      <w:pPr>
                        <w:jc w:val="center"/>
                        <w:rPr>
                          <w:sz w:val="32"/>
                          <w:szCs w:val="32"/>
                        </w:rPr>
                      </w:pPr>
                      <w:r w:rsidRPr="00BB5676">
                        <w:rPr>
                          <w:sz w:val="32"/>
                          <w:szCs w:val="32"/>
                        </w:rPr>
                        <w:t>5 %</w:t>
                      </w:r>
                    </w:p>
                  </w:txbxContent>
                </v:textbox>
              </v:oval>
            </w:pict>
          </mc:Fallback>
        </mc:AlternateContent>
      </w:r>
      <w:r w:rsidR="00A06709">
        <w:rPr>
          <w:noProof/>
          <w:lang w:eastAsia="fr-FR"/>
        </w:rPr>
        <mc:AlternateContent>
          <mc:Choice Requires="wps">
            <w:drawing>
              <wp:anchor distT="0" distB="0" distL="114300" distR="114300" simplePos="0" relativeHeight="253142016" behindDoc="0" locked="0" layoutInCell="1" allowOverlap="1" wp14:anchorId="1FCD65B8" wp14:editId="364EF73B">
                <wp:simplePos x="0" y="0"/>
                <wp:positionH relativeFrom="column">
                  <wp:posOffset>7200900</wp:posOffset>
                </wp:positionH>
                <wp:positionV relativeFrom="paragraph">
                  <wp:posOffset>197485</wp:posOffset>
                </wp:positionV>
                <wp:extent cx="1028700" cy="1028700"/>
                <wp:effectExtent l="76200" t="76200" r="63500" b="63500"/>
                <wp:wrapNone/>
                <wp:docPr id="801" name="Rectangle à coins arrondis 801"/>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7175BF9" w14:textId="36B7B27E" w:rsidR="00573C95" w:rsidRDefault="00573C95" w:rsidP="00A06709">
                            <w:pPr>
                              <w:jc w:val="center"/>
                            </w:pPr>
                            <w:r>
                              <w:t>DETTE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801" o:spid="_x0000_s1552" style="position:absolute;margin-left:567pt;margin-top:15.55pt;width:81pt;height:81pt;z-index:2531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" fillcolor="#94c600 [3204]" strokecolor="#94c600 [3204]">
                <v:fill color2="#84b100 [2884]" rotate="t" focus="100%" type="gradient">
                  <o:fill v:ext="view" type="gradientUnscaled"/>
                </v:fill>
                <v:textbox>
                  <w:txbxContent>
                    <w:p w14:paraId="17175BF9" w14:textId="36B7B27E" w:rsidR="001501D6" w:rsidRDefault="001501D6" w:rsidP="00A06709">
                      <w:pPr>
                        <w:jc w:val="center"/>
                      </w:pPr>
                      <w:r>
                        <w:t>DETTE</w:t>
                      </w:r>
                    </w:p>
                  </w:txbxContent>
                </v:textbox>
              </v:roundrect>
            </w:pict>
          </mc:Fallback>
        </mc:AlternateContent>
      </w:r>
      <w:r w:rsidR="00A06709">
        <w:rPr>
          <w:noProof/>
          <w:lang w:eastAsia="fr-FR"/>
        </w:rPr>
        <mc:AlternateContent>
          <mc:Choice Requires="wps">
            <w:drawing>
              <wp:anchor distT="0" distB="0" distL="114300" distR="114300" simplePos="0" relativeHeight="253146112" behindDoc="0" locked="0" layoutInCell="1" allowOverlap="1" wp14:anchorId="0840F39C" wp14:editId="0F346C9D">
                <wp:simplePos x="0" y="0"/>
                <wp:positionH relativeFrom="column">
                  <wp:posOffset>5829300</wp:posOffset>
                </wp:positionH>
                <wp:positionV relativeFrom="paragraph">
                  <wp:posOffset>311785</wp:posOffset>
                </wp:positionV>
                <wp:extent cx="1371600" cy="914400"/>
                <wp:effectExtent l="0" t="0" r="0" b="0"/>
                <wp:wrapSquare wrapText="bothSides"/>
                <wp:docPr id="803" name="Zone de texte 803"/>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F4D9BB" w14:textId="77777777" w:rsidR="00573C95" w:rsidRPr="00AA1A1F" w:rsidRDefault="00573C95" w:rsidP="00A06709">
                            <w:pPr>
                              <w:jc w:val="center"/>
                              <w:rPr>
                                <w:sz w:val="40"/>
                                <w:szCs w:val="40"/>
                              </w:rPr>
                            </w:pPr>
                            <w:proofErr w:type="gramStart"/>
                            <w:r w:rsidRPr="00AA1A1F">
                              <w:rPr>
                                <w:sz w:val="40"/>
                                <w:szCs w:val="40"/>
                              </w:rPr>
                              <w:t>OU</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Zone de texte 803" o:spid="_x0000_s1553" type="#_x0000_t202" style="position:absolute;margin-left:459pt;margin-top:24.55pt;width:108pt;height:1in;z-index:25314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" filled="f" stroked="f">
                <v:textbox>
                  <w:txbxContent>
                    <w:p w14:paraId="76F4D9BB" w14:textId="77777777" w:rsidR="001501D6" w:rsidRPr="00AA1A1F" w:rsidRDefault="001501D6" w:rsidP="00A06709">
                      <w:pPr>
                        <w:jc w:val="center"/>
                        <w:rPr>
                          <w:sz w:val="40"/>
                          <w:szCs w:val="40"/>
                        </w:rPr>
                      </w:pPr>
                      <w:proofErr w:type="gramStart"/>
                      <w:r w:rsidRPr="00AA1A1F">
                        <w:rPr>
                          <w:sz w:val="40"/>
                          <w:szCs w:val="40"/>
                        </w:rPr>
                        <w:t>OU</w:t>
                      </w:r>
                      <w:proofErr w:type="gramEnd"/>
                    </w:p>
                  </w:txbxContent>
                </v:textbox>
                <w10:wrap type="square"/>
              </v:shape>
            </w:pict>
          </mc:Fallback>
        </mc:AlternateContent>
      </w:r>
      <w:r w:rsidR="00A06709">
        <w:rPr>
          <w:noProof/>
          <w:lang w:eastAsia="fr-FR"/>
        </w:rPr>
        <mc:AlternateContent>
          <mc:Choice Requires="wps">
            <w:drawing>
              <wp:anchor distT="0" distB="0" distL="114300" distR="114300" simplePos="0" relativeHeight="253139968" behindDoc="0" locked="0" layoutInCell="1" allowOverlap="1" wp14:anchorId="61F506B6" wp14:editId="0D404DC9">
                <wp:simplePos x="0" y="0"/>
                <wp:positionH relativeFrom="column">
                  <wp:posOffset>4800600</wp:posOffset>
                </wp:positionH>
                <wp:positionV relativeFrom="paragraph">
                  <wp:posOffset>197485</wp:posOffset>
                </wp:positionV>
                <wp:extent cx="1028700" cy="1028700"/>
                <wp:effectExtent l="76200" t="76200" r="63500" b="63500"/>
                <wp:wrapNone/>
                <wp:docPr id="800" name="Rectangle à coins arrondis 800"/>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139F781" w14:textId="451022E4" w:rsidR="00573C95" w:rsidRDefault="00573C95" w:rsidP="00A06709">
                            <w:pPr>
                              <w:jc w:val="center"/>
                            </w:pPr>
                            <w:r>
                              <w:t>REÉÉ</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800" o:spid="_x0000_s1554" style="position:absolute;margin-left:378pt;margin-top:15.55pt;width:81pt;height:81pt;z-index:2531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" fillcolor="#94c600 [3204]" strokecolor="#94c600 [3204]">
                <v:fill color2="#84b100 [2884]" rotate="t" focus="100%" type="gradient">
                  <o:fill v:ext="view" type="gradientUnscaled"/>
                </v:fill>
                <v:textbox>
                  <w:txbxContent>
                    <w:p w14:paraId="1139F781" w14:textId="451022E4" w:rsidR="001501D6" w:rsidRDefault="001501D6" w:rsidP="00A06709">
                      <w:pPr>
                        <w:jc w:val="center"/>
                      </w:pPr>
                      <w:r>
                        <w:t>REÉÉ</w:t>
                      </w:r>
                    </w:p>
                  </w:txbxContent>
                </v:textbox>
              </v:roundrect>
            </w:pict>
          </mc:Fallback>
        </mc:AlternateContent>
      </w:r>
      <w:r w:rsidR="00A06709">
        <w:rPr>
          <w:noProof/>
          <w:lang w:eastAsia="fr-FR"/>
        </w:rPr>
        <mc:AlternateContent>
          <mc:Choice Requires="wps">
            <w:drawing>
              <wp:anchor distT="0" distB="0" distL="114300" distR="114300" simplePos="0" relativeHeight="253144064" behindDoc="0" locked="0" layoutInCell="1" allowOverlap="1" wp14:anchorId="06F8654D" wp14:editId="72CE232D">
                <wp:simplePos x="0" y="0"/>
                <wp:positionH relativeFrom="column">
                  <wp:posOffset>3429000</wp:posOffset>
                </wp:positionH>
                <wp:positionV relativeFrom="paragraph">
                  <wp:posOffset>311785</wp:posOffset>
                </wp:positionV>
                <wp:extent cx="1371600" cy="914400"/>
                <wp:effectExtent l="0" t="0" r="0" b="0"/>
                <wp:wrapSquare wrapText="bothSides"/>
                <wp:docPr id="802" name="Zone de texte 802"/>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92C7D6" w14:textId="77777777" w:rsidR="00573C95" w:rsidRPr="00AA1A1F" w:rsidRDefault="00573C95" w:rsidP="00A06709">
                            <w:pPr>
                              <w:jc w:val="center"/>
                              <w:rPr>
                                <w:sz w:val="40"/>
                                <w:szCs w:val="40"/>
                              </w:rPr>
                            </w:pPr>
                            <w:proofErr w:type="gramStart"/>
                            <w:r w:rsidRPr="00AA1A1F">
                              <w:rPr>
                                <w:sz w:val="40"/>
                                <w:szCs w:val="40"/>
                              </w:rPr>
                              <w:t>OU</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Zone de texte 802" o:spid="_x0000_s1555" type="#_x0000_t202" style="position:absolute;margin-left:270pt;margin-top:24.55pt;width:108pt;height:1in;z-index:25314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" filled="f" stroked="f">
                <v:textbox>
                  <w:txbxContent>
                    <w:p w14:paraId="6A92C7D6" w14:textId="77777777" w:rsidR="001501D6" w:rsidRPr="00AA1A1F" w:rsidRDefault="001501D6" w:rsidP="00A06709">
                      <w:pPr>
                        <w:jc w:val="center"/>
                        <w:rPr>
                          <w:sz w:val="40"/>
                          <w:szCs w:val="40"/>
                        </w:rPr>
                      </w:pPr>
                      <w:proofErr w:type="gramStart"/>
                      <w:r w:rsidRPr="00AA1A1F">
                        <w:rPr>
                          <w:sz w:val="40"/>
                          <w:szCs w:val="40"/>
                        </w:rPr>
                        <w:t>OU</w:t>
                      </w:r>
                      <w:proofErr w:type="gramEnd"/>
                    </w:p>
                  </w:txbxContent>
                </v:textbox>
                <w10:wrap type="square"/>
              </v:shape>
            </w:pict>
          </mc:Fallback>
        </mc:AlternateContent>
      </w:r>
      <w:r w:rsidR="00A06709">
        <w:rPr>
          <w:noProof/>
          <w:lang w:eastAsia="fr-FR"/>
        </w:rPr>
        <mc:AlternateContent>
          <mc:Choice Requires="wps">
            <w:drawing>
              <wp:anchor distT="0" distB="0" distL="114300" distR="114300" simplePos="0" relativeHeight="253137920" behindDoc="0" locked="0" layoutInCell="1" allowOverlap="1" wp14:anchorId="6491374A" wp14:editId="7F119CCA">
                <wp:simplePos x="0" y="0"/>
                <wp:positionH relativeFrom="column">
                  <wp:posOffset>2400300</wp:posOffset>
                </wp:positionH>
                <wp:positionV relativeFrom="paragraph">
                  <wp:posOffset>197485</wp:posOffset>
                </wp:positionV>
                <wp:extent cx="1028700" cy="1028700"/>
                <wp:effectExtent l="76200" t="76200" r="63500" b="63500"/>
                <wp:wrapNone/>
                <wp:docPr id="790" name="Rectangle à coins arrondis 790"/>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022AD4A" w14:textId="4213EB62" w:rsidR="00573C95" w:rsidRDefault="00573C95" w:rsidP="00A06709">
                            <w:pPr>
                              <w:jc w:val="center"/>
                            </w:pPr>
                            <w:r>
                              <w:t>CÉLI</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90" o:spid="_x0000_s1556" style="position:absolute;margin-left:189pt;margin-top:15.55pt;width:81pt;height:81pt;z-index:2531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" fillcolor="#94c600 [3204]" strokecolor="#94c600 [3204]">
                <v:fill color2="#84b100 [2884]" rotate="t" focus="100%" type="gradient">
                  <o:fill v:ext="view" type="gradientUnscaled"/>
                </v:fill>
                <v:textbox>
                  <w:txbxContent>
                    <w:p w14:paraId="6022AD4A" w14:textId="4213EB62" w:rsidR="001501D6" w:rsidRDefault="001501D6" w:rsidP="00A06709">
                      <w:pPr>
                        <w:jc w:val="center"/>
                      </w:pPr>
                      <w:r>
                        <w:t>CÉLI</w:t>
                      </w:r>
                    </w:p>
                  </w:txbxContent>
                </v:textbox>
              </v:roundrect>
            </w:pict>
          </mc:Fallback>
        </mc:AlternateContent>
      </w:r>
      <w:r w:rsidR="00A06709">
        <w:rPr>
          <w:noProof/>
          <w:lang w:eastAsia="fr-FR"/>
        </w:rPr>
        <mc:AlternateContent>
          <mc:Choice Requires="wps">
            <w:drawing>
              <wp:anchor distT="0" distB="0" distL="114300" distR="114300" simplePos="0" relativeHeight="253135872" behindDoc="0" locked="0" layoutInCell="1" allowOverlap="1" wp14:anchorId="0A4D78E4" wp14:editId="3C2A1AB2">
                <wp:simplePos x="0" y="0"/>
                <wp:positionH relativeFrom="column">
                  <wp:posOffset>1028700</wp:posOffset>
                </wp:positionH>
                <wp:positionV relativeFrom="paragraph">
                  <wp:posOffset>311785</wp:posOffset>
                </wp:positionV>
                <wp:extent cx="1371600" cy="914400"/>
                <wp:effectExtent l="0" t="0" r="0" b="0"/>
                <wp:wrapSquare wrapText="bothSides"/>
                <wp:docPr id="789" name="Zone de texte 789"/>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DF1431" w14:textId="77777777" w:rsidR="00573C95" w:rsidRPr="00AA1A1F" w:rsidRDefault="00573C95" w:rsidP="00A06709">
                            <w:pPr>
                              <w:jc w:val="center"/>
                              <w:rPr>
                                <w:sz w:val="40"/>
                                <w:szCs w:val="40"/>
                              </w:rPr>
                            </w:pPr>
                            <w:proofErr w:type="gramStart"/>
                            <w:r w:rsidRPr="00AA1A1F">
                              <w:rPr>
                                <w:sz w:val="40"/>
                                <w:szCs w:val="40"/>
                              </w:rPr>
                              <w:t>OU</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Zone de texte 789" o:spid="_x0000_s1557" type="#_x0000_t202" style="position:absolute;margin-left:81pt;margin-top:24.55pt;width:108pt;height:1in;z-index:25313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" filled="f" stroked="f">
                <v:textbox>
                  <w:txbxContent>
                    <w:p w14:paraId="30DF1431" w14:textId="77777777" w:rsidR="001501D6" w:rsidRPr="00AA1A1F" w:rsidRDefault="001501D6" w:rsidP="00A06709">
                      <w:pPr>
                        <w:jc w:val="center"/>
                        <w:rPr>
                          <w:sz w:val="40"/>
                          <w:szCs w:val="40"/>
                        </w:rPr>
                      </w:pPr>
                      <w:proofErr w:type="gramStart"/>
                      <w:r w:rsidRPr="00AA1A1F">
                        <w:rPr>
                          <w:sz w:val="40"/>
                          <w:szCs w:val="40"/>
                        </w:rPr>
                        <w:t>OU</w:t>
                      </w:r>
                      <w:proofErr w:type="gramEnd"/>
                    </w:p>
                  </w:txbxContent>
                </v:textbox>
                <w10:wrap type="square"/>
              </v:shape>
            </w:pict>
          </mc:Fallback>
        </mc:AlternateContent>
      </w:r>
      <w:r w:rsidR="00A06709">
        <w:rPr>
          <w:noProof/>
          <w:lang w:eastAsia="fr-FR"/>
        </w:rPr>
        <mc:AlternateContent>
          <mc:Choice Requires="wps">
            <w:drawing>
              <wp:anchor distT="0" distB="0" distL="114300" distR="114300" simplePos="0" relativeHeight="253133824" behindDoc="0" locked="0" layoutInCell="1" allowOverlap="1" wp14:anchorId="5C906E09" wp14:editId="4D4FF1E4">
                <wp:simplePos x="0" y="0"/>
                <wp:positionH relativeFrom="column">
                  <wp:posOffset>0</wp:posOffset>
                </wp:positionH>
                <wp:positionV relativeFrom="paragraph">
                  <wp:posOffset>197485</wp:posOffset>
                </wp:positionV>
                <wp:extent cx="1028700" cy="1028700"/>
                <wp:effectExtent l="76200" t="76200" r="63500" b="63500"/>
                <wp:wrapNone/>
                <wp:docPr id="783" name="Rectangle à coins arrondis 783"/>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4AFE422" w14:textId="77777777" w:rsidR="00573C95" w:rsidRDefault="00573C95" w:rsidP="00A06709">
                            <w:pPr>
                              <w:jc w:val="center"/>
                            </w:pPr>
                            <w:r>
                              <w:t>REÉR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83" o:spid="_x0000_s1558" style="position:absolute;margin-left:0;margin-top:15.55pt;width:81pt;height:81pt;z-index:2531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" fillcolor="#94c600 [3204]" strokecolor="#94c600 [3204]">
                <v:fill color2="#84b100 [2884]" rotate="t" focus="100%" type="gradient">
                  <o:fill v:ext="view" type="gradientUnscaled"/>
                </v:fill>
                <v:textbox>
                  <w:txbxContent>
                    <w:p w14:paraId="74AFE422" w14:textId="77777777" w:rsidR="001501D6" w:rsidRDefault="001501D6" w:rsidP="00A06709">
                      <w:pPr>
                        <w:jc w:val="center"/>
                      </w:pPr>
                      <w:r>
                        <w:t>REÉR</w:t>
                      </w:r>
                    </w:p>
                  </w:txbxContent>
                </v:textbox>
              </v:roundrect>
            </w:pict>
          </mc:Fallback>
        </mc:AlternateContent>
      </w:r>
      <w:r w:rsidR="003374AA">
        <w:br w:type="page"/>
      </w:r>
    </w:p>
    <w:p w14:paraId="72D9D36D" w14:textId="3C323F57" w:rsidR="00F51F10" w:rsidRDefault="003C1501">
      <w:r>
        <w:lastRenderedPageBreak/>
        <w:t>Maintenant (pour les sceptiques) le suivi des placements (revenus générés) et de la dette (intérêts épargnés</w:t>
      </w:r>
      <w:r w:rsidR="00F51F10">
        <w:t>) - Analyse sur 3 années</w:t>
      </w:r>
    </w:p>
    <w:tbl>
      <w:tblPr>
        <w:tblStyle w:val="Grille"/>
        <w:tblpPr w:leftFromText="141" w:rightFromText="141" w:vertAnchor="page" w:horzAnchor="page" w:tblpX="626" w:tblpY="2318"/>
        <w:tblW w:w="14567" w:type="dxa"/>
        <w:tblLook w:val="04A0" w:firstRow="1" w:lastRow="0" w:firstColumn="1" w:lastColumn="0" w:noHBand="0" w:noVBand="1"/>
      </w:tblPr>
      <w:tblGrid>
        <w:gridCol w:w="4077"/>
        <w:gridCol w:w="993"/>
        <w:gridCol w:w="3685"/>
        <w:gridCol w:w="992"/>
        <w:gridCol w:w="3828"/>
        <w:gridCol w:w="992"/>
      </w:tblGrid>
      <w:tr w:rsidR="00D523F5" w14:paraId="49D6D951" w14:textId="77777777" w:rsidTr="00593988">
        <w:tc>
          <w:tcPr>
            <w:tcW w:w="4077" w:type="dxa"/>
            <w:tcBorders>
              <w:bottom w:val="nil"/>
            </w:tcBorders>
            <w:shd w:val="clear" w:color="auto" w:fill="000000" w:themeFill="text1"/>
          </w:tcPr>
          <w:p w14:paraId="01DAF5D8" w14:textId="77777777" w:rsidR="00D523F5" w:rsidRDefault="00D523F5" w:rsidP="00D523F5">
            <w:pPr>
              <w:jc w:val="center"/>
            </w:pPr>
            <w:r>
              <w:t>REÉR</w:t>
            </w:r>
          </w:p>
        </w:tc>
        <w:tc>
          <w:tcPr>
            <w:tcW w:w="993" w:type="dxa"/>
            <w:tcBorders>
              <w:bottom w:val="nil"/>
            </w:tcBorders>
            <w:shd w:val="clear" w:color="auto" w:fill="000000" w:themeFill="text1"/>
          </w:tcPr>
          <w:p w14:paraId="48161C89" w14:textId="77777777" w:rsidR="00D523F5" w:rsidRDefault="00D523F5" w:rsidP="00D523F5">
            <w:pPr>
              <w:jc w:val="center"/>
            </w:pPr>
            <w:r>
              <w:t>$</w:t>
            </w:r>
          </w:p>
        </w:tc>
        <w:tc>
          <w:tcPr>
            <w:tcW w:w="3685" w:type="dxa"/>
            <w:tcBorders>
              <w:bottom w:val="nil"/>
            </w:tcBorders>
            <w:shd w:val="clear" w:color="auto" w:fill="000000" w:themeFill="text1"/>
          </w:tcPr>
          <w:p w14:paraId="13518F0A" w14:textId="77777777" w:rsidR="00D523F5" w:rsidRDefault="00D523F5" w:rsidP="00D523F5">
            <w:pPr>
              <w:jc w:val="center"/>
            </w:pPr>
            <w:r>
              <w:t>CÉLI</w:t>
            </w:r>
          </w:p>
        </w:tc>
        <w:tc>
          <w:tcPr>
            <w:tcW w:w="992" w:type="dxa"/>
            <w:tcBorders>
              <w:bottom w:val="nil"/>
            </w:tcBorders>
            <w:shd w:val="clear" w:color="auto" w:fill="000000" w:themeFill="text1"/>
          </w:tcPr>
          <w:p w14:paraId="3AE91FE4" w14:textId="77777777" w:rsidR="00D523F5" w:rsidRDefault="00D523F5" w:rsidP="00D523F5">
            <w:pPr>
              <w:jc w:val="center"/>
            </w:pPr>
            <w:r>
              <w:t>$</w:t>
            </w:r>
          </w:p>
        </w:tc>
        <w:tc>
          <w:tcPr>
            <w:tcW w:w="3828" w:type="dxa"/>
            <w:tcBorders>
              <w:bottom w:val="nil"/>
            </w:tcBorders>
            <w:shd w:val="clear" w:color="auto" w:fill="000000" w:themeFill="text1"/>
          </w:tcPr>
          <w:p w14:paraId="1C793C95" w14:textId="77777777" w:rsidR="00D523F5" w:rsidRDefault="00D523F5" w:rsidP="00D523F5">
            <w:pPr>
              <w:jc w:val="center"/>
            </w:pPr>
            <w:r>
              <w:t>REÉÉ</w:t>
            </w:r>
          </w:p>
        </w:tc>
        <w:tc>
          <w:tcPr>
            <w:tcW w:w="992" w:type="dxa"/>
            <w:tcBorders>
              <w:bottom w:val="nil"/>
            </w:tcBorders>
            <w:shd w:val="clear" w:color="auto" w:fill="000000" w:themeFill="text1"/>
          </w:tcPr>
          <w:p w14:paraId="7215CFEE" w14:textId="77777777" w:rsidR="00D523F5" w:rsidRDefault="00D523F5" w:rsidP="00D523F5">
            <w:pPr>
              <w:jc w:val="center"/>
            </w:pPr>
            <w:r>
              <w:t>$</w:t>
            </w:r>
          </w:p>
        </w:tc>
      </w:tr>
      <w:tr w:rsidR="00D523F5" w14:paraId="1C0C38E6" w14:textId="77777777" w:rsidTr="00593988">
        <w:tc>
          <w:tcPr>
            <w:tcW w:w="4077" w:type="dxa"/>
            <w:tcBorders>
              <w:top w:val="nil"/>
              <w:left w:val="nil"/>
              <w:bottom w:val="nil"/>
              <w:right w:val="nil"/>
            </w:tcBorders>
            <w:shd w:val="clear" w:color="auto" w:fill="A9EA25" w:themeFill="background2" w:themeFillShade="BF"/>
          </w:tcPr>
          <w:p w14:paraId="525BDC01" w14:textId="77777777" w:rsidR="00D523F5" w:rsidRDefault="00D523F5" w:rsidP="00D523F5"/>
        </w:tc>
        <w:tc>
          <w:tcPr>
            <w:tcW w:w="993" w:type="dxa"/>
            <w:tcBorders>
              <w:top w:val="nil"/>
              <w:left w:val="nil"/>
              <w:bottom w:val="nil"/>
              <w:right w:val="nil"/>
            </w:tcBorders>
            <w:shd w:val="clear" w:color="auto" w:fill="D9D9D9" w:themeFill="background1" w:themeFillShade="D9"/>
          </w:tcPr>
          <w:p w14:paraId="2913FB90" w14:textId="77777777" w:rsidR="00D523F5" w:rsidRDefault="00D523F5" w:rsidP="00D523F5">
            <w:pPr>
              <w:jc w:val="center"/>
            </w:pPr>
          </w:p>
        </w:tc>
        <w:tc>
          <w:tcPr>
            <w:tcW w:w="3685" w:type="dxa"/>
            <w:tcBorders>
              <w:top w:val="nil"/>
              <w:left w:val="nil"/>
              <w:bottom w:val="nil"/>
              <w:right w:val="nil"/>
            </w:tcBorders>
            <w:shd w:val="clear" w:color="auto" w:fill="A9EA25" w:themeFill="background2" w:themeFillShade="BF"/>
          </w:tcPr>
          <w:p w14:paraId="7EA69E0C" w14:textId="77777777" w:rsidR="00D523F5" w:rsidRDefault="00D523F5" w:rsidP="00D523F5"/>
        </w:tc>
        <w:tc>
          <w:tcPr>
            <w:tcW w:w="992" w:type="dxa"/>
            <w:tcBorders>
              <w:top w:val="nil"/>
              <w:left w:val="nil"/>
              <w:bottom w:val="nil"/>
              <w:right w:val="nil"/>
            </w:tcBorders>
            <w:shd w:val="clear" w:color="auto" w:fill="D9D9D9" w:themeFill="background1" w:themeFillShade="D9"/>
          </w:tcPr>
          <w:p w14:paraId="590A3149" w14:textId="77777777" w:rsidR="00D523F5" w:rsidRDefault="00D523F5" w:rsidP="00D523F5"/>
        </w:tc>
        <w:tc>
          <w:tcPr>
            <w:tcW w:w="3828" w:type="dxa"/>
            <w:tcBorders>
              <w:top w:val="nil"/>
              <w:left w:val="nil"/>
              <w:bottom w:val="nil"/>
              <w:right w:val="nil"/>
            </w:tcBorders>
            <w:shd w:val="clear" w:color="auto" w:fill="A9EA25" w:themeFill="background2" w:themeFillShade="BF"/>
          </w:tcPr>
          <w:p w14:paraId="7711B254" w14:textId="77777777" w:rsidR="00D523F5" w:rsidRDefault="00D523F5" w:rsidP="00D523F5"/>
        </w:tc>
        <w:tc>
          <w:tcPr>
            <w:tcW w:w="992" w:type="dxa"/>
            <w:tcBorders>
              <w:top w:val="nil"/>
              <w:left w:val="nil"/>
              <w:bottom w:val="nil"/>
              <w:right w:val="nil"/>
            </w:tcBorders>
            <w:shd w:val="clear" w:color="auto" w:fill="D9D9D9" w:themeFill="background1" w:themeFillShade="D9"/>
          </w:tcPr>
          <w:p w14:paraId="7CF34788" w14:textId="77777777" w:rsidR="00D523F5" w:rsidRDefault="00D523F5" w:rsidP="00D523F5">
            <w:pPr>
              <w:jc w:val="center"/>
            </w:pPr>
          </w:p>
        </w:tc>
      </w:tr>
      <w:tr w:rsidR="00D523F5" w:rsidRPr="00F51F10" w14:paraId="43D381BF" w14:textId="77777777" w:rsidTr="00593988">
        <w:tc>
          <w:tcPr>
            <w:tcW w:w="4077" w:type="dxa"/>
            <w:tcBorders>
              <w:top w:val="nil"/>
              <w:left w:val="nil"/>
              <w:bottom w:val="nil"/>
              <w:right w:val="nil"/>
            </w:tcBorders>
            <w:shd w:val="clear" w:color="auto" w:fill="A9EA25" w:themeFill="background2" w:themeFillShade="BF"/>
          </w:tcPr>
          <w:p w14:paraId="1BEF9936" w14:textId="77777777" w:rsidR="00D523F5" w:rsidRPr="00F51F10" w:rsidRDefault="00D523F5" w:rsidP="00D523F5">
            <w:pPr>
              <w:rPr>
                <w:sz w:val="20"/>
                <w:szCs w:val="20"/>
              </w:rPr>
            </w:pPr>
            <w:r w:rsidRPr="00F51F10">
              <w:rPr>
                <w:sz w:val="20"/>
                <w:szCs w:val="20"/>
              </w:rPr>
              <w:t>$ investis</w:t>
            </w:r>
          </w:p>
        </w:tc>
        <w:tc>
          <w:tcPr>
            <w:tcW w:w="993" w:type="dxa"/>
            <w:tcBorders>
              <w:top w:val="nil"/>
              <w:left w:val="nil"/>
              <w:bottom w:val="nil"/>
              <w:right w:val="nil"/>
            </w:tcBorders>
            <w:shd w:val="clear" w:color="auto" w:fill="D9D9D9" w:themeFill="background1" w:themeFillShade="D9"/>
          </w:tcPr>
          <w:p w14:paraId="51D5754C" w14:textId="77777777" w:rsidR="00D523F5" w:rsidRPr="00F51F10" w:rsidRDefault="00D523F5" w:rsidP="00D523F5">
            <w:pPr>
              <w:jc w:val="center"/>
              <w:rPr>
                <w:sz w:val="20"/>
                <w:szCs w:val="20"/>
              </w:rPr>
            </w:pPr>
            <w:r w:rsidRPr="00F51F10">
              <w:rPr>
                <w:sz w:val="20"/>
                <w:szCs w:val="20"/>
              </w:rPr>
              <w:t>10 000 $</w:t>
            </w:r>
          </w:p>
        </w:tc>
        <w:tc>
          <w:tcPr>
            <w:tcW w:w="3685" w:type="dxa"/>
            <w:tcBorders>
              <w:top w:val="nil"/>
              <w:left w:val="nil"/>
              <w:bottom w:val="nil"/>
              <w:right w:val="nil"/>
            </w:tcBorders>
            <w:shd w:val="clear" w:color="auto" w:fill="A9EA25" w:themeFill="background2" w:themeFillShade="BF"/>
          </w:tcPr>
          <w:p w14:paraId="0501C5CC" w14:textId="77777777" w:rsidR="00D523F5" w:rsidRPr="00F51F10" w:rsidRDefault="00D523F5" w:rsidP="00D523F5">
            <w:pPr>
              <w:rPr>
                <w:sz w:val="20"/>
                <w:szCs w:val="20"/>
              </w:rPr>
            </w:pPr>
            <w:r w:rsidRPr="00F51F10">
              <w:rPr>
                <w:sz w:val="20"/>
                <w:szCs w:val="20"/>
              </w:rPr>
              <w:t>$ investis</w:t>
            </w:r>
          </w:p>
        </w:tc>
        <w:tc>
          <w:tcPr>
            <w:tcW w:w="992" w:type="dxa"/>
            <w:tcBorders>
              <w:top w:val="nil"/>
              <w:left w:val="nil"/>
              <w:bottom w:val="nil"/>
              <w:right w:val="nil"/>
            </w:tcBorders>
            <w:shd w:val="clear" w:color="auto" w:fill="D9D9D9" w:themeFill="background1" w:themeFillShade="D9"/>
          </w:tcPr>
          <w:p w14:paraId="300DC6C7" w14:textId="77777777" w:rsidR="00D523F5" w:rsidRPr="00F51F10" w:rsidRDefault="00D523F5" w:rsidP="00D523F5">
            <w:pPr>
              <w:jc w:val="center"/>
              <w:rPr>
                <w:sz w:val="20"/>
                <w:szCs w:val="20"/>
              </w:rPr>
            </w:pPr>
            <w:r>
              <w:rPr>
                <w:sz w:val="20"/>
                <w:szCs w:val="20"/>
              </w:rPr>
              <w:t>10 000 $</w:t>
            </w:r>
          </w:p>
        </w:tc>
        <w:tc>
          <w:tcPr>
            <w:tcW w:w="3828" w:type="dxa"/>
            <w:tcBorders>
              <w:top w:val="nil"/>
              <w:left w:val="nil"/>
              <w:bottom w:val="nil"/>
              <w:right w:val="nil"/>
            </w:tcBorders>
            <w:shd w:val="clear" w:color="auto" w:fill="A9EA25" w:themeFill="background2" w:themeFillShade="BF"/>
          </w:tcPr>
          <w:p w14:paraId="1B8F8574" w14:textId="77777777" w:rsidR="00D523F5" w:rsidRPr="00F51F10" w:rsidRDefault="00D523F5" w:rsidP="00D523F5">
            <w:pPr>
              <w:rPr>
                <w:sz w:val="20"/>
                <w:szCs w:val="20"/>
              </w:rPr>
            </w:pPr>
            <w:r w:rsidRPr="00F51F10">
              <w:rPr>
                <w:sz w:val="20"/>
                <w:szCs w:val="20"/>
              </w:rPr>
              <w:t>$ investis</w:t>
            </w:r>
          </w:p>
        </w:tc>
        <w:tc>
          <w:tcPr>
            <w:tcW w:w="992" w:type="dxa"/>
            <w:tcBorders>
              <w:top w:val="nil"/>
              <w:left w:val="nil"/>
              <w:bottom w:val="nil"/>
              <w:right w:val="nil"/>
            </w:tcBorders>
            <w:shd w:val="clear" w:color="auto" w:fill="D9D9D9" w:themeFill="background1" w:themeFillShade="D9"/>
          </w:tcPr>
          <w:p w14:paraId="6BFF7FB7" w14:textId="77777777" w:rsidR="00D523F5" w:rsidRPr="00F51F10" w:rsidRDefault="00D523F5" w:rsidP="00D523F5">
            <w:pPr>
              <w:jc w:val="center"/>
              <w:rPr>
                <w:sz w:val="20"/>
                <w:szCs w:val="20"/>
              </w:rPr>
            </w:pPr>
            <w:r>
              <w:rPr>
                <w:sz w:val="20"/>
                <w:szCs w:val="20"/>
              </w:rPr>
              <w:t>10 000 $</w:t>
            </w:r>
          </w:p>
        </w:tc>
      </w:tr>
      <w:tr w:rsidR="00D523F5" w:rsidRPr="00F51F10" w14:paraId="03D31439" w14:textId="77777777" w:rsidTr="00593988">
        <w:tc>
          <w:tcPr>
            <w:tcW w:w="4077" w:type="dxa"/>
            <w:tcBorders>
              <w:top w:val="nil"/>
              <w:left w:val="nil"/>
              <w:bottom w:val="nil"/>
              <w:right w:val="nil"/>
            </w:tcBorders>
            <w:shd w:val="clear" w:color="auto" w:fill="A9EA25" w:themeFill="background2" w:themeFillShade="BF"/>
          </w:tcPr>
          <w:p w14:paraId="24255661" w14:textId="77777777" w:rsidR="00D523F5" w:rsidRPr="00F51F10" w:rsidRDefault="00D523F5" w:rsidP="00D523F5">
            <w:pPr>
              <w:rPr>
                <w:sz w:val="20"/>
                <w:szCs w:val="20"/>
              </w:rPr>
            </w:pPr>
            <w:r>
              <w:rPr>
                <w:sz w:val="20"/>
                <w:szCs w:val="20"/>
              </w:rPr>
              <w:t>Valeur - 3 ans</w:t>
            </w:r>
          </w:p>
        </w:tc>
        <w:tc>
          <w:tcPr>
            <w:tcW w:w="993" w:type="dxa"/>
            <w:tcBorders>
              <w:top w:val="nil"/>
              <w:left w:val="nil"/>
              <w:bottom w:val="nil"/>
              <w:right w:val="nil"/>
            </w:tcBorders>
            <w:shd w:val="clear" w:color="auto" w:fill="D9D9D9" w:themeFill="background1" w:themeFillShade="D9"/>
          </w:tcPr>
          <w:p w14:paraId="476F807C" w14:textId="77777777" w:rsidR="00D523F5" w:rsidRPr="00F51F10" w:rsidRDefault="00D523F5" w:rsidP="00D523F5">
            <w:pPr>
              <w:jc w:val="center"/>
              <w:rPr>
                <w:sz w:val="20"/>
                <w:szCs w:val="20"/>
              </w:rPr>
            </w:pPr>
            <w:r>
              <w:rPr>
                <w:sz w:val="20"/>
                <w:szCs w:val="20"/>
              </w:rPr>
              <w:t>11 576 $</w:t>
            </w:r>
          </w:p>
        </w:tc>
        <w:tc>
          <w:tcPr>
            <w:tcW w:w="3685" w:type="dxa"/>
            <w:tcBorders>
              <w:top w:val="nil"/>
              <w:left w:val="nil"/>
              <w:bottom w:val="nil"/>
              <w:right w:val="nil"/>
            </w:tcBorders>
            <w:shd w:val="clear" w:color="auto" w:fill="A9EA25" w:themeFill="background2" w:themeFillShade="BF"/>
          </w:tcPr>
          <w:p w14:paraId="1BA0E632" w14:textId="77777777" w:rsidR="00D523F5" w:rsidRPr="00F51F10" w:rsidRDefault="00D523F5" w:rsidP="00D523F5">
            <w:pPr>
              <w:rPr>
                <w:sz w:val="20"/>
                <w:szCs w:val="20"/>
              </w:rPr>
            </w:pPr>
            <w:r>
              <w:rPr>
                <w:sz w:val="20"/>
                <w:szCs w:val="20"/>
              </w:rPr>
              <w:t>Valeur - 3 ans</w:t>
            </w:r>
          </w:p>
        </w:tc>
        <w:tc>
          <w:tcPr>
            <w:tcW w:w="992" w:type="dxa"/>
            <w:tcBorders>
              <w:top w:val="nil"/>
              <w:left w:val="nil"/>
              <w:bottom w:val="nil"/>
              <w:right w:val="nil"/>
            </w:tcBorders>
            <w:shd w:val="clear" w:color="auto" w:fill="D9D9D9" w:themeFill="background1" w:themeFillShade="D9"/>
          </w:tcPr>
          <w:p w14:paraId="06ABDB24" w14:textId="77777777" w:rsidR="00D523F5" w:rsidRPr="00F51F10" w:rsidRDefault="00D523F5" w:rsidP="00D523F5">
            <w:pPr>
              <w:jc w:val="center"/>
              <w:rPr>
                <w:sz w:val="20"/>
                <w:szCs w:val="20"/>
              </w:rPr>
            </w:pPr>
            <w:r>
              <w:rPr>
                <w:sz w:val="20"/>
                <w:szCs w:val="20"/>
              </w:rPr>
              <w:t>11 576 $</w:t>
            </w:r>
          </w:p>
        </w:tc>
        <w:tc>
          <w:tcPr>
            <w:tcW w:w="3828" w:type="dxa"/>
            <w:tcBorders>
              <w:top w:val="nil"/>
              <w:left w:val="nil"/>
              <w:bottom w:val="nil"/>
              <w:right w:val="nil"/>
            </w:tcBorders>
            <w:shd w:val="clear" w:color="auto" w:fill="A9EA25" w:themeFill="background2" w:themeFillShade="BF"/>
          </w:tcPr>
          <w:p w14:paraId="0A02B8CA" w14:textId="77777777" w:rsidR="00D523F5" w:rsidRPr="00F51F10" w:rsidRDefault="00D523F5" w:rsidP="00D523F5">
            <w:pPr>
              <w:rPr>
                <w:sz w:val="20"/>
                <w:szCs w:val="20"/>
              </w:rPr>
            </w:pPr>
            <w:r>
              <w:rPr>
                <w:sz w:val="20"/>
                <w:szCs w:val="20"/>
              </w:rPr>
              <w:t>Valeur - 3 ans</w:t>
            </w:r>
          </w:p>
        </w:tc>
        <w:tc>
          <w:tcPr>
            <w:tcW w:w="992" w:type="dxa"/>
            <w:tcBorders>
              <w:top w:val="nil"/>
              <w:left w:val="nil"/>
              <w:bottom w:val="nil"/>
              <w:right w:val="nil"/>
            </w:tcBorders>
            <w:shd w:val="clear" w:color="auto" w:fill="D9D9D9" w:themeFill="background1" w:themeFillShade="D9"/>
          </w:tcPr>
          <w:p w14:paraId="2577E684" w14:textId="77777777" w:rsidR="00D523F5" w:rsidRPr="00F51F10" w:rsidRDefault="00D523F5" w:rsidP="00D523F5">
            <w:pPr>
              <w:jc w:val="center"/>
              <w:rPr>
                <w:sz w:val="20"/>
                <w:szCs w:val="20"/>
              </w:rPr>
            </w:pPr>
            <w:r>
              <w:rPr>
                <w:sz w:val="20"/>
                <w:szCs w:val="20"/>
              </w:rPr>
              <w:t>11 576 $</w:t>
            </w:r>
          </w:p>
        </w:tc>
      </w:tr>
      <w:tr w:rsidR="00D523F5" w:rsidRPr="00F51F10" w14:paraId="57FA2A6E" w14:textId="77777777" w:rsidTr="00593988">
        <w:tc>
          <w:tcPr>
            <w:tcW w:w="4077" w:type="dxa"/>
            <w:tcBorders>
              <w:top w:val="nil"/>
              <w:left w:val="nil"/>
              <w:bottom w:val="nil"/>
              <w:right w:val="nil"/>
            </w:tcBorders>
            <w:shd w:val="clear" w:color="auto" w:fill="A9EA25" w:themeFill="background2" w:themeFillShade="BF"/>
          </w:tcPr>
          <w:p w14:paraId="53BB8002" w14:textId="77777777" w:rsidR="00D523F5" w:rsidRPr="00F51F10" w:rsidRDefault="00D523F5" w:rsidP="00D523F5">
            <w:pPr>
              <w:rPr>
                <w:sz w:val="20"/>
                <w:szCs w:val="20"/>
              </w:rPr>
            </w:pPr>
            <w:r>
              <w:rPr>
                <w:sz w:val="20"/>
                <w:szCs w:val="20"/>
              </w:rPr>
              <w:t>Remboursement d'impôt - 38,5 %</w:t>
            </w:r>
          </w:p>
        </w:tc>
        <w:tc>
          <w:tcPr>
            <w:tcW w:w="993" w:type="dxa"/>
            <w:tcBorders>
              <w:top w:val="nil"/>
              <w:left w:val="nil"/>
              <w:bottom w:val="nil"/>
              <w:right w:val="nil"/>
            </w:tcBorders>
            <w:shd w:val="clear" w:color="auto" w:fill="D9D9D9" w:themeFill="background1" w:themeFillShade="D9"/>
          </w:tcPr>
          <w:p w14:paraId="5B2ABA7F" w14:textId="77777777" w:rsidR="00D523F5" w:rsidRPr="00F51F10" w:rsidRDefault="00D523F5" w:rsidP="00D523F5">
            <w:pPr>
              <w:jc w:val="center"/>
              <w:rPr>
                <w:sz w:val="20"/>
                <w:szCs w:val="20"/>
              </w:rPr>
            </w:pPr>
            <w:r>
              <w:rPr>
                <w:sz w:val="20"/>
                <w:szCs w:val="20"/>
              </w:rPr>
              <w:t>3 850 $</w:t>
            </w:r>
          </w:p>
        </w:tc>
        <w:tc>
          <w:tcPr>
            <w:tcW w:w="3685" w:type="dxa"/>
            <w:tcBorders>
              <w:top w:val="nil"/>
              <w:left w:val="nil"/>
              <w:bottom w:val="nil"/>
              <w:right w:val="nil"/>
            </w:tcBorders>
            <w:shd w:val="clear" w:color="auto" w:fill="A9EA25" w:themeFill="background2" w:themeFillShade="BF"/>
          </w:tcPr>
          <w:p w14:paraId="114177F3" w14:textId="77777777" w:rsidR="00D523F5" w:rsidRPr="00F51F10" w:rsidRDefault="00D523F5" w:rsidP="00D523F5">
            <w:pPr>
              <w:rPr>
                <w:sz w:val="20"/>
                <w:szCs w:val="20"/>
              </w:rPr>
            </w:pPr>
            <w:r>
              <w:rPr>
                <w:sz w:val="20"/>
                <w:szCs w:val="20"/>
              </w:rPr>
              <w:t>Remboursement d'impôt - 38,5 %</w:t>
            </w:r>
          </w:p>
        </w:tc>
        <w:tc>
          <w:tcPr>
            <w:tcW w:w="992" w:type="dxa"/>
            <w:tcBorders>
              <w:top w:val="nil"/>
              <w:left w:val="nil"/>
              <w:bottom w:val="nil"/>
              <w:right w:val="nil"/>
            </w:tcBorders>
            <w:shd w:val="clear" w:color="auto" w:fill="D9D9D9" w:themeFill="background1" w:themeFillShade="D9"/>
          </w:tcPr>
          <w:p w14:paraId="17A368A4" w14:textId="77777777" w:rsidR="00D523F5" w:rsidRPr="00F51F10" w:rsidRDefault="00D523F5" w:rsidP="00D523F5">
            <w:pPr>
              <w:jc w:val="center"/>
              <w:rPr>
                <w:sz w:val="20"/>
                <w:szCs w:val="20"/>
              </w:rPr>
            </w:pPr>
            <w:r>
              <w:rPr>
                <w:sz w:val="20"/>
                <w:szCs w:val="20"/>
              </w:rPr>
              <w:t>s/o</w:t>
            </w:r>
          </w:p>
        </w:tc>
        <w:tc>
          <w:tcPr>
            <w:tcW w:w="3828" w:type="dxa"/>
            <w:tcBorders>
              <w:top w:val="nil"/>
              <w:left w:val="nil"/>
              <w:bottom w:val="nil"/>
              <w:right w:val="nil"/>
            </w:tcBorders>
            <w:shd w:val="clear" w:color="auto" w:fill="A9EA25" w:themeFill="background2" w:themeFillShade="BF"/>
          </w:tcPr>
          <w:p w14:paraId="72F21A5E" w14:textId="77777777" w:rsidR="00D523F5" w:rsidRPr="00F51F10" w:rsidRDefault="00D523F5" w:rsidP="00D523F5">
            <w:pPr>
              <w:rPr>
                <w:sz w:val="20"/>
                <w:szCs w:val="20"/>
              </w:rPr>
            </w:pPr>
            <w:r>
              <w:rPr>
                <w:sz w:val="20"/>
                <w:szCs w:val="20"/>
              </w:rPr>
              <w:t>Remboursement d'impôt - 38,5 %</w:t>
            </w:r>
          </w:p>
        </w:tc>
        <w:tc>
          <w:tcPr>
            <w:tcW w:w="992" w:type="dxa"/>
            <w:tcBorders>
              <w:top w:val="nil"/>
              <w:left w:val="nil"/>
              <w:bottom w:val="nil"/>
              <w:right w:val="nil"/>
            </w:tcBorders>
            <w:shd w:val="clear" w:color="auto" w:fill="D9D9D9" w:themeFill="background1" w:themeFillShade="D9"/>
          </w:tcPr>
          <w:p w14:paraId="4CEA6A3B" w14:textId="77777777" w:rsidR="00D523F5" w:rsidRPr="00F51F10" w:rsidRDefault="00D523F5" w:rsidP="00D523F5">
            <w:pPr>
              <w:jc w:val="center"/>
              <w:rPr>
                <w:sz w:val="20"/>
                <w:szCs w:val="20"/>
              </w:rPr>
            </w:pPr>
            <w:r>
              <w:rPr>
                <w:sz w:val="20"/>
                <w:szCs w:val="20"/>
              </w:rPr>
              <w:t>s/o</w:t>
            </w:r>
          </w:p>
        </w:tc>
      </w:tr>
      <w:tr w:rsidR="00D523F5" w:rsidRPr="00F51F10" w14:paraId="0DA7E7A1" w14:textId="77777777" w:rsidTr="00593988">
        <w:tc>
          <w:tcPr>
            <w:tcW w:w="4077" w:type="dxa"/>
            <w:tcBorders>
              <w:top w:val="nil"/>
              <w:left w:val="nil"/>
              <w:bottom w:val="nil"/>
              <w:right w:val="nil"/>
            </w:tcBorders>
            <w:shd w:val="clear" w:color="auto" w:fill="A9EA25" w:themeFill="background2" w:themeFillShade="BF"/>
          </w:tcPr>
          <w:p w14:paraId="333AA55D" w14:textId="77777777" w:rsidR="00D523F5" w:rsidRPr="00F51F10" w:rsidRDefault="00D523F5" w:rsidP="00D523F5">
            <w:pPr>
              <w:rPr>
                <w:sz w:val="20"/>
                <w:szCs w:val="20"/>
              </w:rPr>
            </w:pPr>
            <w:r>
              <w:rPr>
                <w:sz w:val="20"/>
                <w:szCs w:val="20"/>
              </w:rPr>
              <w:t>Valeur du remboursement - 3 ans (CÉLI)</w:t>
            </w:r>
          </w:p>
        </w:tc>
        <w:tc>
          <w:tcPr>
            <w:tcW w:w="993" w:type="dxa"/>
            <w:tcBorders>
              <w:top w:val="nil"/>
              <w:left w:val="nil"/>
              <w:bottom w:val="nil"/>
              <w:right w:val="nil"/>
            </w:tcBorders>
            <w:shd w:val="clear" w:color="auto" w:fill="D9D9D9" w:themeFill="background1" w:themeFillShade="D9"/>
          </w:tcPr>
          <w:p w14:paraId="6BE6ADBC" w14:textId="77777777" w:rsidR="00D523F5" w:rsidRPr="00F51F10" w:rsidRDefault="00D523F5" w:rsidP="00D523F5">
            <w:pPr>
              <w:jc w:val="center"/>
              <w:rPr>
                <w:sz w:val="20"/>
                <w:szCs w:val="20"/>
              </w:rPr>
            </w:pPr>
            <w:r>
              <w:rPr>
                <w:sz w:val="20"/>
                <w:szCs w:val="20"/>
              </w:rPr>
              <w:t>4 457 $</w:t>
            </w:r>
          </w:p>
        </w:tc>
        <w:tc>
          <w:tcPr>
            <w:tcW w:w="3685" w:type="dxa"/>
            <w:tcBorders>
              <w:top w:val="nil"/>
              <w:left w:val="nil"/>
              <w:bottom w:val="nil"/>
              <w:right w:val="nil"/>
            </w:tcBorders>
            <w:shd w:val="clear" w:color="auto" w:fill="A9EA25" w:themeFill="background2" w:themeFillShade="BF"/>
          </w:tcPr>
          <w:p w14:paraId="0BA3F40B" w14:textId="77777777" w:rsidR="00D523F5" w:rsidRPr="00F51F10" w:rsidRDefault="00D523F5" w:rsidP="00D523F5">
            <w:pPr>
              <w:rPr>
                <w:sz w:val="20"/>
                <w:szCs w:val="20"/>
              </w:rPr>
            </w:pPr>
            <w:r>
              <w:rPr>
                <w:sz w:val="20"/>
                <w:szCs w:val="20"/>
              </w:rPr>
              <w:t>Valeur du remboursement - 3 ans</w:t>
            </w:r>
          </w:p>
        </w:tc>
        <w:tc>
          <w:tcPr>
            <w:tcW w:w="992" w:type="dxa"/>
            <w:tcBorders>
              <w:top w:val="nil"/>
              <w:left w:val="nil"/>
              <w:bottom w:val="nil"/>
              <w:right w:val="nil"/>
            </w:tcBorders>
            <w:shd w:val="clear" w:color="auto" w:fill="D9D9D9" w:themeFill="background1" w:themeFillShade="D9"/>
          </w:tcPr>
          <w:p w14:paraId="2BD60F75" w14:textId="77777777" w:rsidR="00D523F5" w:rsidRPr="00F51F10" w:rsidRDefault="00D523F5" w:rsidP="00D523F5">
            <w:pPr>
              <w:jc w:val="center"/>
              <w:rPr>
                <w:sz w:val="20"/>
                <w:szCs w:val="20"/>
              </w:rPr>
            </w:pPr>
            <w:r>
              <w:rPr>
                <w:sz w:val="20"/>
                <w:szCs w:val="20"/>
              </w:rPr>
              <w:t>s/o</w:t>
            </w:r>
          </w:p>
        </w:tc>
        <w:tc>
          <w:tcPr>
            <w:tcW w:w="3828" w:type="dxa"/>
            <w:tcBorders>
              <w:top w:val="nil"/>
              <w:left w:val="nil"/>
              <w:bottom w:val="nil"/>
              <w:right w:val="nil"/>
            </w:tcBorders>
            <w:shd w:val="clear" w:color="auto" w:fill="A9EA25" w:themeFill="background2" w:themeFillShade="BF"/>
          </w:tcPr>
          <w:p w14:paraId="4E1BBD97" w14:textId="77777777" w:rsidR="00D523F5" w:rsidRPr="00F51F10" w:rsidRDefault="00D523F5" w:rsidP="00D523F5">
            <w:pPr>
              <w:rPr>
                <w:sz w:val="20"/>
                <w:szCs w:val="20"/>
              </w:rPr>
            </w:pPr>
            <w:r>
              <w:rPr>
                <w:sz w:val="20"/>
                <w:szCs w:val="20"/>
              </w:rPr>
              <w:t>Valeur du remboursement - 3 ans</w:t>
            </w:r>
          </w:p>
        </w:tc>
        <w:tc>
          <w:tcPr>
            <w:tcW w:w="992" w:type="dxa"/>
            <w:tcBorders>
              <w:top w:val="nil"/>
              <w:left w:val="nil"/>
              <w:bottom w:val="nil"/>
              <w:right w:val="nil"/>
            </w:tcBorders>
            <w:shd w:val="clear" w:color="auto" w:fill="D9D9D9" w:themeFill="background1" w:themeFillShade="D9"/>
          </w:tcPr>
          <w:p w14:paraId="19452BA4" w14:textId="77777777" w:rsidR="00D523F5" w:rsidRPr="00F51F10" w:rsidRDefault="00D523F5" w:rsidP="00D523F5">
            <w:pPr>
              <w:jc w:val="center"/>
              <w:rPr>
                <w:sz w:val="20"/>
                <w:szCs w:val="20"/>
              </w:rPr>
            </w:pPr>
            <w:r>
              <w:rPr>
                <w:sz w:val="20"/>
                <w:szCs w:val="20"/>
              </w:rPr>
              <w:t>s/o</w:t>
            </w:r>
          </w:p>
        </w:tc>
      </w:tr>
      <w:tr w:rsidR="00D523F5" w:rsidRPr="00F51F10" w14:paraId="46914C9F" w14:textId="77777777" w:rsidTr="00593988">
        <w:tc>
          <w:tcPr>
            <w:tcW w:w="4077" w:type="dxa"/>
            <w:tcBorders>
              <w:top w:val="nil"/>
              <w:left w:val="nil"/>
              <w:bottom w:val="nil"/>
              <w:right w:val="nil"/>
            </w:tcBorders>
            <w:shd w:val="clear" w:color="auto" w:fill="A9EA25" w:themeFill="background2" w:themeFillShade="BF"/>
          </w:tcPr>
          <w:p w14:paraId="7D6DD60A" w14:textId="77777777" w:rsidR="00D523F5" w:rsidRPr="00F51F10" w:rsidRDefault="00D523F5" w:rsidP="00D523F5">
            <w:pPr>
              <w:rPr>
                <w:sz w:val="20"/>
                <w:szCs w:val="20"/>
              </w:rPr>
            </w:pPr>
            <w:r>
              <w:rPr>
                <w:sz w:val="20"/>
                <w:szCs w:val="20"/>
              </w:rPr>
              <w:t>Subvention</w:t>
            </w:r>
          </w:p>
        </w:tc>
        <w:tc>
          <w:tcPr>
            <w:tcW w:w="993" w:type="dxa"/>
            <w:tcBorders>
              <w:top w:val="nil"/>
              <w:left w:val="nil"/>
              <w:bottom w:val="nil"/>
              <w:right w:val="nil"/>
            </w:tcBorders>
            <w:shd w:val="clear" w:color="auto" w:fill="D9D9D9" w:themeFill="background1" w:themeFillShade="D9"/>
          </w:tcPr>
          <w:p w14:paraId="79B93391" w14:textId="77777777" w:rsidR="00D523F5" w:rsidRPr="00F51F10" w:rsidRDefault="00D523F5" w:rsidP="00D523F5">
            <w:pPr>
              <w:jc w:val="center"/>
              <w:rPr>
                <w:sz w:val="20"/>
                <w:szCs w:val="20"/>
              </w:rPr>
            </w:pPr>
            <w:r>
              <w:rPr>
                <w:sz w:val="20"/>
                <w:szCs w:val="20"/>
              </w:rPr>
              <w:t>s/o</w:t>
            </w:r>
          </w:p>
        </w:tc>
        <w:tc>
          <w:tcPr>
            <w:tcW w:w="3685" w:type="dxa"/>
            <w:tcBorders>
              <w:top w:val="nil"/>
              <w:left w:val="nil"/>
              <w:bottom w:val="nil"/>
              <w:right w:val="nil"/>
            </w:tcBorders>
            <w:shd w:val="clear" w:color="auto" w:fill="A9EA25" w:themeFill="background2" w:themeFillShade="BF"/>
          </w:tcPr>
          <w:p w14:paraId="50FC3E48" w14:textId="77777777" w:rsidR="00D523F5" w:rsidRPr="00F51F10" w:rsidRDefault="00D523F5" w:rsidP="00D523F5">
            <w:pPr>
              <w:rPr>
                <w:sz w:val="20"/>
                <w:szCs w:val="20"/>
              </w:rPr>
            </w:pPr>
            <w:r>
              <w:rPr>
                <w:sz w:val="20"/>
                <w:szCs w:val="20"/>
              </w:rPr>
              <w:t>Subvention</w:t>
            </w:r>
          </w:p>
        </w:tc>
        <w:tc>
          <w:tcPr>
            <w:tcW w:w="992" w:type="dxa"/>
            <w:tcBorders>
              <w:top w:val="nil"/>
              <w:left w:val="nil"/>
              <w:bottom w:val="nil"/>
              <w:right w:val="nil"/>
            </w:tcBorders>
            <w:shd w:val="clear" w:color="auto" w:fill="D9D9D9" w:themeFill="background1" w:themeFillShade="D9"/>
          </w:tcPr>
          <w:p w14:paraId="77EE2CB1" w14:textId="77777777" w:rsidR="00D523F5" w:rsidRPr="00F51F10" w:rsidRDefault="00D523F5" w:rsidP="00D523F5">
            <w:pPr>
              <w:jc w:val="center"/>
              <w:rPr>
                <w:sz w:val="20"/>
                <w:szCs w:val="20"/>
              </w:rPr>
            </w:pPr>
            <w:r>
              <w:rPr>
                <w:sz w:val="20"/>
                <w:szCs w:val="20"/>
              </w:rPr>
              <w:t>s/o</w:t>
            </w:r>
          </w:p>
        </w:tc>
        <w:tc>
          <w:tcPr>
            <w:tcW w:w="3828" w:type="dxa"/>
            <w:tcBorders>
              <w:top w:val="nil"/>
              <w:left w:val="nil"/>
              <w:bottom w:val="nil"/>
              <w:right w:val="nil"/>
            </w:tcBorders>
            <w:shd w:val="clear" w:color="auto" w:fill="A9EA25" w:themeFill="background2" w:themeFillShade="BF"/>
          </w:tcPr>
          <w:p w14:paraId="073568A8" w14:textId="77777777" w:rsidR="00D523F5" w:rsidRPr="00F51F10" w:rsidRDefault="00D523F5" w:rsidP="00D523F5">
            <w:pPr>
              <w:rPr>
                <w:sz w:val="20"/>
                <w:szCs w:val="20"/>
              </w:rPr>
            </w:pPr>
            <w:r>
              <w:rPr>
                <w:sz w:val="20"/>
                <w:szCs w:val="20"/>
              </w:rPr>
              <w:t>Subvention</w:t>
            </w:r>
          </w:p>
        </w:tc>
        <w:tc>
          <w:tcPr>
            <w:tcW w:w="992" w:type="dxa"/>
            <w:tcBorders>
              <w:top w:val="nil"/>
              <w:left w:val="nil"/>
              <w:bottom w:val="nil"/>
              <w:right w:val="nil"/>
            </w:tcBorders>
            <w:shd w:val="clear" w:color="auto" w:fill="D9D9D9" w:themeFill="background1" w:themeFillShade="D9"/>
          </w:tcPr>
          <w:p w14:paraId="26FCAD4E" w14:textId="77777777" w:rsidR="00D523F5" w:rsidRPr="00F51F10" w:rsidRDefault="00D523F5" w:rsidP="00D523F5">
            <w:pPr>
              <w:jc w:val="center"/>
              <w:rPr>
                <w:sz w:val="20"/>
                <w:szCs w:val="20"/>
              </w:rPr>
            </w:pPr>
            <w:r>
              <w:rPr>
                <w:sz w:val="20"/>
                <w:szCs w:val="20"/>
              </w:rPr>
              <w:t>1 500 $</w:t>
            </w:r>
          </w:p>
        </w:tc>
      </w:tr>
      <w:tr w:rsidR="00D523F5" w:rsidRPr="00F51F10" w14:paraId="0B89E13F" w14:textId="77777777" w:rsidTr="00593988">
        <w:tc>
          <w:tcPr>
            <w:tcW w:w="4077" w:type="dxa"/>
            <w:tcBorders>
              <w:top w:val="nil"/>
              <w:left w:val="nil"/>
              <w:bottom w:val="nil"/>
              <w:right w:val="nil"/>
            </w:tcBorders>
            <w:shd w:val="clear" w:color="auto" w:fill="A9EA25" w:themeFill="background2" w:themeFillShade="BF"/>
          </w:tcPr>
          <w:p w14:paraId="4F354DF2" w14:textId="77777777" w:rsidR="00D523F5" w:rsidRPr="00F51F10" w:rsidRDefault="00D523F5" w:rsidP="00D523F5">
            <w:pPr>
              <w:rPr>
                <w:sz w:val="20"/>
                <w:szCs w:val="20"/>
              </w:rPr>
            </w:pPr>
            <w:r>
              <w:rPr>
                <w:sz w:val="20"/>
                <w:szCs w:val="20"/>
              </w:rPr>
              <w:t>Valeur de la subvention - 3 ans</w:t>
            </w:r>
          </w:p>
        </w:tc>
        <w:tc>
          <w:tcPr>
            <w:tcW w:w="993" w:type="dxa"/>
            <w:tcBorders>
              <w:top w:val="nil"/>
              <w:left w:val="nil"/>
              <w:bottom w:val="nil"/>
              <w:right w:val="nil"/>
            </w:tcBorders>
            <w:shd w:val="clear" w:color="auto" w:fill="D9D9D9" w:themeFill="background1" w:themeFillShade="D9"/>
          </w:tcPr>
          <w:p w14:paraId="4AFC231E" w14:textId="77777777" w:rsidR="00D523F5" w:rsidRPr="00F51F10" w:rsidRDefault="00D523F5" w:rsidP="00D523F5">
            <w:pPr>
              <w:jc w:val="center"/>
              <w:rPr>
                <w:sz w:val="20"/>
                <w:szCs w:val="20"/>
              </w:rPr>
            </w:pPr>
            <w:r>
              <w:rPr>
                <w:sz w:val="20"/>
                <w:szCs w:val="20"/>
              </w:rPr>
              <w:t>s/o</w:t>
            </w:r>
          </w:p>
        </w:tc>
        <w:tc>
          <w:tcPr>
            <w:tcW w:w="3685" w:type="dxa"/>
            <w:tcBorders>
              <w:top w:val="nil"/>
              <w:left w:val="nil"/>
              <w:bottom w:val="nil"/>
              <w:right w:val="nil"/>
            </w:tcBorders>
            <w:shd w:val="clear" w:color="auto" w:fill="A9EA25" w:themeFill="background2" w:themeFillShade="BF"/>
          </w:tcPr>
          <w:p w14:paraId="45DC0672" w14:textId="77777777" w:rsidR="00D523F5" w:rsidRPr="00F51F10" w:rsidRDefault="00D523F5" w:rsidP="00D523F5">
            <w:pPr>
              <w:rPr>
                <w:sz w:val="20"/>
                <w:szCs w:val="20"/>
              </w:rPr>
            </w:pPr>
            <w:r>
              <w:rPr>
                <w:sz w:val="20"/>
                <w:szCs w:val="20"/>
              </w:rPr>
              <w:t>Valeur de la subvention - 3 ans</w:t>
            </w:r>
          </w:p>
        </w:tc>
        <w:tc>
          <w:tcPr>
            <w:tcW w:w="992" w:type="dxa"/>
            <w:tcBorders>
              <w:top w:val="nil"/>
              <w:left w:val="nil"/>
              <w:bottom w:val="nil"/>
              <w:right w:val="nil"/>
            </w:tcBorders>
            <w:shd w:val="clear" w:color="auto" w:fill="D9D9D9" w:themeFill="background1" w:themeFillShade="D9"/>
          </w:tcPr>
          <w:p w14:paraId="24F0275F" w14:textId="77777777" w:rsidR="00D523F5" w:rsidRPr="00F51F10" w:rsidRDefault="00D523F5" w:rsidP="00D523F5">
            <w:pPr>
              <w:jc w:val="center"/>
              <w:rPr>
                <w:sz w:val="20"/>
                <w:szCs w:val="20"/>
              </w:rPr>
            </w:pPr>
            <w:r>
              <w:rPr>
                <w:sz w:val="20"/>
                <w:szCs w:val="20"/>
              </w:rPr>
              <w:t>s/o</w:t>
            </w:r>
          </w:p>
        </w:tc>
        <w:tc>
          <w:tcPr>
            <w:tcW w:w="3828" w:type="dxa"/>
            <w:tcBorders>
              <w:top w:val="nil"/>
              <w:left w:val="nil"/>
              <w:bottom w:val="nil"/>
              <w:right w:val="nil"/>
            </w:tcBorders>
            <w:shd w:val="clear" w:color="auto" w:fill="A9EA25" w:themeFill="background2" w:themeFillShade="BF"/>
          </w:tcPr>
          <w:p w14:paraId="2C2326D4" w14:textId="77777777" w:rsidR="00D523F5" w:rsidRPr="00F51F10" w:rsidRDefault="00D523F5" w:rsidP="00D523F5">
            <w:pPr>
              <w:rPr>
                <w:sz w:val="20"/>
                <w:szCs w:val="20"/>
              </w:rPr>
            </w:pPr>
            <w:r>
              <w:rPr>
                <w:sz w:val="20"/>
                <w:szCs w:val="20"/>
              </w:rPr>
              <w:t>Valeur de la subvention - 3 ans</w:t>
            </w:r>
          </w:p>
        </w:tc>
        <w:tc>
          <w:tcPr>
            <w:tcW w:w="992" w:type="dxa"/>
            <w:tcBorders>
              <w:top w:val="nil"/>
              <w:left w:val="nil"/>
              <w:bottom w:val="nil"/>
              <w:right w:val="nil"/>
            </w:tcBorders>
            <w:shd w:val="clear" w:color="auto" w:fill="D9D9D9" w:themeFill="background1" w:themeFillShade="D9"/>
          </w:tcPr>
          <w:p w14:paraId="5B955926" w14:textId="77777777" w:rsidR="00D523F5" w:rsidRPr="00F51F10" w:rsidRDefault="00D523F5" w:rsidP="00D523F5">
            <w:pPr>
              <w:jc w:val="center"/>
              <w:rPr>
                <w:sz w:val="20"/>
                <w:szCs w:val="20"/>
              </w:rPr>
            </w:pPr>
            <w:r>
              <w:rPr>
                <w:sz w:val="20"/>
                <w:szCs w:val="20"/>
              </w:rPr>
              <w:t>1 736 $</w:t>
            </w:r>
          </w:p>
        </w:tc>
      </w:tr>
      <w:tr w:rsidR="00D523F5" w:rsidRPr="00F51F10" w14:paraId="708FED53" w14:textId="77777777" w:rsidTr="00593988">
        <w:tc>
          <w:tcPr>
            <w:tcW w:w="4077" w:type="dxa"/>
            <w:tcBorders>
              <w:top w:val="nil"/>
              <w:left w:val="nil"/>
              <w:bottom w:val="nil"/>
              <w:right w:val="nil"/>
            </w:tcBorders>
            <w:shd w:val="clear" w:color="auto" w:fill="A9EA25" w:themeFill="background2" w:themeFillShade="BF"/>
          </w:tcPr>
          <w:p w14:paraId="4392EA94" w14:textId="77777777" w:rsidR="00D523F5" w:rsidRDefault="00D523F5" w:rsidP="00D523F5">
            <w:pPr>
              <w:rPr>
                <w:sz w:val="20"/>
                <w:szCs w:val="20"/>
              </w:rPr>
            </w:pPr>
            <w:r>
              <w:rPr>
                <w:sz w:val="20"/>
                <w:szCs w:val="20"/>
              </w:rPr>
              <w:t>Somme des actifs défiscalisés</w:t>
            </w:r>
          </w:p>
        </w:tc>
        <w:tc>
          <w:tcPr>
            <w:tcW w:w="993" w:type="dxa"/>
            <w:tcBorders>
              <w:top w:val="nil"/>
              <w:left w:val="nil"/>
              <w:bottom w:val="nil"/>
              <w:right w:val="nil"/>
            </w:tcBorders>
            <w:shd w:val="clear" w:color="auto" w:fill="D9D9D9" w:themeFill="background1" w:themeFillShade="D9"/>
          </w:tcPr>
          <w:p w14:paraId="763E0E8C" w14:textId="77777777" w:rsidR="00D523F5" w:rsidRDefault="00D523F5" w:rsidP="00D523F5">
            <w:pPr>
              <w:jc w:val="center"/>
              <w:rPr>
                <w:sz w:val="20"/>
                <w:szCs w:val="20"/>
              </w:rPr>
            </w:pPr>
            <w:r>
              <w:rPr>
                <w:sz w:val="20"/>
                <w:szCs w:val="20"/>
              </w:rPr>
              <w:t>4 457 $</w:t>
            </w:r>
          </w:p>
        </w:tc>
        <w:tc>
          <w:tcPr>
            <w:tcW w:w="3685" w:type="dxa"/>
            <w:tcBorders>
              <w:top w:val="nil"/>
              <w:left w:val="nil"/>
              <w:bottom w:val="nil"/>
              <w:right w:val="nil"/>
            </w:tcBorders>
            <w:shd w:val="clear" w:color="auto" w:fill="A9EA25" w:themeFill="background2" w:themeFillShade="BF"/>
          </w:tcPr>
          <w:p w14:paraId="45C10872" w14:textId="77777777" w:rsidR="00D523F5" w:rsidRDefault="00D523F5" w:rsidP="00D523F5">
            <w:pPr>
              <w:rPr>
                <w:sz w:val="20"/>
                <w:szCs w:val="20"/>
              </w:rPr>
            </w:pPr>
            <w:r>
              <w:rPr>
                <w:sz w:val="20"/>
                <w:szCs w:val="20"/>
              </w:rPr>
              <w:t>Somme des actifs défiscalisés</w:t>
            </w:r>
          </w:p>
        </w:tc>
        <w:tc>
          <w:tcPr>
            <w:tcW w:w="992" w:type="dxa"/>
            <w:tcBorders>
              <w:top w:val="nil"/>
              <w:left w:val="nil"/>
              <w:bottom w:val="nil"/>
              <w:right w:val="nil"/>
            </w:tcBorders>
            <w:shd w:val="clear" w:color="auto" w:fill="D9D9D9" w:themeFill="background1" w:themeFillShade="D9"/>
          </w:tcPr>
          <w:p w14:paraId="196DD35C" w14:textId="77777777" w:rsidR="00D523F5" w:rsidRDefault="00D523F5" w:rsidP="00D523F5">
            <w:pPr>
              <w:jc w:val="center"/>
              <w:rPr>
                <w:sz w:val="20"/>
                <w:szCs w:val="20"/>
              </w:rPr>
            </w:pPr>
            <w:r>
              <w:rPr>
                <w:sz w:val="20"/>
                <w:szCs w:val="20"/>
              </w:rPr>
              <w:t>11 576 $</w:t>
            </w:r>
          </w:p>
        </w:tc>
        <w:tc>
          <w:tcPr>
            <w:tcW w:w="3828" w:type="dxa"/>
            <w:tcBorders>
              <w:top w:val="nil"/>
              <w:left w:val="nil"/>
              <w:bottom w:val="nil"/>
              <w:right w:val="nil"/>
            </w:tcBorders>
            <w:shd w:val="clear" w:color="auto" w:fill="A9EA25" w:themeFill="background2" w:themeFillShade="BF"/>
          </w:tcPr>
          <w:p w14:paraId="25523103" w14:textId="77777777" w:rsidR="00D523F5" w:rsidRDefault="00D523F5" w:rsidP="00D523F5">
            <w:pPr>
              <w:rPr>
                <w:sz w:val="20"/>
                <w:szCs w:val="20"/>
              </w:rPr>
            </w:pPr>
            <w:r>
              <w:rPr>
                <w:sz w:val="20"/>
                <w:szCs w:val="20"/>
              </w:rPr>
              <w:t>Somme des actifs défiscalisés</w:t>
            </w:r>
          </w:p>
        </w:tc>
        <w:tc>
          <w:tcPr>
            <w:tcW w:w="992" w:type="dxa"/>
            <w:tcBorders>
              <w:top w:val="nil"/>
              <w:left w:val="nil"/>
              <w:bottom w:val="nil"/>
              <w:right w:val="nil"/>
            </w:tcBorders>
            <w:shd w:val="clear" w:color="auto" w:fill="D9D9D9" w:themeFill="background1" w:themeFillShade="D9"/>
          </w:tcPr>
          <w:p w14:paraId="5D2F0998" w14:textId="77777777" w:rsidR="00D523F5" w:rsidRDefault="00D523F5" w:rsidP="00D523F5">
            <w:pPr>
              <w:jc w:val="center"/>
              <w:rPr>
                <w:sz w:val="20"/>
                <w:szCs w:val="20"/>
              </w:rPr>
            </w:pPr>
            <w:r>
              <w:rPr>
                <w:sz w:val="20"/>
                <w:szCs w:val="20"/>
              </w:rPr>
              <w:t>13 312 $</w:t>
            </w:r>
          </w:p>
        </w:tc>
      </w:tr>
      <w:tr w:rsidR="00D523F5" w:rsidRPr="00F51F10" w14:paraId="25937616" w14:textId="77777777" w:rsidTr="00593988">
        <w:tc>
          <w:tcPr>
            <w:tcW w:w="4077" w:type="dxa"/>
            <w:tcBorders>
              <w:top w:val="nil"/>
              <w:left w:val="nil"/>
              <w:bottom w:val="nil"/>
              <w:right w:val="nil"/>
            </w:tcBorders>
            <w:shd w:val="clear" w:color="auto" w:fill="A9EA25" w:themeFill="background2" w:themeFillShade="BF"/>
          </w:tcPr>
          <w:p w14:paraId="5C907293" w14:textId="77777777" w:rsidR="00D523F5" w:rsidRDefault="00D523F5" w:rsidP="00D523F5">
            <w:pPr>
              <w:rPr>
                <w:sz w:val="20"/>
                <w:szCs w:val="20"/>
              </w:rPr>
            </w:pPr>
            <w:r>
              <w:rPr>
                <w:sz w:val="20"/>
                <w:szCs w:val="20"/>
              </w:rPr>
              <w:t>Somme des actifs imposables</w:t>
            </w:r>
          </w:p>
        </w:tc>
        <w:tc>
          <w:tcPr>
            <w:tcW w:w="993" w:type="dxa"/>
            <w:tcBorders>
              <w:top w:val="nil"/>
              <w:left w:val="nil"/>
              <w:bottom w:val="nil"/>
              <w:right w:val="nil"/>
            </w:tcBorders>
            <w:shd w:val="clear" w:color="auto" w:fill="D9D9D9" w:themeFill="background1" w:themeFillShade="D9"/>
          </w:tcPr>
          <w:p w14:paraId="2C88611F" w14:textId="77777777" w:rsidR="00D523F5" w:rsidRDefault="00D523F5" w:rsidP="00D523F5">
            <w:pPr>
              <w:jc w:val="center"/>
              <w:rPr>
                <w:sz w:val="20"/>
                <w:szCs w:val="20"/>
              </w:rPr>
            </w:pPr>
            <w:r>
              <w:rPr>
                <w:sz w:val="20"/>
                <w:szCs w:val="20"/>
              </w:rPr>
              <w:t>11 576 $</w:t>
            </w:r>
          </w:p>
        </w:tc>
        <w:tc>
          <w:tcPr>
            <w:tcW w:w="3685" w:type="dxa"/>
            <w:tcBorders>
              <w:top w:val="nil"/>
              <w:left w:val="nil"/>
              <w:bottom w:val="nil"/>
              <w:right w:val="nil"/>
            </w:tcBorders>
            <w:shd w:val="clear" w:color="auto" w:fill="A9EA25" w:themeFill="background2" w:themeFillShade="BF"/>
          </w:tcPr>
          <w:p w14:paraId="0702B570" w14:textId="77777777" w:rsidR="00D523F5" w:rsidRDefault="00D523F5" w:rsidP="00D523F5">
            <w:pPr>
              <w:rPr>
                <w:sz w:val="20"/>
                <w:szCs w:val="20"/>
              </w:rPr>
            </w:pPr>
            <w:r>
              <w:rPr>
                <w:sz w:val="20"/>
                <w:szCs w:val="20"/>
              </w:rPr>
              <w:t>Somme des actifs imposables</w:t>
            </w:r>
          </w:p>
        </w:tc>
        <w:tc>
          <w:tcPr>
            <w:tcW w:w="992" w:type="dxa"/>
            <w:tcBorders>
              <w:top w:val="nil"/>
              <w:left w:val="nil"/>
              <w:bottom w:val="nil"/>
              <w:right w:val="nil"/>
            </w:tcBorders>
            <w:shd w:val="clear" w:color="auto" w:fill="D9D9D9" w:themeFill="background1" w:themeFillShade="D9"/>
          </w:tcPr>
          <w:p w14:paraId="0DF72EA1" w14:textId="77777777" w:rsidR="00D523F5" w:rsidRDefault="00D523F5" w:rsidP="00D523F5">
            <w:pPr>
              <w:jc w:val="center"/>
              <w:rPr>
                <w:sz w:val="20"/>
                <w:szCs w:val="20"/>
              </w:rPr>
            </w:pPr>
            <w:r>
              <w:rPr>
                <w:sz w:val="20"/>
                <w:szCs w:val="20"/>
              </w:rPr>
              <w:t>0 $</w:t>
            </w:r>
          </w:p>
        </w:tc>
        <w:tc>
          <w:tcPr>
            <w:tcW w:w="3828" w:type="dxa"/>
            <w:tcBorders>
              <w:top w:val="nil"/>
              <w:left w:val="nil"/>
              <w:bottom w:val="nil"/>
              <w:right w:val="nil"/>
            </w:tcBorders>
            <w:shd w:val="clear" w:color="auto" w:fill="A9EA25" w:themeFill="background2" w:themeFillShade="BF"/>
          </w:tcPr>
          <w:p w14:paraId="5EC49F04" w14:textId="77777777" w:rsidR="00D523F5" w:rsidRDefault="00D523F5" w:rsidP="00D523F5">
            <w:pPr>
              <w:rPr>
                <w:sz w:val="20"/>
                <w:szCs w:val="20"/>
              </w:rPr>
            </w:pPr>
            <w:r>
              <w:rPr>
                <w:sz w:val="20"/>
                <w:szCs w:val="20"/>
              </w:rPr>
              <w:t>Somme des actifs imposables</w:t>
            </w:r>
          </w:p>
        </w:tc>
        <w:tc>
          <w:tcPr>
            <w:tcW w:w="992" w:type="dxa"/>
            <w:tcBorders>
              <w:top w:val="nil"/>
              <w:left w:val="nil"/>
              <w:bottom w:val="nil"/>
              <w:right w:val="nil"/>
            </w:tcBorders>
            <w:shd w:val="clear" w:color="auto" w:fill="D9D9D9" w:themeFill="background1" w:themeFillShade="D9"/>
          </w:tcPr>
          <w:p w14:paraId="38155610" w14:textId="77777777" w:rsidR="00D523F5" w:rsidRDefault="00D523F5" w:rsidP="00D523F5">
            <w:pPr>
              <w:jc w:val="center"/>
              <w:rPr>
                <w:sz w:val="20"/>
                <w:szCs w:val="20"/>
              </w:rPr>
            </w:pPr>
            <w:r>
              <w:rPr>
                <w:sz w:val="20"/>
                <w:szCs w:val="20"/>
              </w:rPr>
              <w:t>0 $</w:t>
            </w:r>
          </w:p>
        </w:tc>
      </w:tr>
      <w:tr w:rsidR="00D523F5" w:rsidRPr="00F51F10" w14:paraId="6820CBDF" w14:textId="77777777" w:rsidTr="00593988">
        <w:tc>
          <w:tcPr>
            <w:tcW w:w="4077" w:type="dxa"/>
            <w:tcBorders>
              <w:top w:val="nil"/>
              <w:left w:val="nil"/>
              <w:bottom w:val="nil"/>
              <w:right w:val="nil"/>
            </w:tcBorders>
            <w:shd w:val="clear" w:color="auto" w:fill="A9EA25" w:themeFill="background2" w:themeFillShade="BF"/>
          </w:tcPr>
          <w:p w14:paraId="2525EE67" w14:textId="77777777" w:rsidR="00D523F5" w:rsidRDefault="00D523F5" w:rsidP="00D523F5">
            <w:pPr>
              <w:rPr>
                <w:sz w:val="20"/>
                <w:szCs w:val="20"/>
              </w:rPr>
            </w:pPr>
            <w:r>
              <w:rPr>
                <w:sz w:val="20"/>
                <w:szCs w:val="20"/>
              </w:rPr>
              <w:t>Impôts sur actifs imposables - 38,5 %</w:t>
            </w:r>
          </w:p>
        </w:tc>
        <w:tc>
          <w:tcPr>
            <w:tcW w:w="993" w:type="dxa"/>
            <w:tcBorders>
              <w:top w:val="nil"/>
              <w:left w:val="nil"/>
              <w:bottom w:val="nil"/>
              <w:right w:val="nil"/>
            </w:tcBorders>
            <w:shd w:val="clear" w:color="auto" w:fill="D9D9D9" w:themeFill="background1" w:themeFillShade="D9"/>
          </w:tcPr>
          <w:p w14:paraId="3B37B90A" w14:textId="77777777" w:rsidR="00D523F5" w:rsidRDefault="00D523F5" w:rsidP="00D523F5">
            <w:pPr>
              <w:jc w:val="center"/>
              <w:rPr>
                <w:sz w:val="20"/>
                <w:szCs w:val="20"/>
              </w:rPr>
            </w:pPr>
            <w:r>
              <w:rPr>
                <w:sz w:val="20"/>
                <w:szCs w:val="20"/>
              </w:rPr>
              <w:t>4 457 $</w:t>
            </w:r>
          </w:p>
        </w:tc>
        <w:tc>
          <w:tcPr>
            <w:tcW w:w="3685" w:type="dxa"/>
            <w:tcBorders>
              <w:top w:val="nil"/>
              <w:left w:val="nil"/>
              <w:bottom w:val="nil"/>
              <w:right w:val="nil"/>
            </w:tcBorders>
            <w:shd w:val="clear" w:color="auto" w:fill="A9EA25" w:themeFill="background2" w:themeFillShade="BF"/>
          </w:tcPr>
          <w:p w14:paraId="63C28361" w14:textId="77777777" w:rsidR="00D523F5" w:rsidRDefault="00D523F5" w:rsidP="00D523F5">
            <w:pPr>
              <w:rPr>
                <w:sz w:val="20"/>
                <w:szCs w:val="20"/>
              </w:rPr>
            </w:pPr>
            <w:r>
              <w:rPr>
                <w:sz w:val="20"/>
                <w:szCs w:val="20"/>
              </w:rPr>
              <w:t>Impôts sur actifs imposables - 38,5 %</w:t>
            </w:r>
          </w:p>
        </w:tc>
        <w:tc>
          <w:tcPr>
            <w:tcW w:w="992" w:type="dxa"/>
            <w:tcBorders>
              <w:top w:val="nil"/>
              <w:left w:val="nil"/>
              <w:bottom w:val="nil"/>
              <w:right w:val="nil"/>
            </w:tcBorders>
            <w:shd w:val="clear" w:color="auto" w:fill="D9D9D9" w:themeFill="background1" w:themeFillShade="D9"/>
          </w:tcPr>
          <w:p w14:paraId="38371CC5" w14:textId="77777777" w:rsidR="00D523F5" w:rsidRDefault="00D523F5" w:rsidP="00D523F5">
            <w:pPr>
              <w:jc w:val="center"/>
              <w:rPr>
                <w:sz w:val="20"/>
                <w:szCs w:val="20"/>
              </w:rPr>
            </w:pPr>
            <w:r>
              <w:rPr>
                <w:sz w:val="20"/>
                <w:szCs w:val="20"/>
              </w:rPr>
              <w:t>s/o</w:t>
            </w:r>
          </w:p>
        </w:tc>
        <w:tc>
          <w:tcPr>
            <w:tcW w:w="3828" w:type="dxa"/>
            <w:tcBorders>
              <w:top w:val="nil"/>
              <w:left w:val="nil"/>
              <w:bottom w:val="nil"/>
              <w:right w:val="nil"/>
            </w:tcBorders>
            <w:shd w:val="clear" w:color="auto" w:fill="A9EA25" w:themeFill="background2" w:themeFillShade="BF"/>
          </w:tcPr>
          <w:p w14:paraId="35578710" w14:textId="77777777" w:rsidR="00D523F5" w:rsidRDefault="00D523F5" w:rsidP="00D523F5">
            <w:pPr>
              <w:rPr>
                <w:sz w:val="20"/>
                <w:szCs w:val="20"/>
              </w:rPr>
            </w:pPr>
            <w:r>
              <w:rPr>
                <w:sz w:val="20"/>
                <w:szCs w:val="20"/>
              </w:rPr>
              <w:t>Impôts sur actifs imposables - 38,5 %</w:t>
            </w:r>
          </w:p>
        </w:tc>
        <w:tc>
          <w:tcPr>
            <w:tcW w:w="992" w:type="dxa"/>
            <w:tcBorders>
              <w:top w:val="nil"/>
              <w:left w:val="nil"/>
              <w:bottom w:val="nil"/>
              <w:right w:val="nil"/>
            </w:tcBorders>
            <w:shd w:val="clear" w:color="auto" w:fill="D9D9D9" w:themeFill="background1" w:themeFillShade="D9"/>
          </w:tcPr>
          <w:p w14:paraId="79E52DF3" w14:textId="77777777" w:rsidR="00D523F5" w:rsidRDefault="00D523F5" w:rsidP="00D523F5">
            <w:pPr>
              <w:jc w:val="center"/>
              <w:rPr>
                <w:sz w:val="20"/>
                <w:szCs w:val="20"/>
              </w:rPr>
            </w:pPr>
            <w:r>
              <w:rPr>
                <w:sz w:val="20"/>
                <w:szCs w:val="20"/>
              </w:rPr>
              <w:t>s/o</w:t>
            </w:r>
          </w:p>
        </w:tc>
      </w:tr>
      <w:tr w:rsidR="00D523F5" w:rsidRPr="00F51F10" w14:paraId="436672E9" w14:textId="77777777" w:rsidTr="00593988">
        <w:tc>
          <w:tcPr>
            <w:tcW w:w="4077" w:type="dxa"/>
            <w:tcBorders>
              <w:top w:val="nil"/>
              <w:left w:val="nil"/>
              <w:bottom w:val="nil"/>
              <w:right w:val="nil"/>
            </w:tcBorders>
            <w:shd w:val="clear" w:color="auto" w:fill="A9EA25" w:themeFill="background2" w:themeFillShade="BF"/>
          </w:tcPr>
          <w:p w14:paraId="4D3A08F2" w14:textId="77777777" w:rsidR="00D523F5" w:rsidRDefault="00D523F5" w:rsidP="00D523F5">
            <w:pPr>
              <w:rPr>
                <w:sz w:val="20"/>
                <w:szCs w:val="20"/>
              </w:rPr>
            </w:pPr>
            <w:r>
              <w:rPr>
                <w:sz w:val="20"/>
                <w:szCs w:val="20"/>
              </w:rPr>
              <w:t>Gain en valeur nette - 3 ans</w:t>
            </w:r>
          </w:p>
        </w:tc>
        <w:tc>
          <w:tcPr>
            <w:tcW w:w="993" w:type="dxa"/>
            <w:tcBorders>
              <w:top w:val="nil"/>
              <w:left w:val="nil"/>
              <w:bottom w:val="nil"/>
              <w:right w:val="nil"/>
            </w:tcBorders>
            <w:shd w:val="clear" w:color="auto" w:fill="000000" w:themeFill="text1"/>
          </w:tcPr>
          <w:p w14:paraId="46760B13" w14:textId="77777777" w:rsidR="00D523F5" w:rsidRDefault="00D523F5" w:rsidP="00D523F5">
            <w:pPr>
              <w:jc w:val="center"/>
              <w:rPr>
                <w:sz w:val="20"/>
                <w:szCs w:val="20"/>
              </w:rPr>
            </w:pPr>
            <w:r>
              <w:rPr>
                <w:sz w:val="20"/>
                <w:szCs w:val="20"/>
              </w:rPr>
              <w:t>11 576 $</w:t>
            </w:r>
          </w:p>
        </w:tc>
        <w:tc>
          <w:tcPr>
            <w:tcW w:w="3685" w:type="dxa"/>
            <w:tcBorders>
              <w:top w:val="nil"/>
              <w:left w:val="nil"/>
              <w:bottom w:val="nil"/>
              <w:right w:val="nil"/>
            </w:tcBorders>
            <w:shd w:val="clear" w:color="auto" w:fill="A9EA25" w:themeFill="background2" w:themeFillShade="BF"/>
          </w:tcPr>
          <w:p w14:paraId="3993A59B" w14:textId="77777777" w:rsidR="00D523F5" w:rsidRDefault="00D523F5" w:rsidP="00D523F5">
            <w:pPr>
              <w:rPr>
                <w:sz w:val="20"/>
                <w:szCs w:val="20"/>
              </w:rPr>
            </w:pPr>
            <w:r>
              <w:rPr>
                <w:sz w:val="20"/>
                <w:szCs w:val="20"/>
              </w:rPr>
              <w:t>Gain en valeur nette - 3 ans</w:t>
            </w:r>
          </w:p>
        </w:tc>
        <w:tc>
          <w:tcPr>
            <w:tcW w:w="992" w:type="dxa"/>
            <w:tcBorders>
              <w:top w:val="nil"/>
              <w:left w:val="nil"/>
              <w:bottom w:val="nil"/>
              <w:right w:val="nil"/>
            </w:tcBorders>
            <w:shd w:val="clear" w:color="auto" w:fill="000000" w:themeFill="text1"/>
          </w:tcPr>
          <w:p w14:paraId="7044ECA5" w14:textId="77777777" w:rsidR="00D523F5" w:rsidRDefault="00D523F5" w:rsidP="00D523F5">
            <w:pPr>
              <w:jc w:val="center"/>
              <w:rPr>
                <w:sz w:val="20"/>
                <w:szCs w:val="20"/>
              </w:rPr>
            </w:pPr>
            <w:r>
              <w:rPr>
                <w:sz w:val="20"/>
                <w:szCs w:val="20"/>
              </w:rPr>
              <w:t>11 576 $</w:t>
            </w:r>
          </w:p>
        </w:tc>
        <w:tc>
          <w:tcPr>
            <w:tcW w:w="3828" w:type="dxa"/>
            <w:tcBorders>
              <w:top w:val="nil"/>
              <w:left w:val="nil"/>
              <w:bottom w:val="nil"/>
              <w:right w:val="nil"/>
            </w:tcBorders>
            <w:shd w:val="clear" w:color="auto" w:fill="A9EA25" w:themeFill="background2" w:themeFillShade="BF"/>
          </w:tcPr>
          <w:p w14:paraId="1F375EC5" w14:textId="77777777" w:rsidR="00D523F5" w:rsidRDefault="00D523F5" w:rsidP="00D523F5">
            <w:pPr>
              <w:rPr>
                <w:sz w:val="20"/>
                <w:szCs w:val="20"/>
              </w:rPr>
            </w:pPr>
            <w:r>
              <w:rPr>
                <w:sz w:val="20"/>
                <w:szCs w:val="20"/>
              </w:rPr>
              <w:t>Gain en valeur nette - 3 ans</w:t>
            </w:r>
          </w:p>
        </w:tc>
        <w:tc>
          <w:tcPr>
            <w:tcW w:w="992" w:type="dxa"/>
            <w:tcBorders>
              <w:top w:val="nil"/>
              <w:left w:val="nil"/>
              <w:bottom w:val="nil"/>
              <w:right w:val="nil"/>
            </w:tcBorders>
            <w:shd w:val="clear" w:color="auto" w:fill="000000" w:themeFill="text1"/>
          </w:tcPr>
          <w:p w14:paraId="2A3B638A" w14:textId="77777777" w:rsidR="00D523F5" w:rsidRDefault="00D523F5" w:rsidP="00D523F5">
            <w:pPr>
              <w:jc w:val="center"/>
              <w:rPr>
                <w:sz w:val="20"/>
                <w:szCs w:val="20"/>
              </w:rPr>
            </w:pPr>
            <w:r>
              <w:rPr>
                <w:sz w:val="20"/>
                <w:szCs w:val="20"/>
              </w:rPr>
              <w:t>13 312 $</w:t>
            </w:r>
          </w:p>
        </w:tc>
      </w:tr>
    </w:tbl>
    <w:p w14:paraId="377ED5FB" w14:textId="77777777" w:rsidR="00F51F10" w:rsidRDefault="00F51F10"/>
    <w:p w14:paraId="3EE79A77" w14:textId="3F808719" w:rsidR="00275705" w:rsidRDefault="00275705"/>
    <w:p w14:paraId="334E9844" w14:textId="77777777" w:rsidR="002C2485" w:rsidRDefault="002C2485"/>
    <w:p w14:paraId="69344589" w14:textId="7318F6B4" w:rsidR="002C2485" w:rsidRDefault="00BB0465">
      <w:r>
        <w:rPr>
          <w:noProof/>
          <w:lang w:eastAsia="fr-FR"/>
        </w:rPr>
        <mc:AlternateContent>
          <mc:Choice Requires="wps">
            <w:drawing>
              <wp:anchor distT="0" distB="0" distL="114300" distR="114300" simplePos="0" relativeHeight="253159424" behindDoc="1" locked="0" layoutInCell="1" allowOverlap="1" wp14:anchorId="1CE0E470" wp14:editId="1FBD56D9">
                <wp:simplePos x="0" y="0"/>
                <wp:positionH relativeFrom="column">
                  <wp:posOffset>4334510</wp:posOffset>
                </wp:positionH>
                <wp:positionV relativeFrom="paragraph">
                  <wp:posOffset>6350</wp:posOffset>
                </wp:positionV>
                <wp:extent cx="1494790" cy="640080"/>
                <wp:effectExtent l="198755" t="0" r="278765" b="0"/>
                <wp:wrapNone/>
                <wp:docPr id="811" name="Flèche vers la droite 811"/>
                <wp:cNvGraphicFramePr/>
                <a:graphic xmlns:a="http://schemas.openxmlformats.org/drawingml/2006/main">
                  <a:graphicData uri="http://schemas.microsoft.com/office/word/2010/wordprocessingShape">
                    <wps:wsp>
                      <wps:cNvSpPr/>
                      <wps:spPr>
                        <a:xfrm rot="18705803">
                          <a:off x="0" y="0"/>
                          <a:ext cx="1494790" cy="640080"/>
                        </a:xfrm>
                        <a:prstGeom prst="rightArrow">
                          <a:avLst/>
                        </a:prstGeom>
                        <a:solidFill>
                          <a:schemeClr val="accent3"/>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B937F9A" w14:textId="77777777" w:rsidR="00573C95" w:rsidRDefault="00573C95" w:rsidP="00C72FF7">
                            <w:pPr>
                              <w:jc w:val="center"/>
                            </w:pPr>
                            <w:r>
                              <w:t>OPTIMISATION</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id="Flèche vers la droite 811" o:spid="_x0000_s1559" type="#_x0000_t13" style="position:absolute;margin-left:341.3pt;margin-top:.5pt;width:117.7pt;height:50.4pt;rotation:-3161235fd;z-index:-2501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" adj="16975" fillcolor="#ff6700 [3206]">
                <v:textbox>
                  <w:txbxContent>
                    <w:p w14:paraId="4B937F9A" w14:textId="77777777" w:rsidR="001501D6" w:rsidRDefault="001501D6" w:rsidP="00C72FF7">
                      <w:pPr>
                        <w:jc w:val="center"/>
                      </w:pPr>
                      <w:r>
                        <w:t>OPTIMISATION</w:t>
                      </w:r>
                    </w:p>
                  </w:txbxContent>
                </v:textbox>
              </v:shape>
            </w:pict>
          </mc:Fallback>
        </mc:AlternateContent>
      </w:r>
    </w:p>
    <w:tbl>
      <w:tblPr>
        <w:tblStyle w:val="Grille"/>
        <w:tblpPr w:leftFromText="141" w:rightFromText="141" w:vertAnchor="page" w:horzAnchor="page" w:tblpX="626" w:tblpY="5918"/>
        <w:tblW w:w="5070" w:type="dxa"/>
        <w:tblLook w:val="04A0" w:firstRow="1" w:lastRow="0" w:firstColumn="1" w:lastColumn="0" w:noHBand="0" w:noVBand="1"/>
      </w:tblPr>
      <w:tblGrid>
        <w:gridCol w:w="4077"/>
        <w:gridCol w:w="993"/>
      </w:tblGrid>
      <w:tr w:rsidR="00D523F5" w14:paraId="55A2EA4C" w14:textId="77777777" w:rsidTr="00593988">
        <w:tc>
          <w:tcPr>
            <w:tcW w:w="4077" w:type="dxa"/>
            <w:shd w:val="clear" w:color="auto" w:fill="000000" w:themeFill="text1"/>
          </w:tcPr>
          <w:p w14:paraId="6B30D3EE" w14:textId="77777777" w:rsidR="00D523F5" w:rsidRDefault="00D523F5" w:rsidP="00D523F5">
            <w:pPr>
              <w:jc w:val="center"/>
            </w:pPr>
            <w:r>
              <w:t>DETTE</w:t>
            </w:r>
          </w:p>
        </w:tc>
        <w:tc>
          <w:tcPr>
            <w:tcW w:w="993" w:type="dxa"/>
            <w:tcBorders>
              <w:bottom w:val="nil"/>
            </w:tcBorders>
            <w:shd w:val="clear" w:color="auto" w:fill="000000" w:themeFill="text1"/>
          </w:tcPr>
          <w:p w14:paraId="4B3F4766" w14:textId="77777777" w:rsidR="00D523F5" w:rsidRDefault="00D523F5" w:rsidP="00D523F5">
            <w:pPr>
              <w:jc w:val="center"/>
            </w:pPr>
            <w:r>
              <w:t>$</w:t>
            </w:r>
          </w:p>
        </w:tc>
      </w:tr>
      <w:tr w:rsidR="00D523F5" w14:paraId="7DA6BF56" w14:textId="77777777" w:rsidTr="00593988">
        <w:tc>
          <w:tcPr>
            <w:tcW w:w="4077" w:type="dxa"/>
            <w:tcBorders>
              <w:bottom w:val="nil"/>
              <w:right w:val="nil"/>
            </w:tcBorders>
            <w:shd w:val="clear" w:color="auto" w:fill="A9EA25" w:themeFill="background2" w:themeFillShade="BF"/>
          </w:tcPr>
          <w:p w14:paraId="66034212" w14:textId="77777777" w:rsidR="00D523F5" w:rsidRDefault="00D523F5" w:rsidP="00D523F5"/>
        </w:tc>
        <w:tc>
          <w:tcPr>
            <w:tcW w:w="993" w:type="dxa"/>
            <w:tcBorders>
              <w:top w:val="nil"/>
              <w:left w:val="nil"/>
              <w:bottom w:val="nil"/>
              <w:right w:val="nil"/>
            </w:tcBorders>
            <w:shd w:val="clear" w:color="auto" w:fill="D9D9D9" w:themeFill="background1" w:themeFillShade="D9"/>
          </w:tcPr>
          <w:p w14:paraId="260A8BED" w14:textId="77777777" w:rsidR="00D523F5" w:rsidRDefault="00D523F5" w:rsidP="00D523F5">
            <w:pPr>
              <w:jc w:val="center"/>
            </w:pPr>
          </w:p>
        </w:tc>
      </w:tr>
      <w:tr w:rsidR="00D523F5" w:rsidRPr="00F51F10" w14:paraId="6A1E2C11" w14:textId="77777777" w:rsidTr="00593988">
        <w:tc>
          <w:tcPr>
            <w:tcW w:w="4077" w:type="dxa"/>
            <w:tcBorders>
              <w:top w:val="nil"/>
              <w:left w:val="nil"/>
              <w:bottom w:val="nil"/>
              <w:right w:val="nil"/>
            </w:tcBorders>
            <w:shd w:val="clear" w:color="auto" w:fill="A9EA25" w:themeFill="background2" w:themeFillShade="BF"/>
          </w:tcPr>
          <w:p w14:paraId="010747F2" w14:textId="77777777" w:rsidR="00D523F5" w:rsidRPr="00F51F10" w:rsidRDefault="00D523F5" w:rsidP="00D523F5">
            <w:pPr>
              <w:rPr>
                <w:sz w:val="20"/>
                <w:szCs w:val="20"/>
              </w:rPr>
            </w:pPr>
            <w:r w:rsidRPr="00F51F10">
              <w:rPr>
                <w:sz w:val="20"/>
                <w:szCs w:val="20"/>
              </w:rPr>
              <w:t xml:space="preserve">$ </w:t>
            </w:r>
            <w:r>
              <w:rPr>
                <w:sz w:val="20"/>
                <w:szCs w:val="20"/>
              </w:rPr>
              <w:t>remboursés</w:t>
            </w:r>
          </w:p>
        </w:tc>
        <w:tc>
          <w:tcPr>
            <w:tcW w:w="993" w:type="dxa"/>
            <w:tcBorders>
              <w:top w:val="nil"/>
              <w:left w:val="nil"/>
              <w:bottom w:val="nil"/>
              <w:right w:val="nil"/>
            </w:tcBorders>
            <w:shd w:val="clear" w:color="auto" w:fill="D9D9D9" w:themeFill="background1" w:themeFillShade="D9"/>
          </w:tcPr>
          <w:p w14:paraId="0F5FD294" w14:textId="77777777" w:rsidR="00D523F5" w:rsidRPr="00F51F10" w:rsidRDefault="00D523F5" w:rsidP="00D523F5">
            <w:pPr>
              <w:jc w:val="center"/>
              <w:rPr>
                <w:sz w:val="20"/>
                <w:szCs w:val="20"/>
              </w:rPr>
            </w:pPr>
            <w:r w:rsidRPr="00F51F10">
              <w:rPr>
                <w:sz w:val="20"/>
                <w:szCs w:val="20"/>
              </w:rPr>
              <w:t>10 000 $</w:t>
            </w:r>
          </w:p>
        </w:tc>
      </w:tr>
      <w:tr w:rsidR="00D523F5" w:rsidRPr="00F51F10" w14:paraId="4A27E431" w14:textId="77777777" w:rsidTr="00593988">
        <w:tc>
          <w:tcPr>
            <w:tcW w:w="4077" w:type="dxa"/>
            <w:tcBorders>
              <w:top w:val="nil"/>
              <w:left w:val="nil"/>
              <w:bottom w:val="nil"/>
              <w:right w:val="nil"/>
            </w:tcBorders>
            <w:shd w:val="clear" w:color="auto" w:fill="A9EA25" w:themeFill="background2" w:themeFillShade="BF"/>
          </w:tcPr>
          <w:p w14:paraId="228D6547" w14:textId="77777777" w:rsidR="00D523F5" w:rsidRPr="00F51F10" w:rsidRDefault="00D523F5" w:rsidP="00D523F5">
            <w:pPr>
              <w:rPr>
                <w:sz w:val="20"/>
                <w:szCs w:val="20"/>
              </w:rPr>
            </w:pPr>
            <w:r>
              <w:rPr>
                <w:sz w:val="20"/>
                <w:szCs w:val="20"/>
              </w:rPr>
              <w:t>Intérêts épargnés par année - 8 %</w:t>
            </w:r>
          </w:p>
        </w:tc>
        <w:tc>
          <w:tcPr>
            <w:tcW w:w="993" w:type="dxa"/>
            <w:tcBorders>
              <w:top w:val="nil"/>
              <w:left w:val="nil"/>
              <w:bottom w:val="nil"/>
              <w:right w:val="nil"/>
            </w:tcBorders>
            <w:shd w:val="clear" w:color="auto" w:fill="D9D9D9" w:themeFill="background1" w:themeFillShade="D9"/>
          </w:tcPr>
          <w:p w14:paraId="25730F8A" w14:textId="77777777" w:rsidR="00D523F5" w:rsidRPr="00F51F10" w:rsidRDefault="00D523F5" w:rsidP="00D523F5">
            <w:pPr>
              <w:jc w:val="center"/>
              <w:rPr>
                <w:sz w:val="20"/>
                <w:szCs w:val="20"/>
              </w:rPr>
            </w:pPr>
            <w:r>
              <w:rPr>
                <w:sz w:val="20"/>
                <w:szCs w:val="20"/>
              </w:rPr>
              <w:t>800 $</w:t>
            </w:r>
          </w:p>
        </w:tc>
      </w:tr>
      <w:tr w:rsidR="00D523F5" w:rsidRPr="00F51F10" w14:paraId="21A36CE6" w14:textId="77777777" w:rsidTr="00593988">
        <w:tc>
          <w:tcPr>
            <w:tcW w:w="4077" w:type="dxa"/>
            <w:tcBorders>
              <w:top w:val="nil"/>
              <w:left w:val="nil"/>
              <w:bottom w:val="nil"/>
              <w:right w:val="nil"/>
            </w:tcBorders>
            <w:shd w:val="clear" w:color="auto" w:fill="A9EA25" w:themeFill="background2" w:themeFillShade="BF"/>
          </w:tcPr>
          <w:p w14:paraId="776A1B71" w14:textId="77777777" w:rsidR="00D523F5" w:rsidRPr="00F51F10" w:rsidRDefault="00D523F5" w:rsidP="00D523F5">
            <w:pPr>
              <w:rPr>
                <w:sz w:val="20"/>
                <w:szCs w:val="20"/>
              </w:rPr>
            </w:pPr>
            <w:r>
              <w:rPr>
                <w:sz w:val="20"/>
                <w:szCs w:val="20"/>
              </w:rPr>
              <w:t>Intérêts épargnés - 3 ans</w:t>
            </w:r>
          </w:p>
        </w:tc>
        <w:tc>
          <w:tcPr>
            <w:tcW w:w="993" w:type="dxa"/>
            <w:tcBorders>
              <w:top w:val="nil"/>
              <w:left w:val="nil"/>
              <w:bottom w:val="nil"/>
              <w:right w:val="nil"/>
            </w:tcBorders>
            <w:shd w:val="clear" w:color="auto" w:fill="D9D9D9" w:themeFill="background1" w:themeFillShade="D9"/>
          </w:tcPr>
          <w:p w14:paraId="3CABB09E" w14:textId="77777777" w:rsidR="00D523F5" w:rsidRPr="00F51F10" w:rsidRDefault="00D523F5" w:rsidP="00D523F5">
            <w:pPr>
              <w:jc w:val="center"/>
              <w:rPr>
                <w:sz w:val="20"/>
                <w:szCs w:val="20"/>
              </w:rPr>
            </w:pPr>
            <w:r>
              <w:rPr>
                <w:sz w:val="20"/>
                <w:szCs w:val="20"/>
              </w:rPr>
              <w:t>2 400 $</w:t>
            </w:r>
          </w:p>
        </w:tc>
      </w:tr>
      <w:tr w:rsidR="00D523F5" w:rsidRPr="00F51F10" w14:paraId="0FA9FBD0" w14:textId="77777777" w:rsidTr="00593988">
        <w:tc>
          <w:tcPr>
            <w:tcW w:w="4077" w:type="dxa"/>
            <w:tcBorders>
              <w:top w:val="nil"/>
              <w:left w:val="nil"/>
              <w:bottom w:val="nil"/>
              <w:right w:val="nil"/>
            </w:tcBorders>
            <w:shd w:val="clear" w:color="auto" w:fill="A9EA25" w:themeFill="background2" w:themeFillShade="BF"/>
          </w:tcPr>
          <w:p w14:paraId="159582AF" w14:textId="77777777" w:rsidR="00D523F5" w:rsidRPr="00F51F10" w:rsidRDefault="00D523F5" w:rsidP="00D523F5">
            <w:pPr>
              <w:rPr>
                <w:sz w:val="20"/>
                <w:szCs w:val="20"/>
              </w:rPr>
            </w:pPr>
            <w:r>
              <w:rPr>
                <w:sz w:val="20"/>
                <w:szCs w:val="20"/>
              </w:rPr>
              <w:t>Valeur des intérêts épargnés - 3 ans (CÉLI)</w:t>
            </w:r>
          </w:p>
        </w:tc>
        <w:tc>
          <w:tcPr>
            <w:tcW w:w="993" w:type="dxa"/>
            <w:tcBorders>
              <w:top w:val="nil"/>
              <w:left w:val="nil"/>
              <w:bottom w:val="nil"/>
              <w:right w:val="nil"/>
            </w:tcBorders>
            <w:shd w:val="clear" w:color="auto" w:fill="D9D9D9" w:themeFill="background1" w:themeFillShade="D9"/>
          </w:tcPr>
          <w:p w14:paraId="23C31FDC" w14:textId="77777777" w:rsidR="00D523F5" w:rsidRPr="00F51F10" w:rsidRDefault="00D523F5" w:rsidP="00D523F5">
            <w:pPr>
              <w:jc w:val="center"/>
              <w:rPr>
                <w:sz w:val="20"/>
                <w:szCs w:val="20"/>
              </w:rPr>
            </w:pPr>
            <w:r>
              <w:rPr>
                <w:sz w:val="20"/>
                <w:szCs w:val="20"/>
              </w:rPr>
              <w:t>2 648 $</w:t>
            </w:r>
          </w:p>
        </w:tc>
      </w:tr>
      <w:tr w:rsidR="00D523F5" w14:paraId="7B2CA7E2" w14:textId="77777777" w:rsidTr="00593988">
        <w:tc>
          <w:tcPr>
            <w:tcW w:w="4077" w:type="dxa"/>
            <w:tcBorders>
              <w:top w:val="nil"/>
              <w:left w:val="nil"/>
              <w:bottom w:val="nil"/>
              <w:right w:val="nil"/>
            </w:tcBorders>
            <w:shd w:val="clear" w:color="auto" w:fill="A9EA25" w:themeFill="background2" w:themeFillShade="BF"/>
          </w:tcPr>
          <w:p w14:paraId="072E1995" w14:textId="77777777" w:rsidR="00D523F5" w:rsidRDefault="00D523F5" w:rsidP="00D523F5">
            <w:pPr>
              <w:rPr>
                <w:sz w:val="20"/>
                <w:szCs w:val="20"/>
              </w:rPr>
            </w:pPr>
            <w:r>
              <w:rPr>
                <w:sz w:val="20"/>
                <w:szCs w:val="20"/>
              </w:rPr>
              <w:t>Augmentation des actifs défiscalisés</w:t>
            </w:r>
          </w:p>
        </w:tc>
        <w:tc>
          <w:tcPr>
            <w:tcW w:w="993" w:type="dxa"/>
            <w:tcBorders>
              <w:top w:val="nil"/>
              <w:left w:val="nil"/>
              <w:bottom w:val="nil"/>
              <w:right w:val="nil"/>
            </w:tcBorders>
            <w:shd w:val="clear" w:color="auto" w:fill="D9D9D9" w:themeFill="background1" w:themeFillShade="D9"/>
          </w:tcPr>
          <w:p w14:paraId="0E981364" w14:textId="77777777" w:rsidR="00D523F5" w:rsidRDefault="00D523F5" w:rsidP="00D523F5">
            <w:pPr>
              <w:jc w:val="center"/>
              <w:rPr>
                <w:sz w:val="20"/>
                <w:szCs w:val="20"/>
              </w:rPr>
            </w:pPr>
            <w:r>
              <w:rPr>
                <w:sz w:val="20"/>
                <w:szCs w:val="20"/>
              </w:rPr>
              <w:t>2 648 $</w:t>
            </w:r>
          </w:p>
        </w:tc>
      </w:tr>
      <w:tr w:rsidR="00D523F5" w14:paraId="77A44BAB" w14:textId="77777777" w:rsidTr="00593988">
        <w:tc>
          <w:tcPr>
            <w:tcW w:w="4077" w:type="dxa"/>
            <w:tcBorders>
              <w:top w:val="nil"/>
              <w:left w:val="nil"/>
              <w:bottom w:val="nil"/>
              <w:right w:val="nil"/>
            </w:tcBorders>
            <w:shd w:val="clear" w:color="auto" w:fill="A9EA25" w:themeFill="background2" w:themeFillShade="BF"/>
          </w:tcPr>
          <w:p w14:paraId="7B319105" w14:textId="77777777" w:rsidR="00D523F5" w:rsidRDefault="00D523F5" w:rsidP="00D523F5">
            <w:pPr>
              <w:rPr>
                <w:sz w:val="20"/>
                <w:szCs w:val="20"/>
              </w:rPr>
            </w:pPr>
            <w:r>
              <w:rPr>
                <w:sz w:val="20"/>
                <w:szCs w:val="20"/>
              </w:rPr>
              <w:t>Diminution de la dette</w:t>
            </w:r>
          </w:p>
        </w:tc>
        <w:tc>
          <w:tcPr>
            <w:tcW w:w="993" w:type="dxa"/>
            <w:tcBorders>
              <w:top w:val="nil"/>
              <w:left w:val="nil"/>
              <w:bottom w:val="nil"/>
              <w:right w:val="nil"/>
            </w:tcBorders>
            <w:shd w:val="clear" w:color="auto" w:fill="D9D9D9" w:themeFill="background1" w:themeFillShade="D9"/>
          </w:tcPr>
          <w:p w14:paraId="379559D7" w14:textId="77777777" w:rsidR="00D523F5" w:rsidRDefault="00D523F5" w:rsidP="00D523F5">
            <w:pPr>
              <w:jc w:val="center"/>
              <w:rPr>
                <w:sz w:val="20"/>
                <w:szCs w:val="20"/>
              </w:rPr>
            </w:pPr>
            <w:r>
              <w:rPr>
                <w:sz w:val="20"/>
                <w:szCs w:val="20"/>
              </w:rPr>
              <w:t>10 000 $</w:t>
            </w:r>
          </w:p>
        </w:tc>
      </w:tr>
      <w:tr w:rsidR="00D523F5" w14:paraId="1DCA0457" w14:textId="77777777" w:rsidTr="00593988">
        <w:tc>
          <w:tcPr>
            <w:tcW w:w="4077" w:type="dxa"/>
            <w:tcBorders>
              <w:top w:val="nil"/>
              <w:left w:val="nil"/>
              <w:bottom w:val="nil"/>
              <w:right w:val="nil"/>
            </w:tcBorders>
            <w:shd w:val="clear" w:color="auto" w:fill="A9EA25" w:themeFill="background2" w:themeFillShade="BF"/>
          </w:tcPr>
          <w:p w14:paraId="74F7D2A8" w14:textId="77777777" w:rsidR="00D523F5" w:rsidRDefault="00D523F5" w:rsidP="00D523F5">
            <w:pPr>
              <w:rPr>
                <w:sz w:val="20"/>
                <w:szCs w:val="20"/>
              </w:rPr>
            </w:pPr>
            <w:r>
              <w:rPr>
                <w:sz w:val="20"/>
                <w:szCs w:val="20"/>
              </w:rPr>
              <w:t>Gain en valeur nette - 3 ans</w:t>
            </w:r>
          </w:p>
        </w:tc>
        <w:tc>
          <w:tcPr>
            <w:tcW w:w="993" w:type="dxa"/>
            <w:tcBorders>
              <w:top w:val="nil"/>
              <w:left w:val="nil"/>
              <w:bottom w:val="nil"/>
              <w:right w:val="nil"/>
            </w:tcBorders>
            <w:shd w:val="clear" w:color="auto" w:fill="000000" w:themeFill="text1"/>
          </w:tcPr>
          <w:p w14:paraId="62597AD4" w14:textId="77777777" w:rsidR="00D523F5" w:rsidRDefault="00D523F5" w:rsidP="00D523F5">
            <w:pPr>
              <w:jc w:val="center"/>
              <w:rPr>
                <w:sz w:val="20"/>
                <w:szCs w:val="20"/>
              </w:rPr>
            </w:pPr>
            <w:r>
              <w:rPr>
                <w:sz w:val="20"/>
                <w:szCs w:val="20"/>
              </w:rPr>
              <w:t>12 648 $</w:t>
            </w:r>
          </w:p>
        </w:tc>
      </w:tr>
    </w:tbl>
    <w:p w14:paraId="183E567F" w14:textId="2AD972E1" w:rsidR="000367D6" w:rsidRDefault="00D523F5">
      <w:r>
        <w:t xml:space="preserve"> </w:t>
      </w:r>
      <w:r w:rsidR="000367D6">
        <w:br w:type="page"/>
      </w:r>
    </w:p>
    <w:p w14:paraId="39517252" w14:textId="77777777" w:rsidR="00AF3A59" w:rsidRDefault="00D523F5">
      <w:r>
        <w:lastRenderedPageBreak/>
        <w:t xml:space="preserve"> </w:t>
      </w:r>
      <w:r w:rsidR="00AC0A6A">
        <w:t>Quelques commentaires et plus grande optimisation de l'exemple de Marie Richer</w:t>
      </w:r>
    </w:p>
    <w:p w14:paraId="52F77DE4" w14:textId="77777777" w:rsidR="00AF3A59" w:rsidRDefault="00AF3A59"/>
    <w:p w14:paraId="6AB683DE" w14:textId="31B17B30" w:rsidR="00AF3A59" w:rsidRDefault="0073015C" w:rsidP="006C34CF">
      <w:pPr>
        <w:pStyle w:val="Paragraphedeliste"/>
        <w:numPr>
          <w:ilvl w:val="0"/>
          <w:numId w:val="113"/>
        </w:numPr>
        <w:jc w:val="both"/>
      </w:pPr>
      <w:r>
        <w:t>Tout d'abord</w:t>
      </w:r>
      <w:r w:rsidR="006701B4">
        <w:t>,</w:t>
      </w:r>
      <w:r>
        <w:t xml:space="preserve"> le commentaire le plus important et le facteur d'optimisation supplémentaire le plus pertinent se situent au niveau de l'investissement de 10 000 $ sur une seule année civile dans le REÉÉ de Charlotte. Cette façon de faire témoigne de la méconnaissance de Marie Richer à l'égard du fonctionnement du REÉÉ. Les subventions sont limité</w:t>
      </w:r>
      <w:r w:rsidR="00071F75">
        <w:t>e</w:t>
      </w:r>
      <w:r>
        <w:t>s et ne se calcule</w:t>
      </w:r>
      <w:r w:rsidR="00071F75">
        <w:t>nt</w:t>
      </w:r>
      <w:r>
        <w:t xml:space="preserve"> que sur des cotisations</w:t>
      </w:r>
      <w:r w:rsidR="00071F75">
        <w:t xml:space="preserve"> totalisant</w:t>
      </w:r>
      <w:r>
        <w:t xml:space="preserve">  2 500 $/année/enfant (avec la possibilité de récupérer une année</w:t>
      </w:r>
      <w:r w:rsidR="006701B4">
        <w:t xml:space="preserve"> </w:t>
      </w:r>
      <w:r>
        <w:t>chaque année)</w:t>
      </w:r>
      <w:r w:rsidR="00071F75">
        <w:t xml:space="preserve">. C'est donc dire que Marie aurait dû investir 5 000 $ dans le REÉÉ durant la première année (logeant momentanément le montant excédentaire de 5 000 $ dans le CÉLI), </w:t>
      </w:r>
      <w:r w:rsidR="006701B4">
        <w:t>a</w:t>
      </w:r>
      <w:r w:rsidR="00071F75">
        <w:t>u début de la deuxième année, Marie utilisera le montant de 5 000 $ excédentaire</w:t>
      </w:r>
      <w:r w:rsidR="006701B4">
        <w:t>s</w:t>
      </w:r>
      <w:r w:rsidR="00071F75">
        <w:t xml:space="preserve"> pour faire une autre cotisation au REÉÉ de Charlotte. En agissant ainsi, le rendement global obtenu grimpera autour de 22 %.</w:t>
      </w:r>
    </w:p>
    <w:p w14:paraId="1BEC207F" w14:textId="77777777" w:rsidR="00071F75" w:rsidRDefault="00071F75" w:rsidP="00071F75">
      <w:pPr>
        <w:jc w:val="both"/>
      </w:pPr>
    </w:p>
    <w:p w14:paraId="4CA756AB" w14:textId="76845DE8" w:rsidR="00071F75" w:rsidRDefault="00071F75" w:rsidP="006C34CF">
      <w:pPr>
        <w:pStyle w:val="Paragraphedeliste"/>
        <w:numPr>
          <w:ilvl w:val="0"/>
          <w:numId w:val="113"/>
        </w:numPr>
        <w:jc w:val="both"/>
      </w:pPr>
      <w:r>
        <w:t>Le calcul de l'augmentation de la valeur nette suite à un remboursement anticipé a été effectué avec une méthode approximative. De façon plus pointu</w:t>
      </w:r>
      <w:r w:rsidR="00AF27B8">
        <w:t>e</w:t>
      </w:r>
      <w:r>
        <w:t>, l'économie d'intérêt aurait été investi</w:t>
      </w:r>
      <w:r w:rsidR="00692A7E">
        <w:t>e</w:t>
      </w:r>
      <w:r>
        <w:t xml:space="preserve"> dans le remboursement plus rapide de la dette (plutôt que dans le CÉLI</w:t>
      </w:r>
      <w:r w:rsidR="00AF27B8">
        <w:t>).</w:t>
      </w:r>
    </w:p>
    <w:p w14:paraId="30D6E3A2" w14:textId="54DEEE3B" w:rsidR="00171A6B" w:rsidRDefault="00171A6B" w:rsidP="00AF27B8">
      <w:pPr>
        <w:ind w:left="708"/>
        <w:jc w:val="both"/>
      </w:pPr>
    </w:p>
    <w:p w14:paraId="4F138278" w14:textId="00CFAC32" w:rsidR="00692A7E" w:rsidRDefault="00692A7E" w:rsidP="006C34CF">
      <w:pPr>
        <w:pStyle w:val="Paragraphedeliste"/>
        <w:numPr>
          <w:ilvl w:val="0"/>
          <w:numId w:val="113"/>
        </w:numPr>
        <w:jc w:val="both"/>
      </w:pPr>
      <w:r>
        <w:t>Les investissements dans le REÉR et le CÉLI donnent les mêmes résultats puisque le taux d'impôt au moment de la cotisation est égal au taux d'impôt anticipé au moment de retrait. Dans une situation où les familles monoparentales font l'objet de plusieurs transferts de programmes sociaux</w:t>
      </w:r>
      <w:r w:rsidR="00D62872">
        <w:t>,</w:t>
      </w:r>
      <w:r>
        <w:t xml:space="preserve"> une analyse plus précise aurait exigé que l'on utilise le T</w:t>
      </w:r>
      <w:r w:rsidR="00D62872">
        <w:t>E</w:t>
      </w:r>
      <w:r>
        <w:t>MI</w:t>
      </w:r>
      <w:r w:rsidR="00D62872">
        <w:t xml:space="preserve"> dans les différents calculs reliés à l'impôt.</w:t>
      </w:r>
    </w:p>
    <w:p w14:paraId="117876E3" w14:textId="77777777" w:rsidR="00692A7E" w:rsidRDefault="00692A7E" w:rsidP="00692A7E">
      <w:pPr>
        <w:jc w:val="both"/>
      </w:pPr>
    </w:p>
    <w:p w14:paraId="2941D9F4" w14:textId="5F6CDBCE" w:rsidR="00527AEF" w:rsidRDefault="00527AEF" w:rsidP="006C34CF">
      <w:pPr>
        <w:pStyle w:val="Titre3"/>
        <w:numPr>
          <w:ilvl w:val="2"/>
          <w:numId w:val="101"/>
        </w:numPr>
      </w:pPr>
      <w:bookmarkStart w:id="159" w:name="_Toc314397886"/>
      <w:bookmarkStart w:id="160" w:name="_Toc443569430"/>
      <w:r>
        <w:t>Le prêt étudiant et la mise à part de l'argent</w:t>
      </w:r>
      <w:bookmarkEnd w:id="159"/>
      <w:bookmarkEnd w:id="160"/>
    </w:p>
    <w:p w14:paraId="6E394E0B" w14:textId="77777777" w:rsidR="00527AEF" w:rsidRDefault="00527AEF" w:rsidP="00527AEF"/>
    <w:p w14:paraId="5434D3C2" w14:textId="7CAEE940" w:rsidR="00885B6A" w:rsidRDefault="00885B6A" w:rsidP="00885B6A">
      <w:pPr>
        <w:jc w:val="both"/>
      </w:pPr>
      <w:r>
        <w:t>Le p</w:t>
      </w:r>
      <w:r w:rsidR="00527AEF">
        <w:t>rêt étudiant</w:t>
      </w:r>
      <w:r>
        <w:t xml:space="preserve"> comporte au moins </w:t>
      </w:r>
      <w:r w:rsidR="004B7992">
        <w:t>trois</w:t>
      </w:r>
      <w:r>
        <w:t xml:space="preserve"> caractéristiques d'allègement, financées par l'État, qui en font un outil de levier financier intéressant. Encore une fois, nous sentons le besoin de rappeler que les voltiges que nous nous apprêtons à vous livrer ne doivent être soutenues que par des individus sans failles comportementales à l'égard des finances personnelles, toujours prêt à faire le geste d'optimisation qui s'impose. Bref, ce n'est pas un conte pour tous!</w:t>
      </w:r>
    </w:p>
    <w:p w14:paraId="3B99A7BD" w14:textId="77777777" w:rsidR="00885B6A" w:rsidRDefault="00885B6A" w:rsidP="00527AEF"/>
    <w:p w14:paraId="4D7702AB" w14:textId="77777777" w:rsidR="00D62872" w:rsidRDefault="00D62872" w:rsidP="00527AEF"/>
    <w:p w14:paraId="16A0FD42" w14:textId="77777777" w:rsidR="004B7992" w:rsidRDefault="00885B6A" w:rsidP="00527AEF">
      <w:r>
        <w:lastRenderedPageBreak/>
        <w:t xml:space="preserve">Tout d'abord, avant de prendre avantage de ce crédit, rappelons-nous quelques caractéristiques </w:t>
      </w:r>
      <w:r w:rsidR="004B7992">
        <w:t>qui en font l'attrait:</w:t>
      </w:r>
    </w:p>
    <w:p w14:paraId="316AD71A" w14:textId="77777777" w:rsidR="004B7992" w:rsidRDefault="004B7992" w:rsidP="00527AEF"/>
    <w:p w14:paraId="2528AD42" w14:textId="7B32BDB4" w:rsidR="00885B6A" w:rsidRDefault="004B7992" w:rsidP="006C34CF">
      <w:pPr>
        <w:pStyle w:val="Paragraphedeliste"/>
        <w:numPr>
          <w:ilvl w:val="0"/>
          <w:numId w:val="112"/>
        </w:numPr>
      </w:pPr>
      <w:r>
        <w:t>Les intérêts sont à la charge de l'État durant la période des études</w:t>
      </w:r>
    </w:p>
    <w:p w14:paraId="64A4A656" w14:textId="77777777" w:rsidR="004B7992" w:rsidRDefault="004B7992" w:rsidP="004B7992">
      <w:pPr>
        <w:ind w:left="708"/>
      </w:pPr>
    </w:p>
    <w:p w14:paraId="0EE3B85C" w14:textId="6157D630" w:rsidR="004B7992" w:rsidRDefault="004B7992" w:rsidP="006C34CF">
      <w:pPr>
        <w:pStyle w:val="Paragraphedeliste"/>
        <w:numPr>
          <w:ilvl w:val="0"/>
          <w:numId w:val="112"/>
        </w:numPr>
      </w:pPr>
      <w:r>
        <w:t>Les taux d'intérêt sont faibles puisque le prêt est garanti par l'État</w:t>
      </w:r>
    </w:p>
    <w:p w14:paraId="68A371F6" w14:textId="77777777" w:rsidR="004B7992" w:rsidRDefault="004B7992" w:rsidP="004B7992">
      <w:pPr>
        <w:ind w:left="708"/>
      </w:pPr>
    </w:p>
    <w:p w14:paraId="01C0D7E4" w14:textId="37B7762D" w:rsidR="004B7992" w:rsidRDefault="004B7992" w:rsidP="006C34CF">
      <w:pPr>
        <w:pStyle w:val="Paragraphedeliste"/>
        <w:numPr>
          <w:ilvl w:val="0"/>
          <w:numId w:val="112"/>
        </w:numPr>
      </w:pPr>
      <w:r>
        <w:t>Les intérêts déboursés par l'étudiant donnent droit à des crédits d'impôt</w:t>
      </w:r>
    </w:p>
    <w:p w14:paraId="10C4CA51" w14:textId="77777777" w:rsidR="00885B6A" w:rsidRDefault="00885B6A" w:rsidP="00527AEF"/>
    <w:p w14:paraId="689231EE" w14:textId="6D48601D" w:rsidR="00885B6A" w:rsidRDefault="00EB2263" w:rsidP="00527AEF">
      <w:r>
        <w:t>Maintenant, voici comment optimiser l'accès à un tel crédit par l'étudiant:</w:t>
      </w:r>
    </w:p>
    <w:p w14:paraId="722E177F" w14:textId="77777777" w:rsidR="00EB2263" w:rsidRDefault="00EB2263" w:rsidP="00527AEF"/>
    <w:p w14:paraId="0C9C37D7" w14:textId="2870C99B" w:rsidR="00EB2263" w:rsidRDefault="00D62872" w:rsidP="006C34CF">
      <w:pPr>
        <w:pStyle w:val="Paragraphedeliste"/>
        <w:numPr>
          <w:ilvl w:val="0"/>
          <w:numId w:val="114"/>
        </w:numPr>
        <w:jc w:val="both"/>
      </w:pPr>
      <w:r>
        <w:t>Si l'étudiant a droit à un prêt étudiant, il devrait en faire la demande</w:t>
      </w:r>
      <w:r w:rsidR="006701B4">
        <w:t>,</w:t>
      </w:r>
      <w:r>
        <w:t xml:space="preserve"> peu importe </w:t>
      </w:r>
      <w:r w:rsidR="006701B4">
        <w:t>son</w:t>
      </w:r>
      <w:r>
        <w:t xml:space="preserve"> besoin. Il pourra ainsi utiliser le montant pour l'investir dans un CÉLI ou dans le REÉÉ d'un frère ou d'une soeur plus jeune.</w:t>
      </w:r>
    </w:p>
    <w:p w14:paraId="03EA8A84" w14:textId="77777777" w:rsidR="00D62872" w:rsidRDefault="00D62872" w:rsidP="00D62872">
      <w:pPr>
        <w:ind w:left="348"/>
      </w:pPr>
    </w:p>
    <w:p w14:paraId="7A4E09F5" w14:textId="5920BBB6" w:rsidR="00D62872" w:rsidRDefault="00D62872" w:rsidP="006C34CF">
      <w:pPr>
        <w:pStyle w:val="Paragraphedeliste"/>
        <w:numPr>
          <w:ilvl w:val="0"/>
          <w:numId w:val="114"/>
        </w:numPr>
        <w:jc w:val="both"/>
      </w:pPr>
      <w:r>
        <w:t xml:space="preserve">À la fin des études (au moment où les intérêts deviendront à sa charge), l'étudiant pourra (s'il ne possède aucun autre endettement ou s'il n'en prévoit pas d'autres à court terme) utiliser les actifs générés à même les prêts pour procéder au </w:t>
      </w:r>
      <w:r w:rsidR="00115764">
        <w:t>remboursement du prêt étudiant.</w:t>
      </w:r>
      <w:r>
        <w:t xml:space="preserve"> </w:t>
      </w:r>
    </w:p>
    <w:p w14:paraId="57CE2642" w14:textId="77777777" w:rsidR="00115764" w:rsidRDefault="00115764" w:rsidP="00115764">
      <w:pPr>
        <w:ind w:left="348"/>
        <w:jc w:val="both"/>
      </w:pPr>
    </w:p>
    <w:p w14:paraId="1A9E9675" w14:textId="6CBB12A0" w:rsidR="00115764" w:rsidRDefault="00115764" w:rsidP="006C34CF">
      <w:pPr>
        <w:pStyle w:val="Paragraphedeliste"/>
        <w:numPr>
          <w:ilvl w:val="0"/>
          <w:numId w:val="114"/>
        </w:numPr>
        <w:jc w:val="both"/>
      </w:pPr>
      <w:r>
        <w:t>L'étudiant pourrait également, utiliser l'effet de levier du prêt étudiant (qui est à faible taux d'intérêt tout en donnant droit à des crédits d'impôt) en maintenant ses placements dans le CÉLI tout en procédant au remboursement sur la plus longue période permise du prêt étudiant.</w:t>
      </w:r>
    </w:p>
    <w:p w14:paraId="4C6A4D6A" w14:textId="77777777" w:rsidR="00885B6A" w:rsidRDefault="00885B6A" w:rsidP="00527AEF"/>
    <w:p w14:paraId="1D6249D4" w14:textId="4A3993B4" w:rsidR="009351B7" w:rsidRDefault="009351B7" w:rsidP="006C34CF">
      <w:pPr>
        <w:pStyle w:val="Paragraphedeliste"/>
        <w:numPr>
          <w:ilvl w:val="0"/>
          <w:numId w:val="114"/>
        </w:numPr>
        <w:jc w:val="both"/>
      </w:pPr>
      <w:r>
        <w:t>Cette mise à part de l'argent provenant des prêts étudiants rend les intérêts payés sur ceux-ci semblables à des intérêts déductibles et ce peu importe l'usage qui en est fait (consommation,</w:t>
      </w:r>
      <w:r w:rsidR="002E7420">
        <w:t xml:space="preserve"> automobile,</w:t>
      </w:r>
      <w:r>
        <w:t xml:space="preserve"> mise de fonds initiale pour une première résidence, </w:t>
      </w:r>
      <w:r w:rsidR="008126C3">
        <w:t>REÉR/RAP, CÉLI, REÉÉ d'un frère ou d'une soeur, etc.).</w:t>
      </w:r>
    </w:p>
    <w:p w14:paraId="4BA49FF4" w14:textId="7910BA73" w:rsidR="009A2AD5" w:rsidRDefault="009A2AD5">
      <w:r>
        <w:br w:type="page"/>
      </w:r>
    </w:p>
    <w:tbl>
      <w:tblPr>
        <w:tblStyle w:val="Grille"/>
        <w:tblpPr w:leftFromText="141" w:rightFromText="141" w:vertAnchor="page" w:horzAnchor="page" w:tblpX="1346" w:tblpY="357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2550"/>
      </w:tblGrid>
      <w:tr w:rsidR="00EF4CD0" w14:paraId="7E35CADE" w14:textId="77777777" w:rsidTr="00593988">
        <w:tc>
          <w:tcPr>
            <w:tcW w:w="5637" w:type="dxa"/>
            <w:shd w:val="clear" w:color="auto" w:fill="D2D4C0" w:themeFill="accent4" w:themeFillTint="66"/>
          </w:tcPr>
          <w:p w14:paraId="39201F57" w14:textId="77777777" w:rsidR="00EF4CD0" w:rsidRDefault="00EF4CD0" w:rsidP="00EF4CD0">
            <w:r>
              <w:lastRenderedPageBreak/>
              <w:t>Âge</w:t>
            </w:r>
          </w:p>
        </w:tc>
        <w:tc>
          <w:tcPr>
            <w:tcW w:w="2550" w:type="dxa"/>
            <w:shd w:val="clear" w:color="auto" w:fill="800000"/>
          </w:tcPr>
          <w:p w14:paraId="205F2C5E" w14:textId="77777777" w:rsidR="00EF4CD0" w:rsidRDefault="00EF4CD0" w:rsidP="00EF4CD0">
            <w:r>
              <w:t>18 ans</w:t>
            </w:r>
          </w:p>
        </w:tc>
      </w:tr>
      <w:tr w:rsidR="00EF4CD0" w14:paraId="195D05FF" w14:textId="77777777" w:rsidTr="00593988">
        <w:tc>
          <w:tcPr>
            <w:tcW w:w="5637" w:type="dxa"/>
            <w:shd w:val="clear" w:color="auto" w:fill="D2D4C0" w:themeFill="accent4" w:themeFillTint="66"/>
          </w:tcPr>
          <w:p w14:paraId="70B493BE" w14:textId="77777777" w:rsidR="00EF4CD0" w:rsidRDefault="00EF4CD0" w:rsidP="00EF4CD0">
            <w:r>
              <w:t>Durée des études universitaires</w:t>
            </w:r>
          </w:p>
        </w:tc>
        <w:tc>
          <w:tcPr>
            <w:tcW w:w="2550" w:type="dxa"/>
            <w:shd w:val="clear" w:color="auto" w:fill="800000"/>
          </w:tcPr>
          <w:p w14:paraId="5A94CBD8" w14:textId="77777777" w:rsidR="00EF4CD0" w:rsidRDefault="00EF4CD0" w:rsidP="00EF4CD0">
            <w:r>
              <w:t>4 années</w:t>
            </w:r>
          </w:p>
        </w:tc>
      </w:tr>
      <w:tr w:rsidR="00EF4CD0" w14:paraId="06BE2FE4" w14:textId="77777777" w:rsidTr="00593988">
        <w:tc>
          <w:tcPr>
            <w:tcW w:w="5637" w:type="dxa"/>
            <w:shd w:val="clear" w:color="auto" w:fill="D2D4C0" w:themeFill="accent4" w:themeFillTint="66"/>
          </w:tcPr>
          <w:p w14:paraId="20BBCA07" w14:textId="77777777" w:rsidR="00EF4CD0" w:rsidRDefault="00EF4CD0" w:rsidP="00EF4CD0">
            <w:r>
              <w:t>Montant annuel du prêt étudiant consenti</w:t>
            </w:r>
          </w:p>
        </w:tc>
        <w:tc>
          <w:tcPr>
            <w:tcW w:w="2550" w:type="dxa"/>
            <w:shd w:val="clear" w:color="auto" w:fill="800000"/>
          </w:tcPr>
          <w:p w14:paraId="5F421F78" w14:textId="77777777" w:rsidR="00EF4CD0" w:rsidRDefault="00EF4CD0" w:rsidP="00EF4CD0">
            <w:r>
              <w:t>3 500 $</w:t>
            </w:r>
          </w:p>
        </w:tc>
      </w:tr>
      <w:tr w:rsidR="00EF4CD0" w14:paraId="5AC57D3C" w14:textId="77777777" w:rsidTr="00593988">
        <w:tc>
          <w:tcPr>
            <w:tcW w:w="5637" w:type="dxa"/>
            <w:shd w:val="clear" w:color="auto" w:fill="D2D4C0" w:themeFill="accent4" w:themeFillTint="66"/>
          </w:tcPr>
          <w:p w14:paraId="493FE384" w14:textId="77777777" w:rsidR="00EF4CD0" w:rsidRDefault="00EF4CD0" w:rsidP="00EF4CD0">
            <w:r>
              <w:t xml:space="preserve">Rendement CÉLI </w:t>
            </w:r>
          </w:p>
        </w:tc>
        <w:tc>
          <w:tcPr>
            <w:tcW w:w="2550" w:type="dxa"/>
            <w:shd w:val="clear" w:color="auto" w:fill="800000"/>
          </w:tcPr>
          <w:p w14:paraId="330826CE" w14:textId="77777777" w:rsidR="00EF4CD0" w:rsidRDefault="00EF4CD0" w:rsidP="00EF4CD0">
            <w:r>
              <w:t>7 %</w:t>
            </w:r>
          </w:p>
        </w:tc>
      </w:tr>
      <w:tr w:rsidR="00EF4CD0" w14:paraId="6A478B6E" w14:textId="77777777" w:rsidTr="00593988">
        <w:tc>
          <w:tcPr>
            <w:tcW w:w="5637" w:type="dxa"/>
            <w:shd w:val="clear" w:color="auto" w:fill="D2D4C0" w:themeFill="accent4" w:themeFillTint="66"/>
          </w:tcPr>
          <w:p w14:paraId="65623CD0" w14:textId="77777777" w:rsidR="00EF4CD0" w:rsidRDefault="00EF4CD0" w:rsidP="00EF4CD0">
            <w:r>
              <w:t>Taux prêt étudiant</w:t>
            </w:r>
          </w:p>
        </w:tc>
        <w:tc>
          <w:tcPr>
            <w:tcW w:w="2550" w:type="dxa"/>
            <w:shd w:val="clear" w:color="auto" w:fill="800000"/>
          </w:tcPr>
          <w:p w14:paraId="04C3E57C" w14:textId="77777777" w:rsidR="00EF4CD0" w:rsidRDefault="00EF4CD0" w:rsidP="00EF4CD0">
            <w:r>
              <w:t>3,2 %</w:t>
            </w:r>
          </w:p>
        </w:tc>
      </w:tr>
      <w:tr w:rsidR="00EF4CD0" w14:paraId="46342BAE" w14:textId="77777777" w:rsidTr="00593988">
        <w:tc>
          <w:tcPr>
            <w:tcW w:w="5637" w:type="dxa"/>
            <w:shd w:val="clear" w:color="auto" w:fill="D2D4C0" w:themeFill="accent4" w:themeFillTint="66"/>
          </w:tcPr>
          <w:p w14:paraId="55BCDC71" w14:textId="77777777" w:rsidR="00EF4CD0" w:rsidRDefault="00EF4CD0" w:rsidP="00EF4CD0">
            <w:r>
              <w:t>Durée remboursement prêt étudiant</w:t>
            </w:r>
          </w:p>
        </w:tc>
        <w:tc>
          <w:tcPr>
            <w:tcW w:w="2550" w:type="dxa"/>
            <w:shd w:val="clear" w:color="auto" w:fill="800000"/>
          </w:tcPr>
          <w:p w14:paraId="4961C0F4" w14:textId="77777777" w:rsidR="00EF4CD0" w:rsidRDefault="00EF4CD0" w:rsidP="00EF4CD0">
            <w:r>
              <w:t>10 années</w:t>
            </w:r>
          </w:p>
        </w:tc>
      </w:tr>
      <w:tr w:rsidR="00EF4CD0" w14:paraId="72882B3E" w14:textId="77777777" w:rsidTr="00593988">
        <w:tc>
          <w:tcPr>
            <w:tcW w:w="5637" w:type="dxa"/>
            <w:shd w:val="clear" w:color="auto" w:fill="D2D4C0" w:themeFill="accent4" w:themeFillTint="66"/>
          </w:tcPr>
          <w:p w14:paraId="5A7C8049" w14:textId="09F30153" w:rsidR="00EF4CD0" w:rsidRDefault="00EF4CD0" w:rsidP="006701B4">
            <w:r>
              <w:t>Taux des crédits d'impôt</w:t>
            </w:r>
          </w:p>
        </w:tc>
        <w:tc>
          <w:tcPr>
            <w:tcW w:w="2550" w:type="dxa"/>
            <w:shd w:val="clear" w:color="auto" w:fill="800000"/>
          </w:tcPr>
          <w:p w14:paraId="755254B2" w14:textId="77777777" w:rsidR="00EF4CD0" w:rsidRDefault="00EF4CD0" w:rsidP="00EF4CD0">
            <w:r>
              <w:t>32,5 %</w:t>
            </w:r>
          </w:p>
        </w:tc>
      </w:tr>
    </w:tbl>
    <w:p w14:paraId="3E9CE6FC" w14:textId="77777777" w:rsidR="00EF4CD0" w:rsidRDefault="00EF4CD0" w:rsidP="00EF4CD0">
      <w:pPr>
        <w:rPr>
          <w:color w:val="FF6700" w:themeColor="accent3"/>
        </w:rPr>
      </w:pPr>
      <w:r w:rsidRPr="00611FEC">
        <w:rPr>
          <w:color w:val="FF6700" w:themeColor="accent3"/>
        </w:rPr>
        <w:t>EXEMPLE 7-1</w:t>
      </w:r>
      <w:r>
        <w:rPr>
          <w:color w:val="FF6700" w:themeColor="accent3"/>
        </w:rPr>
        <w:t>9</w:t>
      </w:r>
    </w:p>
    <w:p w14:paraId="534146FB" w14:textId="77777777" w:rsidR="009A2AD5" w:rsidRDefault="009A2AD5" w:rsidP="009A2AD5"/>
    <w:p w14:paraId="192D023E" w14:textId="1B2B29FB" w:rsidR="00EF4CD0" w:rsidRDefault="00EF4CD0" w:rsidP="00EF4CD0">
      <w:pPr>
        <w:jc w:val="both"/>
      </w:pPr>
      <w:r>
        <w:t>Voici quelques informations à considérer pour Charlotte qui a droit à des prêts étudiants</w:t>
      </w:r>
      <w:r w:rsidR="006701B4">
        <w:t>,</w:t>
      </w:r>
      <w:r>
        <w:t xml:space="preserve"> mais dont le coût des études ser</w:t>
      </w:r>
      <w:r w:rsidR="006701B4">
        <w:t>a</w:t>
      </w:r>
      <w:r>
        <w:t xml:space="preserve"> pleinement assumé par un train de vie très modeste, des contributions parentales, un REÉÉ et un emploi à temps partiel.</w:t>
      </w:r>
    </w:p>
    <w:p w14:paraId="6A82A8C5" w14:textId="77777777" w:rsidR="009A2AD5" w:rsidRDefault="009A2AD5" w:rsidP="009A2AD5"/>
    <w:p w14:paraId="11CDB6D4" w14:textId="1BEBAFF8" w:rsidR="009A2AD5" w:rsidRDefault="009A2AD5"/>
    <w:p w14:paraId="068839DD" w14:textId="77777777" w:rsidR="009A2AD5" w:rsidRDefault="009A2AD5"/>
    <w:p w14:paraId="721C4A7A" w14:textId="77777777" w:rsidR="009A2AD5" w:rsidRDefault="009A2AD5"/>
    <w:p w14:paraId="426230F7" w14:textId="77777777" w:rsidR="009A2AD5" w:rsidRDefault="009A2AD5"/>
    <w:p w14:paraId="4BFD5D4E" w14:textId="77777777" w:rsidR="009A2AD5" w:rsidRDefault="009A2AD5"/>
    <w:tbl>
      <w:tblPr>
        <w:tblStyle w:val="Grille"/>
        <w:tblpPr w:leftFromText="141" w:rightFromText="141" w:vertAnchor="page" w:horzAnchor="page" w:tblpX="1346" w:tblpY="6818"/>
        <w:tblW w:w="11307" w:type="dxa"/>
        <w:tblLayout w:type="fixed"/>
        <w:tblLook w:val="04A0" w:firstRow="1" w:lastRow="0" w:firstColumn="1" w:lastColumn="0" w:noHBand="0" w:noVBand="1"/>
      </w:tblPr>
      <w:tblGrid>
        <w:gridCol w:w="4786"/>
        <w:gridCol w:w="992"/>
        <w:gridCol w:w="4536"/>
        <w:gridCol w:w="993"/>
      </w:tblGrid>
      <w:tr w:rsidR="00E72A8A" w14:paraId="5E95C8B9" w14:textId="77777777" w:rsidTr="00593988">
        <w:tc>
          <w:tcPr>
            <w:tcW w:w="4786" w:type="dxa"/>
            <w:tcBorders>
              <w:bottom w:val="nil"/>
            </w:tcBorders>
            <w:shd w:val="clear" w:color="auto" w:fill="000000" w:themeFill="text1"/>
          </w:tcPr>
          <w:p w14:paraId="1C7A4305" w14:textId="5172870E" w:rsidR="00EF4CD0" w:rsidRDefault="00E72A8A" w:rsidP="00EF4CD0">
            <w:pPr>
              <w:jc w:val="center"/>
            </w:pPr>
            <w:r>
              <w:t>CÉLI</w:t>
            </w:r>
          </w:p>
        </w:tc>
        <w:tc>
          <w:tcPr>
            <w:tcW w:w="992" w:type="dxa"/>
            <w:tcBorders>
              <w:bottom w:val="nil"/>
            </w:tcBorders>
            <w:shd w:val="clear" w:color="auto" w:fill="000000" w:themeFill="text1"/>
          </w:tcPr>
          <w:p w14:paraId="1969D6BC" w14:textId="77777777" w:rsidR="00EF4CD0" w:rsidRDefault="00EF4CD0" w:rsidP="00EF4CD0">
            <w:pPr>
              <w:jc w:val="center"/>
            </w:pPr>
            <w:r>
              <w:t>$</w:t>
            </w:r>
          </w:p>
        </w:tc>
        <w:tc>
          <w:tcPr>
            <w:tcW w:w="4536" w:type="dxa"/>
            <w:tcBorders>
              <w:bottom w:val="nil"/>
            </w:tcBorders>
            <w:shd w:val="clear" w:color="auto" w:fill="000000" w:themeFill="text1"/>
          </w:tcPr>
          <w:p w14:paraId="0C5F9B74" w14:textId="693F1AD5" w:rsidR="00EF4CD0" w:rsidRDefault="00E72A8A" w:rsidP="00EF4CD0">
            <w:pPr>
              <w:jc w:val="center"/>
            </w:pPr>
            <w:r>
              <w:t>PRÊT ÉTUDIANT</w:t>
            </w:r>
          </w:p>
        </w:tc>
        <w:tc>
          <w:tcPr>
            <w:tcW w:w="993" w:type="dxa"/>
            <w:tcBorders>
              <w:bottom w:val="nil"/>
            </w:tcBorders>
            <w:shd w:val="clear" w:color="auto" w:fill="000000" w:themeFill="text1"/>
          </w:tcPr>
          <w:p w14:paraId="4ADB6A9C" w14:textId="77777777" w:rsidR="00EF4CD0" w:rsidRDefault="00EF4CD0" w:rsidP="00EF4CD0">
            <w:pPr>
              <w:jc w:val="center"/>
            </w:pPr>
            <w:r>
              <w:t>$</w:t>
            </w:r>
          </w:p>
        </w:tc>
      </w:tr>
      <w:tr w:rsidR="00E72A8A" w14:paraId="61924808" w14:textId="77777777" w:rsidTr="00593988">
        <w:tc>
          <w:tcPr>
            <w:tcW w:w="4786" w:type="dxa"/>
            <w:tcBorders>
              <w:top w:val="nil"/>
              <w:left w:val="nil"/>
              <w:bottom w:val="nil"/>
              <w:right w:val="nil"/>
            </w:tcBorders>
            <w:shd w:val="clear" w:color="auto" w:fill="3366FF"/>
          </w:tcPr>
          <w:p w14:paraId="33424A2F" w14:textId="77777777" w:rsidR="00EF4CD0" w:rsidRDefault="00EF4CD0" w:rsidP="00EF4CD0"/>
        </w:tc>
        <w:tc>
          <w:tcPr>
            <w:tcW w:w="992" w:type="dxa"/>
            <w:tcBorders>
              <w:top w:val="nil"/>
              <w:left w:val="nil"/>
              <w:bottom w:val="nil"/>
              <w:right w:val="nil"/>
            </w:tcBorders>
            <w:shd w:val="clear" w:color="auto" w:fill="D9D9D9" w:themeFill="background1" w:themeFillShade="D9"/>
          </w:tcPr>
          <w:p w14:paraId="1124B2E9" w14:textId="77777777" w:rsidR="00EF4CD0" w:rsidRDefault="00EF4CD0" w:rsidP="00EF4CD0">
            <w:pPr>
              <w:jc w:val="center"/>
            </w:pPr>
          </w:p>
        </w:tc>
        <w:tc>
          <w:tcPr>
            <w:tcW w:w="4536" w:type="dxa"/>
            <w:tcBorders>
              <w:top w:val="nil"/>
              <w:left w:val="nil"/>
              <w:bottom w:val="nil"/>
              <w:right w:val="nil"/>
            </w:tcBorders>
            <w:shd w:val="clear" w:color="auto" w:fill="3366FF"/>
          </w:tcPr>
          <w:p w14:paraId="47F05336" w14:textId="77777777" w:rsidR="00EF4CD0" w:rsidRDefault="00EF4CD0" w:rsidP="00EF4CD0"/>
        </w:tc>
        <w:tc>
          <w:tcPr>
            <w:tcW w:w="993" w:type="dxa"/>
            <w:tcBorders>
              <w:top w:val="nil"/>
              <w:left w:val="nil"/>
              <w:bottom w:val="nil"/>
              <w:right w:val="nil"/>
            </w:tcBorders>
            <w:shd w:val="clear" w:color="auto" w:fill="D9D9D9" w:themeFill="background1" w:themeFillShade="D9"/>
          </w:tcPr>
          <w:p w14:paraId="69B50BCB" w14:textId="77777777" w:rsidR="00EF4CD0" w:rsidRDefault="00EF4CD0" w:rsidP="00EF4CD0"/>
        </w:tc>
      </w:tr>
      <w:tr w:rsidR="00E72A8A" w:rsidRPr="00F51F10" w14:paraId="5277A191" w14:textId="77777777" w:rsidTr="00593988">
        <w:tc>
          <w:tcPr>
            <w:tcW w:w="4786" w:type="dxa"/>
            <w:tcBorders>
              <w:top w:val="nil"/>
              <w:left w:val="nil"/>
              <w:bottom w:val="nil"/>
              <w:right w:val="nil"/>
            </w:tcBorders>
            <w:shd w:val="clear" w:color="auto" w:fill="3366FF"/>
          </w:tcPr>
          <w:p w14:paraId="43E23A37" w14:textId="34F53CFD" w:rsidR="00EF4CD0" w:rsidRPr="00E72A8A" w:rsidRDefault="00EF4CD0" w:rsidP="00EF4CD0">
            <w:pPr>
              <w:rPr>
                <w:color w:val="FFFFFF" w:themeColor="background1"/>
                <w:sz w:val="20"/>
                <w:szCs w:val="20"/>
              </w:rPr>
            </w:pPr>
            <w:r w:rsidRPr="00E72A8A">
              <w:rPr>
                <w:color w:val="FFFFFF" w:themeColor="background1"/>
                <w:sz w:val="20"/>
                <w:szCs w:val="20"/>
              </w:rPr>
              <w:t>$ investis</w:t>
            </w:r>
            <w:r w:rsidR="00E72A8A">
              <w:rPr>
                <w:color w:val="FFFFFF" w:themeColor="background1"/>
                <w:sz w:val="20"/>
                <w:szCs w:val="20"/>
              </w:rPr>
              <w:t xml:space="preserve"> après 4 années</w:t>
            </w:r>
          </w:p>
        </w:tc>
        <w:tc>
          <w:tcPr>
            <w:tcW w:w="992" w:type="dxa"/>
            <w:tcBorders>
              <w:top w:val="nil"/>
              <w:left w:val="nil"/>
              <w:bottom w:val="nil"/>
              <w:right w:val="nil"/>
            </w:tcBorders>
            <w:shd w:val="clear" w:color="auto" w:fill="D9D9D9" w:themeFill="background1" w:themeFillShade="D9"/>
          </w:tcPr>
          <w:p w14:paraId="58E02B9E" w14:textId="71489CD1" w:rsidR="00EF4CD0" w:rsidRPr="00F51F10" w:rsidRDefault="00E72A8A" w:rsidP="00EF4CD0">
            <w:pPr>
              <w:jc w:val="center"/>
              <w:rPr>
                <w:sz w:val="20"/>
                <w:szCs w:val="20"/>
              </w:rPr>
            </w:pPr>
            <w:r>
              <w:rPr>
                <w:sz w:val="20"/>
                <w:szCs w:val="20"/>
              </w:rPr>
              <w:t>14 000</w:t>
            </w:r>
            <w:r w:rsidR="00EF4CD0" w:rsidRPr="00F51F10">
              <w:rPr>
                <w:sz w:val="20"/>
                <w:szCs w:val="20"/>
              </w:rPr>
              <w:t xml:space="preserve"> $</w:t>
            </w:r>
          </w:p>
        </w:tc>
        <w:tc>
          <w:tcPr>
            <w:tcW w:w="4536" w:type="dxa"/>
            <w:tcBorders>
              <w:top w:val="nil"/>
              <w:left w:val="nil"/>
              <w:bottom w:val="nil"/>
              <w:right w:val="nil"/>
            </w:tcBorders>
            <w:shd w:val="clear" w:color="auto" w:fill="3366FF"/>
          </w:tcPr>
          <w:p w14:paraId="2AF62BDC" w14:textId="471EB2D4" w:rsidR="00EF4CD0" w:rsidRPr="00E72A8A" w:rsidRDefault="00EF4CD0" w:rsidP="00E72A8A">
            <w:pPr>
              <w:rPr>
                <w:color w:val="FFFFFF" w:themeColor="background1"/>
                <w:sz w:val="20"/>
                <w:szCs w:val="20"/>
              </w:rPr>
            </w:pPr>
            <w:r w:rsidRPr="00E72A8A">
              <w:rPr>
                <w:color w:val="FFFFFF" w:themeColor="background1"/>
                <w:sz w:val="20"/>
                <w:szCs w:val="20"/>
              </w:rPr>
              <w:t xml:space="preserve">$ </w:t>
            </w:r>
            <w:r w:rsidR="00E72A8A">
              <w:rPr>
                <w:color w:val="FFFFFF" w:themeColor="background1"/>
                <w:sz w:val="20"/>
                <w:szCs w:val="20"/>
              </w:rPr>
              <w:t>dus après 4 années</w:t>
            </w:r>
          </w:p>
        </w:tc>
        <w:tc>
          <w:tcPr>
            <w:tcW w:w="993" w:type="dxa"/>
            <w:tcBorders>
              <w:top w:val="nil"/>
              <w:left w:val="nil"/>
              <w:bottom w:val="nil"/>
              <w:right w:val="nil"/>
            </w:tcBorders>
            <w:shd w:val="clear" w:color="auto" w:fill="D9D9D9" w:themeFill="background1" w:themeFillShade="D9"/>
          </w:tcPr>
          <w:p w14:paraId="40FD5A22" w14:textId="69F8B89B" w:rsidR="00EF4CD0" w:rsidRPr="00F51F10" w:rsidRDefault="00E72A8A" w:rsidP="00EF4CD0">
            <w:pPr>
              <w:jc w:val="center"/>
              <w:rPr>
                <w:sz w:val="20"/>
                <w:szCs w:val="20"/>
              </w:rPr>
            </w:pPr>
            <w:r>
              <w:rPr>
                <w:sz w:val="20"/>
                <w:szCs w:val="20"/>
              </w:rPr>
              <w:t>14 000 $</w:t>
            </w:r>
          </w:p>
        </w:tc>
      </w:tr>
      <w:tr w:rsidR="00E72A8A" w:rsidRPr="00F51F10" w14:paraId="3705CCA5" w14:textId="77777777" w:rsidTr="00593988">
        <w:tc>
          <w:tcPr>
            <w:tcW w:w="4786" w:type="dxa"/>
            <w:tcBorders>
              <w:top w:val="nil"/>
              <w:left w:val="nil"/>
              <w:bottom w:val="nil"/>
              <w:right w:val="nil"/>
            </w:tcBorders>
            <w:shd w:val="clear" w:color="auto" w:fill="3366FF"/>
          </w:tcPr>
          <w:p w14:paraId="527E2200" w14:textId="7AEB7EC1" w:rsidR="00EF4CD0" w:rsidRPr="00E72A8A" w:rsidRDefault="00E72A8A" w:rsidP="00EF4CD0">
            <w:pPr>
              <w:rPr>
                <w:color w:val="FFFFFF" w:themeColor="background1"/>
                <w:sz w:val="20"/>
                <w:szCs w:val="20"/>
              </w:rPr>
            </w:pPr>
            <w:r>
              <w:rPr>
                <w:color w:val="FFFFFF" w:themeColor="background1"/>
                <w:sz w:val="20"/>
                <w:szCs w:val="20"/>
              </w:rPr>
              <w:t>Revenus après 4 années</w:t>
            </w:r>
          </w:p>
        </w:tc>
        <w:tc>
          <w:tcPr>
            <w:tcW w:w="992" w:type="dxa"/>
            <w:tcBorders>
              <w:top w:val="nil"/>
              <w:left w:val="nil"/>
              <w:bottom w:val="nil"/>
              <w:right w:val="nil"/>
            </w:tcBorders>
            <w:shd w:val="clear" w:color="auto" w:fill="D9D9D9" w:themeFill="background1" w:themeFillShade="D9"/>
          </w:tcPr>
          <w:p w14:paraId="4BEB2A2C" w14:textId="7E8C429C" w:rsidR="00EF4CD0" w:rsidRPr="00F51F10" w:rsidRDefault="00E72A8A" w:rsidP="00E72A8A">
            <w:pPr>
              <w:jc w:val="center"/>
              <w:rPr>
                <w:sz w:val="20"/>
                <w:szCs w:val="20"/>
              </w:rPr>
            </w:pPr>
            <w:r>
              <w:rPr>
                <w:sz w:val="20"/>
                <w:szCs w:val="20"/>
              </w:rPr>
              <w:t xml:space="preserve">2 628 </w:t>
            </w:r>
            <w:r w:rsidR="00EF4CD0">
              <w:rPr>
                <w:sz w:val="20"/>
                <w:szCs w:val="20"/>
              </w:rPr>
              <w:t>$</w:t>
            </w:r>
          </w:p>
        </w:tc>
        <w:tc>
          <w:tcPr>
            <w:tcW w:w="4536" w:type="dxa"/>
            <w:tcBorders>
              <w:top w:val="nil"/>
              <w:left w:val="nil"/>
              <w:bottom w:val="nil"/>
              <w:right w:val="nil"/>
            </w:tcBorders>
            <w:shd w:val="clear" w:color="auto" w:fill="3366FF"/>
          </w:tcPr>
          <w:p w14:paraId="17BDC177" w14:textId="7ED94E1A" w:rsidR="00EF4CD0" w:rsidRPr="00E72A8A" w:rsidRDefault="00E72A8A" w:rsidP="00E72A8A">
            <w:pPr>
              <w:rPr>
                <w:color w:val="FFFFFF" w:themeColor="background1"/>
                <w:sz w:val="20"/>
                <w:szCs w:val="20"/>
              </w:rPr>
            </w:pPr>
            <w:r>
              <w:rPr>
                <w:color w:val="FFFFFF" w:themeColor="background1"/>
                <w:sz w:val="20"/>
                <w:szCs w:val="20"/>
              </w:rPr>
              <w:t>Intérêts après 4 années</w:t>
            </w:r>
          </w:p>
        </w:tc>
        <w:tc>
          <w:tcPr>
            <w:tcW w:w="993" w:type="dxa"/>
            <w:tcBorders>
              <w:top w:val="nil"/>
              <w:left w:val="nil"/>
              <w:bottom w:val="nil"/>
              <w:right w:val="nil"/>
            </w:tcBorders>
            <w:shd w:val="clear" w:color="auto" w:fill="D9D9D9" w:themeFill="background1" w:themeFillShade="D9"/>
          </w:tcPr>
          <w:p w14:paraId="65B39FC9" w14:textId="2AF4070E" w:rsidR="00EF4CD0" w:rsidRPr="00F51F10" w:rsidRDefault="00E72A8A" w:rsidP="00EF4CD0">
            <w:pPr>
              <w:jc w:val="center"/>
              <w:rPr>
                <w:sz w:val="20"/>
                <w:szCs w:val="20"/>
              </w:rPr>
            </w:pPr>
            <w:r>
              <w:rPr>
                <w:sz w:val="20"/>
                <w:szCs w:val="20"/>
              </w:rPr>
              <w:t>0</w:t>
            </w:r>
            <w:r w:rsidR="00EF4CD0">
              <w:rPr>
                <w:sz w:val="20"/>
                <w:szCs w:val="20"/>
              </w:rPr>
              <w:t xml:space="preserve"> $</w:t>
            </w:r>
          </w:p>
        </w:tc>
      </w:tr>
      <w:tr w:rsidR="00E72A8A" w:rsidRPr="00F51F10" w14:paraId="56E9649C" w14:textId="77777777" w:rsidTr="00593988">
        <w:tc>
          <w:tcPr>
            <w:tcW w:w="4786" w:type="dxa"/>
            <w:tcBorders>
              <w:top w:val="nil"/>
              <w:left w:val="nil"/>
              <w:bottom w:val="nil"/>
              <w:right w:val="nil"/>
            </w:tcBorders>
            <w:shd w:val="clear" w:color="auto" w:fill="3366FF"/>
          </w:tcPr>
          <w:p w14:paraId="74889B9F" w14:textId="30B3F1E1" w:rsidR="00EF4CD0" w:rsidRPr="00E72A8A" w:rsidRDefault="00E72A8A" w:rsidP="00E72A8A">
            <w:pPr>
              <w:rPr>
                <w:color w:val="FFFFFF" w:themeColor="background1"/>
                <w:sz w:val="20"/>
                <w:szCs w:val="20"/>
              </w:rPr>
            </w:pPr>
            <w:r>
              <w:rPr>
                <w:color w:val="FFFFFF" w:themeColor="background1"/>
                <w:sz w:val="20"/>
                <w:szCs w:val="20"/>
              </w:rPr>
              <w:t>Solde après 4 années</w:t>
            </w:r>
          </w:p>
        </w:tc>
        <w:tc>
          <w:tcPr>
            <w:tcW w:w="992" w:type="dxa"/>
            <w:tcBorders>
              <w:top w:val="nil"/>
              <w:left w:val="nil"/>
              <w:bottom w:val="nil"/>
              <w:right w:val="nil"/>
            </w:tcBorders>
            <w:shd w:val="clear" w:color="auto" w:fill="D9D9D9" w:themeFill="background1" w:themeFillShade="D9"/>
          </w:tcPr>
          <w:p w14:paraId="37C7201E" w14:textId="35654A9D" w:rsidR="00EF4CD0" w:rsidRPr="00F51F10" w:rsidRDefault="00E72A8A" w:rsidP="00E72A8A">
            <w:pPr>
              <w:jc w:val="center"/>
              <w:rPr>
                <w:sz w:val="20"/>
                <w:szCs w:val="20"/>
              </w:rPr>
            </w:pPr>
            <w:r>
              <w:rPr>
                <w:sz w:val="20"/>
                <w:szCs w:val="20"/>
              </w:rPr>
              <w:t>16 628</w:t>
            </w:r>
            <w:r w:rsidR="00EF4CD0">
              <w:rPr>
                <w:sz w:val="20"/>
                <w:szCs w:val="20"/>
              </w:rPr>
              <w:t xml:space="preserve"> $</w:t>
            </w:r>
          </w:p>
        </w:tc>
        <w:tc>
          <w:tcPr>
            <w:tcW w:w="4536" w:type="dxa"/>
            <w:tcBorders>
              <w:top w:val="nil"/>
              <w:left w:val="nil"/>
              <w:bottom w:val="nil"/>
              <w:right w:val="nil"/>
            </w:tcBorders>
            <w:shd w:val="clear" w:color="auto" w:fill="3366FF"/>
          </w:tcPr>
          <w:p w14:paraId="6D27F464" w14:textId="4770C49A" w:rsidR="00EF4CD0" w:rsidRPr="00E72A8A" w:rsidRDefault="00E72A8A" w:rsidP="00E72A8A">
            <w:pPr>
              <w:rPr>
                <w:color w:val="FFFFFF" w:themeColor="background1"/>
                <w:sz w:val="20"/>
                <w:szCs w:val="20"/>
              </w:rPr>
            </w:pPr>
            <w:r>
              <w:rPr>
                <w:color w:val="FFFFFF" w:themeColor="background1"/>
                <w:sz w:val="20"/>
                <w:szCs w:val="20"/>
              </w:rPr>
              <w:t>Solde après 4 années</w:t>
            </w:r>
          </w:p>
        </w:tc>
        <w:tc>
          <w:tcPr>
            <w:tcW w:w="993" w:type="dxa"/>
            <w:tcBorders>
              <w:top w:val="nil"/>
              <w:left w:val="nil"/>
              <w:bottom w:val="nil"/>
              <w:right w:val="nil"/>
            </w:tcBorders>
            <w:shd w:val="clear" w:color="auto" w:fill="D9D9D9" w:themeFill="background1" w:themeFillShade="D9"/>
          </w:tcPr>
          <w:p w14:paraId="30D783D6" w14:textId="21C81D31" w:rsidR="00EF4CD0" w:rsidRPr="00F51F10" w:rsidRDefault="00E72A8A" w:rsidP="00E72A8A">
            <w:pPr>
              <w:jc w:val="center"/>
              <w:rPr>
                <w:sz w:val="20"/>
                <w:szCs w:val="20"/>
              </w:rPr>
            </w:pPr>
            <w:r>
              <w:rPr>
                <w:sz w:val="20"/>
                <w:szCs w:val="20"/>
              </w:rPr>
              <w:t>14 000 $</w:t>
            </w:r>
          </w:p>
        </w:tc>
      </w:tr>
      <w:tr w:rsidR="00E72A8A" w:rsidRPr="00F51F10" w14:paraId="45ECC5FC" w14:textId="77777777" w:rsidTr="00593988">
        <w:tc>
          <w:tcPr>
            <w:tcW w:w="4786" w:type="dxa"/>
            <w:tcBorders>
              <w:top w:val="nil"/>
              <w:left w:val="nil"/>
              <w:bottom w:val="nil"/>
              <w:right w:val="nil"/>
            </w:tcBorders>
            <w:shd w:val="clear" w:color="auto" w:fill="3366FF"/>
          </w:tcPr>
          <w:p w14:paraId="52C59388" w14:textId="024147D0" w:rsidR="00EF4CD0" w:rsidRPr="00E72A8A" w:rsidRDefault="00E72A8A" w:rsidP="00E72A8A">
            <w:pPr>
              <w:rPr>
                <w:color w:val="FFFFFF" w:themeColor="background1"/>
                <w:sz w:val="20"/>
                <w:szCs w:val="20"/>
              </w:rPr>
            </w:pPr>
            <w:r>
              <w:rPr>
                <w:color w:val="FFFFFF" w:themeColor="background1"/>
                <w:sz w:val="20"/>
                <w:szCs w:val="20"/>
              </w:rPr>
              <w:t>Virements mensuels au prêt étudiant (120 mois)</w:t>
            </w:r>
          </w:p>
        </w:tc>
        <w:tc>
          <w:tcPr>
            <w:tcW w:w="992" w:type="dxa"/>
            <w:tcBorders>
              <w:top w:val="nil"/>
              <w:left w:val="nil"/>
              <w:bottom w:val="nil"/>
              <w:right w:val="nil"/>
            </w:tcBorders>
            <w:shd w:val="clear" w:color="auto" w:fill="D9D9D9" w:themeFill="background1" w:themeFillShade="D9"/>
          </w:tcPr>
          <w:p w14:paraId="00B9A09A" w14:textId="3257E1E1" w:rsidR="00EF4CD0" w:rsidRPr="00F51F10" w:rsidRDefault="00E72A8A" w:rsidP="00E72A8A">
            <w:pPr>
              <w:jc w:val="center"/>
              <w:rPr>
                <w:sz w:val="20"/>
                <w:szCs w:val="20"/>
              </w:rPr>
            </w:pPr>
            <w:r>
              <w:rPr>
                <w:sz w:val="20"/>
                <w:szCs w:val="20"/>
              </w:rPr>
              <w:t>129,59 $</w:t>
            </w:r>
          </w:p>
        </w:tc>
        <w:tc>
          <w:tcPr>
            <w:tcW w:w="4536" w:type="dxa"/>
            <w:tcBorders>
              <w:top w:val="nil"/>
              <w:left w:val="nil"/>
              <w:bottom w:val="nil"/>
              <w:right w:val="nil"/>
            </w:tcBorders>
            <w:shd w:val="clear" w:color="auto" w:fill="3366FF"/>
          </w:tcPr>
          <w:p w14:paraId="6C52DF67" w14:textId="15C30C55" w:rsidR="00EF4CD0" w:rsidRPr="00E72A8A" w:rsidRDefault="00E72A8A" w:rsidP="00E72A8A">
            <w:pPr>
              <w:rPr>
                <w:color w:val="FFFFFF" w:themeColor="background1"/>
                <w:sz w:val="20"/>
                <w:szCs w:val="20"/>
              </w:rPr>
            </w:pPr>
            <w:r>
              <w:rPr>
                <w:color w:val="FFFFFF" w:themeColor="background1"/>
                <w:sz w:val="20"/>
                <w:szCs w:val="20"/>
              </w:rPr>
              <w:t>Remboursements mensuels (120 mois)</w:t>
            </w:r>
          </w:p>
        </w:tc>
        <w:tc>
          <w:tcPr>
            <w:tcW w:w="993" w:type="dxa"/>
            <w:tcBorders>
              <w:top w:val="nil"/>
              <w:left w:val="nil"/>
              <w:bottom w:val="nil"/>
              <w:right w:val="nil"/>
            </w:tcBorders>
            <w:shd w:val="clear" w:color="auto" w:fill="D9D9D9" w:themeFill="background1" w:themeFillShade="D9"/>
          </w:tcPr>
          <w:p w14:paraId="425159BF" w14:textId="3D513E8A" w:rsidR="00EF4CD0" w:rsidRPr="00F51F10" w:rsidRDefault="00E72A8A" w:rsidP="00E72A8A">
            <w:pPr>
              <w:jc w:val="center"/>
              <w:rPr>
                <w:sz w:val="20"/>
                <w:szCs w:val="20"/>
              </w:rPr>
            </w:pPr>
            <w:r>
              <w:rPr>
                <w:sz w:val="20"/>
                <w:szCs w:val="20"/>
              </w:rPr>
              <w:t>129,59 $</w:t>
            </w:r>
          </w:p>
        </w:tc>
      </w:tr>
      <w:tr w:rsidR="00E72A8A" w:rsidRPr="00F51F10" w14:paraId="4A84B911" w14:textId="77777777" w:rsidTr="00593988">
        <w:tc>
          <w:tcPr>
            <w:tcW w:w="4786" w:type="dxa"/>
            <w:tcBorders>
              <w:top w:val="nil"/>
              <w:left w:val="nil"/>
              <w:bottom w:val="nil"/>
              <w:right w:val="nil"/>
            </w:tcBorders>
            <w:shd w:val="clear" w:color="auto" w:fill="3366FF"/>
          </w:tcPr>
          <w:p w14:paraId="277426F8" w14:textId="6FCC1EBC" w:rsidR="00EF4CD0" w:rsidRPr="00E72A8A" w:rsidRDefault="008027B9" w:rsidP="00EF4CD0">
            <w:pPr>
              <w:rPr>
                <w:color w:val="FFFFFF" w:themeColor="background1"/>
                <w:sz w:val="20"/>
                <w:szCs w:val="20"/>
              </w:rPr>
            </w:pPr>
            <w:r>
              <w:rPr>
                <w:color w:val="FFFFFF" w:themeColor="background1"/>
                <w:sz w:val="20"/>
                <w:szCs w:val="20"/>
              </w:rPr>
              <w:t>Solde après 14 années</w:t>
            </w:r>
          </w:p>
        </w:tc>
        <w:tc>
          <w:tcPr>
            <w:tcW w:w="992" w:type="dxa"/>
            <w:tcBorders>
              <w:top w:val="nil"/>
              <w:left w:val="nil"/>
              <w:bottom w:val="nil"/>
              <w:right w:val="nil"/>
            </w:tcBorders>
            <w:shd w:val="clear" w:color="auto" w:fill="D9D9D9" w:themeFill="background1" w:themeFillShade="D9"/>
          </w:tcPr>
          <w:p w14:paraId="2E07CA71" w14:textId="7465DB04" w:rsidR="00EF4CD0" w:rsidRPr="00F51F10" w:rsidRDefault="00BD63F2" w:rsidP="00BD63F2">
            <w:pPr>
              <w:jc w:val="center"/>
              <w:rPr>
                <w:sz w:val="20"/>
                <w:szCs w:val="20"/>
              </w:rPr>
            </w:pPr>
            <w:r>
              <w:rPr>
                <w:sz w:val="20"/>
                <w:szCs w:val="20"/>
              </w:rPr>
              <w:t>12 117 $</w:t>
            </w:r>
          </w:p>
        </w:tc>
        <w:tc>
          <w:tcPr>
            <w:tcW w:w="4536" w:type="dxa"/>
            <w:tcBorders>
              <w:top w:val="nil"/>
              <w:left w:val="nil"/>
              <w:bottom w:val="nil"/>
              <w:right w:val="nil"/>
            </w:tcBorders>
            <w:shd w:val="clear" w:color="auto" w:fill="3366FF"/>
          </w:tcPr>
          <w:p w14:paraId="7BEE1C6D" w14:textId="04C40491" w:rsidR="00EF4CD0" w:rsidRPr="00E72A8A" w:rsidRDefault="008027B9" w:rsidP="00EF4CD0">
            <w:pPr>
              <w:rPr>
                <w:color w:val="FFFFFF" w:themeColor="background1"/>
                <w:sz w:val="20"/>
                <w:szCs w:val="20"/>
              </w:rPr>
            </w:pPr>
            <w:r>
              <w:rPr>
                <w:color w:val="FFFFFF" w:themeColor="background1"/>
                <w:sz w:val="20"/>
                <w:szCs w:val="20"/>
              </w:rPr>
              <w:t>Solde après 14 années</w:t>
            </w:r>
          </w:p>
        </w:tc>
        <w:tc>
          <w:tcPr>
            <w:tcW w:w="993" w:type="dxa"/>
            <w:tcBorders>
              <w:top w:val="nil"/>
              <w:left w:val="nil"/>
              <w:bottom w:val="nil"/>
              <w:right w:val="nil"/>
            </w:tcBorders>
            <w:shd w:val="clear" w:color="auto" w:fill="D9D9D9" w:themeFill="background1" w:themeFillShade="D9"/>
          </w:tcPr>
          <w:p w14:paraId="78C57775" w14:textId="2A48BEC5" w:rsidR="00EF4CD0" w:rsidRPr="00F51F10" w:rsidRDefault="008027B9" w:rsidP="008027B9">
            <w:pPr>
              <w:jc w:val="center"/>
              <w:rPr>
                <w:sz w:val="20"/>
                <w:szCs w:val="20"/>
              </w:rPr>
            </w:pPr>
            <w:r>
              <w:rPr>
                <w:sz w:val="20"/>
                <w:szCs w:val="20"/>
              </w:rPr>
              <w:t>0 $</w:t>
            </w:r>
          </w:p>
        </w:tc>
      </w:tr>
    </w:tbl>
    <w:p w14:paraId="51F1508D" w14:textId="77777777" w:rsidR="009A2AD5" w:rsidRDefault="009A2AD5"/>
    <w:p w14:paraId="31AC1B8C" w14:textId="77777777" w:rsidR="009A2AD5" w:rsidRDefault="009A2AD5"/>
    <w:p w14:paraId="32A99A09" w14:textId="77777777" w:rsidR="009A2AD5" w:rsidRDefault="009A2AD5"/>
    <w:p w14:paraId="2F870C62" w14:textId="77777777" w:rsidR="009A2AD5" w:rsidRDefault="009A2AD5"/>
    <w:p w14:paraId="0275DBF2" w14:textId="77777777" w:rsidR="009A2AD5" w:rsidRDefault="009A2AD5"/>
    <w:p w14:paraId="04F34973" w14:textId="77777777" w:rsidR="00EF4CD0" w:rsidRDefault="00EF4CD0" w:rsidP="00EF4CD0">
      <w:r>
        <w:t>Voici l'accroissement de la valeur nette de Charlotte après 14 années</w:t>
      </w:r>
    </w:p>
    <w:p w14:paraId="653764C1" w14:textId="77777777" w:rsidR="00EB1927" w:rsidRDefault="00EB1927"/>
    <w:p w14:paraId="7E83724E" w14:textId="77777777" w:rsidR="009A2AD5" w:rsidRDefault="009A2AD5"/>
    <w:p w14:paraId="13C51EAA" w14:textId="77777777" w:rsidR="009A2AD5" w:rsidRDefault="009A2AD5"/>
    <w:p w14:paraId="0C3621C6" w14:textId="77777777" w:rsidR="009A2AD5" w:rsidRDefault="009A2AD5"/>
    <w:p w14:paraId="13BA5D62" w14:textId="77777777" w:rsidR="009A2AD5" w:rsidRDefault="009A2AD5"/>
    <w:p w14:paraId="6F9D31C5" w14:textId="77777777" w:rsidR="009A2AD5" w:rsidRDefault="009A2AD5"/>
    <w:p w14:paraId="7C8B431B" w14:textId="77777777" w:rsidR="009A2AD5" w:rsidRDefault="009A2AD5"/>
    <w:p w14:paraId="059A5C6C" w14:textId="77777777" w:rsidR="009A2AD5" w:rsidRDefault="009A2AD5"/>
    <w:p w14:paraId="33207BF9" w14:textId="77777777" w:rsidR="009A2AD5" w:rsidRDefault="009A2AD5"/>
    <w:p w14:paraId="0040CB24" w14:textId="0088C74F" w:rsidR="009A2AD5" w:rsidRDefault="00906BDB" w:rsidP="00906BDB">
      <w:pPr>
        <w:jc w:val="both"/>
      </w:pPr>
      <w:r>
        <w:t>Par l'effet de levier, Charlotte a augmenté sa valeur nette de 12 117$ sur une période de 14 années. Une stratégie plus conservatrice aurait permis à Charlotte d'accumuler 2 628 $ après les quatre premières années en remboursant le prêt étudiant au moment où les intérêts devenaient à sa charge.</w:t>
      </w:r>
      <w:r w:rsidR="007B23FE">
        <w:t xml:space="preserve"> Nous avons utilisé le tableur Excel pour déterminer la valeur du CÉLI après 14 années en y intégrant les remboursements du prêt étudiant. Pour le prêt étudiant, nous avons utilisé un taux, après effet des crédits d'impôt de 2,16 % (3,2 % * 67,5 %). </w:t>
      </w:r>
    </w:p>
    <w:p w14:paraId="232CB57D" w14:textId="1C342B00" w:rsidR="00527AEF" w:rsidRDefault="00527AEF" w:rsidP="006C34CF">
      <w:pPr>
        <w:pStyle w:val="Titre3"/>
        <w:numPr>
          <w:ilvl w:val="2"/>
          <w:numId w:val="101"/>
        </w:numPr>
      </w:pPr>
      <w:bookmarkStart w:id="161" w:name="_Toc314397887"/>
      <w:bookmarkStart w:id="162" w:name="_Toc443569431"/>
      <w:r>
        <w:lastRenderedPageBreak/>
        <w:t xml:space="preserve">Pour en finir avec le duel </w:t>
      </w:r>
      <w:r w:rsidR="00365684">
        <w:t xml:space="preserve">du </w:t>
      </w:r>
      <w:r>
        <w:t>REÉR et</w:t>
      </w:r>
      <w:r w:rsidR="00365684">
        <w:t xml:space="preserve"> du</w:t>
      </w:r>
      <w:r>
        <w:t xml:space="preserve"> remboursement de l'hypothèque</w:t>
      </w:r>
      <w:bookmarkEnd w:id="161"/>
      <w:bookmarkEnd w:id="162"/>
    </w:p>
    <w:p w14:paraId="48624E68" w14:textId="77777777" w:rsidR="00F13F86" w:rsidRDefault="00F13F86" w:rsidP="00F13F86"/>
    <w:p w14:paraId="77503A0E" w14:textId="5EE40D68" w:rsidR="00375F80" w:rsidRDefault="00B81985" w:rsidP="0012306D">
      <w:pPr>
        <w:jc w:val="both"/>
      </w:pPr>
      <w:r>
        <w:t>Malgré les principes d’optimisation que nous venons tout juste de présenter</w:t>
      </w:r>
      <w:r w:rsidR="0012306D">
        <w:t xml:space="preserve"> et</w:t>
      </w:r>
      <w:r>
        <w:t xml:space="preserve"> qui visent ultimement à comparer les taux applicables aux placements et aux dettes (en tenant compte de diverses hypothèses), il subsiste dans le discours de plusieurs conseillers financiers une large part de</w:t>
      </w:r>
      <w:r w:rsidR="0012306D">
        <w:t xml:space="preserve"> propos s</w:t>
      </w:r>
      <w:r w:rsidR="006701B4">
        <w:t>e</w:t>
      </w:r>
      <w:r w:rsidR="0012306D">
        <w:t xml:space="preserve">mant la confusion auprès de la population en général. Un exemple de ces  </w:t>
      </w:r>
      <w:r w:rsidR="00AA5D72">
        <w:t>conseils</w:t>
      </w:r>
      <w:r w:rsidR="0012306D">
        <w:t xml:space="preserve">  </w:t>
      </w:r>
      <w:r w:rsidR="00AA5D72">
        <w:t xml:space="preserve">confondants est la fameuse stratégie hybride qui vise à </w:t>
      </w:r>
      <w:r w:rsidR="0012306D">
        <w:t>pr</w:t>
      </w:r>
      <w:r w:rsidR="00AA5D72">
        <w:t>ioriser la cotisation au REÉR afin de bénéf</w:t>
      </w:r>
      <w:r w:rsidR="006701B4">
        <w:t>i</w:t>
      </w:r>
      <w:r w:rsidR="00AA5D72">
        <w:t>cier d’un remboursement d’impôt qui sera par la suite utilisé pour effectuer un remboursement anticipé du prêt hypothécaire. Cette idée qui peut être séduisante par l’impression de complémentarité qu’elle laisse (« faire deux pierres d’</w:t>
      </w:r>
      <w:r w:rsidR="006701B4">
        <w:t>u</w:t>
      </w:r>
      <w:r w:rsidR="00AA5D72">
        <w:t>n coup ») bafoue tout principe logique d’optimisation. Soit</w:t>
      </w:r>
      <w:r w:rsidR="006701B4">
        <w:t>,</w:t>
      </w:r>
      <w:r w:rsidR="00AA5D72">
        <w:t xml:space="preserve"> le meilleur choix est de rembourser l’hypothèque, soit le meilleur choix est de contribuer au REÉR</w:t>
      </w:r>
      <w:r w:rsidR="00365684">
        <w:t xml:space="preserve">, mais la solution ne devrait pas être un peu des deux. </w:t>
      </w:r>
      <w:r>
        <w:t xml:space="preserve"> </w:t>
      </w:r>
    </w:p>
    <w:p w14:paraId="070710EA" w14:textId="77777777" w:rsidR="003568C7" w:rsidRDefault="003568C7" w:rsidP="00365684">
      <w:pPr>
        <w:rPr>
          <w:color w:val="FF6700" w:themeColor="accent3"/>
        </w:rPr>
      </w:pPr>
    </w:p>
    <w:p w14:paraId="58B14809" w14:textId="521273AC" w:rsidR="00365684" w:rsidRDefault="00365684" w:rsidP="00365684">
      <w:pPr>
        <w:rPr>
          <w:color w:val="FF6700" w:themeColor="accent3"/>
        </w:rPr>
      </w:pPr>
      <w:r w:rsidRPr="00611FEC">
        <w:rPr>
          <w:color w:val="FF6700" w:themeColor="accent3"/>
        </w:rPr>
        <w:t>EXEMPLE 7-</w:t>
      </w:r>
      <w:r>
        <w:rPr>
          <w:color w:val="FF6700" w:themeColor="accent3"/>
        </w:rPr>
        <w:t>20</w:t>
      </w:r>
    </w:p>
    <w:p w14:paraId="24257111" w14:textId="77777777" w:rsidR="00365684" w:rsidRDefault="00365684" w:rsidP="00365684"/>
    <w:p w14:paraId="2177B3CD" w14:textId="77777777" w:rsidR="00365684" w:rsidRDefault="00365684" w:rsidP="00365684">
      <w:pPr>
        <w:jc w:val="both"/>
      </w:pPr>
      <w:r>
        <w:t>Comparons trois scénarios où le contribuable aurait le choix entre :</w:t>
      </w:r>
    </w:p>
    <w:p w14:paraId="3ECA28C6" w14:textId="546550B3" w:rsidR="00E259F5" w:rsidRDefault="00962B39" w:rsidP="00365684">
      <w:pPr>
        <w:jc w:val="both"/>
      </w:pPr>
      <w:r>
        <w:rPr>
          <w:noProof/>
          <w:lang w:eastAsia="fr-FR"/>
        </w:rPr>
        <mc:AlternateContent>
          <mc:Choice Requires="wps">
            <w:drawing>
              <wp:anchor distT="0" distB="0" distL="114300" distR="114300" simplePos="0" relativeHeight="253161472" behindDoc="0" locked="0" layoutInCell="1" allowOverlap="1" wp14:anchorId="415C396A" wp14:editId="4DD5C868">
                <wp:simplePos x="0" y="0"/>
                <wp:positionH relativeFrom="column">
                  <wp:posOffset>-342900</wp:posOffset>
                </wp:positionH>
                <wp:positionV relativeFrom="paragraph">
                  <wp:posOffset>80645</wp:posOffset>
                </wp:positionV>
                <wp:extent cx="457200" cy="457200"/>
                <wp:effectExtent l="76200" t="76200" r="50800" b="76200"/>
                <wp:wrapNone/>
                <wp:docPr id="810" name="Ellipse 81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D219CD8" w14:textId="02E1D478" w:rsidR="00573C95" w:rsidRPr="00BB5676" w:rsidRDefault="00573C95" w:rsidP="00451A9E">
                            <w:pPr>
                              <w:jc w:val="center"/>
                              <w:rPr>
                                <w:sz w:val="32"/>
                                <w:szCs w:val="32"/>
                              </w:rPr>
                            </w:pPr>
                            <w:r>
                              <w:rPr>
                                <w:sz w:val="32"/>
                                <w:szCs w:val="32"/>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10" o:spid="_x0000_s1560" style="position:absolute;left:0;text-align:left;margin-left:-26.95pt;margin-top:6.35pt;width:36pt;height:36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" fillcolor="#517151" strokecolor="black [3213]">
                <v:textbox>
                  <w:txbxContent>
                    <w:p w14:paraId="2D219CD8" w14:textId="02E1D478" w:rsidR="001501D6" w:rsidRPr="00BB5676" w:rsidRDefault="001501D6" w:rsidP="00451A9E">
                      <w:pPr>
                        <w:jc w:val="center"/>
                        <w:rPr>
                          <w:sz w:val="32"/>
                          <w:szCs w:val="32"/>
                        </w:rPr>
                      </w:pPr>
                      <w:r>
                        <w:rPr>
                          <w:sz w:val="32"/>
                          <w:szCs w:val="32"/>
                        </w:rPr>
                        <w:t>1</w:t>
                      </w:r>
                    </w:p>
                  </w:txbxContent>
                </v:textbox>
              </v:oval>
            </w:pict>
          </mc:Fallback>
        </mc:AlternateContent>
      </w:r>
    </w:p>
    <w:p w14:paraId="271649C8" w14:textId="00F871B8" w:rsidR="00365684" w:rsidRDefault="00365684" w:rsidP="00E259F5">
      <w:pPr>
        <w:jc w:val="both"/>
      </w:pPr>
      <w:r>
        <w:tab/>
        <w:t>Verser un montant de 10 000 $ épargné dans un REÉR et</w:t>
      </w:r>
      <w:r w:rsidR="00962B39">
        <w:t xml:space="preserve">, par la suite, </w:t>
      </w:r>
      <w:r>
        <w:t>utiliser le remboursement pour</w:t>
      </w:r>
      <w:r w:rsidR="00962B39">
        <w:tab/>
        <w:t>e</w:t>
      </w:r>
      <w:r>
        <w:t>ffectuer un placement dans un CÉLI.</w:t>
      </w:r>
    </w:p>
    <w:p w14:paraId="02BB6A05" w14:textId="177D0629" w:rsidR="00451A9E" w:rsidRDefault="00451A9E">
      <w:r>
        <w:rPr>
          <w:noProof/>
          <w:lang w:eastAsia="fr-FR"/>
        </w:rPr>
        <mc:AlternateContent>
          <mc:Choice Requires="wps">
            <w:drawing>
              <wp:anchor distT="0" distB="0" distL="114300" distR="114300" simplePos="0" relativeHeight="253163520" behindDoc="0" locked="0" layoutInCell="1" allowOverlap="1" wp14:anchorId="44DB4857" wp14:editId="55137057">
                <wp:simplePos x="0" y="0"/>
                <wp:positionH relativeFrom="column">
                  <wp:posOffset>-342900</wp:posOffset>
                </wp:positionH>
                <wp:positionV relativeFrom="paragraph">
                  <wp:posOffset>19050</wp:posOffset>
                </wp:positionV>
                <wp:extent cx="470263" cy="457200"/>
                <wp:effectExtent l="76200" t="76200" r="38100" b="76200"/>
                <wp:wrapNone/>
                <wp:docPr id="812" name="Ellipse 812"/>
                <wp:cNvGraphicFramePr/>
                <a:graphic xmlns:a="http://schemas.openxmlformats.org/drawingml/2006/main">
                  <a:graphicData uri="http://schemas.microsoft.com/office/word/2010/wordprocessingShape">
                    <wps:wsp>
                      <wps:cNvSpPr/>
                      <wps:spPr>
                        <a:xfrm>
                          <a:off x="0" y="0"/>
                          <a:ext cx="470263"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960A018" w14:textId="07111EC3" w:rsidR="00573C95" w:rsidRPr="00BB5676" w:rsidRDefault="00573C95" w:rsidP="00451A9E">
                            <w:pPr>
                              <w:jc w:val="center"/>
                              <w:rPr>
                                <w:sz w:val="32"/>
                                <w:szCs w:val="32"/>
                              </w:rPr>
                            </w:pPr>
                            <w:r>
                              <w:rPr>
                                <w:sz w:val="32"/>
                                <w:szCs w:val="32"/>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12" o:spid="_x0000_s1561" style="position:absolute;margin-left:-26.95pt;margin-top:1.5pt;width:37.05pt;height:36p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" fillcolor="#517151" strokecolor="black [3213]">
                <v:textbox>
                  <w:txbxContent>
                    <w:p w14:paraId="1960A018" w14:textId="07111EC3" w:rsidR="001501D6" w:rsidRPr="00BB5676" w:rsidRDefault="001501D6" w:rsidP="00451A9E">
                      <w:pPr>
                        <w:jc w:val="center"/>
                        <w:rPr>
                          <w:sz w:val="32"/>
                          <w:szCs w:val="32"/>
                        </w:rPr>
                      </w:pPr>
                      <w:r>
                        <w:rPr>
                          <w:sz w:val="32"/>
                          <w:szCs w:val="32"/>
                        </w:rPr>
                        <w:t>2</w:t>
                      </w:r>
                    </w:p>
                  </w:txbxContent>
                </v:textbox>
              </v:oval>
            </w:pict>
          </mc:Fallback>
        </mc:AlternateContent>
      </w:r>
    </w:p>
    <w:p w14:paraId="18E096DA" w14:textId="1A536630" w:rsidR="00365684" w:rsidRDefault="00365684" w:rsidP="00E259F5">
      <w:pPr>
        <w:jc w:val="both"/>
      </w:pPr>
      <w:r>
        <w:tab/>
        <w:t>Verser un montant de 10 000 $ épargné dans un REÉR et</w:t>
      </w:r>
      <w:r w:rsidR="00962B39">
        <w:t>, par la suite,</w:t>
      </w:r>
      <w:r>
        <w:t xml:space="preserve"> utiliser le remboursement pour </w:t>
      </w:r>
      <w:r w:rsidR="00962B39">
        <w:tab/>
      </w:r>
      <w:r>
        <w:t>effectuer un remboursement anticipé du prêt hypothécaire.</w:t>
      </w:r>
    </w:p>
    <w:p w14:paraId="20C589F1" w14:textId="12F612E5" w:rsidR="00365684" w:rsidRDefault="00451A9E">
      <w:r>
        <w:rPr>
          <w:noProof/>
          <w:lang w:eastAsia="fr-FR"/>
        </w:rPr>
        <mc:AlternateContent>
          <mc:Choice Requires="wps">
            <w:drawing>
              <wp:anchor distT="0" distB="0" distL="114300" distR="114300" simplePos="0" relativeHeight="253165568" behindDoc="0" locked="0" layoutInCell="1" allowOverlap="1" wp14:anchorId="6DBD34E3" wp14:editId="053F8AC6">
                <wp:simplePos x="0" y="0"/>
                <wp:positionH relativeFrom="column">
                  <wp:posOffset>-342900</wp:posOffset>
                </wp:positionH>
                <wp:positionV relativeFrom="paragraph">
                  <wp:posOffset>71755</wp:posOffset>
                </wp:positionV>
                <wp:extent cx="469900" cy="457200"/>
                <wp:effectExtent l="76200" t="76200" r="38100" b="76200"/>
                <wp:wrapNone/>
                <wp:docPr id="813" name="Ellipse 813"/>
                <wp:cNvGraphicFramePr/>
                <a:graphic xmlns:a="http://schemas.openxmlformats.org/drawingml/2006/main">
                  <a:graphicData uri="http://schemas.microsoft.com/office/word/2010/wordprocessingShape">
                    <wps:wsp>
                      <wps:cNvSpPr/>
                      <wps:spPr>
                        <a:xfrm>
                          <a:off x="0" y="0"/>
                          <a:ext cx="469900"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7698299" w14:textId="43574DD2" w:rsidR="00573C95" w:rsidRPr="00BB5676" w:rsidRDefault="00573C95" w:rsidP="00451A9E">
                            <w:pPr>
                              <w:jc w:val="center"/>
                              <w:rPr>
                                <w:sz w:val="32"/>
                                <w:szCs w:val="32"/>
                              </w:rPr>
                            </w:pPr>
                            <w:r>
                              <w:rPr>
                                <w:sz w:val="32"/>
                                <w:szCs w:val="32"/>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13" o:spid="_x0000_s1562" style="position:absolute;margin-left:-26.95pt;margin-top:5.65pt;width:37pt;height:36pt;z-index:2531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" fillcolor="#517151" strokecolor="black [3213]">
                <v:textbox>
                  <w:txbxContent>
                    <w:p w14:paraId="07698299" w14:textId="43574DD2" w:rsidR="001501D6" w:rsidRPr="00BB5676" w:rsidRDefault="001501D6" w:rsidP="00451A9E">
                      <w:pPr>
                        <w:jc w:val="center"/>
                        <w:rPr>
                          <w:sz w:val="32"/>
                          <w:szCs w:val="32"/>
                        </w:rPr>
                      </w:pPr>
                      <w:r>
                        <w:rPr>
                          <w:sz w:val="32"/>
                          <w:szCs w:val="32"/>
                        </w:rPr>
                        <w:t>3</w:t>
                      </w:r>
                    </w:p>
                  </w:txbxContent>
                </v:textbox>
              </v:oval>
            </w:pict>
          </mc:Fallback>
        </mc:AlternateContent>
      </w:r>
      <w:r w:rsidR="00365684">
        <w:tab/>
      </w:r>
    </w:p>
    <w:tbl>
      <w:tblPr>
        <w:tblStyle w:val="Grille"/>
        <w:tblpPr w:leftFromText="141" w:rightFromText="141" w:vertAnchor="page" w:horzAnchor="page" w:tblpX="5126" w:tblpY="84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3117"/>
      </w:tblGrid>
      <w:tr w:rsidR="003568C7" w14:paraId="5E678566" w14:textId="77777777" w:rsidTr="007D4F25">
        <w:tc>
          <w:tcPr>
            <w:tcW w:w="5070" w:type="dxa"/>
            <w:shd w:val="clear" w:color="auto" w:fill="FF6700" w:themeFill="accent3"/>
          </w:tcPr>
          <w:p w14:paraId="3C5947EA" w14:textId="77777777" w:rsidR="003568C7" w:rsidRDefault="003568C7" w:rsidP="003568C7">
            <w:r>
              <w:t>Âge</w:t>
            </w:r>
          </w:p>
        </w:tc>
        <w:tc>
          <w:tcPr>
            <w:tcW w:w="3117" w:type="dxa"/>
            <w:shd w:val="clear" w:color="auto" w:fill="7CADD1"/>
          </w:tcPr>
          <w:p w14:paraId="4828C056" w14:textId="77777777" w:rsidR="003568C7" w:rsidRDefault="003568C7" w:rsidP="003568C7">
            <w:r>
              <w:t>40 ans</w:t>
            </w:r>
          </w:p>
        </w:tc>
      </w:tr>
      <w:tr w:rsidR="003568C7" w14:paraId="0A50DB85" w14:textId="77777777" w:rsidTr="007D4F25">
        <w:tc>
          <w:tcPr>
            <w:tcW w:w="5070" w:type="dxa"/>
            <w:shd w:val="clear" w:color="auto" w:fill="FF6700" w:themeFill="accent3"/>
          </w:tcPr>
          <w:p w14:paraId="447571F2" w14:textId="77777777" w:rsidR="003568C7" w:rsidRDefault="003568C7" w:rsidP="003568C7">
            <w:r>
              <w:t>Revenu actuel</w:t>
            </w:r>
          </w:p>
        </w:tc>
        <w:tc>
          <w:tcPr>
            <w:tcW w:w="3117" w:type="dxa"/>
            <w:shd w:val="clear" w:color="auto" w:fill="7CADD1"/>
          </w:tcPr>
          <w:p w14:paraId="68A12D39" w14:textId="77777777" w:rsidR="003568C7" w:rsidRDefault="003568C7" w:rsidP="003568C7">
            <w:r>
              <w:t>80 000 $</w:t>
            </w:r>
          </w:p>
        </w:tc>
      </w:tr>
      <w:tr w:rsidR="003568C7" w14:paraId="0F77A072" w14:textId="77777777" w:rsidTr="007D4F25">
        <w:tc>
          <w:tcPr>
            <w:tcW w:w="5070" w:type="dxa"/>
            <w:shd w:val="clear" w:color="auto" w:fill="FF6700" w:themeFill="accent3"/>
          </w:tcPr>
          <w:p w14:paraId="5B0241CD" w14:textId="77777777" w:rsidR="003568C7" w:rsidRDefault="003568C7" w:rsidP="003568C7">
            <w:r>
              <w:t>Revenu anticipé retraite</w:t>
            </w:r>
          </w:p>
        </w:tc>
        <w:tc>
          <w:tcPr>
            <w:tcW w:w="3117" w:type="dxa"/>
            <w:shd w:val="clear" w:color="auto" w:fill="7CADD1"/>
          </w:tcPr>
          <w:p w14:paraId="00A33011" w14:textId="77777777" w:rsidR="003568C7" w:rsidRDefault="003568C7" w:rsidP="003568C7">
            <w:r>
              <w:t>100 % du revenu actuel</w:t>
            </w:r>
          </w:p>
        </w:tc>
      </w:tr>
      <w:tr w:rsidR="003568C7" w14:paraId="2398C4E3" w14:textId="77777777" w:rsidTr="007D4F25">
        <w:tc>
          <w:tcPr>
            <w:tcW w:w="5070" w:type="dxa"/>
            <w:shd w:val="clear" w:color="auto" w:fill="FF6700" w:themeFill="accent3"/>
          </w:tcPr>
          <w:p w14:paraId="7B52E597" w14:textId="77777777" w:rsidR="003568C7" w:rsidRDefault="003568C7" w:rsidP="003568C7">
            <w:r>
              <w:t>Solde hypothécaire</w:t>
            </w:r>
          </w:p>
        </w:tc>
        <w:tc>
          <w:tcPr>
            <w:tcW w:w="3117" w:type="dxa"/>
            <w:shd w:val="clear" w:color="auto" w:fill="7CADD1"/>
          </w:tcPr>
          <w:p w14:paraId="363ED5B1" w14:textId="77777777" w:rsidR="003568C7" w:rsidRDefault="003568C7" w:rsidP="003568C7">
            <w:r>
              <w:t>150 000 $</w:t>
            </w:r>
          </w:p>
        </w:tc>
      </w:tr>
      <w:tr w:rsidR="003568C7" w14:paraId="64A0CB71" w14:textId="77777777" w:rsidTr="007D4F25">
        <w:tc>
          <w:tcPr>
            <w:tcW w:w="5070" w:type="dxa"/>
            <w:shd w:val="clear" w:color="auto" w:fill="FF6700" w:themeFill="accent3"/>
          </w:tcPr>
          <w:p w14:paraId="36C60D49" w14:textId="77777777" w:rsidR="003568C7" w:rsidRDefault="003568C7" w:rsidP="003568C7">
            <w:r>
              <w:t>Nombre de versements mensuels</w:t>
            </w:r>
          </w:p>
        </w:tc>
        <w:tc>
          <w:tcPr>
            <w:tcW w:w="3117" w:type="dxa"/>
            <w:shd w:val="clear" w:color="auto" w:fill="7CADD1"/>
          </w:tcPr>
          <w:p w14:paraId="66F874AC" w14:textId="77777777" w:rsidR="003568C7" w:rsidRDefault="003568C7" w:rsidP="003568C7">
            <w:r>
              <w:t xml:space="preserve">120 </w:t>
            </w:r>
          </w:p>
        </w:tc>
      </w:tr>
      <w:tr w:rsidR="003568C7" w14:paraId="546CAC7C" w14:textId="77777777" w:rsidTr="007D4F25">
        <w:tc>
          <w:tcPr>
            <w:tcW w:w="5070" w:type="dxa"/>
            <w:shd w:val="clear" w:color="auto" w:fill="FF6700" w:themeFill="accent3"/>
          </w:tcPr>
          <w:p w14:paraId="07A9898B" w14:textId="77777777" w:rsidR="003568C7" w:rsidRDefault="003568C7" w:rsidP="003568C7">
            <w:r>
              <w:t>Taux d’intérêt hypothèque</w:t>
            </w:r>
          </w:p>
        </w:tc>
        <w:tc>
          <w:tcPr>
            <w:tcW w:w="3117" w:type="dxa"/>
            <w:shd w:val="clear" w:color="auto" w:fill="7CADD1"/>
          </w:tcPr>
          <w:p w14:paraId="0E0E44A8" w14:textId="77777777" w:rsidR="003568C7" w:rsidRDefault="003568C7" w:rsidP="003568C7">
            <w:r>
              <w:t>4 %</w:t>
            </w:r>
          </w:p>
        </w:tc>
      </w:tr>
      <w:tr w:rsidR="003568C7" w14:paraId="6EDBF306" w14:textId="77777777" w:rsidTr="007D4F25">
        <w:tc>
          <w:tcPr>
            <w:tcW w:w="5070" w:type="dxa"/>
            <w:shd w:val="clear" w:color="auto" w:fill="FF6700" w:themeFill="accent3"/>
          </w:tcPr>
          <w:p w14:paraId="6821E783" w14:textId="77777777" w:rsidR="003568C7" w:rsidRDefault="003568C7" w:rsidP="003568C7">
            <w:r>
              <w:t>Rendement anticipé REÉR et CÉLI</w:t>
            </w:r>
          </w:p>
        </w:tc>
        <w:tc>
          <w:tcPr>
            <w:tcW w:w="3117" w:type="dxa"/>
            <w:shd w:val="clear" w:color="auto" w:fill="7CADD1"/>
          </w:tcPr>
          <w:p w14:paraId="77BB7DF4" w14:textId="77777777" w:rsidR="003568C7" w:rsidRDefault="003568C7" w:rsidP="003568C7">
            <w:r>
              <w:t>7 %</w:t>
            </w:r>
          </w:p>
        </w:tc>
      </w:tr>
    </w:tbl>
    <w:p w14:paraId="6C64812A" w14:textId="483777A7" w:rsidR="00365684" w:rsidRDefault="00365684" w:rsidP="00E259F5">
      <w:pPr>
        <w:jc w:val="both"/>
      </w:pPr>
      <w:r>
        <w:tab/>
        <w:t xml:space="preserve">Utiliser un montant de 10 000 $ épargné afin d’effectuer un remboursement anticipé du prêt </w:t>
      </w:r>
      <w:r w:rsidR="00E259F5">
        <w:tab/>
      </w:r>
      <w:r>
        <w:t>hypothécaire.</w:t>
      </w:r>
    </w:p>
    <w:p w14:paraId="479355CB" w14:textId="77777777" w:rsidR="00E259F5" w:rsidRDefault="00365684" w:rsidP="00E259F5">
      <w:pPr>
        <w:jc w:val="both"/>
      </w:pPr>
      <w:r>
        <w:tab/>
      </w:r>
    </w:p>
    <w:p w14:paraId="35208B7E" w14:textId="253D5F6C" w:rsidR="003568C7" w:rsidRDefault="00EC0014" w:rsidP="00E259F5">
      <w:pPr>
        <w:jc w:val="both"/>
      </w:pPr>
      <w:r>
        <w:rPr>
          <w:noProof/>
          <w:lang w:eastAsia="fr-FR"/>
        </w:rPr>
        <mc:AlternateContent>
          <mc:Choice Requires="wps">
            <w:drawing>
              <wp:anchor distT="0" distB="0" distL="114300" distR="114300" simplePos="0" relativeHeight="253172736" behindDoc="0" locked="0" layoutInCell="1" allowOverlap="1" wp14:anchorId="170C0067" wp14:editId="25D812B4">
                <wp:simplePos x="0" y="0"/>
                <wp:positionH relativeFrom="column">
                  <wp:posOffset>571500</wp:posOffset>
                </wp:positionH>
                <wp:positionV relativeFrom="paragraph">
                  <wp:posOffset>-635</wp:posOffset>
                </wp:positionV>
                <wp:extent cx="2286000" cy="914400"/>
                <wp:effectExtent l="0" t="0" r="0" b="0"/>
                <wp:wrapSquare wrapText="bothSides"/>
                <wp:docPr id="817" name="Zone de texte 817"/>
                <wp:cNvGraphicFramePr/>
                <a:graphic xmlns:a="http://schemas.openxmlformats.org/drawingml/2006/main">
                  <a:graphicData uri="http://schemas.microsoft.com/office/word/2010/wordprocessingShape">
                    <wps:wsp>
                      <wps:cNvSpPr txBox="1"/>
                      <wps:spPr>
                        <a:xfrm>
                          <a:off x="0" y="0"/>
                          <a:ext cx="22860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8EE1E3" w14:textId="54F5AC28" w:rsidR="00573C95" w:rsidRDefault="00573C95">
                            <w:r>
                              <w:t>LES INFORMATIONS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817" o:spid="_x0000_s1563" type="#_x0000_t202" style="position:absolute;left:0;text-align:left;margin-left:45pt;margin-top:0;width:180pt;height:1in;z-index:25317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" filled="f" stroked="f">
                <v:textbox>
                  <w:txbxContent>
                    <w:p w14:paraId="318EE1E3" w14:textId="54F5AC28" w:rsidR="001501D6" w:rsidRDefault="001501D6">
                      <w:r>
                        <w:t>LES INFORMATIONS</w:t>
                      </w:r>
                    </w:p>
                  </w:txbxContent>
                </v:textbox>
                <w10:wrap type="square"/>
              </v:shape>
            </w:pict>
          </mc:Fallback>
        </mc:AlternateContent>
      </w:r>
    </w:p>
    <w:p w14:paraId="495CFC1B" w14:textId="5ACDD3A6" w:rsidR="00E259F5" w:rsidRDefault="003568C7" w:rsidP="003568C7">
      <w:pPr>
        <w:jc w:val="both"/>
      </w:pPr>
      <w:r>
        <w:tab/>
      </w:r>
    </w:p>
    <w:p w14:paraId="5E67B089" w14:textId="77777777" w:rsidR="00B23F2E" w:rsidRDefault="00B23F2E" w:rsidP="00B23F2E">
      <w:pPr>
        <w:framePr w:hSpace="141" w:wrap="around" w:vAnchor="page" w:hAnchor="page" w:x="266" w:y="2678"/>
      </w:pPr>
    </w:p>
    <w:p w14:paraId="261D61DF" w14:textId="6DFE4718" w:rsidR="005236A2" w:rsidRDefault="00B23F2E" w:rsidP="00BA1261">
      <w:r>
        <w:t xml:space="preserve"> </w:t>
      </w:r>
    </w:p>
    <w:p w14:paraId="50407530" w14:textId="6D5DE657" w:rsidR="005236A2" w:rsidRDefault="005236A2" w:rsidP="00BA1261"/>
    <w:p w14:paraId="53DC8FB9" w14:textId="77777777" w:rsidR="005236A2" w:rsidRDefault="005236A2" w:rsidP="00BA1261"/>
    <w:p w14:paraId="4F828B84" w14:textId="3F3D6F9C" w:rsidR="005236A2" w:rsidRDefault="005236A2" w:rsidP="00BA1261"/>
    <w:tbl>
      <w:tblPr>
        <w:tblStyle w:val="Grille"/>
        <w:tblpPr w:leftFromText="141" w:rightFromText="141" w:vertAnchor="page" w:horzAnchor="page" w:tblpX="8366" w:tblpY="1418"/>
        <w:tblW w:w="74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1275"/>
      </w:tblGrid>
      <w:tr w:rsidR="007845AE" w14:paraId="6D2E611F" w14:textId="77777777" w:rsidTr="00606BF7">
        <w:tc>
          <w:tcPr>
            <w:tcW w:w="6204" w:type="dxa"/>
            <w:shd w:val="clear" w:color="auto" w:fill="000000" w:themeFill="text1"/>
          </w:tcPr>
          <w:p w14:paraId="2ED8C9D6" w14:textId="77777777" w:rsidR="007845AE" w:rsidRDefault="007845AE" w:rsidP="007845AE">
            <w:pPr>
              <w:jc w:val="center"/>
            </w:pPr>
            <w:r>
              <w:lastRenderedPageBreak/>
              <w:t>REÉR/HYPOTHÈQUE/CÉLI</w:t>
            </w:r>
          </w:p>
        </w:tc>
        <w:tc>
          <w:tcPr>
            <w:tcW w:w="1275" w:type="dxa"/>
            <w:shd w:val="clear" w:color="auto" w:fill="000000" w:themeFill="text1"/>
          </w:tcPr>
          <w:p w14:paraId="4DC3D77B" w14:textId="77777777" w:rsidR="007845AE" w:rsidRDefault="007845AE" w:rsidP="007845AE">
            <w:pPr>
              <w:jc w:val="center"/>
            </w:pPr>
            <w:r>
              <w:t>$</w:t>
            </w:r>
          </w:p>
        </w:tc>
      </w:tr>
      <w:tr w:rsidR="007845AE" w14:paraId="1BC39679" w14:textId="77777777" w:rsidTr="00606BF7">
        <w:tc>
          <w:tcPr>
            <w:tcW w:w="6204" w:type="dxa"/>
            <w:shd w:val="clear" w:color="auto" w:fill="CAEACA"/>
          </w:tcPr>
          <w:p w14:paraId="2750E17E" w14:textId="77777777" w:rsidR="007845AE" w:rsidRDefault="007845AE" w:rsidP="007845AE"/>
        </w:tc>
        <w:tc>
          <w:tcPr>
            <w:tcW w:w="1275" w:type="dxa"/>
            <w:shd w:val="clear" w:color="auto" w:fill="D9D9D9" w:themeFill="background1" w:themeFillShade="D9"/>
          </w:tcPr>
          <w:p w14:paraId="64E762BB" w14:textId="77777777" w:rsidR="007845AE" w:rsidRDefault="007845AE" w:rsidP="007845AE"/>
        </w:tc>
      </w:tr>
      <w:tr w:rsidR="007845AE" w:rsidRPr="00F51F10" w14:paraId="2D7F4A21" w14:textId="77777777" w:rsidTr="00606BF7">
        <w:tc>
          <w:tcPr>
            <w:tcW w:w="6204" w:type="dxa"/>
            <w:shd w:val="clear" w:color="auto" w:fill="CAEACA"/>
          </w:tcPr>
          <w:p w14:paraId="39706112" w14:textId="77777777" w:rsidR="007845AE" w:rsidRPr="00F51F10" w:rsidRDefault="007845AE" w:rsidP="007845AE">
            <w:pPr>
              <w:rPr>
                <w:sz w:val="20"/>
                <w:szCs w:val="20"/>
              </w:rPr>
            </w:pPr>
            <w:r w:rsidRPr="00F51F10">
              <w:rPr>
                <w:sz w:val="20"/>
                <w:szCs w:val="20"/>
              </w:rPr>
              <w:t>$ investis</w:t>
            </w:r>
            <w:r>
              <w:rPr>
                <w:sz w:val="20"/>
                <w:szCs w:val="20"/>
              </w:rPr>
              <w:t xml:space="preserve"> par année</w:t>
            </w:r>
          </w:p>
        </w:tc>
        <w:tc>
          <w:tcPr>
            <w:tcW w:w="1275" w:type="dxa"/>
            <w:shd w:val="clear" w:color="auto" w:fill="D9D9D9" w:themeFill="background1" w:themeFillShade="D9"/>
          </w:tcPr>
          <w:p w14:paraId="2748C376" w14:textId="77777777" w:rsidR="007845AE" w:rsidRPr="00F51F10" w:rsidRDefault="007845AE" w:rsidP="007845AE">
            <w:pPr>
              <w:jc w:val="center"/>
              <w:rPr>
                <w:sz w:val="20"/>
                <w:szCs w:val="20"/>
              </w:rPr>
            </w:pPr>
            <w:r>
              <w:rPr>
                <w:sz w:val="20"/>
                <w:szCs w:val="20"/>
              </w:rPr>
              <w:t>10 000 $</w:t>
            </w:r>
          </w:p>
        </w:tc>
      </w:tr>
      <w:tr w:rsidR="007845AE" w:rsidRPr="00F51F10" w14:paraId="64C447BD" w14:textId="77777777" w:rsidTr="00606BF7">
        <w:tc>
          <w:tcPr>
            <w:tcW w:w="6204" w:type="dxa"/>
            <w:shd w:val="clear" w:color="auto" w:fill="CAEACA"/>
          </w:tcPr>
          <w:p w14:paraId="074B99AD" w14:textId="77777777" w:rsidR="007845AE" w:rsidRPr="00F51F10" w:rsidRDefault="007845AE" w:rsidP="007845AE">
            <w:pPr>
              <w:rPr>
                <w:sz w:val="20"/>
                <w:szCs w:val="20"/>
              </w:rPr>
            </w:pPr>
            <w:r>
              <w:rPr>
                <w:sz w:val="20"/>
                <w:szCs w:val="20"/>
              </w:rPr>
              <w:t>Valeur – 10 ans</w:t>
            </w:r>
          </w:p>
        </w:tc>
        <w:tc>
          <w:tcPr>
            <w:tcW w:w="1275" w:type="dxa"/>
            <w:shd w:val="clear" w:color="auto" w:fill="D9D9D9" w:themeFill="background1" w:themeFillShade="D9"/>
          </w:tcPr>
          <w:p w14:paraId="7A533279" w14:textId="77777777" w:rsidR="007845AE" w:rsidRPr="00F51F10" w:rsidRDefault="007845AE" w:rsidP="007845AE">
            <w:pPr>
              <w:jc w:val="center"/>
              <w:rPr>
                <w:sz w:val="20"/>
                <w:szCs w:val="20"/>
              </w:rPr>
            </w:pPr>
            <w:r>
              <w:rPr>
                <w:sz w:val="20"/>
                <w:szCs w:val="20"/>
              </w:rPr>
              <w:t>147 836 $</w:t>
            </w:r>
          </w:p>
        </w:tc>
      </w:tr>
      <w:tr w:rsidR="007845AE" w:rsidRPr="00F51F10" w14:paraId="18B74471" w14:textId="77777777" w:rsidTr="00606BF7">
        <w:tc>
          <w:tcPr>
            <w:tcW w:w="6204" w:type="dxa"/>
            <w:shd w:val="clear" w:color="auto" w:fill="CAEACA"/>
          </w:tcPr>
          <w:p w14:paraId="5900FA32" w14:textId="296401C4" w:rsidR="007845AE" w:rsidRPr="00F51F10" w:rsidRDefault="007845AE" w:rsidP="00E24253">
            <w:pPr>
              <w:rPr>
                <w:sz w:val="20"/>
                <w:szCs w:val="20"/>
              </w:rPr>
            </w:pPr>
            <w:r>
              <w:rPr>
                <w:sz w:val="20"/>
                <w:szCs w:val="20"/>
              </w:rPr>
              <w:t>Remboursement annuel d'impôt - 38,5 %</w:t>
            </w:r>
          </w:p>
        </w:tc>
        <w:tc>
          <w:tcPr>
            <w:tcW w:w="1275" w:type="dxa"/>
            <w:shd w:val="clear" w:color="auto" w:fill="D9D9D9" w:themeFill="background1" w:themeFillShade="D9"/>
          </w:tcPr>
          <w:p w14:paraId="158B3685" w14:textId="77777777" w:rsidR="007845AE" w:rsidRPr="00F51F10" w:rsidRDefault="007845AE" w:rsidP="007845AE">
            <w:pPr>
              <w:jc w:val="center"/>
              <w:rPr>
                <w:sz w:val="20"/>
                <w:szCs w:val="20"/>
              </w:rPr>
            </w:pPr>
            <w:r>
              <w:rPr>
                <w:sz w:val="20"/>
                <w:szCs w:val="20"/>
              </w:rPr>
              <w:t>3 850 $</w:t>
            </w:r>
          </w:p>
        </w:tc>
      </w:tr>
      <w:tr w:rsidR="007845AE" w:rsidRPr="00F51F10" w14:paraId="0A6E394F" w14:textId="77777777" w:rsidTr="00606BF7">
        <w:tc>
          <w:tcPr>
            <w:tcW w:w="6204" w:type="dxa"/>
            <w:shd w:val="clear" w:color="auto" w:fill="CAEACA"/>
          </w:tcPr>
          <w:p w14:paraId="4C51277B" w14:textId="7CA493CA" w:rsidR="007845AE" w:rsidRPr="00F51F10" w:rsidRDefault="007845AE" w:rsidP="00B237FE">
            <w:pPr>
              <w:rPr>
                <w:sz w:val="20"/>
                <w:szCs w:val="20"/>
              </w:rPr>
            </w:pPr>
            <w:r>
              <w:rPr>
                <w:sz w:val="20"/>
                <w:szCs w:val="20"/>
              </w:rPr>
              <w:t>Versements hypothécaires, avant re</w:t>
            </w:r>
            <w:r w:rsidR="00E24253">
              <w:rPr>
                <w:sz w:val="20"/>
                <w:szCs w:val="20"/>
              </w:rPr>
              <w:t>m</w:t>
            </w:r>
            <w:r>
              <w:rPr>
                <w:sz w:val="20"/>
                <w:szCs w:val="20"/>
              </w:rPr>
              <w:t>boursement anticipé</w:t>
            </w:r>
          </w:p>
        </w:tc>
        <w:tc>
          <w:tcPr>
            <w:tcW w:w="1275" w:type="dxa"/>
            <w:shd w:val="clear" w:color="auto" w:fill="D9D9D9" w:themeFill="background1" w:themeFillShade="D9"/>
          </w:tcPr>
          <w:p w14:paraId="60647F23" w14:textId="77777777" w:rsidR="007845AE" w:rsidRPr="00F51F10" w:rsidRDefault="007845AE" w:rsidP="007845AE">
            <w:pPr>
              <w:jc w:val="center"/>
              <w:rPr>
                <w:sz w:val="20"/>
                <w:szCs w:val="20"/>
              </w:rPr>
            </w:pPr>
            <w:r>
              <w:rPr>
                <w:sz w:val="20"/>
                <w:szCs w:val="20"/>
              </w:rPr>
              <w:t>1 511 $</w:t>
            </w:r>
          </w:p>
        </w:tc>
      </w:tr>
      <w:tr w:rsidR="007845AE" w:rsidRPr="00F51F10" w14:paraId="03F3EF4B" w14:textId="77777777" w:rsidTr="00606BF7">
        <w:tc>
          <w:tcPr>
            <w:tcW w:w="6204" w:type="dxa"/>
            <w:shd w:val="clear" w:color="auto" w:fill="CAEACA"/>
          </w:tcPr>
          <w:p w14:paraId="41994C23" w14:textId="77777777" w:rsidR="007845AE" w:rsidRDefault="007845AE" w:rsidP="007845AE">
            <w:pPr>
              <w:rPr>
                <w:sz w:val="20"/>
                <w:szCs w:val="20"/>
              </w:rPr>
            </w:pPr>
            <w:r>
              <w:rPr>
                <w:sz w:val="20"/>
                <w:szCs w:val="20"/>
              </w:rPr>
              <w:t>Remboursement d’impôt ajouté aux versements hypothécaires</w:t>
            </w:r>
          </w:p>
        </w:tc>
        <w:tc>
          <w:tcPr>
            <w:tcW w:w="1275" w:type="dxa"/>
            <w:shd w:val="clear" w:color="auto" w:fill="D9D9D9" w:themeFill="background1" w:themeFillShade="D9"/>
          </w:tcPr>
          <w:p w14:paraId="310ABCA6" w14:textId="77777777" w:rsidR="007845AE" w:rsidRDefault="007845AE" w:rsidP="007845AE">
            <w:pPr>
              <w:jc w:val="center"/>
              <w:rPr>
                <w:sz w:val="20"/>
                <w:szCs w:val="20"/>
              </w:rPr>
            </w:pPr>
            <w:r>
              <w:rPr>
                <w:sz w:val="20"/>
                <w:szCs w:val="20"/>
              </w:rPr>
              <w:t>321 $</w:t>
            </w:r>
          </w:p>
        </w:tc>
      </w:tr>
      <w:tr w:rsidR="007845AE" w14:paraId="6D51B47A" w14:textId="77777777" w:rsidTr="00606BF7">
        <w:tc>
          <w:tcPr>
            <w:tcW w:w="6204" w:type="dxa"/>
            <w:shd w:val="clear" w:color="auto" w:fill="CAEACA"/>
          </w:tcPr>
          <w:p w14:paraId="402FD28F" w14:textId="77777777" w:rsidR="007845AE" w:rsidRDefault="007845AE" w:rsidP="007845AE">
            <w:pPr>
              <w:rPr>
                <w:sz w:val="20"/>
                <w:szCs w:val="20"/>
              </w:rPr>
            </w:pPr>
            <w:r>
              <w:rPr>
                <w:sz w:val="20"/>
                <w:szCs w:val="20"/>
              </w:rPr>
              <w:t>Nombre de versements requis pour rembourser la dette, en tenant compte des remboursements anticipés</w:t>
            </w:r>
          </w:p>
        </w:tc>
        <w:tc>
          <w:tcPr>
            <w:tcW w:w="1275" w:type="dxa"/>
            <w:shd w:val="clear" w:color="auto" w:fill="D9D9D9" w:themeFill="background1" w:themeFillShade="D9"/>
          </w:tcPr>
          <w:p w14:paraId="05AD8847" w14:textId="77777777" w:rsidR="007845AE" w:rsidRDefault="007845AE" w:rsidP="007845AE">
            <w:pPr>
              <w:jc w:val="center"/>
              <w:rPr>
                <w:sz w:val="20"/>
                <w:szCs w:val="20"/>
              </w:rPr>
            </w:pPr>
            <w:r>
              <w:rPr>
                <w:sz w:val="20"/>
                <w:szCs w:val="20"/>
              </w:rPr>
              <w:t>95</w:t>
            </w:r>
          </w:p>
        </w:tc>
      </w:tr>
      <w:tr w:rsidR="007845AE" w14:paraId="5D2B8290" w14:textId="77777777" w:rsidTr="00606BF7">
        <w:tc>
          <w:tcPr>
            <w:tcW w:w="6204" w:type="dxa"/>
            <w:shd w:val="clear" w:color="auto" w:fill="CAEACA"/>
          </w:tcPr>
          <w:p w14:paraId="72859E5C" w14:textId="77777777" w:rsidR="007845AE" w:rsidRDefault="007845AE" w:rsidP="007845AE">
            <w:pPr>
              <w:rPr>
                <w:sz w:val="20"/>
                <w:szCs w:val="20"/>
              </w:rPr>
            </w:pPr>
            <w:r>
              <w:rPr>
                <w:sz w:val="20"/>
                <w:szCs w:val="20"/>
              </w:rPr>
              <w:t>Nombre de mois restant</w:t>
            </w:r>
          </w:p>
        </w:tc>
        <w:tc>
          <w:tcPr>
            <w:tcW w:w="1275" w:type="dxa"/>
            <w:shd w:val="clear" w:color="auto" w:fill="D9D9D9" w:themeFill="background1" w:themeFillShade="D9"/>
          </w:tcPr>
          <w:p w14:paraId="0B191AF3" w14:textId="77777777" w:rsidR="007845AE" w:rsidRDefault="007845AE" w:rsidP="007845AE">
            <w:pPr>
              <w:jc w:val="center"/>
              <w:rPr>
                <w:sz w:val="20"/>
                <w:szCs w:val="20"/>
              </w:rPr>
            </w:pPr>
            <w:r>
              <w:rPr>
                <w:sz w:val="20"/>
                <w:szCs w:val="20"/>
              </w:rPr>
              <w:t>25</w:t>
            </w:r>
          </w:p>
        </w:tc>
      </w:tr>
      <w:tr w:rsidR="007845AE" w14:paraId="73F1AEAE" w14:textId="77777777" w:rsidTr="00606BF7">
        <w:tc>
          <w:tcPr>
            <w:tcW w:w="6204" w:type="dxa"/>
            <w:shd w:val="clear" w:color="auto" w:fill="CAEACA"/>
          </w:tcPr>
          <w:p w14:paraId="693CC78B" w14:textId="77777777" w:rsidR="007845AE" w:rsidRDefault="007845AE" w:rsidP="007845AE">
            <w:pPr>
              <w:rPr>
                <w:sz w:val="20"/>
                <w:szCs w:val="20"/>
              </w:rPr>
            </w:pPr>
            <w:r>
              <w:rPr>
                <w:sz w:val="20"/>
                <w:szCs w:val="20"/>
              </w:rPr>
              <w:t>$ investis par mois (CÉLI)</w:t>
            </w:r>
          </w:p>
        </w:tc>
        <w:tc>
          <w:tcPr>
            <w:tcW w:w="1275" w:type="dxa"/>
            <w:shd w:val="clear" w:color="auto" w:fill="D9D9D9" w:themeFill="background1" w:themeFillShade="D9"/>
          </w:tcPr>
          <w:p w14:paraId="5BC01BA7" w14:textId="77777777" w:rsidR="007845AE" w:rsidRDefault="007845AE" w:rsidP="007845AE">
            <w:pPr>
              <w:jc w:val="center"/>
              <w:rPr>
                <w:sz w:val="20"/>
                <w:szCs w:val="20"/>
              </w:rPr>
            </w:pPr>
            <w:r>
              <w:rPr>
                <w:sz w:val="20"/>
                <w:szCs w:val="20"/>
              </w:rPr>
              <w:t>1 832 $</w:t>
            </w:r>
          </w:p>
        </w:tc>
      </w:tr>
      <w:tr w:rsidR="007845AE" w14:paraId="06E4A6C9" w14:textId="77777777" w:rsidTr="00606BF7">
        <w:tc>
          <w:tcPr>
            <w:tcW w:w="6204" w:type="dxa"/>
            <w:shd w:val="clear" w:color="auto" w:fill="CAEACA"/>
          </w:tcPr>
          <w:p w14:paraId="19C74153" w14:textId="77777777" w:rsidR="007845AE" w:rsidRDefault="007845AE" w:rsidP="007845AE">
            <w:pPr>
              <w:rPr>
                <w:sz w:val="20"/>
                <w:szCs w:val="20"/>
              </w:rPr>
            </w:pPr>
            <w:r>
              <w:rPr>
                <w:sz w:val="20"/>
                <w:szCs w:val="20"/>
              </w:rPr>
              <w:t>Valeur CÉLI – 10 ans</w:t>
            </w:r>
          </w:p>
        </w:tc>
        <w:tc>
          <w:tcPr>
            <w:tcW w:w="1275" w:type="dxa"/>
            <w:shd w:val="clear" w:color="auto" w:fill="D9D9D9" w:themeFill="background1" w:themeFillShade="D9"/>
          </w:tcPr>
          <w:p w14:paraId="0C21C73A" w14:textId="77777777" w:rsidR="007845AE" w:rsidRDefault="007845AE" w:rsidP="007845AE">
            <w:pPr>
              <w:jc w:val="center"/>
              <w:rPr>
                <w:sz w:val="20"/>
                <w:szCs w:val="20"/>
              </w:rPr>
            </w:pPr>
            <w:r>
              <w:rPr>
                <w:sz w:val="20"/>
                <w:szCs w:val="20"/>
              </w:rPr>
              <w:t>49 441 $</w:t>
            </w:r>
          </w:p>
        </w:tc>
      </w:tr>
      <w:tr w:rsidR="00606BF7" w14:paraId="46ED7D58" w14:textId="77777777" w:rsidTr="001937EE">
        <w:tc>
          <w:tcPr>
            <w:tcW w:w="6204" w:type="dxa"/>
            <w:shd w:val="clear" w:color="auto" w:fill="74A510" w:themeFill="background2" w:themeFillShade="80"/>
          </w:tcPr>
          <w:p w14:paraId="5EBA9C05" w14:textId="77777777" w:rsidR="00606BF7" w:rsidRDefault="00606BF7" w:rsidP="00606BF7">
            <w:pPr>
              <w:rPr>
                <w:sz w:val="20"/>
                <w:szCs w:val="20"/>
              </w:rPr>
            </w:pPr>
          </w:p>
          <w:p w14:paraId="71290703" w14:textId="6D025C5B" w:rsidR="00606BF7" w:rsidRDefault="00606BF7" w:rsidP="00606BF7">
            <w:pPr>
              <w:rPr>
                <w:sz w:val="20"/>
                <w:szCs w:val="20"/>
              </w:rPr>
            </w:pPr>
            <w:r>
              <w:rPr>
                <w:sz w:val="20"/>
                <w:szCs w:val="20"/>
              </w:rPr>
              <w:t>SOMMAIRE</w:t>
            </w:r>
            <w:r w:rsidR="00214CBD">
              <w:rPr>
                <w:sz w:val="20"/>
                <w:szCs w:val="20"/>
              </w:rPr>
              <w:t xml:space="preserve"> – 10 années plus tard</w:t>
            </w:r>
          </w:p>
        </w:tc>
        <w:tc>
          <w:tcPr>
            <w:tcW w:w="1275" w:type="dxa"/>
            <w:shd w:val="clear" w:color="auto" w:fill="7F7F7F" w:themeFill="text1" w:themeFillTint="80"/>
          </w:tcPr>
          <w:p w14:paraId="4DFEE6EA" w14:textId="77777777" w:rsidR="00606BF7" w:rsidRDefault="00606BF7" w:rsidP="00606BF7">
            <w:pPr>
              <w:jc w:val="center"/>
              <w:rPr>
                <w:sz w:val="20"/>
                <w:szCs w:val="20"/>
              </w:rPr>
            </w:pPr>
          </w:p>
        </w:tc>
      </w:tr>
      <w:tr w:rsidR="00606BF7" w14:paraId="2069E04A" w14:textId="77777777" w:rsidTr="001937EE">
        <w:tc>
          <w:tcPr>
            <w:tcW w:w="6204" w:type="dxa"/>
            <w:shd w:val="clear" w:color="auto" w:fill="74A510" w:themeFill="background2" w:themeFillShade="80"/>
          </w:tcPr>
          <w:p w14:paraId="7E7A0452" w14:textId="77777777" w:rsidR="00606BF7" w:rsidRDefault="00606BF7" w:rsidP="00606BF7">
            <w:pPr>
              <w:rPr>
                <w:sz w:val="20"/>
                <w:szCs w:val="20"/>
              </w:rPr>
            </w:pPr>
          </w:p>
          <w:p w14:paraId="4BF7EC01" w14:textId="6FC66419" w:rsidR="00606BF7" w:rsidRDefault="00606BF7" w:rsidP="00214CBD">
            <w:pPr>
              <w:rPr>
                <w:sz w:val="20"/>
                <w:szCs w:val="20"/>
              </w:rPr>
            </w:pPr>
            <w:r>
              <w:rPr>
                <w:sz w:val="20"/>
                <w:szCs w:val="20"/>
              </w:rPr>
              <w:t>Solde hypothécaire</w:t>
            </w:r>
          </w:p>
        </w:tc>
        <w:tc>
          <w:tcPr>
            <w:tcW w:w="1275" w:type="dxa"/>
            <w:shd w:val="clear" w:color="auto" w:fill="7F7F7F" w:themeFill="text1" w:themeFillTint="80"/>
          </w:tcPr>
          <w:p w14:paraId="104D69CE" w14:textId="77777777" w:rsidR="00606BF7" w:rsidRDefault="00606BF7" w:rsidP="00606BF7">
            <w:pPr>
              <w:jc w:val="center"/>
              <w:rPr>
                <w:sz w:val="20"/>
                <w:szCs w:val="20"/>
              </w:rPr>
            </w:pPr>
          </w:p>
          <w:p w14:paraId="0125C100" w14:textId="04E0AD33" w:rsidR="00606BF7" w:rsidRDefault="00606BF7" w:rsidP="00606BF7">
            <w:pPr>
              <w:jc w:val="center"/>
              <w:rPr>
                <w:sz w:val="20"/>
                <w:szCs w:val="20"/>
              </w:rPr>
            </w:pPr>
            <w:r>
              <w:rPr>
                <w:sz w:val="20"/>
                <w:szCs w:val="20"/>
              </w:rPr>
              <w:t>0 $</w:t>
            </w:r>
          </w:p>
        </w:tc>
      </w:tr>
      <w:tr w:rsidR="00606BF7" w14:paraId="604D619C" w14:textId="77777777" w:rsidTr="001937EE">
        <w:tc>
          <w:tcPr>
            <w:tcW w:w="6204" w:type="dxa"/>
            <w:shd w:val="clear" w:color="auto" w:fill="74A510" w:themeFill="background2" w:themeFillShade="80"/>
          </w:tcPr>
          <w:p w14:paraId="0CDF0EAA" w14:textId="77777777" w:rsidR="00606BF7" w:rsidRDefault="00606BF7" w:rsidP="00606BF7">
            <w:pPr>
              <w:rPr>
                <w:sz w:val="20"/>
                <w:szCs w:val="20"/>
              </w:rPr>
            </w:pPr>
            <w:r>
              <w:rPr>
                <w:sz w:val="20"/>
                <w:szCs w:val="20"/>
              </w:rPr>
              <w:t>Somme des actifs défiscalisés</w:t>
            </w:r>
          </w:p>
        </w:tc>
        <w:tc>
          <w:tcPr>
            <w:tcW w:w="1275" w:type="dxa"/>
            <w:shd w:val="clear" w:color="auto" w:fill="7F7F7F" w:themeFill="text1" w:themeFillTint="80"/>
          </w:tcPr>
          <w:p w14:paraId="64425896" w14:textId="77777777" w:rsidR="00606BF7" w:rsidRDefault="00606BF7" w:rsidP="00606BF7">
            <w:pPr>
              <w:jc w:val="center"/>
              <w:rPr>
                <w:sz w:val="20"/>
                <w:szCs w:val="20"/>
              </w:rPr>
            </w:pPr>
            <w:r>
              <w:rPr>
                <w:sz w:val="20"/>
                <w:szCs w:val="20"/>
              </w:rPr>
              <w:t>49 441 $</w:t>
            </w:r>
          </w:p>
        </w:tc>
      </w:tr>
      <w:tr w:rsidR="00606BF7" w14:paraId="2A0A1AD9" w14:textId="77777777" w:rsidTr="001937EE">
        <w:tc>
          <w:tcPr>
            <w:tcW w:w="6204" w:type="dxa"/>
            <w:shd w:val="clear" w:color="auto" w:fill="74A510" w:themeFill="background2" w:themeFillShade="80"/>
          </w:tcPr>
          <w:p w14:paraId="13A685D3" w14:textId="77777777" w:rsidR="00606BF7" w:rsidRDefault="00606BF7" w:rsidP="00606BF7">
            <w:pPr>
              <w:rPr>
                <w:sz w:val="20"/>
                <w:szCs w:val="20"/>
              </w:rPr>
            </w:pPr>
            <w:r>
              <w:rPr>
                <w:sz w:val="20"/>
                <w:szCs w:val="20"/>
              </w:rPr>
              <w:t>Somme des actifs imposables</w:t>
            </w:r>
          </w:p>
        </w:tc>
        <w:tc>
          <w:tcPr>
            <w:tcW w:w="1275" w:type="dxa"/>
            <w:shd w:val="clear" w:color="auto" w:fill="7F7F7F" w:themeFill="text1" w:themeFillTint="80"/>
          </w:tcPr>
          <w:p w14:paraId="7668B58F" w14:textId="77777777" w:rsidR="00606BF7" w:rsidRDefault="00606BF7" w:rsidP="00606BF7">
            <w:pPr>
              <w:jc w:val="center"/>
              <w:rPr>
                <w:sz w:val="20"/>
                <w:szCs w:val="20"/>
              </w:rPr>
            </w:pPr>
            <w:r>
              <w:rPr>
                <w:sz w:val="20"/>
                <w:szCs w:val="20"/>
              </w:rPr>
              <w:t>147 836 $</w:t>
            </w:r>
          </w:p>
        </w:tc>
      </w:tr>
      <w:tr w:rsidR="00606BF7" w14:paraId="5092B869" w14:textId="77777777" w:rsidTr="001937EE">
        <w:tc>
          <w:tcPr>
            <w:tcW w:w="6204" w:type="dxa"/>
            <w:shd w:val="clear" w:color="auto" w:fill="74A510" w:themeFill="background2" w:themeFillShade="80"/>
          </w:tcPr>
          <w:p w14:paraId="60B4BFE3" w14:textId="77777777" w:rsidR="00606BF7" w:rsidRDefault="00606BF7" w:rsidP="00606BF7">
            <w:pPr>
              <w:rPr>
                <w:sz w:val="20"/>
                <w:szCs w:val="20"/>
              </w:rPr>
            </w:pPr>
            <w:r>
              <w:rPr>
                <w:sz w:val="20"/>
                <w:szCs w:val="20"/>
              </w:rPr>
              <w:t>Impôts sur actifs imposables - 38,5 %</w:t>
            </w:r>
          </w:p>
        </w:tc>
        <w:tc>
          <w:tcPr>
            <w:tcW w:w="1275" w:type="dxa"/>
            <w:shd w:val="clear" w:color="auto" w:fill="7F7F7F" w:themeFill="text1" w:themeFillTint="80"/>
          </w:tcPr>
          <w:p w14:paraId="11324521" w14:textId="77777777" w:rsidR="00606BF7" w:rsidRDefault="00606BF7" w:rsidP="00606BF7">
            <w:pPr>
              <w:jc w:val="center"/>
              <w:rPr>
                <w:sz w:val="20"/>
                <w:szCs w:val="20"/>
              </w:rPr>
            </w:pPr>
            <w:r>
              <w:rPr>
                <w:sz w:val="20"/>
                <w:szCs w:val="20"/>
              </w:rPr>
              <w:t>56 917 $</w:t>
            </w:r>
          </w:p>
        </w:tc>
      </w:tr>
      <w:tr w:rsidR="00606BF7" w14:paraId="556CE932" w14:textId="77777777" w:rsidTr="001937EE">
        <w:tc>
          <w:tcPr>
            <w:tcW w:w="6204" w:type="dxa"/>
            <w:shd w:val="clear" w:color="auto" w:fill="74A510" w:themeFill="background2" w:themeFillShade="80"/>
          </w:tcPr>
          <w:p w14:paraId="27B9818B" w14:textId="3E53246D" w:rsidR="00606BF7" w:rsidRDefault="00606BF7" w:rsidP="00214CBD">
            <w:pPr>
              <w:rPr>
                <w:sz w:val="20"/>
                <w:szCs w:val="20"/>
              </w:rPr>
            </w:pPr>
            <w:r>
              <w:rPr>
                <w:sz w:val="20"/>
                <w:szCs w:val="20"/>
              </w:rPr>
              <w:t>Gain en valeur nette</w:t>
            </w:r>
          </w:p>
        </w:tc>
        <w:tc>
          <w:tcPr>
            <w:tcW w:w="1275" w:type="dxa"/>
            <w:shd w:val="clear" w:color="auto" w:fill="000000" w:themeFill="text1"/>
          </w:tcPr>
          <w:p w14:paraId="12AB6C78" w14:textId="77777777" w:rsidR="00606BF7" w:rsidRDefault="00606BF7" w:rsidP="00606BF7">
            <w:pPr>
              <w:jc w:val="center"/>
              <w:rPr>
                <w:sz w:val="20"/>
                <w:szCs w:val="20"/>
              </w:rPr>
            </w:pPr>
            <w:r>
              <w:rPr>
                <w:sz w:val="20"/>
                <w:szCs w:val="20"/>
              </w:rPr>
              <w:t>140 360 $</w:t>
            </w:r>
          </w:p>
        </w:tc>
      </w:tr>
    </w:tbl>
    <w:p w14:paraId="10E4B937" w14:textId="3ACB4581" w:rsidR="005236A2" w:rsidRDefault="00B237FE" w:rsidP="00BA1261">
      <w:r>
        <w:rPr>
          <w:noProof/>
          <w:lang w:eastAsia="fr-FR"/>
        </w:rPr>
        <mc:AlternateContent>
          <mc:Choice Requires="wps">
            <w:drawing>
              <wp:anchor distT="0" distB="0" distL="114300" distR="114300" simplePos="0" relativeHeight="253169664" behindDoc="0" locked="0" layoutInCell="1" allowOverlap="1" wp14:anchorId="72BE117A" wp14:editId="3F1A50B0">
                <wp:simplePos x="0" y="0"/>
                <wp:positionH relativeFrom="column">
                  <wp:posOffset>7315200</wp:posOffset>
                </wp:positionH>
                <wp:positionV relativeFrom="paragraph">
                  <wp:posOffset>-228600</wp:posOffset>
                </wp:positionV>
                <wp:extent cx="469900" cy="457200"/>
                <wp:effectExtent l="76200" t="76200" r="38100" b="76200"/>
                <wp:wrapNone/>
                <wp:docPr id="815" name="Ellipse 815"/>
                <wp:cNvGraphicFramePr/>
                <a:graphic xmlns:a="http://schemas.openxmlformats.org/drawingml/2006/main">
                  <a:graphicData uri="http://schemas.microsoft.com/office/word/2010/wordprocessingShape">
                    <wps:wsp>
                      <wps:cNvSpPr/>
                      <wps:spPr>
                        <a:xfrm>
                          <a:off x="0" y="0"/>
                          <a:ext cx="469900"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ADF79BA" w14:textId="77777777" w:rsidR="00573C95" w:rsidRPr="00BB5676" w:rsidRDefault="00573C95" w:rsidP="00682993">
                            <w:pPr>
                              <w:jc w:val="center"/>
                              <w:rPr>
                                <w:sz w:val="32"/>
                                <w:szCs w:val="32"/>
                              </w:rPr>
                            </w:pPr>
                            <w:r>
                              <w:rPr>
                                <w:sz w:val="32"/>
                                <w:szCs w:val="32"/>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15" o:spid="_x0000_s1564" style="position:absolute;margin-left:8in;margin-top:-17.95pt;width:37pt;height:36pt;z-index:2531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" fillcolor="#517151" strokecolor="black [3213]">
                <v:textbox>
                  <w:txbxContent>
                    <w:p w14:paraId="3ADF79BA" w14:textId="77777777" w:rsidR="001501D6" w:rsidRPr="00BB5676" w:rsidRDefault="001501D6" w:rsidP="00682993">
                      <w:pPr>
                        <w:jc w:val="center"/>
                        <w:rPr>
                          <w:sz w:val="32"/>
                          <w:szCs w:val="32"/>
                        </w:rPr>
                      </w:pPr>
                      <w:r>
                        <w:rPr>
                          <w:sz w:val="32"/>
                          <w:szCs w:val="32"/>
                        </w:rPr>
                        <w:t>2</w:t>
                      </w:r>
                    </w:p>
                  </w:txbxContent>
                </v:textbox>
              </v:oval>
            </w:pict>
          </mc:Fallback>
        </mc:AlternateContent>
      </w:r>
      <w:r w:rsidR="00606BF7">
        <w:rPr>
          <w:noProof/>
          <w:lang w:eastAsia="fr-FR"/>
        </w:rPr>
        <mc:AlternateContent>
          <mc:Choice Requires="wps">
            <w:drawing>
              <wp:anchor distT="0" distB="0" distL="114300" distR="114300" simplePos="0" relativeHeight="253174784" behindDoc="0" locked="0" layoutInCell="1" allowOverlap="1" wp14:anchorId="6003175E" wp14:editId="4E7E60D1">
                <wp:simplePos x="0" y="0"/>
                <wp:positionH relativeFrom="column">
                  <wp:posOffset>-342900</wp:posOffset>
                </wp:positionH>
                <wp:positionV relativeFrom="paragraph">
                  <wp:posOffset>-457200</wp:posOffset>
                </wp:positionV>
                <wp:extent cx="2286000" cy="914400"/>
                <wp:effectExtent l="0" t="0" r="0" b="0"/>
                <wp:wrapNone/>
                <wp:docPr id="818" name="Zone de texte 818"/>
                <wp:cNvGraphicFramePr/>
                <a:graphic xmlns:a="http://schemas.openxmlformats.org/drawingml/2006/main">
                  <a:graphicData uri="http://schemas.microsoft.com/office/word/2010/wordprocessingShape">
                    <wps:wsp>
                      <wps:cNvSpPr txBox="1"/>
                      <wps:spPr>
                        <a:xfrm>
                          <a:off x="0" y="0"/>
                          <a:ext cx="2286000"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59200D" w14:textId="52DB0999" w:rsidR="00573C95" w:rsidRDefault="00573C95" w:rsidP="00182FE5">
                            <w:r>
                              <w:t>LES RÉSULTATS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18" o:spid="_x0000_s1565" type="#_x0000_t202" style="position:absolute;margin-left:-26.95pt;margin-top:-35.95pt;width:180pt;height:1in;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" filled="f" stroked="f">
                <v:textbox>
                  <w:txbxContent>
                    <w:p w14:paraId="7959200D" w14:textId="52DB0999" w:rsidR="001501D6" w:rsidRDefault="001501D6" w:rsidP="00182FE5">
                      <w:r>
                        <w:t>LES RÉSULTATS</w:t>
                      </w:r>
                    </w:p>
                  </w:txbxContent>
                </v:textbox>
              </v:shape>
            </w:pict>
          </mc:Fallback>
        </mc:AlternateContent>
      </w:r>
      <w:r w:rsidR="00606BF7">
        <w:rPr>
          <w:noProof/>
          <w:lang w:eastAsia="fr-FR"/>
        </w:rPr>
        <mc:AlternateContent>
          <mc:Choice Requires="wps">
            <w:drawing>
              <wp:anchor distT="0" distB="0" distL="114300" distR="114300" simplePos="0" relativeHeight="253167616" behindDoc="0" locked="0" layoutInCell="1" allowOverlap="1" wp14:anchorId="0B18AA21" wp14:editId="797DCB89">
                <wp:simplePos x="0" y="0"/>
                <wp:positionH relativeFrom="column">
                  <wp:posOffset>1714500</wp:posOffset>
                </wp:positionH>
                <wp:positionV relativeFrom="paragraph">
                  <wp:posOffset>-228600</wp:posOffset>
                </wp:positionV>
                <wp:extent cx="457200" cy="457200"/>
                <wp:effectExtent l="76200" t="76200" r="50800" b="76200"/>
                <wp:wrapNone/>
                <wp:docPr id="814" name="Ellipse 81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CEB71E3" w14:textId="77777777" w:rsidR="00573C95" w:rsidRPr="00BB5676" w:rsidRDefault="00573C95" w:rsidP="005236A2">
                            <w:pPr>
                              <w:jc w:val="center"/>
                              <w:rPr>
                                <w:sz w:val="32"/>
                                <w:szCs w:val="32"/>
                              </w:rPr>
                            </w:pPr>
                            <w:r>
                              <w:rPr>
                                <w:sz w:val="32"/>
                                <w:szCs w:val="32"/>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14" o:spid="_x0000_s1566" style="position:absolute;margin-left:135pt;margin-top:-17.95pt;width:36pt;height:36pt;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" fillcolor="#517151" strokecolor="black [3213]">
                <v:textbox>
                  <w:txbxContent>
                    <w:p w14:paraId="1CEB71E3" w14:textId="77777777" w:rsidR="001501D6" w:rsidRPr="00BB5676" w:rsidRDefault="001501D6" w:rsidP="005236A2">
                      <w:pPr>
                        <w:jc w:val="center"/>
                        <w:rPr>
                          <w:sz w:val="32"/>
                          <w:szCs w:val="32"/>
                        </w:rPr>
                      </w:pPr>
                      <w:r>
                        <w:rPr>
                          <w:sz w:val="32"/>
                          <w:szCs w:val="32"/>
                        </w:rPr>
                        <w:t>1</w:t>
                      </w:r>
                    </w:p>
                  </w:txbxContent>
                </v:textbox>
              </v:oval>
            </w:pict>
          </mc:Fallback>
        </mc:AlternateContent>
      </w:r>
    </w:p>
    <w:tbl>
      <w:tblPr>
        <w:tblStyle w:val="Grille"/>
        <w:tblpPr w:leftFromText="141" w:rightFromText="141" w:vertAnchor="page" w:horzAnchor="page" w:tblpX="446" w:tblpY="1418"/>
        <w:tblW w:w="7426" w:type="dxa"/>
        <w:tblLook w:val="04A0" w:firstRow="1" w:lastRow="0" w:firstColumn="1" w:lastColumn="0" w:noHBand="0" w:noVBand="1"/>
      </w:tblPr>
      <w:tblGrid>
        <w:gridCol w:w="5920"/>
        <w:gridCol w:w="1506"/>
      </w:tblGrid>
      <w:tr w:rsidR="007845AE" w14:paraId="5AF3BA14" w14:textId="77777777" w:rsidTr="00214CBD">
        <w:tc>
          <w:tcPr>
            <w:tcW w:w="5920" w:type="dxa"/>
            <w:tcBorders>
              <w:bottom w:val="nil"/>
            </w:tcBorders>
            <w:shd w:val="clear" w:color="auto" w:fill="000000" w:themeFill="text1"/>
          </w:tcPr>
          <w:p w14:paraId="7B2F8CA6" w14:textId="77777777" w:rsidR="007845AE" w:rsidRDefault="007845AE" w:rsidP="007845AE">
            <w:pPr>
              <w:jc w:val="center"/>
            </w:pPr>
            <w:r>
              <w:t>REÉR/CÉLI</w:t>
            </w:r>
          </w:p>
        </w:tc>
        <w:tc>
          <w:tcPr>
            <w:tcW w:w="1506" w:type="dxa"/>
            <w:tcBorders>
              <w:bottom w:val="nil"/>
            </w:tcBorders>
            <w:shd w:val="clear" w:color="auto" w:fill="000000" w:themeFill="text1"/>
          </w:tcPr>
          <w:p w14:paraId="6A33A953" w14:textId="77777777" w:rsidR="007845AE" w:rsidRDefault="007845AE" w:rsidP="007845AE">
            <w:pPr>
              <w:jc w:val="center"/>
            </w:pPr>
            <w:r>
              <w:t>$</w:t>
            </w:r>
          </w:p>
        </w:tc>
      </w:tr>
      <w:tr w:rsidR="007845AE" w14:paraId="091E7493" w14:textId="77777777" w:rsidTr="00214CBD">
        <w:tc>
          <w:tcPr>
            <w:tcW w:w="5920" w:type="dxa"/>
            <w:tcBorders>
              <w:top w:val="nil"/>
              <w:left w:val="nil"/>
              <w:bottom w:val="nil"/>
              <w:right w:val="nil"/>
            </w:tcBorders>
            <w:shd w:val="clear" w:color="auto" w:fill="CAEACA"/>
          </w:tcPr>
          <w:p w14:paraId="533684CE" w14:textId="77777777" w:rsidR="007845AE" w:rsidRDefault="007845AE" w:rsidP="007845AE"/>
        </w:tc>
        <w:tc>
          <w:tcPr>
            <w:tcW w:w="1506" w:type="dxa"/>
            <w:tcBorders>
              <w:top w:val="nil"/>
              <w:left w:val="nil"/>
              <w:bottom w:val="nil"/>
              <w:right w:val="nil"/>
            </w:tcBorders>
            <w:shd w:val="clear" w:color="auto" w:fill="D9D9D9" w:themeFill="background1" w:themeFillShade="D9"/>
          </w:tcPr>
          <w:p w14:paraId="6D91B01F" w14:textId="77777777" w:rsidR="007845AE" w:rsidRDefault="007845AE" w:rsidP="007845AE">
            <w:pPr>
              <w:jc w:val="center"/>
            </w:pPr>
          </w:p>
        </w:tc>
      </w:tr>
      <w:tr w:rsidR="007845AE" w:rsidRPr="00F51F10" w14:paraId="05C29610" w14:textId="77777777" w:rsidTr="00214CBD">
        <w:tc>
          <w:tcPr>
            <w:tcW w:w="5920" w:type="dxa"/>
            <w:tcBorders>
              <w:top w:val="nil"/>
              <w:left w:val="nil"/>
              <w:bottom w:val="nil"/>
              <w:right w:val="nil"/>
            </w:tcBorders>
            <w:shd w:val="clear" w:color="auto" w:fill="CAEACA"/>
          </w:tcPr>
          <w:p w14:paraId="706AE0AC" w14:textId="77777777" w:rsidR="007845AE" w:rsidRPr="00F51F10" w:rsidRDefault="007845AE" w:rsidP="007845AE">
            <w:pPr>
              <w:rPr>
                <w:sz w:val="20"/>
                <w:szCs w:val="20"/>
              </w:rPr>
            </w:pPr>
            <w:r w:rsidRPr="00F51F10">
              <w:rPr>
                <w:sz w:val="20"/>
                <w:szCs w:val="20"/>
              </w:rPr>
              <w:t>$ investis</w:t>
            </w:r>
            <w:r>
              <w:rPr>
                <w:sz w:val="20"/>
                <w:szCs w:val="20"/>
              </w:rPr>
              <w:t xml:space="preserve"> par année</w:t>
            </w:r>
          </w:p>
        </w:tc>
        <w:tc>
          <w:tcPr>
            <w:tcW w:w="1506" w:type="dxa"/>
            <w:tcBorders>
              <w:top w:val="nil"/>
              <w:left w:val="nil"/>
              <w:bottom w:val="nil"/>
              <w:right w:val="nil"/>
            </w:tcBorders>
            <w:shd w:val="clear" w:color="auto" w:fill="D9D9D9" w:themeFill="background1" w:themeFillShade="D9"/>
          </w:tcPr>
          <w:p w14:paraId="4F3A2C4E" w14:textId="77777777" w:rsidR="007845AE" w:rsidRPr="00F51F10" w:rsidRDefault="007845AE" w:rsidP="007845AE">
            <w:pPr>
              <w:jc w:val="center"/>
              <w:rPr>
                <w:sz w:val="20"/>
                <w:szCs w:val="20"/>
              </w:rPr>
            </w:pPr>
            <w:r w:rsidRPr="00F51F10">
              <w:rPr>
                <w:sz w:val="20"/>
                <w:szCs w:val="20"/>
              </w:rPr>
              <w:t>10 000 $</w:t>
            </w:r>
          </w:p>
        </w:tc>
      </w:tr>
      <w:tr w:rsidR="007845AE" w:rsidRPr="00F51F10" w14:paraId="5A166D77" w14:textId="77777777" w:rsidTr="00214CBD">
        <w:tc>
          <w:tcPr>
            <w:tcW w:w="5920" w:type="dxa"/>
            <w:tcBorders>
              <w:top w:val="nil"/>
              <w:left w:val="nil"/>
              <w:bottom w:val="nil"/>
              <w:right w:val="nil"/>
            </w:tcBorders>
            <w:shd w:val="clear" w:color="auto" w:fill="CAEACA"/>
          </w:tcPr>
          <w:p w14:paraId="1503A29B" w14:textId="77777777" w:rsidR="007845AE" w:rsidRPr="00F51F10" w:rsidRDefault="007845AE" w:rsidP="007845AE">
            <w:pPr>
              <w:rPr>
                <w:sz w:val="20"/>
                <w:szCs w:val="20"/>
              </w:rPr>
            </w:pPr>
            <w:r>
              <w:rPr>
                <w:sz w:val="20"/>
                <w:szCs w:val="20"/>
              </w:rPr>
              <w:t>Valeur – 10 ans</w:t>
            </w:r>
          </w:p>
        </w:tc>
        <w:tc>
          <w:tcPr>
            <w:tcW w:w="1506" w:type="dxa"/>
            <w:tcBorders>
              <w:top w:val="nil"/>
              <w:left w:val="nil"/>
              <w:bottom w:val="nil"/>
              <w:right w:val="nil"/>
            </w:tcBorders>
            <w:shd w:val="clear" w:color="auto" w:fill="D9D9D9" w:themeFill="background1" w:themeFillShade="D9"/>
          </w:tcPr>
          <w:p w14:paraId="4781D007" w14:textId="77777777" w:rsidR="007845AE" w:rsidRPr="00F51F10" w:rsidRDefault="007845AE" w:rsidP="007845AE">
            <w:pPr>
              <w:jc w:val="center"/>
              <w:rPr>
                <w:sz w:val="20"/>
                <w:szCs w:val="20"/>
              </w:rPr>
            </w:pPr>
            <w:r>
              <w:rPr>
                <w:sz w:val="20"/>
                <w:szCs w:val="20"/>
              </w:rPr>
              <w:t>147 836 $</w:t>
            </w:r>
          </w:p>
        </w:tc>
      </w:tr>
      <w:tr w:rsidR="007845AE" w:rsidRPr="00F51F10" w14:paraId="4766D363" w14:textId="77777777" w:rsidTr="00214CBD">
        <w:tc>
          <w:tcPr>
            <w:tcW w:w="5920" w:type="dxa"/>
            <w:tcBorders>
              <w:top w:val="nil"/>
              <w:left w:val="nil"/>
              <w:bottom w:val="nil"/>
              <w:right w:val="nil"/>
            </w:tcBorders>
            <w:shd w:val="clear" w:color="auto" w:fill="CAEACA"/>
          </w:tcPr>
          <w:p w14:paraId="29724EAA" w14:textId="3F1F2890" w:rsidR="007845AE" w:rsidRPr="00F51F10" w:rsidRDefault="007845AE" w:rsidP="00E24253">
            <w:pPr>
              <w:rPr>
                <w:sz w:val="20"/>
                <w:szCs w:val="20"/>
              </w:rPr>
            </w:pPr>
            <w:r>
              <w:rPr>
                <w:sz w:val="20"/>
                <w:szCs w:val="20"/>
              </w:rPr>
              <w:t>Remboursement annuel d'impôt - 38,5 %</w:t>
            </w:r>
          </w:p>
        </w:tc>
        <w:tc>
          <w:tcPr>
            <w:tcW w:w="1506" w:type="dxa"/>
            <w:tcBorders>
              <w:top w:val="nil"/>
              <w:left w:val="nil"/>
              <w:bottom w:val="nil"/>
              <w:right w:val="nil"/>
            </w:tcBorders>
            <w:shd w:val="clear" w:color="auto" w:fill="D9D9D9" w:themeFill="background1" w:themeFillShade="D9"/>
          </w:tcPr>
          <w:p w14:paraId="2140A0D5" w14:textId="77777777" w:rsidR="007845AE" w:rsidRPr="00F51F10" w:rsidRDefault="007845AE" w:rsidP="007845AE">
            <w:pPr>
              <w:jc w:val="center"/>
              <w:rPr>
                <w:sz w:val="20"/>
                <w:szCs w:val="20"/>
              </w:rPr>
            </w:pPr>
            <w:r>
              <w:rPr>
                <w:sz w:val="20"/>
                <w:szCs w:val="20"/>
              </w:rPr>
              <w:t>3 850 $</w:t>
            </w:r>
          </w:p>
        </w:tc>
      </w:tr>
      <w:tr w:rsidR="007845AE" w:rsidRPr="00F51F10" w14:paraId="1A78E570" w14:textId="77777777" w:rsidTr="00214CBD">
        <w:tc>
          <w:tcPr>
            <w:tcW w:w="5920" w:type="dxa"/>
            <w:tcBorders>
              <w:top w:val="nil"/>
              <w:left w:val="nil"/>
              <w:bottom w:val="nil"/>
              <w:right w:val="nil"/>
            </w:tcBorders>
            <w:shd w:val="clear" w:color="auto" w:fill="CAEACA"/>
          </w:tcPr>
          <w:p w14:paraId="4EC845CB" w14:textId="77777777" w:rsidR="007845AE" w:rsidRPr="00F51F10" w:rsidRDefault="007845AE" w:rsidP="007845AE">
            <w:pPr>
              <w:rPr>
                <w:sz w:val="20"/>
                <w:szCs w:val="20"/>
              </w:rPr>
            </w:pPr>
            <w:r>
              <w:rPr>
                <w:sz w:val="20"/>
                <w:szCs w:val="20"/>
              </w:rPr>
              <w:t>Valeur du remboursement - 10 ans (CÉLI)</w:t>
            </w:r>
          </w:p>
        </w:tc>
        <w:tc>
          <w:tcPr>
            <w:tcW w:w="1506" w:type="dxa"/>
            <w:tcBorders>
              <w:top w:val="nil"/>
              <w:left w:val="nil"/>
              <w:bottom w:val="nil"/>
              <w:right w:val="nil"/>
            </w:tcBorders>
            <w:shd w:val="clear" w:color="auto" w:fill="D9D9D9" w:themeFill="background1" w:themeFillShade="D9"/>
          </w:tcPr>
          <w:p w14:paraId="742A6BDD" w14:textId="77777777" w:rsidR="007845AE" w:rsidRPr="00F51F10" w:rsidRDefault="007845AE" w:rsidP="007845AE">
            <w:pPr>
              <w:jc w:val="center"/>
              <w:rPr>
                <w:sz w:val="20"/>
                <w:szCs w:val="20"/>
              </w:rPr>
            </w:pPr>
            <w:r>
              <w:rPr>
                <w:sz w:val="20"/>
                <w:szCs w:val="20"/>
              </w:rPr>
              <w:t>56 917 $</w:t>
            </w:r>
          </w:p>
        </w:tc>
      </w:tr>
      <w:tr w:rsidR="00182FE5" w:rsidRPr="00F51F10" w14:paraId="5F5317F9" w14:textId="77777777" w:rsidTr="00214CBD">
        <w:tc>
          <w:tcPr>
            <w:tcW w:w="5920" w:type="dxa"/>
            <w:tcBorders>
              <w:top w:val="nil"/>
              <w:left w:val="nil"/>
              <w:bottom w:val="nil"/>
              <w:right w:val="nil"/>
            </w:tcBorders>
            <w:shd w:val="clear" w:color="auto" w:fill="74A510" w:themeFill="background2" w:themeFillShade="80"/>
          </w:tcPr>
          <w:p w14:paraId="6BFF49E3" w14:textId="77777777" w:rsidR="00606BF7" w:rsidRDefault="00606BF7" w:rsidP="007845AE">
            <w:pPr>
              <w:rPr>
                <w:sz w:val="20"/>
                <w:szCs w:val="20"/>
              </w:rPr>
            </w:pPr>
          </w:p>
          <w:p w14:paraId="16F80629" w14:textId="6834DE7B" w:rsidR="00182FE5" w:rsidRDefault="00182FE5" w:rsidP="007845AE">
            <w:pPr>
              <w:rPr>
                <w:sz w:val="20"/>
                <w:szCs w:val="20"/>
              </w:rPr>
            </w:pPr>
            <w:r>
              <w:rPr>
                <w:sz w:val="20"/>
                <w:szCs w:val="20"/>
              </w:rPr>
              <w:t>SOMMAIRE</w:t>
            </w:r>
            <w:r w:rsidR="00214CBD">
              <w:rPr>
                <w:sz w:val="20"/>
                <w:szCs w:val="20"/>
              </w:rPr>
              <w:t xml:space="preserve"> – 10 an</w:t>
            </w:r>
            <w:r w:rsidR="00EF2880">
              <w:rPr>
                <w:sz w:val="20"/>
                <w:szCs w:val="20"/>
              </w:rPr>
              <w:t>née</w:t>
            </w:r>
            <w:r w:rsidR="00214CBD">
              <w:rPr>
                <w:sz w:val="20"/>
                <w:szCs w:val="20"/>
              </w:rPr>
              <w:t>s plus tard</w:t>
            </w:r>
          </w:p>
        </w:tc>
        <w:tc>
          <w:tcPr>
            <w:tcW w:w="1506" w:type="dxa"/>
            <w:tcBorders>
              <w:top w:val="nil"/>
              <w:left w:val="nil"/>
              <w:bottom w:val="nil"/>
              <w:right w:val="nil"/>
            </w:tcBorders>
            <w:shd w:val="clear" w:color="auto" w:fill="7F7F7F" w:themeFill="text1" w:themeFillTint="80"/>
          </w:tcPr>
          <w:p w14:paraId="44111B5A" w14:textId="77777777" w:rsidR="00182FE5" w:rsidRDefault="00182FE5" w:rsidP="007845AE">
            <w:pPr>
              <w:jc w:val="center"/>
              <w:rPr>
                <w:sz w:val="20"/>
                <w:szCs w:val="20"/>
              </w:rPr>
            </w:pPr>
          </w:p>
        </w:tc>
      </w:tr>
      <w:tr w:rsidR="00182FE5" w:rsidRPr="00F51F10" w14:paraId="547A6190" w14:textId="77777777" w:rsidTr="00214CBD">
        <w:tc>
          <w:tcPr>
            <w:tcW w:w="5920" w:type="dxa"/>
            <w:tcBorders>
              <w:top w:val="nil"/>
              <w:left w:val="nil"/>
              <w:bottom w:val="nil"/>
              <w:right w:val="nil"/>
            </w:tcBorders>
            <w:shd w:val="clear" w:color="auto" w:fill="74A510" w:themeFill="background2" w:themeFillShade="80"/>
          </w:tcPr>
          <w:p w14:paraId="0CCFF854" w14:textId="77777777" w:rsidR="00606BF7" w:rsidRDefault="00606BF7" w:rsidP="007845AE">
            <w:pPr>
              <w:rPr>
                <w:sz w:val="20"/>
                <w:szCs w:val="20"/>
              </w:rPr>
            </w:pPr>
          </w:p>
          <w:p w14:paraId="2319D062" w14:textId="0DA97F97" w:rsidR="00182FE5" w:rsidRDefault="00182FE5" w:rsidP="00214CBD">
            <w:pPr>
              <w:rPr>
                <w:sz w:val="20"/>
                <w:szCs w:val="20"/>
              </w:rPr>
            </w:pPr>
            <w:r>
              <w:rPr>
                <w:sz w:val="20"/>
                <w:szCs w:val="20"/>
              </w:rPr>
              <w:t>Solde hypothécaire</w:t>
            </w:r>
          </w:p>
        </w:tc>
        <w:tc>
          <w:tcPr>
            <w:tcW w:w="1506" w:type="dxa"/>
            <w:tcBorders>
              <w:top w:val="nil"/>
              <w:left w:val="nil"/>
              <w:bottom w:val="nil"/>
              <w:right w:val="nil"/>
            </w:tcBorders>
            <w:shd w:val="clear" w:color="auto" w:fill="7F7F7F" w:themeFill="text1" w:themeFillTint="80"/>
          </w:tcPr>
          <w:p w14:paraId="2176661D" w14:textId="77777777" w:rsidR="00606BF7" w:rsidRDefault="00606BF7" w:rsidP="007845AE">
            <w:pPr>
              <w:jc w:val="center"/>
              <w:rPr>
                <w:sz w:val="20"/>
                <w:szCs w:val="20"/>
              </w:rPr>
            </w:pPr>
          </w:p>
          <w:p w14:paraId="305C000B" w14:textId="6EFE49CF" w:rsidR="00182FE5" w:rsidRDefault="00182FE5" w:rsidP="007845AE">
            <w:pPr>
              <w:jc w:val="center"/>
              <w:rPr>
                <w:sz w:val="20"/>
                <w:szCs w:val="20"/>
              </w:rPr>
            </w:pPr>
            <w:r>
              <w:rPr>
                <w:sz w:val="20"/>
                <w:szCs w:val="20"/>
              </w:rPr>
              <w:t>0 $</w:t>
            </w:r>
          </w:p>
        </w:tc>
      </w:tr>
      <w:tr w:rsidR="007845AE" w14:paraId="647719BC" w14:textId="77777777" w:rsidTr="00214CBD">
        <w:tc>
          <w:tcPr>
            <w:tcW w:w="5920" w:type="dxa"/>
            <w:tcBorders>
              <w:top w:val="nil"/>
              <w:left w:val="nil"/>
              <w:bottom w:val="nil"/>
              <w:right w:val="nil"/>
            </w:tcBorders>
            <w:shd w:val="clear" w:color="auto" w:fill="74A510" w:themeFill="background2" w:themeFillShade="80"/>
          </w:tcPr>
          <w:p w14:paraId="2B06BFBF" w14:textId="57C5F66F" w:rsidR="007845AE" w:rsidRDefault="007845AE" w:rsidP="00214CBD">
            <w:pPr>
              <w:rPr>
                <w:sz w:val="20"/>
                <w:szCs w:val="20"/>
              </w:rPr>
            </w:pPr>
            <w:r>
              <w:rPr>
                <w:sz w:val="20"/>
                <w:szCs w:val="20"/>
              </w:rPr>
              <w:t>Somme des actifs défiscalisés</w:t>
            </w:r>
          </w:p>
        </w:tc>
        <w:tc>
          <w:tcPr>
            <w:tcW w:w="1506" w:type="dxa"/>
            <w:tcBorders>
              <w:top w:val="nil"/>
              <w:left w:val="nil"/>
              <w:bottom w:val="nil"/>
              <w:right w:val="nil"/>
            </w:tcBorders>
            <w:shd w:val="clear" w:color="auto" w:fill="7F7F7F" w:themeFill="text1" w:themeFillTint="80"/>
          </w:tcPr>
          <w:p w14:paraId="3CF6D5DB" w14:textId="77777777" w:rsidR="007845AE" w:rsidRDefault="007845AE" w:rsidP="007845AE">
            <w:pPr>
              <w:jc w:val="center"/>
              <w:rPr>
                <w:sz w:val="20"/>
                <w:szCs w:val="20"/>
              </w:rPr>
            </w:pPr>
            <w:r>
              <w:rPr>
                <w:sz w:val="20"/>
                <w:szCs w:val="20"/>
              </w:rPr>
              <w:t>56 917 $</w:t>
            </w:r>
          </w:p>
        </w:tc>
      </w:tr>
      <w:tr w:rsidR="007845AE" w14:paraId="1951EDB0" w14:textId="77777777" w:rsidTr="00214CBD">
        <w:tc>
          <w:tcPr>
            <w:tcW w:w="5920" w:type="dxa"/>
            <w:tcBorders>
              <w:top w:val="nil"/>
              <w:left w:val="nil"/>
              <w:bottom w:val="nil"/>
              <w:right w:val="nil"/>
            </w:tcBorders>
            <w:shd w:val="clear" w:color="auto" w:fill="74A510" w:themeFill="background2" w:themeFillShade="80"/>
          </w:tcPr>
          <w:p w14:paraId="48231FB5" w14:textId="1B740655" w:rsidR="007845AE" w:rsidRDefault="007845AE" w:rsidP="00214CBD">
            <w:pPr>
              <w:rPr>
                <w:sz w:val="20"/>
                <w:szCs w:val="20"/>
              </w:rPr>
            </w:pPr>
            <w:r>
              <w:rPr>
                <w:sz w:val="20"/>
                <w:szCs w:val="20"/>
              </w:rPr>
              <w:t>Somme des actifs imposables</w:t>
            </w:r>
          </w:p>
        </w:tc>
        <w:tc>
          <w:tcPr>
            <w:tcW w:w="1506" w:type="dxa"/>
            <w:tcBorders>
              <w:top w:val="nil"/>
              <w:left w:val="nil"/>
              <w:bottom w:val="nil"/>
              <w:right w:val="nil"/>
            </w:tcBorders>
            <w:shd w:val="clear" w:color="auto" w:fill="7F7F7F" w:themeFill="text1" w:themeFillTint="80"/>
          </w:tcPr>
          <w:p w14:paraId="06843780" w14:textId="77777777" w:rsidR="007845AE" w:rsidRDefault="007845AE" w:rsidP="007845AE">
            <w:pPr>
              <w:jc w:val="center"/>
              <w:rPr>
                <w:sz w:val="20"/>
                <w:szCs w:val="20"/>
              </w:rPr>
            </w:pPr>
            <w:r>
              <w:rPr>
                <w:sz w:val="20"/>
                <w:szCs w:val="20"/>
              </w:rPr>
              <w:t>147 836 $</w:t>
            </w:r>
          </w:p>
        </w:tc>
      </w:tr>
      <w:tr w:rsidR="007845AE" w14:paraId="02F1B9B4" w14:textId="77777777" w:rsidTr="00214CBD">
        <w:tc>
          <w:tcPr>
            <w:tcW w:w="5920" w:type="dxa"/>
            <w:tcBorders>
              <w:top w:val="nil"/>
              <w:left w:val="nil"/>
              <w:bottom w:val="nil"/>
              <w:right w:val="nil"/>
            </w:tcBorders>
            <w:shd w:val="clear" w:color="auto" w:fill="74A510" w:themeFill="background2" w:themeFillShade="80"/>
          </w:tcPr>
          <w:p w14:paraId="771837A6" w14:textId="77777777" w:rsidR="007845AE" w:rsidRDefault="007845AE" w:rsidP="007845AE">
            <w:pPr>
              <w:rPr>
                <w:sz w:val="20"/>
                <w:szCs w:val="20"/>
              </w:rPr>
            </w:pPr>
            <w:r>
              <w:rPr>
                <w:sz w:val="20"/>
                <w:szCs w:val="20"/>
              </w:rPr>
              <w:t>Impôts sur actifs imposables - 38,5 %</w:t>
            </w:r>
          </w:p>
        </w:tc>
        <w:tc>
          <w:tcPr>
            <w:tcW w:w="1506" w:type="dxa"/>
            <w:tcBorders>
              <w:top w:val="nil"/>
              <w:left w:val="nil"/>
              <w:bottom w:val="nil"/>
              <w:right w:val="nil"/>
            </w:tcBorders>
            <w:shd w:val="clear" w:color="auto" w:fill="7F7F7F" w:themeFill="text1" w:themeFillTint="80"/>
          </w:tcPr>
          <w:p w14:paraId="771BDCC7" w14:textId="77777777" w:rsidR="007845AE" w:rsidRDefault="007845AE" w:rsidP="007845AE">
            <w:pPr>
              <w:jc w:val="center"/>
              <w:rPr>
                <w:sz w:val="20"/>
                <w:szCs w:val="20"/>
              </w:rPr>
            </w:pPr>
            <w:r>
              <w:rPr>
                <w:sz w:val="20"/>
                <w:szCs w:val="20"/>
              </w:rPr>
              <w:t>56 917 $</w:t>
            </w:r>
          </w:p>
        </w:tc>
      </w:tr>
      <w:tr w:rsidR="007845AE" w14:paraId="53989FFF" w14:textId="77777777" w:rsidTr="00214CBD">
        <w:tc>
          <w:tcPr>
            <w:tcW w:w="5920" w:type="dxa"/>
            <w:tcBorders>
              <w:top w:val="nil"/>
              <w:left w:val="nil"/>
              <w:bottom w:val="nil"/>
              <w:right w:val="nil"/>
            </w:tcBorders>
            <w:shd w:val="clear" w:color="auto" w:fill="74A510" w:themeFill="background2" w:themeFillShade="80"/>
          </w:tcPr>
          <w:p w14:paraId="0E6DE82A" w14:textId="20F9D911" w:rsidR="007845AE" w:rsidRDefault="007845AE" w:rsidP="00214CBD">
            <w:pPr>
              <w:rPr>
                <w:sz w:val="20"/>
                <w:szCs w:val="20"/>
              </w:rPr>
            </w:pPr>
            <w:r>
              <w:rPr>
                <w:sz w:val="20"/>
                <w:szCs w:val="20"/>
              </w:rPr>
              <w:t>Gain en valeur nette</w:t>
            </w:r>
          </w:p>
        </w:tc>
        <w:tc>
          <w:tcPr>
            <w:tcW w:w="1506" w:type="dxa"/>
            <w:tcBorders>
              <w:top w:val="nil"/>
              <w:left w:val="nil"/>
              <w:bottom w:val="nil"/>
              <w:right w:val="nil"/>
            </w:tcBorders>
            <w:shd w:val="clear" w:color="auto" w:fill="000000" w:themeFill="text1"/>
          </w:tcPr>
          <w:p w14:paraId="29704876" w14:textId="77777777" w:rsidR="007845AE" w:rsidRPr="00214CBD" w:rsidRDefault="007845AE" w:rsidP="007845AE">
            <w:pPr>
              <w:jc w:val="center"/>
              <w:rPr>
                <w:sz w:val="28"/>
                <w:szCs w:val="28"/>
              </w:rPr>
            </w:pPr>
            <w:r w:rsidRPr="00214CBD">
              <w:rPr>
                <w:sz w:val="28"/>
                <w:szCs w:val="28"/>
              </w:rPr>
              <w:t>147 836 $</w:t>
            </w:r>
          </w:p>
        </w:tc>
      </w:tr>
    </w:tbl>
    <w:tbl>
      <w:tblPr>
        <w:tblStyle w:val="Grille"/>
        <w:tblpPr w:leftFromText="141" w:rightFromText="141" w:vertAnchor="page" w:horzAnchor="page" w:tblpX="446" w:tblpY="5918"/>
        <w:tblW w:w="7479" w:type="dxa"/>
        <w:tblLook w:val="04A0" w:firstRow="1" w:lastRow="0" w:firstColumn="1" w:lastColumn="0" w:noHBand="0" w:noVBand="1"/>
      </w:tblPr>
      <w:tblGrid>
        <w:gridCol w:w="5920"/>
        <w:gridCol w:w="1559"/>
      </w:tblGrid>
      <w:tr w:rsidR="007845AE" w14:paraId="5E362E9D" w14:textId="77777777" w:rsidTr="00214CBD">
        <w:tc>
          <w:tcPr>
            <w:tcW w:w="5920" w:type="dxa"/>
            <w:tcBorders>
              <w:bottom w:val="nil"/>
            </w:tcBorders>
            <w:shd w:val="clear" w:color="auto" w:fill="000000" w:themeFill="text1"/>
          </w:tcPr>
          <w:p w14:paraId="4AE2E1EF" w14:textId="77777777" w:rsidR="007845AE" w:rsidRDefault="007845AE" w:rsidP="00606BF7">
            <w:pPr>
              <w:jc w:val="center"/>
            </w:pPr>
            <w:r>
              <w:t>HYPOTHÈQUE/CÉLI</w:t>
            </w:r>
          </w:p>
        </w:tc>
        <w:tc>
          <w:tcPr>
            <w:tcW w:w="1559" w:type="dxa"/>
            <w:tcBorders>
              <w:bottom w:val="nil"/>
            </w:tcBorders>
            <w:shd w:val="clear" w:color="auto" w:fill="000000" w:themeFill="text1"/>
          </w:tcPr>
          <w:p w14:paraId="7D0259A6" w14:textId="77777777" w:rsidR="007845AE" w:rsidRDefault="007845AE" w:rsidP="00606BF7">
            <w:pPr>
              <w:jc w:val="center"/>
            </w:pPr>
            <w:r>
              <w:t>$</w:t>
            </w:r>
          </w:p>
        </w:tc>
      </w:tr>
      <w:tr w:rsidR="007845AE" w14:paraId="78096E5F" w14:textId="77777777" w:rsidTr="00214CBD">
        <w:tc>
          <w:tcPr>
            <w:tcW w:w="5920" w:type="dxa"/>
            <w:tcBorders>
              <w:top w:val="nil"/>
              <w:left w:val="nil"/>
              <w:bottom w:val="nil"/>
              <w:right w:val="nil"/>
            </w:tcBorders>
            <w:shd w:val="clear" w:color="auto" w:fill="CAEACA"/>
          </w:tcPr>
          <w:p w14:paraId="5FA719DF" w14:textId="77777777" w:rsidR="007845AE" w:rsidRDefault="007845AE" w:rsidP="00606BF7"/>
        </w:tc>
        <w:tc>
          <w:tcPr>
            <w:tcW w:w="1559" w:type="dxa"/>
            <w:tcBorders>
              <w:top w:val="nil"/>
              <w:left w:val="nil"/>
              <w:bottom w:val="nil"/>
              <w:right w:val="nil"/>
            </w:tcBorders>
            <w:shd w:val="clear" w:color="auto" w:fill="D9D9D9" w:themeFill="background1" w:themeFillShade="D9"/>
          </w:tcPr>
          <w:p w14:paraId="28985BE0" w14:textId="77777777" w:rsidR="007845AE" w:rsidRDefault="007845AE" w:rsidP="00606BF7">
            <w:pPr>
              <w:jc w:val="center"/>
            </w:pPr>
          </w:p>
        </w:tc>
      </w:tr>
      <w:tr w:rsidR="007845AE" w:rsidRPr="00F51F10" w14:paraId="5C1316A3" w14:textId="77777777" w:rsidTr="00214CBD">
        <w:tc>
          <w:tcPr>
            <w:tcW w:w="5920" w:type="dxa"/>
            <w:tcBorders>
              <w:top w:val="nil"/>
              <w:left w:val="nil"/>
              <w:bottom w:val="nil"/>
              <w:right w:val="nil"/>
            </w:tcBorders>
            <w:shd w:val="clear" w:color="auto" w:fill="CAEACA"/>
          </w:tcPr>
          <w:p w14:paraId="1CDC3617" w14:textId="77777777" w:rsidR="007845AE" w:rsidRPr="00F51F10" w:rsidRDefault="007845AE" w:rsidP="00606BF7">
            <w:pPr>
              <w:rPr>
                <w:sz w:val="20"/>
                <w:szCs w:val="20"/>
              </w:rPr>
            </w:pPr>
            <w:r w:rsidRPr="00F51F10">
              <w:rPr>
                <w:sz w:val="20"/>
                <w:szCs w:val="20"/>
              </w:rPr>
              <w:t xml:space="preserve">$ </w:t>
            </w:r>
            <w:r>
              <w:rPr>
                <w:sz w:val="20"/>
                <w:szCs w:val="20"/>
              </w:rPr>
              <w:t>remboursés par année</w:t>
            </w:r>
          </w:p>
        </w:tc>
        <w:tc>
          <w:tcPr>
            <w:tcW w:w="1559" w:type="dxa"/>
            <w:tcBorders>
              <w:top w:val="nil"/>
              <w:left w:val="nil"/>
              <w:bottom w:val="nil"/>
              <w:right w:val="nil"/>
            </w:tcBorders>
            <w:shd w:val="clear" w:color="auto" w:fill="D9D9D9" w:themeFill="background1" w:themeFillShade="D9"/>
          </w:tcPr>
          <w:p w14:paraId="4713C255" w14:textId="77777777" w:rsidR="007845AE" w:rsidRPr="00F51F10" w:rsidRDefault="007845AE" w:rsidP="00606BF7">
            <w:pPr>
              <w:jc w:val="center"/>
              <w:rPr>
                <w:sz w:val="20"/>
                <w:szCs w:val="20"/>
              </w:rPr>
            </w:pPr>
            <w:r>
              <w:rPr>
                <w:sz w:val="20"/>
                <w:szCs w:val="20"/>
              </w:rPr>
              <w:t>10 000 $</w:t>
            </w:r>
          </w:p>
        </w:tc>
      </w:tr>
      <w:tr w:rsidR="007845AE" w:rsidRPr="00F51F10" w14:paraId="36417311" w14:textId="77777777" w:rsidTr="00214CBD">
        <w:tc>
          <w:tcPr>
            <w:tcW w:w="5920" w:type="dxa"/>
            <w:tcBorders>
              <w:top w:val="nil"/>
              <w:left w:val="nil"/>
              <w:bottom w:val="nil"/>
              <w:right w:val="nil"/>
            </w:tcBorders>
            <w:shd w:val="clear" w:color="auto" w:fill="CAEACA"/>
          </w:tcPr>
          <w:p w14:paraId="4D2732B4" w14:textId="50C6B98C" w:rsidR="007845AE" w:rsidRPr="00F51F10" w:rsidRDefault="007845AE" w:rsidP="00214CBD">
            <w:pPr>
              <w:rPr>
                <w:sz w:val="20"/>
                <w:szCs w:val="20"/>
              </w:rPr>
            </w:pPr>
            <w:r>
              <w:rPr>
                <w:sz w:val="20"/>
                <w:szCs w:val="20"/>
              </w:rPr>
              <w:t>Versements hypothécaires, avant re</w:t>
            </w:r>
            <w:r w:rsidR="00E24253">
              <w:rPr>
                <w:sz w:val="20"/>
                <w:szCs w:val="20"/>
              </w:rPr>
              <w:t>m</w:t>
            </w:r>
            <w:r>
              <w:rPr>
                <w:sz w:val="20"/>
                <w:szCs w:val="20"/>
              </w:rPr>
              <w:t>boursement anticipé de 10 000 $</w:t>
            </w:r>
          </w:p>
        </w:tc>
        <w:tc>
          <w:tcPr>
            <w:tcW w:w="1559" w:type="dxa"/>
            <w:tcBorders>
              <w:top w:val="nil"/>
              <w:left w:val="nil"/>
              <w:bottom w:val="nil"/>
              <w:right w:val="nil"/>
            </w:tcBorders>
            <w:shd w:val="clear" w:color="auto" w:fill="D9D9D9" w:themeFill="background1" w:themeFillShade="D9"/>
          </w:tcPr>
          <w:p w14:paraId="73D10F36" w14:textId="77777777" w:rsidR="007845AE" w:rsidRPr="00F51F10" w:rsidRDefault="007845AE" w:rsidP="00606BF7">
            <w:pPr>
              <w:jc w:val="center"/>
              <w:rPr>
                <w:sz w:val="20"/>
                <w:szCs w:val="20"/>
              </w:rPr>
            </w:pPr>
            <w:r>
              <w:rPr>
                <w:sz w:val="20"/>
                <w:szCs w:val="20"/>
              </w:rPr>
              <w:t>1 511$</w:t>
            </w:r>
          </w:p>
        </w:tc>
      </w:tr>
      <w:tr w:rsidR="007845AE" w:rsidRPr="00F51F10" w14:paraId="240C8535" w14:textId="77777777" w:rsidTr="00214CBD">
        <w:tc>
          <w:tcPr>
            <w:tcW w:w="5920" w:type="dxa"/>
            <w:tcBorders>
              <w:top w:val="nil"/>
              <w:left w:val="nil"/>
              <w:bottom w:val="nil"/>
              <w:right w:val="nil"/>
            </w:tcBorders>
            <w:shd w:val="clear" w:color="auto" w:fill="CAEACA"/>
          </w:tcPr>
          <w:p w14:paraId="07E8351C" w14:textId="77777777" w:rsidR="007845AE" w:rsidRDefault="007845AE" w:rsidP="00606BF7">
            <w:pPr>
              <w:rPr>
                <w:sz w:val="20"/>
                <w:szCs w:val="20"/>
              </w:rPr>
            </w:pPr>
            <w:r>
              <w:rPr>
                <w:sz w:val="20"/>
                <w:szCs w:val="20"/>
              </w:rPr>
              <w:t>Remboursement anticipé ajouté aux versements hypothécaires</w:t>
            </w:r>
          </w:p>
        </w:tc>
        <w:tc>
          <w:tcPr>
            <w:tcW w:w="1559" w:type="dxa"/>
            <w:tcBorders>
              <w:top w:val="nil"/>
              <w:left w:val="nil"/>
              <w:bottom w:val="nil"/>
              <w:right w:val="nil"/>
            </w:tcBorders>
            <w:shd w:val="clear" w:color="auto" w:fill="D9D9D9" w:themeFill="background1" w:themeFillShade="D9"/>
          </w:tcPr>
          <w:p w14:paraId="724A3628" w14:textId="77777777" w:rsidR="007845AE" w:rsidRDefault="007845AE" w:rsidP="00606BF7">
            <w:pPr>
              <w:jc w:val="center"/>
              <w:rPr>
                <w:sz w:val="20"/>
                <w:szCs w:val="20"/>
              </w:rPr>
            </w:pPr>
            <w:r>
              <w:rPr>
                <w:sz w:val="20"/>
                <w:szCs w:val="20"/>
              </w:rPr>
              <w:t>833 $</w:t>
            </w:r>
          </w:p>
        </w:tc>
      </w:tr>
      <w:tr w:rsidR="007845AE" w:rsidRPr="00F51F10" w14:paraId="467F357E" w14:textId="77777777" w:rsidTr="00214CBD">
        <w:tc>
          <w:tcPr>
            <w:tcW w:w="5920" w:type="dxa"/>
            <w:tcBorders>
              <w:top w:val="nil"/>
              <w:left w:val="nil"/>
              <w:bottom w:val="nil"/>
              <w:right w:val="nil"/>
            </w:tcBorders>
            <w:shd w:val="clear" w:color="auto" w:fill="CAEACA"/>
          </w:tcPr>
          <w:p w14:paraId="0F5F12A8" w14:textId="77777777" w:rsidR="007845AE" w:rsidRPr="00F51F10" w:rsidRDefault="007845AE" w:rsidP="00606BF7">
            <w:pPr>
              <w:rPr>
                <w:sz w:val="20"/>
                <w:szCs w:val="20"/>
              </w:rPr>
            </w:pPr>
            <w:r>
              <w:rPr>
                <w:sz w:val="20"/>
                <w:szCs w:val="20"/>
              </w:rPr>
              <w:t>Nombre de versements requis pour rembourser la dette, en tenant compte des remboursements anticipés</w:t>
            </w:r>
          </w:p>
        </w:tc>
        <w:tc>
          <w:tcPr>
            <w:tcW w:w="1559" w:type="dxa"/>
            <w:tcBorders>
              <w:top w:val="nil"/>
              <w:left w:val="nil"/>
              <w:bottom w:val="nil"/>
              <w:right w:val="nil"/>
            </w:tcBorders>
            <w:shd w:val="clear" w:color="auto" w:fill="D9D9D9" w:themeFill="background1" w:themeFillShade="D9"/>
          </w:tcPr>
          <w:p w14:paraId="4D5B66AF" w14:textId="77777777" w:rsidR="007845AE" w:rsidRPr="00F51F10" w:rsidRDefault="007845AE" w:rsidP="00606BF7">
            <w:pPr>
              <w:jc w:val="center"/>
              <w:rPr>
                <w:sz w:val="20"/>
                <w:szCs w:val="20"/>
              </w:rPr>
            </w:pPr>
            <w:r>
              <w:rPr>
                <w:sz w:val="20"/>
                <w:szCs w:val="20"/>
              </w:rPr>
              <w:t>72</w:t>
            </w:r>
          </w:p>
        </w:tc>
      </w:tr>
      <w:tr w:rsidR="007845AE" w:rsidRPr="00F51F10" w14:paraId="7F05A902" w14:textId="77777777" w:rsidTr="00214CBD">
        <w:tc>
          <w:tcPr>
            <w:tcW w:w="5920" w:type="dxa"/>
            <w:tcBorders>
              <w:top w:val="nil"/>
              <w:left w:val="nil"/>
              <w:bottom w:val="nil"/>
              <w:right w:val="nil"/>
            </w:tcBorders>
            <w:shd w:val="clear" w:color="auto" w:fill="CAEACA"/>
          </w:tcPr>
          <w:p w14:paraId="19340E86" w14:textId="77777777" w:rsidR="007845AE" w:rsidRPr="00F51F10" w:rsidRDefault="007845AE" w:rsidP="00606BF7">
            <w:pPr>
              <w:rPr>
                <w:sz w:val="20"/>
                <w:szCs w:val="20"/>
              </w:rPr>
            </w:pPr>
            <w:r>
              <w:rPr>
                <w:sz w:val="20"/>
                <w:szCs w:val="20"/>
              </w:rPr>
              <w:t>Nombre de mois restant</w:t>
            </w:r>
          </w:p>
        </w:tc>
        <w:tc>
          <w:tcPr>
            <w:tcW w:w="1559" w:type="dxa"/>
            <w:tcBorders>
              <w:top w:val="nil"/>
              <w:left w:val="nil"/>
              <w:bottom w:val="nil"/>
              <w:right w:val="nil"/>
            </w:tcBorders>
            <w:shd w:val="clear" w:color="auto" w:fill="D9D9D9" w:themeFill="background1" w:themeFillShade="D9"/>
          </w:tcPr>
          <w:p w14:paraId="7D1DE5CB" w14:textId="77777777" w:rsidR="007845AE" w:rsidRPr="00F51F10" w:rsidRDefault="007845AE" w:rsidP="00606BF7">
            <w:pPr>
              <w:jc w:val="center"/>
              <w:rPr>
                <w:sz w:val="20"/>
                <w:szCs w:val="20"/>
              </w:rPr>
            </w:pPr>
            <w:r>
              <w:rPr>
                <w:sz w:val="20"/>
                <w:szCs w:val="20"/>
              </w:rPr>
              <w:t>48</w:t>
            </w:r>
          </w:p>
        </w:tc>
      </w:tr>
      <w:tr w:rsidR="007845AE" w14:paraId="073174DE" w14:textId="77777777" w:rsidTr="00214CBD">
        <w:tc>
          <w:tcPr>
            <w:tcW w:w="5920" w:type="dxa"/>
            <w:tcBorders>
              <w:top w:val="nil"/>
              <w:left w:val="nil"/>
              <w:bottom w:val="nil"/>
              <w:right w:val="nil"/>
            </w:tcBorders>
            <w:shd w:val="clear" w:color="auto" w:fill="CAEACA"/>
          </w:tcPr>
          <w:p w14:paraId="1731B321" w14:textId="77777777" w:rsidR="007845AE" w:rsidRDefault="007845AE" w:rsidP="00606BF7">
            <w:pPr>
              <w:rPr>
                <w:sz w:val="20"/>
                <w:szCs w:val="20"/>
              </w:rPr>
            </w:pPr>
            <w:r>
              <w:rPr>
                <w:sz w:val="20"/>
                <w:szCs w:val="20"/>
              </w:rPr>
              <w:t>$ investis par mois (CÉLI)</w:t>
            </w:r>
          </w:p>
        </w:tc>
        <w:tc>
          <w:tcPr>
            <w:tcW w:w="1559" w:type="dxa"/>
            <w:tcBorders>
              <w:top w:val="nil"/>
              <w:left w:val="nil"/>
              <w:bottom w:val="nil"/>
              <w:right w:val="nil"/>
            </w:tcBorders>
            <w:shd w:val="clear" w:color="auto" w:fill="D9D9D9" w:themeFill="background1" w:themeFillShade="D9"/>
          </w:tcPr>
          <w:p w14:paraId="68B1C723" w14:textId="28BBB1F7" w:rsidR="007845AE" w:rsidRDefault="007845AE" w:rsidP="0097090E">
            <w:pPr>
              <w:jc w:val="center"/>
              <w:rPr>
                <w:sz w:val="20"/>
                <w:szCs w:val="20"/>
              </w:rPr>
            </w:pPr>
            <w:r>
              <w:rPr>
                <w:sz w:val="20"/>
                <w:szCs w:val="20"/>
              </w:rPr>
              <w:t>2 34</w:t>
            </w:r>
            <w:r w:rsidR="0097090E">
              <w:rPr>
                <w:sz w:val="20"/>
                <w:szCs w:val="20"/>
              </w:rPr>
              <w:t>4</w:t>
            </w:r>
            <w:r>
              <w:rPr>
                <w:sz w:val="20"/>
                <w:szCs w:val="20"/>
              </w:rPr>
              <w:t xml:space="preserve"> $</w:t>
            </w:r>
          </w:p>
        </w:tc>
      </w:tr>
      <w:tr w:rsidR="007845AE" w14:paraId="3FD17C37" w14:textId="77777777" w:rsidTr="00214CBD">
        <w:tc>
          <w:tcPr>
            <w:tcW w:w="5920" w:type="dxa"/>
            <w:tcBorders>
              <w:top w:val="nil"/>
              <w:left w:val="nil"/>
              <w:bottom w:val="nil"/>
              <w:right w:val="nil"/>
            </w:tcBorders>
            <w:shd w:val="clear" w:color="auto" w:fill="CAEACA"/>
          </w:tcPr>
          <w:p w14:paraId="0F5D1263" w14:textId="77777777" w:rsidR="007845AE" w:rsidRDefault="007845AE" w:rsidP="00606BF7">
            <w:pPr>
              <w:rPr>
                <w:sz w:val="20"/>
                <w:szCs w:val="20"/>
              </w:rPr>
            </w:pPr>
            <w:r>
              <w:rPr>
                <w:sz w:val="20"/>
                <w:szCs w:val="20"/>
              </w:rPr>
              <w:t>Valeur CÉLI – 10 ans</w:t>
            </w:r>
          </w:p>
        </w:tc>
        <w:tc>
          <w:tcPr>
            <w:tcW w:w="1559" w:type="dxa"/>
            <w:tcBorders>
              <w:top w:val="nil"/>
              <w:left w:val="nil"/>
              <w:bottom w:val="nil"/>
              <w:right w:val="nil"/>
            </w:tcBorders>
            <w:shd w:val="clear" w:color="auto" w:fill="D9D9D9" w:themeFill="background1" w:themeFillShade="D9"/>
          </w:tcPr>
          <w:p w14:paraId="00971A1D" w14:textId="5E60BC07" w:rsidR="007845AE" w:rsidRDefault="007845AE" w:rsidP="0097090E">
            <w:pPr>
              <w:jc w:val="center"/>
              <w:rPr>
                <w:sz w:val="20"/>
                <w:szCs w:val="20"/>
              </w:rPr>
            </w:pPr>
            <w:r>
              <w:rPr>
                <w:sz w:val="20"/>
                <w:szCs w:val="20"/>
              </w:rPr>
              <w:t xml:space="preserve">130 </w:t>
            </w:r>
            <w:r w:rsidR="0097090E">
              <w:rPr>
                <w:sz w:val="20"/>
                <w:szCs w:val="20"/>
              </w:rPr>
              <w:t>165</w:t>
            </w:r>
            <w:r>
              <w:rPr>
                <w:sz w:val="20"/>
                <w:szCs w:val="20"/>
              </w:rPr>
              <w:t xml:space="preserve"> $</w:t>
            </w:r>
          </w:p>
        </w:tc>
      </w:tr>
      <w:tr w:rsidR="00606BF7" w14:paraId="72C05101" w14:textId="77777777" w:rsidTr="00214CBD">
        <w:tc>
          <w:tcPr>
            <w:tcW w:w="5920" w:type="dxa"/>
            <w:tcBorders>
              <w:top w:val="nil"/>
              <w:left w:val="nil"/>
              <w:bottom w:val="nil"/>
              <w:right w:val="nil"/>
            </w:tcBorders>
            <w:shd w:val="clear" w:color="auto" w:fill="74A510" w:themeFill="background2" w:themeFillShade="80"/>
          </w:tcPr>
          <w:p w14:paraId="3D1CBBAF" w14:textId="77777777" w:rsidR="00606BF7" w:rsidRDefault="00606BF7" w:rsidP="00606BF7">
            <w:pPr>
              <w:rPr>
                <w:sz w:val="20"/>
                <w:szCs w:val="20"/>
              </w:rPr>
            </w:pPr>
          </w:p>
          <w:p w14:paraId="62970DDD" w14:textId="754936F6" w:rsidR="00606BF7" w:rsidRDefault="00606BF7" w:rsidP="00606BF7">
            <w:pPr>
              <w:rPr>
                <w:sz w:val="20"/>
                <w:szCs w:val="20"/>
              </w:rPr>
            </w:pPr>
            <w:r>
              <w:rPr>
                <w:sz w:val="20"/>
                <w:szCs w:val="20"/>
              </w:rPr>
              <w:t>SOMMAIRE</w:t>
            </w:r>
            <w:r w:rsidR="00214CBD">
              <w:rPr>
                <w:sz w:val="20"/>
                <w:szCs w:val="20"/>
              </w:rPr>
              <w:t xml:space="preserve"> – 10 années plus tard</w:t>
            </w:r>
          </w:p>
        </w:tc>
        <w:tc>
          <w:tcPr>
            <w:tcW w:w="1559" w:type="dxa"/>
            <w:tcBorders>
              <w:top w:val="nil"/>
              <w:left w:val="nil"/>
              <w:bottom w:val="nil"/>
              <w:right w:val="nil"/>
            </w:tcBorders>
            <w:shd w:val="clear" w:color="auto" w:fill="7F7F7F" w:themeFill="text1" w:themeFillTint="80"/>
          </w:tcPr>
          <w:p w14:paraId="57FBD251" w14:textId="77777777" w:rsidR="00606BF7" w:rsidRDefault="00606BF7" w:rsidP="00606BF7">
            <w:pPr>
              <w:jc w:val="center"/>
              <w:rPr>
                <w:sz w:val="20"/>
                <w:szCs w:val="20"/>
              </w:rPr>
            </w:pPr>
          </w:p>
        </w:tc>
      </w:tr>
      <w:tr w:rsidR="00606BF7" w14:paraId="6E879501" w14:textId="77777777" w:rsidTr="00214CBD">
        <w:tc>
          <w:tcPr>
            <w:tcW w:w="5920" w:type="dxa"/>
            <w:tcBorders>
              <w:top w:val="nil"/>
              <w:left w:val="nil"/>
              <w:bottom w:val="nil"/>
              <w:right w:val="nil"/>
            </w:tcBorders>
            <w:shd w:val="clear" w:color="auto" w:fill="74A510" w:themeFill="background2" w:themeFillShade="80"/>
          </w:tcPr>
          <w:p w14:paraId="7C092AD0" w14:textId="77777777" w:rsidR="00606BF7" w:rsidRDefault="00606BF7" w:rsidP="00606BF7">
            <w:pPr>
              <w:rPr>
                <w:sz w:val="20"/>
                <w:szCs w:val="20"/>
              </w:rPr>
            </w:pPr>
          </w:p>
          <w:p w14:paraId="5BCAD0B6" w14:textId="28ED2FA4" w:rsidR="00606BF7" w:rsidRDefault="00606BF7" w:rsidP="00214CBD">
            <w:pPr>
              <w:rPr>
                <w:sz w:val="20"/>
                <w:szCs w:val="20"/>
              </w:rPr>
            </w:pPr>
            <w:r>
              <w:rPr>
                <w:sz w:val="20"/>
                <w:szCs w:val="20"/>
              </w:rPr>
              <w:t>Solde hypothécaire</w:t>
            </w:r>
          </w:p>
        </w:tc>
        <w:tc>
          <w:tcPr>
            <w:tcW w:w="1559" w:type="dxa"/>
            <w:tcBorders>
              <w:top w:val="nil"/>
              <w:left w:val="nil"/>
              <w:bottom w:val="nil"/>
              <w:right w:val="nil"/>
            </w:tcBorders>
            <w:shd w:val="clear" w:color="auto" w:fill="7F7F7F" w:themeFill="text1" w:themeFillTint="80"/>
          </w:tcPr>
          <w:p w14:paraId="06EB3D05" w14:textId="77777777" w:rsidR="00606BF7" w:rsidRDefault="00606BF7" w:rsidP="00606BF7">
            <w:pPr>
              <w:jc w:val="center"/>
              <w:rPr>
                <w:sz w:val="20"/>
                <w:szCs w:val="20"/>
              </w:rPr>
            </w:pPr>
          </w:p>
          <w:p w14:paraId="0EB5C65D" w14:textId="0990ACB5" w:rsidR="00606BF7" w:rsidRDefault="00606BF7" w:rsidP="00606BF7">
            <w:pPr>
              <w:jc w:val="center"/>
              <w:rPr>
                <w:sz w:val="20"/>
                <w:szCs w:val="20"/>
              </w:rPr>
            </w:pPr>
            <w:r>
              <w:rPr>
                <w:sz w:val="20"/>
                <w:szCs w:val="20"/>
              </w:rPr>
              <w:t>0 $</w:t>
            </w:r>
          </w:p>
        </w:tc>
      </w:tr>
      <w:tr w:rsidR="00606BF7" w14:paraId="2078F6F3" w14:textId="77777777" w:rsidTr="00214CBD">
        <w:tc>
          <w:tcPr>
            <w:tcW w:w="5920" w:type="dxa"/>
            <w:tcBorders>
              <w:top w:val="nil"/>
              <w:left w:val="nil"/>
              <w:bottom w:val="nil"/>
              <w:right w:val="nil"/>
            </w:tcBorders>
            <w:shd w:val="clear" w:color="auto" w:fill="74A510" w:themeFill="background2" w:themeFillShade="80"/>
          </w:tcPr>
          <w:p w14:paraId="28347D79" w14:textId="5BA69D65" w:rsidR="00606BF7" w:rsidRDefault="00606BF7" w:rsidP="00606BF7">
            <w:pPr>
              <w:rPr>
                <w:sz w:val="20"/>
                <w:szCs w:val="20"/>
              </w:rPr>
            </w:pPr>
            <w:r>
              <w:rPr>
                <w:sz w:val="20"/>
                <w:szCs w:val="20"/>
              </w:rPr>
              <w:t>Somme des actifs défiscalisés</w:t>
            </w:r>
          </w:p>
        </w:tc>
        <w:tc>
          <w:tcPr>
            <w:tcW w:w="1559" w:type="dxa"/>
            <w:tcBorders>
              <w:top w:val="nil"/>
              <w:left w:val="nil"/>
              <w:bottom w:val="nil"/>
              <w:right w:val="nil"/>
            </w:tcBorders>
            <w:shd w:val="clear" w:color="auto" w:fill="7F7F7F" w:themeFill="text1" w:themeFillTint="80"/>
          </w:tcPr>
          <w:p w14:paraId="00BE52BE" w14:textId="6AB14ACB" w:rsidR="00606BF7" w:rsidRDefault="00606BF7" w:rsidP="0097090E">
            <w:pPr>
              <w:jc w:val="center"/>
              <w:rPr>
                <w:sz w:val="20"/>
                <w:szCs w:val="20"/>
              </w:rPr>
            </w:pPr>
            <w:r>
              <w:rPr>
                <w:sz w:val="20"/>
                <w:szCs w:val="20"/>
              </w:rPr>
              <w:t xml:space="preserve">130 </w:t>
            </w:r>
            <w:r w:rsidR="0097090E">
              <w:rPr>
                <w:sz w:val="20"/>
                <w:szCs w:val="20"/>
              </w:rPr>
              <w:t>165</w:t>
            </w:r>
            <w:r>
              <w:rPr>
                <w:sz w:val="20"/>
                <w:szCs w:val="20"/>
              </w:rPr>
              <w:t xml:space="preserve"> $</w:t>
            </w:r>
          </w:p>
        </w:tc>
      </w:tr>
      <w:tr w:rsidR="00606BF7" w14:paraId="65687A49" w14:textId="77777777" w:rsidTr="00214CBD">
        <w:tc>
          <w:tcPr>
            <w:tcW w:w="5920" w:type="dxa"/>
            <w:tcBorders>
              <w:top w:val="nil"/>
              <w:left w:val="nil"/>
              <w:bottom w:val="nil"/>
              <w:right w:val="nil"/>
            </w:tcBorders>
            <w:shd w:val="clear" w:color="auto" w:fill="74A510" w:themeFill="background2" w:themeFillShade="80"/>
          </w:tcPr>
          <w:p w14:paraId="56F07C90" w14:textId="67521B3C" w:rsidR="00606BF7" w:rsidRDefault="00606BF7" w:rsidP="00214CBD">
            <w:pPr>
              <w:rPr>
                <w:sz w:val="20"/>
                <w:szCs w:val="20"/>
              </w:rPr>
            </w:pPr>
            <w:r>
              <w:rPr>
                <w:sz w:val="20"/>
                <w:szCs w:val="20"/>
              </w:rPr>
              <w:t>Gain en valeur nette</w:t>
            </w:r>
          </w:p>
        </w:tc>
        <w:tc>
          <w:tcPr>
            <w:tcW w:w="1559" w:type="dxa"/>
            <w:tcBorders>
              <w:top w:val="nil"/>
              <w:left w:val="nil"/>
              <w:bottom w:val="nil"/>
              <w:right w:val="nil"/>
            </w:tcBorders>
            <w:shd w:val="clear" w:color="auto" w:fill="000000" w:themeFill="text1"/>
          </w:tcPr>
          <w:p w14:paraId="62E77B0D" w14:textId="1FE2B679" w:rsidR="00606BF7" w:rsidRDefault="00606BF7" w:rsidP="0097090E">
            <w:pPr>
              <w:jc w:val="center"/>
              <w:rPr>
                <w:sz w:val="20"/>
                <w:szCs w:val="20"/>
              </w:rPr>
            </w:pPr>
            <w:r>
              <w:rPr>
                <w:sz w:val="20"/>
                <w:szCs w:val="20"/>
              </w:rPr>
              <w:t xml:space="preserve">130 </w:t>
            </w:r>
            <w:r w:rsidR="0097090E">
              <w:rPr>
                <w:sz w:val="20"/>
                <w:szCs w:val="20"/>
              </w:rPr>
              <w:t>165</w:t>
            </w:r>
            <w:r>
              <w:rPr>
                <w:sz w:val="20"/>
                <w:szCs w:val="20"/>
              </w:rPr>
              <w:t xml:space="preserve"> $</w:t>
            </w:r>
          </w:p>
        </w:tc>
      </w:tr>
    </w:tbl>
    <w:p w14:paraId="315FD9B6" w14:textId="6BD08D57" w:rsidR="00BC26DB" w:rsidRDefault="00B237FE">
      <w:pPr>
        <w:rPr>
          <w:noProof/>
          <w:lang w:eastAsia="fr-FR"/>
        </w:rPr>
      </w:pPr>
      <w:r>
        <w:rPr>
          <w:noProof/>
          <w:lang w:eastAsia="fr-FR"/>
        </w:rPr>
        <mc:AlternateContent>
          <mc:Choice Requires="wps">
            <w:drawing>
              <wp:anchor distT="0" distB="0" distL="114300" distR="114300" simplePos="0" relativeHeight="253171712" behindDoc="0" locked="0" layoutInCell="1" allowOverlap="1" wp14:anchorId="5BE04E51" wp14:editId="0F9158F8">
                <wp:simplePos x="0" y="0"/>
                <wp:positionH relativeFrom="column">
                  <wp:posOffset>1943100</wp:posOffset>
                </wp:positionH>
                <wp:positionV relativeFrom="paragraph">
                  <wp:posOffset>131445</wp:posOffset>
                </wp:positionV>
                <wp:extent cx="469900" cy="457200"/>
                <wp:effectExtent l="76200" t="76200" r="38100" b="76200"/>
                <wp:wrapNone/>
                <wp:docPr id="816" name="Ellipse 816"/>
                <wp:cNvGraphicFramePr/>
                <a:graphic xmlns:a="http://schemas.openxmlformats.org/drawingml/2006/main">
                  <a:graphicData uri="http://schemas.microsoft.com/office/word/2010/wordprocessingShape">
                    <wps:wsp>
                      <wps:cNvSpPr/>
                      <wps:spPr>
                        <a:xfrm>
                          <a:off x="0" y="0"/>
                          <a:ext cx="469900"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54D9C7A" w14:textId="77777777" w:rsidR="00573C95" w:rsidRPr="00BB5676" w:rsidRDefault="00573C95" w:rsidP="00682993">
                            <w:pPr>
                              <w:jc w:val="center"/>
                              <w:rPr>
                                <w:sz w:val="32"/>
                                <w:szCs w:val="32"/>
                              </w:rPr>
                            </w:pPr>
                            <w:r>
                              <w:rPr>
                                <w:sz w:val="32"/>
                                <w:szCs w:val="32"/>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16" o:spid="_x0000_s1567" style="position:absolute;margin-left:153pt;margin-top:10.35pt;width:37pt;height:36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" fillcolor="#517151" strokecolor="black [3213]">
                <v:textbox>
                  <w:txbxContent>
                    <w:p w14:paraId="454D9C7A" w14:textId="77777777" w:rsidR="001501D6" w:rsidRPr="00BB5676" w:rsidRDefault="001501D6" w:rsidP="00682993">
                      <w:pPr>
                        <w:jc w:val="center"/>
                        <w:rPr>
                          <w:sz w:val="32"/>
                          <w:szCs w:val="32"/>
                        </w:rPr>
                      </w:pPr>
                      <w:r>
                        <w:rPr>
                          <w:sz w:val="32"/>
                          <w:szCs w:val="32"/>
                        </w:rPr>
                        <w:t>3</w:t>
                      </w:r>
                    </w:p>
                  </w:txbxContent>
                </v:textbox>
              </v:oval>
            </w:pict>
          </mc:Fallback>
        </mc:AlternateContent>
      </w:r>
      <w:r w:rsidR="00746AEF">
        <w:rPr>
          <w:noProof/>
          <w:lang w:eastAsia="fr-FR"/>
        </w:rPr>
        <mc:AlternateContent>
          <mc:Choice Requires="wps">
            <w:drawing>
              <wp:anchor distT="0" distB="0" distL="114300" distR="114300" simplePos="0" relativeHeight="253176832" behindDoc="0" locked="0" layoutInCell="1" allowOverlap="1" wp14:anchorId="415B783A" wp14:editId="50C92F59">
                <wp:simplePos x="0" y="0"/>
                <wp:positionH relativeFrom="column">
                  <wp:posOffset>4343400</wp:posOffset>
                </wp:positionH>
                <wp:positionV relativeFrom="paragraph">
                  <wp:posOffset>1274445</wp:posOffset>
                </wp:positionV>
                <wp:extent cx="4686300" cy="2171700"/>
                <wp:effectExtent l="0" t="0" r="0" b="12700"/>
                <wp:wrapNone/>
                <wp:docPr id="819" name="Zone de texte 819"/>
                <wp:cNvGraphicFramePr/>
                <a:graphic xmlns:a="http://schemas.openxmlformats.org/drawingml/2006/main">
                  <a:graphicData uri="http://schemas.microsoft.com/office/word/2010/wordprocessingShape">
                    <wps:wsp>
                      <wps:cNvSpPr txBox="1"/>
                      <wps:spPr>
                        <a:xfrm>
                          <a:off x="0" y="0"/>
                          <a:ext cx="4686300" cy="2171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92ADE0" w14:textId="16F7E2ED" w:rsidR="00573C95" w:rsidRDefault="00573C95" w:rsidP="00746AEF">
                            <w:r>
                              <w:t>LES COMMENTAIRES</w:t>
                            </w:r>
                          </w:p>
                          <w:p w14:paraId="3EC96EA5" w14:textId="77777777" w:rsidR="00573C95" w:rsidRDefault="00573C95" w:rsidP="00746AEF"/>
                          <w:p w14:paraId="50A693E5" w14:textId="26BC5BBC" w:rsidR="00573C95" w:rsidRDefault="00573C95" w:rsidP="00F510E2">
                            <w:pPr>
                              <w:jc w:val="both"/>
                            </w:pPr>
                            <w:r>
                              <w:t xml:space="preserve">En cohérence avec notre modèle d’optimisation, le meilleur scénario est celui de l’investissement dans le REÉR avec le réinvestissement du remboursement d’impôt dans le CÉLI (le réinvestissement dans le REÉR aurait donné le même résultat puisque les taux d’impôts sont égaux dans notre exemple). Ultimement, </w:t>
                            </w:r>
                            <w:r w:rsidRPr="00F510E2">
                              <w:rPr>
                                <w:color w:val="FF6700" w:themeColor="accent3"/>
                              </w:rPr>
                              <w:t>C’EST LE MEILLEUR TAUX QUI GAGNE!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19" o:spid="_x0000_s1568" type="#_x0000_t202" style="position:absolute;margin-left:342pt;margin-top:100.35pt;width:369pt;height:171pt;z-index:2531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" filled="f" stroked="f">
                <v:textbox>
                  <w:txbxContent>
                    <w:p w14:paraId="0092ADE0" w14:textId="16F7E2ED" w:rsidR="001501D6" w:rsidRDefault="001501D6" w:rsidP="00746AEF">
                      <w:r>
                        <w:t>LES COMMENTAIRES</w:t>
                      </w:r>
                    </w:p>
                    <w:p w14:paraId="3EC96EA5" w14:textId="77777777" w:rsidR="001501D6" w:rsidRDefault="001501D6" w:rsidP="00746AEF"/>
                    <w:p w14:paraId="50A693E5" w14:textId="26BC5BBC" w:rsidR="001501D6" w:rsidRDefault="001501D6" w:rsidP="00F510E2">
                      <w:pPr>
                        <w:jc w:val="both"/>
                      </w:pPr>
                      <w:r>
                        <w:t xml:space="preserve">En cohérence avec notre modèle d’optimisation, le meilleur scénario est celui de l’investissement dans le REÉR avec le réinvestissement du remboursement d’impôt dans le CÉLI (le réinvestissement dans le REÉR aurait donné le même résultat puisque les taux d’impôts sont égaux dans notre exemple). Ultimement, </w:t>
                      </w:r>
                      <w:r w:rsidRPr="00F510E2">
                        <w:rPr>
                          <w:color w:val="FF6700" w:themeColor="accent3"/>
                        </w:rPr>
                        <w:t>C’EST LE MEILLEUR TAUX QUI GAGNE!</w:t>
                      </w:r>
                    </w:p>
                  </w:txbxContent>
                </v:textbox>
              </v:shape>
            </w:pict>
          </mc:Fallback>
        </mc:AlternateContent>
      </w:r>
      <w:r w:rsidR="003608B1">
        <w:br w:type="page"/>
      </w:r>
    </w:p>
    <w:p w14:paraId="7CC56B19" w14:textId="56E0A369" w:rsidR="005A52D1" w:rsidRDefault="005A52D1" w:rsidP="006C34CF">
      <w:pPr>
        <w:pStyle w:val="Titre1"/>
        <w:numPr>
          <w:ilvl w:val="0"/>
          <w:numId w:val="55"/>
        </w:numPr>
      </w:pPr>
      <w:bookmarkStart w:id="163" w:name="_Toc314397888"/>
      <w:bookmarkStart w:id="164" w:name="_Toc443569432"/>
      <w:r>
        <w:lastRenderedPageBreak/>
        <w:t>Placements, rendements et risques</w:t>
      </w:r>
      <w:bookmarkEnd w:id="163"/>
      <w:bookmarkEnd w:id="164"/>
    </w:p>
    <w:p w14:paraId="73476CF8" w14:textId="77777777" w:rsidR="007A15C9" w:rsidRDefault="007A15C9"/>
    <w:p w14:paraId="7A1F4815" w14:textId="48C21FE6" w:rsidR="00B957D4" w:rsidRDefault="00944390" w:rsidP="00CA140B">
      <w:pPr>
        <w:jc w:val="both"/>
      </w:pPr>
      <w:r>
        <w:t>Lorsqu’un individu opte pour une posture d’épargnant, c’est qu’il considère</w:t>
      </w:r>
      <w:r w:rsidR="0074162F">
        <w:t xml:space="preserve"> </w:t>
      </w:r>
      <w:r>
        <w:t xml:space="preserve">que ce geste lui </w:t>
      </w:r>
      <w:r w:rsidR="0074162F">
        <w:t>r</w:t>
      </w:r>
      <w:r>
        <w:t>apportera</w:t>
      </w:r>
      <w:r w:rsidR="002229FE">
        <w:t xml:space="preserve"> dans le futur</w:t>
      </w:r>
      <w:r>
        <w:t xml:space="preserve"> des bénéfices plus grand</w:t>
      </w:r>
      <w:r w:rsidR="005412B5">
        <w:t>s</w:t>
      </w:r>
      <w:r>
        <w:t xml:space="preserve"> que la</w:t>
      </w:r>
      <w:r w:rsidR="0074162F">
        <w:t xml:space="preserve"> satisfaction ressentie </w:t>
      </w:r>
      <w:r w:rsidR="00A95448">
        <w:t xml:space="preserve">lors </w:t>
      </w:r>
      <w:r w:rsidR="0074162F">
        <w:t>d'une</w:t>
      </w:r>
      <w:r>
        <w:t xml:space="preserve"> consommation immédiate de </w:t>
      </w:r>
      <w:r w:rsidR="005412B5">
        <w:t>son</w:t>
      </w:r>
      <w:r>
        <w:t xml:space="preserve"> avoir</w:t>
      </w:r>
      <w:r w:rsidR="005412B5">
        <w:t>. Une fois cette décision prise</w:t>
      </w:r>
      <w:r w:rsidR="00A95448">
        <w:t xml:space="preserve"> de reporter une gratification immédiate</w:t>
      </w:r>
      <w:r w:rsidR="005412B5">
        <w:t xml:space="preserve">, </w:t>
      </w:r>
      <w:r w:rsidR="00CA140B">
        <w:t>il pourra alors investir cet avoir de nombreuses</w:t>
      </w:r>
      <w:r w:rsidR="003F2946">
        <w:t xml:space="preserve"> façons. Au sens le plus large, il devra opter pour un investissement de nature « active» ou « passive ». Souhaitera-t-il engager son épargne dans la concrétisation d’une grande idée qu’il </w:t>
      </w:r>
      <w:r w:rsidR="0074162F">
        <w:t>aimerait</w:t>
      </w:r>
      <w:r w:rsidR="003F2946">
        <w:t xml:space="preserve"> voir devenir une entreprise rentable et génératrice de revenus pour des années à venir ou adoptera-t-il une approche privi</w:t>
      </w:r>
      <w:r w:rsidR="00AF50D1">
        <w:t>l</w:t>
      </w:r>
      <w:r w:rsidR="003F2946">
        <w:t>égiant l’achat de titres boursiers</w:t>
      </w:r>
      <w:r w:rsidR="00A00CE8">
        <w:t xml:space="preserve"> d’entreprises à haut potentiel de rendement</w:t>
      </w:r>
      <w:r w:rsidR="00A00CE8" w:rsidRPr="00A00CE8">
        <w:rPr>
          <w:rFonts w:ascii="Avenir Book" w:hAnsi="Avenir Book"/>
        </w:rPr>
        <w:t>?</w:t>
      </w:r>
      <w:r w:rsidR="0074162F">
        <w:rPr>
          <w:rFonts w:ascii="Avenir Book" w:hAnsi="Avenir Book"/>
        </w:rPr>
        <w:t xml:space="preserve"> </w:t>
      </w:r>
      <w:r w:rsidR="0074162F" w:rsidRPr="0074162F">
        <w:t>Pour d</w:t>
      </w:r>
      <w:r w:rsidR="0074162F">
        <w:t xml:space="preserve">'innombrables </w:t>
      </w:r>
      <w:r w:rsidR="0074162F" w:rsidRPr="0074162F">
        <w:t>raisons</w:t>
      </w:r>
      <w:r w:rsidR="0074162F">
        <w:t xml:space="preserve"> (Le temps disponible, les connaissances requises, l'aversion au risque, les aspects pratiques, etc.), l</w:t>
      </w:r>
      <w:r w:rsidR="00A00CE8">
        <w:t xml:space="preserve">a majorité des individus transigeront leurs avoirs en échange de titres négociables de tout genre, ils opteront pour une gamme </w:t>
      </w:r>
      <w:r w:rsidR="00A00CE8" w:rsidRPr="00C664AD">
        <w:rPr>
          <w:color w:val="FF6700" w:themeColor="accent3"/>
        </w:rPr>
        <w:t>d</w:t>
      </w:r>
      <w:r w:rsidR="00C664AD" w:rsidRPr="00C664AD">
        <w:rPr>
          <w:color w:val="FF6700" w:themeColor="accent3"/>
        </w:rPr>
        <w:t>’ACTIFS FINANCIERS</w:t>
      </w:r>
      <w:r w:rsidR="00A00CE8">
        <w:t xml:space="preserve"> plutôt que pour des </w:t>
      </w:r>
      <w:r w:rsidR="00C664AD" w:rsidRPr="00C664AD">
        <w:rPr>
          <w:color w:val="FF6700" w:themeColor="accent3"/>
        </w:rPr>
        <w:t>ACTIFS ENTREPRENEURIA</w:t>
      </w:r>
      <w:r w:rsidR="0065565D">
        <w:rPr>
          <w:color w:val="FF6700" w:themeColor="accent3"/>
        </w:rPr>
        <w:t>UX</w:t>
      </w:r>
      <w:r w:rsidR="00A00CE8">
        <w:t>.</w:t>
      </w:r>
      <w:r w:rsidR="0074162F">
        <w:t xml:space="preserve"> Cette démarcation n'est pas futile puisqu'elle devrait être un rempart pour fixer les attentes financières d'un investisseur à l'égard des actifs investis. Les grands rendements seront normalement tributaire</w:t>
      </w:r>
      <w:r w:rsidR="006A0A01">
        <w:t>s du parcours entrepreneurial d'une personne qui a investi temps et argent à bâtir sa propre entreprise. Cette démarche est tout autre que de se doter d'un portefeuille de placement diversifié dans un REÉR et, il faut bien le noter, le potentiel de rendement sera tout aussi différent (il en sera de même du niveau de risque assumé).</w:t>
      </w:r>
      <w:r w:rsidR="002229FE">
        <w:t xml:space="preserve"> </w:t>
      </w:r>
      <w:r w:rsidR="006A0A01">
        <w:t>L'investisseur doit constamment garder à l'esprit ce</w:t>
      </w:r>
      <w:r w:rsidR="00A95448">
        <w:t>tte</w:t>
      </w:r>
      <w:r w:rsidR="006A0A01">
        <w:t xml:space="preserve"> distinction et démontrer une bonne dose de réalisme lorsqu'il apprécie la hauteur de ces gains sur ses investissements.</w:t>
      </w:r>
      <w:r w:rsidR="0005459F">
        <w:t xml:space="preserve"> La relation Rendement-Risque étant à l'assise des théories financières de placement. </w:t>
      </w:r>
      <w:r w:rsidR="00B957D4">
        <w:t xml:space="preserve">L'un des grands ennemis de l'investisseur sera une vue à court terme, espérant des rendements menant à une grande richesse en peu de temps. Cette attitude est néfaste en finance personnelle. </w:t>
      </w:r>
      <w:r w:rsidR="006A0A01">
        <w:t>Dans la présente section de notre ouvrage, c</w:t>
      </w:r>
      <w:r w:rsidR="0015224B">
        <w:t xml:space="preserve">e sont </w:t>
      </w:r>
      <w:r w:rsidR="006A0A01">
        <w:t>les</w:t>
      </w:r>
      <w:r w:rsidR="0015224B">
        <w:t xml:space="preserve"> actifs financiers</w:t>
      </w:r>
      <w:r w:rsidR="006A0A01">
        <w:t xml:space="preserve"> (et non les actifs entrepreneuriaux)</w:t>
      </w:r>
      <w:r w:rsidR="0015224B">
        <w:t xml:space="preserve"> que nous considèrerons comme des placements.</w:t>
      </w:r>
    </w:p>
    <w:p w14:paraId="05CFF245" w14:textId="77777777" w:rsidR="00B957D4" w:rsidRDefault="00B957D4" w:rsidP="00CA140B">
      <w:pPr>
        <w:jc w:val="both"/>
      </w:pPr>
    </w:p>
    <w:p w14:paraId="2ACDFD57" w14:textId="0CDFDA20" w:rsidR="00895D78" w:rsidRDefault="00B8089E" w:rsidP="00CA140B">
      <w:pPr>
        <w:jc w:val="both"/>
      </w:pPr>
      <w:r>
        <w:t>L’étude des placements constitue un sujet vaste</w:t>
      </w:r>
      <w:r w:rsidR="006A0A01">
        <w:t xml:space="preserve"> </w:t>
      </w:r>
      <w:r>
        <w:t>comport</w:t>
      </w:r>
      <w:r w:rsidR="006A0A01">
        <w:t>ant</w:t>
      </w:r>
      <w:r>
        <w:t xml:space="preserve"> plusieurs concepts financiers, économiques et fiscaux. La prolifération et l</w:t>
      </w:r>
      <w:r w:rsidR="00D2455D">
        <w:t xml:space="preserve">e perfectionnement </w:t>
      </w:r>
      <w:r>
        <w:t xml:space="preserve">des outils de placements disponible nécessitent une </w:t>
      </w:r>
      <w:r w:rsidR="00A95448">
        <w:t>quantité</w:t>
      </w:r>
      <w:r>
        <w:t xml:space="preserve"> très importante de connaissances pour en arriver à maitriser tous </w:t>
      </w:r>
      <w:r w:rsidR="00895D78">
        <w:t>les</w:t>
      </w:r>
      <w:r>
        <w:t xml:space="preserve"> rouages. Notre objectif sera de présenter une vue d’ensemble </w:t>
      </w:r>
      <w:r w:rsidR="00895D78">
        <w:t>utile</w:t>
      </w:r>
      <w:r w:rsidR="0074162F">
        <w:t>,</w:t>
      </w:r>
      <w:r w:rsidR="00895D78">
        <w:t xml:space="preserve"> misant sur l’essentiel, mais générale du concept de placement.</w:t>
      </w:r>
      <w:r w:rsidR="00B957D4">
        <w:t xml:space="preserve"> Dans un</w:t>
      </w:r>
      <w:r w:rsidR="00FE3ACA">
        <w:t xml:space="preserve"> déroulement</w:t>
      </w:r>
      <w:r w:rsidR="00B957D4">
        <w:t xml:space="preserve"> logique</w:t>
      </w:r>
      <w:r w:rsidR="00D2455D">
        <w:t>,</w:t>
      </w:r>
      <w:r w:rsidR="00B957D4">
        <w:t xml:space="preserve"> nous nous intéresserons au profil de l'investisseur afin d'y saisir ses objectifs et son niveau d'aversion au risque</w:t>
      </w:r>
      <w:r w:rsidR="00FE3ACA">
        <w:t xml:space="preserve">. Par la suite, nous présenterons, de manière non exhaustive, les différents choix de </w:t>
      </w:r>
      <w:r w:rsidR="00FE3ACA">
        <w:lastRenderedPageBreak/>
        <w:t xml:space="preserve">placements qui s'offrent à l'investisseur. Finalement, nous adopterons une approche historique, réflexive et stratégique en matière de placements.  </w:t>
      </w:r>
    </w:p>
    <w:p w14:paraId="1F0ED644" w14:textId="77777777" w:rsidR="0009525C" w:rsidRDefault="0009525C"/>
    <w:p w14:paraId="78D47968" w14:textId="16965673" w:rsidR="00565342" w:rsidRDefault="00565342" w:rsidP="006C34CF">
      <w:pPr>
        <w:pStyle w:val="Titre2"/>
        <w:numPr>
          <w:ilvl w:val="1"/>
          <w:numId w:val="115"/>
        </w:numPr>
      </w:pPr>
      <w:bookmarkStart w:id="165" w:name="_Toc314397889"/>
      <w:bookmarkStart w:id="166" w:name="_Toc443569433"/>
      <w:r>
        <w:t>Profil de l'investisseur</w:t>
      </w:r>
      <w:bookmarkEnd w:id="165"/>
      <w:bookmarkEnd w:id="166"/>
      <w:r>
        <w:t xml:space="preserve"> </w:t>
      </w:r>
    </w:p>
    <w:p w14:paraId="025A2B3C" w14:textId="77777777" w:rsidR="001F63A6" w:rsidRDefault="001F63A6" w:rsidP="001F63A6"/>
    <w:p w14:paraId="7DD62B82" w14:textId="02BFA56A" w:rsidR="000F06C6" w:rsidRDefault="000F06C6" w:rsidP="00C97F52">
      <w:pPr>
        <w:jc w:val="both"/>
      </w:pPr>
      <w:r>
        <w:t xml:space="preserve">Dès le départ, avant même d'entamer toute discussion sur les placements, il faut </w:t>
      </w:r>
      <w:r w:rsidR="000F61A0">
        <w:t xml:space="preserve">parvenir à </w:t>
      </w:r>
      <w:r w:rsidR="000F61A0" w:rsidRPr="000F61A0">
        <w:rPr>
          <w:color w:val="FF6600"/>
        </w:rPr>
        <w:t>CONNAÎTRE</w:t>
      </w:r>
      <w:r w:rsidR="002861AB" w:rsidRPr="002861AB">
        <w:t>,</w:t>
      </w:r>
      <w:r w:rsidR="000F61A0">
        <w:t xml:space="preserve"> </w:t>
      </w:r>
      <w:r>
        <w:t xml:space="preserve">jusqu'à </w:t>
      </w:r>
      <w:r w:rsidR="008358C8">
        <w:t>s</w:t>
      </w:r>
      <w:r>
        <w:t>es derniers retranchements</w:t>
      </w:r>
      <w:r w:rsidR="002861AB">
        <w:t>,</w:t>
      </w:r>
      <w:r>
        <w:t xml:space="preserve"> </w:t>
      </w:r>
      <w:r w:rsidR="00483561">
        <w:t xml:space="preserve">le profil de </w:t>
      </w:r>
      <w:r>
        <w:t>l'investisseur</w:t>
      </w:r>
      <w:r w:rsidR="000F61A0">
        <w:t xml:space="preserve"> (ses aspirations, son âge, ses objectifs de retraite, </w:t>
      </w:r>
      <w:r w:rsidR="008358C8">
        <w:t xml:space="preserve">l'ordre de ses priorités, </w:t>
      </w:r>
      <w:r w:rsidR="000F61A0">
        <w:t>ses projets, son goût pour le risque, sa compréhension de</w:t>
      </w:r>
      <w:r w:rsidR="008358C8">
        <w:t xml:space="preserve">s conséquences de </w:t>
      </w:r>
      <w:r w:rsidR="000F61A0">
        <w:t>"son goût pour le risque").</w:t>
      </w:r>
      <w:r>
        <w:t xml:space="preserve"> </w:t>
      </w:r>
      <w:r w:rsidR="005E62CB">
        <w:t>Cette étape fondamentale a beaucoup évolué au cours des dernières décennies. Elle fait désormais partie du lien qu</w:t>
      </w:r>
      <w:r w:rsidR="00483561">
        <w:t xml:space="preserve">i </w:t>
      </w:r>
      <w:r w:rsidR="00D2455D">
        <w:t>s</w:t>
      </w:r>
      <w:r w:rsidR="00483561">
        <w:t>e doit d'</w:t>
      </w:r>
      <w:r w:rsidR="005E62CB">
        <w:t>exister entre le conseiller en placement et l'investisseur.</w:t>
      </w:r>
      <w:r w:rsidR="003607AE">
        <w:t xml:space="preserve"> Cette démarche d</w:t>
      </w:r>
      <w:r w:rsidR="001B5A13">
        <w:t xml:space="preserve">'appropriation de la </w:t>
      </w:r>
      <w:r w:rsidR="003607AE">
        <w:t xml:space="preserve">connaissance du client par le conseiller en valeurs mobilières fait </w:t>
      </w:r>
      <w:r w:rsidR="00483561">
        <w:t xml:space="preserve">même </w:t>
      </w:r>
      <w:r w:rsidR="003607AE">
        <w:t>l'objet d'une règlementation</w:t>
      </w:r>
      <w:r w:rsidR="00ED5543">
        <w:t xml:space="preserve"> </w:t>
      </w:r>
      <w:r w:rsidR="001B5A13">
        <w:t xml:space="preserve">promulguée et administrée </w:t>
      </w:r>
      <w:r w:rsidR="00ED5543">
        <w:t>par les</w:t>
      </w:r>
      <w:r w:rsidR="003607AE">
        <w:t xml:space="preserve"> diverses instances compétentes en la matière (ACVF, AMF et  CSF)</w:t>
      </w:r>
      <w:r w:rsidR="00ED5543">
        <w:t>.</w:t>
      </w:r>
      <w:r w:rsidR="00C97F52">
        <w:t xml:space="preserve">  </w:t>
      </w:r>
    </w:p>
    <w:p w14:paraId="74CCE0DB" w14:textId="77777777" w:rsidR="00511B5B" w:rsidRDefault="00511B5B" w:rsidP="00C97F52">
      <w:pPr>
        <w:jc w:val="both"/>
      </w:pPr>
    </w:p>
    <w:p w14:paraId="2EFFC2B9" w14:textId="77777777" w:rsidR="00511B5B" w:rsidRDefault="00511B5B" w:rsidP="00511B5B">
      <w:pPr>
        <w:jc w:val="both"/>
      </w:pPr>
      <w:r>
        <w:rPr>
          <w:noProof/>
          <w:lang w:eastAsia="fr-FR"/>
        </w:rPr>
        <w:drawing>
          <wp:anchor distT="0" distB="0" distL="114300" distR="114300" simplePos="0" relativeHeight="253180928" behindDoc="0" locked="0" layoutInCell="1" allowOverlap="1" wp14:anchorId="4C91458A" wp14:editId="7AAED522">
            <wp:simplePos x="0" y="0"/>
            <wp:positionH relativeFrom="column">
              <wp:posOffset>0</wp:posOffset>
            </wp:positionH>
            <wp:positionV relativeFrom="paragraph">
              <wp:posOffset>83185</wp:posOffset>
            </wp:positionV>
            <wp:extent cx="5600700" cy="3886200"/>
            <wp:effectExtent l="0" t="0" r="12700" b="0"/>
            <wp:wrapTight wrapText="bothSides">
              <wp:wrapPolygon edited="0">
                <wp:start x="0" y="0"/>
                <wp:lineTo x="0" y="21459"/>
                <wp:lineTo x="21551" y="21459"/>
                <wp:lineTo x="21551" y="0"/>
                <wp:lineTo x="0" y="0"/>
              </wp:wrapPolygon>
            </wp:wrapTight>
            <wp:docPr id="835" name="Image 835" descr="Macintosh HD:Users:marcbachand:Desktop:Capture d’écran 2015-12-14 à 11.2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marcbachand:Desktop:Capture d’écran 2015-12-14 à 11.25.53.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00700" cy="3886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tab/>
      </w:r>
      <w:r>
        <w:tab/>
      </w:r>
      <w:r>
        <w:tab/>
      </w:r>
      <w:r>
        <w:tab/>
      </w:r>
    </w:p>
    <w:p w14:paraId="11F230BC" w14:textId="290DE235" w:rsidR="00511B5B" w:rsidRDefault="00511B5B" w:rsidP="00511B5B">
      <w:pPr>
        <w:jc w:val="both"/>
      </w:pPr>
      <w:r>
        <w:t>Voici un extrait de l'avis 31-336 du personnel des ACVM "Indications à l’intention des gestionnaires de portefeuille, des courtiers sur le marché dispensé et des autres personnes inscrites au sujet des obligations de connaissance du client, de connaissance du produit et d’évaluation de la convenance au client."</w:t>
      </w:r>
    </w:p>
    <w:p w14:paraId="14ABDD27" w14:textId="77777777" w:rsidR="00511B5B" w:rsidRDefault="00511B5B" w:rsidP="00511B5B">
      <w:pPr>
        <w:jc w:val="both"/>
      </w:pPr>
    </w:p>
    <w:p w14:paraId="28D90DDA" w14:textId="75AE7CDD" w:rsidR="0089153B" w:rsidRDefault="00511B5B" w:rsidP="00511B5B">
      <w:pPr>
        <w:jc w:val="both"/>
      </w:pPr>
      <w:r>
        <w:t xml:space="preserve">L'objectif principal de la pratique proposée en matière de consignation de l'information sur le client est de préserver l'intégrité du service offert ainsi que </w:t>
      </w:r>
      <w:r w:rsidR="005B0BB2">
        <w:t xml:space="preserve">de </w:t>
      </w:r>
      <w:r w:rsidR="00495085">
        <w:rPr>
          <w:noProof/>
          <w:lang w:eastAsia="fr-FR"/>
        </w:rPr>
        <w:lastRenderedPageBreak/>
        <w:drawing>
          <wp:anchor distT="0" distB="0" distL="114300" distR="114300" simplePos="0" relativeHeight="253178880" behindDoc="0" locked="0" layoutInCell="1" allowOverlap="1" wp14:anchorId="612F8F54" wp14:editId="3EC1A79B">
            <wp:simplePos x="0" y="0"/>
            <wp:positionH relativeFrom="column">
              <wp:posOffset>0</wp:posOffset>
            </wp:positionH>
            <wp:positionV relativeFrom="paragraph">
              <wp:posOffset>0</wp:posOffset>
            </wp:positionV>
            <wp:extent cx="5600700" cy="3413760"/>
            <wp:effectExtent l="0" t="0" r="12700" b="0"/>
            <wp:wrapTight wrapText="bothSides">
              <wp:wrapPolygon edited="0">
                <wp:start x="0" y="0"/>
                <wp:lineTo x="0" y="21375"/>
                <wp:lineTo x="21551" y="21375"/>
                <wp:lineTo x="21551" y="0"/>
                <wp:lineTo x="0" y="0"/>
              </wp:wrapPolygon>
            </wp:wrapTight>
            <wp:docPr id="836" name="Image 836" descr="Macintosh HD:Users:marcbachand:Desktop:Capture d’écran 2015-12-14 à 11.2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marcbachand:Desktop:Capture d’écran 2015-12-14 à 11.26.22.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00700" cy="34137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B0BB2">
        <w:t xml:space="preserve">s'assurer </w:t>
      </w:r>
      <w:r>
        <w:t xml:space="preserve">de la mise en place </w:t>
      </w:r>
      <w:r w:rsidR="00BD4C3D">
        <w:t>d</w:t>
      </w:r>
      <w:r>
        <w:t>'une stratégie</w:t>
      </w:r>
      <w:r w:rsidR="005B0BB2">
        <w:t xml:space="preserve"> d'investissement dont les choix de placements </w:t>
      </w:r>
      <w:r w:rsidR="00BD4C3D">
        <w:t>s'harmonise</w:t>
      </w:r>
      <w:r w:rsidR="005B0BB2">
        <w:t>nt</w:t>
      </w:r>
      <w:r w:rsidR="00BD4C3D">
        <w:t xml:space="preserve"> avec le profil de l'investisseur.</w:t>
      </w:r>
      <w:r w:rsidR="005B0BB2">
        <w:t xml:space="preserve"> Une pleine connaissance du client ainsi qu'une voie de communication efficace entre le conseiller et </w:t>
      </w:r>
      <w:r w:rsidR="0089153B">
        <w:t xml:space="preserve">l'investisseur </w:t>
      </w:r>
      <w:r w:rsidR="005B0BB2">
        <w:t>favorisent une compréhension commune des enjeux reliés aux stratégies utilisée</w:t>
      </w:r>
      <w:r w:rsidR="00483561">
        <w:t>s,</w:t>
      </w:r>
      <w:r w:rsidR="005B0BB2">
        <w:t xml:space="preserve"> réduisant ainsi les risques de mésententes lorsque les résultats financiers se font moins intéressants que prévu. Les problèmes</w:t>
      </w:r>
      <w:r w:rsidR="007D6848">
        <w:t xml:space="preserve"> </w:t>
      </w:r>
      <w:r w:rsidR="005B0BB2">
        <w:t>surgissent</w:t>
      </w:r>
      <w:r w:rsidR="007D6848">
        <w:t xml:space="preserve"> rarement </w:t>
      </w:r>
      <w:r w:rsidR="005B0BB2">
        <w:t>lorsque les résultats sont au-delà des attentes du client!</w:t>
      </w:r>
      <w:r w:rsidR="00BD4C3D">
        <w:t xml:space="preserve"> </w:t>
      </w:r>
      <w:r>
        <w:t xml:space="preserve"> </w:t>
      </w:r>
    </w:p>
    <w:p w14:paraId="3B3DCBC9" w14:textId="18A2F213" w:rsidR="0089153B" w:rsidRDefault="0089153B" w:rsidP="00511B5B">
      <w:pPr>
        <w:jc w:val="both"/>
      </w:pPr>
      <w:r>
        <w:rPr>
          <w:noProof/>
          <w:lang w:eastAsia="fr-FR"/>
        </w:rPr>
        <w:drawing>
          <wp:anchor distT="0" distB="0" distL="114300" distR="114300" simplePos="0" relativeHeight="253179904" behindDoc="0" locked="0" layoutInCell="1" allowOverlap="1" wp14:anchorId="1FF4B35B" wp14:editId="3E2D8AC2">
            <wp:simplePos x="0" y="0"/>
            <wp:positionH relativeFrom="column">
              <wp:posOffset>-5701665</wp:posOffset>
            </wp:positionH>
            <wp:positionV relativeFrom="paragraph">
              <wp:posOffset>65405</wp:posOffset>
            </wp:positionV>
            <wp:extent cx="5600700" cy="1292225"/>
            <wp:effectExtent l="0" t="0" r="12700" b="3175"/>
            <wp:wrapTight wrapText="bothSides">
              <wp:wrapPolygon edited="0">
                <wp:start x="0" y="0"/>
                <wp:lineTo x="0" y="21229"/>
                <wp:lineTo x="21551" y="21229"/>
                <wp:lineTo x="21551" y="0"/>
                <wp:lineTo x="0" y="0"/>
              </wp:wrapPolygon>
            </wp:wrapTight>
            <wp:docPr id="837" name="Image 837" descr="Macintosh HD:Users:marcbachand:Desktop:Capture d’écran 2015-12-14 à 11.2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marcbachand:Desktop:Capture d’écran 2015-12-14 à 11.27.11.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00700" cy="12922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1501C49" w14:textId="77777777" w:rsidR="00DA0F39" w:rsidRDefault="00483561" w:rsidP="00511B5B">
      <w:pPr>
        <w:jc w:val="both"/>
      </w:pPr>
      <w:r>
        <w:t xml:space="preserve">Un premier conseil d'importance consiste à rappeler à l'investisseur qu'il doit s'assurer que son conseiller financier est inscrit auprès de </w:t>
      </w:r>
      <w:r w:rsidR="00DA0F39">
        <w:t>l'</w:t>
      </w:r>
      <w:r w:rsidR="00DA0F39" w:rsidRPr="00DA0F39">
        <w:rPr>
          <w:color w:val="FF6700" w:themeColor="accent3"/>
        </w:rPr>
        <w:t>AUTORITÉ DES MARCHÉS FINANCIERS</w:t>
      </w:r>
      <w:r w:rsidR="00DA0F39">
        <w:t xml:space="preserve"> (AMF). </w:t>
      </w:r>
    </w:p>
    <w:p w14:paraId="15455E8B" w14:textId="77777777" w:rsidR="00DA0F39" w:rsidRDefault="00DA0F39" w:rsidP="00511B5B">
      <w:pPr>
        <w:jc w:val="both"/>
      </w:pPr>
    </w:p>
    <w:p w14:paraId="204FE91A" w14:textId="3F67B9EB" w:rsidR="00511B5B" w:rsidRDefault="00DA0F39" w:rsidP="00511B5B">
      <w:pPr>
        <w:jc w:val="both"/>
      </w:pPr>
      <w:r>
        <w:t xml:space="preserve">Cette précaution assurera l'investisseur que son conseiller est assujetti à des règles de compétences et de bonnes conduites encadrant son travail. Cette adhésion à l'AMF signifie également que le conseiller peut faire l'objet de surveillance </w:t>
      </w:r>
      <w:r w:rsidR="00AD50FD">
        <w:t xml:space="preserve">de conformité </w:t>
      </w:r>
      <w:r>
        <w:t xml:space="preserve">de la part de l'organisme règlementaire. </w:t>
      </w:r>
    </w:p>
    <w:p w14:paraId="592F4BA1" w14:textId="438CABE2" w:rsidR="001633F4" w:rsidRDefault="00AD50FD">
      <w:r>
        <w:rPr>
          <w:noProof/>
          <w:lang w:eastAsia="fr-FR"/>
        </w:rPr>
        <w:drawing>
          <wp:anchor distT="0" distB="0" distL="114300" distR="114300" simplePos="0" relativeHeight="253182976" behindDoc="0" locked="0" layoutInCell="1" allowOverlap="1" wp14:anchorId="374B9F3A" wp14:editId="106897E1">
            <wp:simplePos x="0" y="0"/>
            <wp:positionH relativeFrom="column">
              <wp:posOffset>5486400</wp:posOffset>
            </wp:positionH>
            <wp:positionV relativeFrom="paragraph">
              <wp:posOffset>17145</wp:posOffset>
            </wp:positionV>
            <wp:extent cx="685800" cy="681990"/>
            <wp:effectExtent l="0" t="0" r="0" b="3810"/>
            <wp:wrapNone/>
            <wp:docPr id="821" name="Image 821" descr="Macintosh HD:Users:marcbachand:Desktop:Capture d’écran 2015-06-08 à 17.04.54.png">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5559121" w14:textId="56DB5565" w:rsidR="001633F4" w:rsidRPr="00AD50FD" w:rsidRDefault="00573C95">
      <w:pPr>
        <w:rPr>
          <w:color w:val="FF6700" w:themeColor="accent3"/>
        </w:rPr>
      </w:pPr>
      <w:hyperlink r:id="rId169" w:history="1">
        <w:r w:rsidR="00AD50FD" w:rsidRPr="00AD50FD">
          <w:rPr>
            <w:rStyle w:val="Lienhypertexte"/>
            <w:color w:val="FF6700" w:themeColor="accent3"/>
          </w:rPr>
          <w:t>Investir avec l'aide d'un conseiller financier - Un document de l'ACVF</w:t>
        </w:r>
      </w:hyperlink>
    </w:p>
    <w:p w14:paraId="4A07DAE1" w14:textId="517A4C67" w:rsidR="00FC4720" w:rsidRDefault="009D623B" w:rsidP="006C34CF">
      <w:pPr>
        <w:pStyle w:val="Titre3"/>
        <w:numPr>
          <w:ilvl w:val="2"/>
          <w:numId w:val="118"/>
        </w:numPr>
      </w:pPr>
      <w:bookmarkStart w:id="167" w:name="_Toc314397890"/>
      <w:bookmarkStart w:id="168" w:name="_Toc443569434"/>
      <w:r>
        <w:lastRenderedPageBreak/>
        <w:t>La détermination de l</w:t>
      </w:r>
      <w:r w:rsidR="00FC4720">
        <w:t>'aversion au risque</w:t>
      </w:r>
      <w:r>
        <w:t xml:space="preserve"> de l'investisseur (approche comportementale)</w:t>
      </w:r>
      <w:bookmarkEnd w:id="167"/>
      <w:bookmarkEnd w:id="168"/>
    </w:p>
    <w:p w14:paraId="7494AFE5" w14:textId="77777777" w:rsidR="00FC4720" w:rsidRDefault="00FC4720" w:rsidP="00FC4720"/>
    <w:p w14:paraId="08F4FE9E" w14:textId="14EBB3B0" w:rsidR="005E6A33" w:rsidRDefault="00F528F3" w:rsidP="005E6A33">
      <w:pPr>
        <w:jc w:val="both"/>
      </w:pPr>
      <w:r>
        <w:t>Puisque le rendement financier est étroitement relié au niveau de risque assumé</w:t>
      </w:r>
      <w:r w:rsidR="00126D42">
        <w:t xml:space="preserve">, il est essentiel de déterminer la tolérance au risque de l'investisseur. Pour être juste, il faut comprendre que plus le risque associé à un type de placement sera élevé, plus les probabilités d'obtenir </w:t>
      </w:r>
      <w:r w:rsidR="007F0FCD">
        <w:t xml:space="preserve">un </w:t>
      </w:r>
      <w:r w:rsidR="00126D42">
        <w:t>rendement élevé seront grandes. On parle alors</w:t>
      </w:r>
      <w:r w:rsidR="005E6A33">
        <w:t xml:space="preserve"> de potentiel élevé</w:t>
      </w:r>
      <w:r w:rsidR="00126D42">
        <w:t xml:space="preserve"> de </w:t>
      </w:r>
      <w:r w:rsidR="00126D42" w:rsidRPr="005E6A33">
        <w:rPr>
          <w:color w:val="FF6700" w:themeColor="accent3"/>
        </w:rPr>
        <w:t>GAIN</w:t>
      </w:r>
      <w:r w:rsidR="00126D42">
        <w:t xml:space="preserve"> </w:t>
      </w:r>
      <w:r w:rsidR="005E6A33">
        <w:t xml:space="preserve">ou...de </w:t>
      </w:r>
      <w:r w:rsidR="005E6A33" w:rsidRPr="005E6A33">
        <w:rPr>
          <w:color w:val="FF6700" w:themeColor="accent3"/>
        </w:rPr>
        <w:t>PERTES</w:t>
      </w:r>
      <w:r w:rsidR="005E6A33">
        <w:t>. Malheureusement, il arrive souvent que l'investisseur oublie la dualité du gain et de la perte. Ils sont tout à fait volontaires à vivre dangereusement pour maximiser le</w:t>
      </w:r>
      <w:r w:rsidR="007F0FCD">
        <w:t>urs</w:t>
      </w:r>
      <w:r w:rsidR="005E6A33">
        <w:t xml:space="preserve"> gain</w:t>
      </w:r>
      <w:r w:rsidR="007F0FCD">
        <w:t>s</w:t>
      </w:r>
      <w:r w:rsidR="005E6A33">
        <w:t>, mais sans accepter de subir de lourdes pertes en cas de revers financiers. Ce type de mésentente est à proscrire et c'est donc avec une grande rigueur que l</w:t>
      </w:r>
      <w:r w:rsidR="00126D42">
        <w:t>a détermination du degré d'aversion au risque</w:t>
      </w:r>
      <w:r w:rsidR="005E6A33">
        <w:t xml:space="preserve"> du client</w:t>
      </w:r>
      <w:r w:rsidR="00126D42">
        <w:t xml:space="preserve"> </w:t>
      </w:r>
      <w:r w:rsidR="005E6A33">
        <w:t>sera évaluée. Cette étape constituera</w:t>
      </w:r>
      <w:r w:rsidR="00126D42">
        <w:t xml:space="preserve"> le point du départ de qui sera la politique de placement mise en place par le conseiller financier</w:t>
      </w:r>
      <w:r w:rsidR="005E6A33">
        <w:t xml:space="preserve"> pour son client</w:t>
      </w:r>
      <w:r w:rsidR="00126D42">
        <w:t>.</w:t>
      </w:r>
    </w:p>
    <w:p w14:paraId="452B0C35" w14:textId="77777777" w:rsidR="005E6A33" w:rsidRDefault="005E6A33" w:rsidP="005E6A33">
      <w:pPr>
        <w:jc w:val="both"/>
      </w:pPr>
    </w:p>
    <w:p w14:paraId="5EF279F5" w14:textId="7360D3D5" w:rsidR="00D140AA" w:rsidRDefault="00126D42" w:rsidP="005E6A33">
      <w:pPr>
        <w:jc w:val="both"/>
      </w:pPr>
      <w:r>
        <w:t xml:space="preserve"> </w:t>
      </w:r>
      <w:r w:rsidR="007F0FCD">
        <w:t xml:space="preserve">La détermination du niveau de tolérance au risque par l'investisseur est, par ailleurs, complexifiée par les nombreuses failles dues aux perceptions et aux </w:t>
      </w:r>
      <w:r w:rsidR="00B86872">
        <w:t>préjugés</w:t>
      </w:r>
      <w:r w:rsidR="007F0FCD">
        <w:t xml:space="preserve"> que porte en elle, la nature humaine. Issu</w:t>
      </w:r>
      <w:r w:rsidR="00B86872">
        <w:t>es</w:t>
      </w:r>
      <w:r w:rsidR="007F0FCD">
        <w:t xml:space="preserve"> des études en  finances comportementales de K</w:t>
      </w:r>
      <w:r w:rsidR="00787E24">
        <w:t>ahneman</w:t>
      </w:r>
      <w:r w:rsidR="007F0FCD">
        <w:t xml:space="preserve">, </w:t>
      </w:r>
      <w:r w:rsidR="00D140AA">
        <w:t>Tversky et Thaler, ces tares influent sur l'auto-évaluation du risque qu'un individu est prêt à assumer. Voici quelques</w:t>
      </w:r>
      <w:r w:rsidR="00B86872">
        <w:t>-</w:t>
      </w:r>
      <w:r w:rsidR="00D140AA">
        <w:t>uns de ces concepts.</w:t>
      </w:r>
    </w:p>
    <w:p w14:paraId="6089859E" w14:textId="77777777" w:rsidR="005824A3" w:rsidRDefault="005824A3" w:rsidP="005E6A33">
      <w:pPr>
        <w:jc w:val="both"/>
      </w:pPr>
    </w:p>
    <w:p w14:paraId="16D7D970" w14:textId="1AFB5855" w:rsidR="005824A3" w:rsidRDefault="005824A3" w:rsidP="006C34CF">
      <w:pPr>
        <w:pStyle w:val="Paragraphedeliste"/>
        <w:numPr>
          <w:ilvl w:val="0"/>
          <w:numId w:val="111"/>
        </w:numPr>
        <w:jc w:val="both"/>
        <w:rPr>
          <w:color w:val="FF6700" w:themeColor="accent3"/>
        </w:rPr>
      </w:pPr>
      <w:r w:rsidRPr="005824A3">
        <w:rPr>
          <w:color w:val="FF6700" w:themeColor="accent3"/>
        </w:rPr>
        <w:t>La théorie des perceptions</w:t>
      </w:r>
    </w:p>
    <w:p w14:paraId="69777707" w14:textId="77777777" w:rsidR="00B47255" w:rsidRPr="00B47255" w:rsidRDefault="00B47255" w:rsidP="00B47255">
      <w:pPr>
        <w:ind w:left="360"/>
        <w:jc w:val="both"/>
        <w:rPr>
          <w:color w:val="FF6700" w:themeColor="accent3"/>
        </w:rPr>
      </w:pPr>
    </w:p>
    <w:p w14:paraId="271E431A" w14:textId="16767A80" w:rsidR="00B47255" w:rsidRPr="00B47255" w:rsidRDefault="00B47255" w:rsidP="00B47255">
      <w:pPr>
        <w:jc w:val="both"/>
      </w:pPr>
      <w:r>
        <w:t>Cette théorie a démontré que l</w:t>
      </w:r>
      <w:r w:rsidRPr="00B47255">
        <w:t>orsqu</w:t>
      </w:r>
      <w:r>
        <w:t xml:space="preserve">e les gens doivent donner une valeur ou un niveau de satisfaction à un événement, il n'y a pas de symétrie entre un scénario où l'individu constate un gain </w:t>
      </w:r>
      <w:r w:rsidR="00A81D28">
        <w:t>et celui où il subit u</w:t>
      </w:r>
      <w:r>
        <w:t>ne perte équivalente. C'est-à-dire que</w:t>
      </w:r>
      <w:r w:rsidR="00A81D28">
        <w:t xml:space="preserve"> pour un individu, l'expérience de subir une </w:t>
      </w:r>
      <w:r>
        <w:t>perte de 100 $ est plus douloureuse que la satisfaction de</w:t>
      </w:r>
      <w:r w:rsidR="00A81D28">
        <w:t xml:space="preserve"> réaliser un gain de 100 $.  Les gens ont, dès le départ, une aversion plus grande qu'une adhésion au risque, et ce de manière irrationnelle. Il faut alors tenir compte de ce concept lorsque l'on vise à établir la tolérance au risque. La plupart des questionnaires qui ont été conçus afin de déterminer la tolérance au risque des individus tiennent comptent de ce </w:t>
      </w:r>
      <w:r w:rsidR="00B86872">
        <w:t>préjugé</w:t>
      </w:r>
      <w:r w:rsidR="00A81D28">
        <w:t xml:space="preserve">. </w:t>
      </w:r>
      <w:r>
        <w:t xml:space="preserve">    </w:t>
      </w:r>
    </w:p>
    <w:p w14:paraId="15A94CFE" w14:textId="77777777" w:rsidR="005824A3" w:rsidRDefault="005824A3" w:rsidP="005824A3">
      <w:pPr>
        <w:ind w:left="360"/>
        <w:jc w:val="both"/>
      </w:pPr>
    </w:p>
    <w:p w14:paraId="6F3719E2" w14:textId="77777777" w:rsidR="00B76794" w:rsidRDefault="00B76794" w:rsidP="005824A3">
      <w:pPr>
        <w:ind w:left="360"/>
        <w:jc w:val="both"/>
      </w:pPr>
    </w:p>
    <w:p w14:paraId="2FE8F57A" w14:textId="77777777" w:rsidR="00B76794" w:rsidRDefault="00B76794" w:rsidP="005824A3">
      <w:pPr>
        <w:ind w:left="360"/>
        <w:jc w:val="both"/>
      </w:pPr>
    </w:p>
    <w:p w14:paraId="171E2543" w14:textId="77777777" w:rsidR="00B76794" w:rsidRDefault="00B76794" w:rsidP="005824A3">
      <w:pPr>
        <w:ind w:left="360"/>
        <w:jc w:val="both"/>
      </w:pPr>
    </w:p>
    <w:p w14:paraId="7A8829F1" w14:textId="6D886A44" w:rsidR="00B76794" w:rsidRDefault="0050545B" w:rsidP="0050545B">
      <w:pPr>
        <w:tabs>
          <w:tab w:val="left" w:pos="3474"/>
        </w:tabs>
        <w:ind w:left="360"/>
        <w:jc w:val="both"/>
      </w:pPr>
      <w:r>
        <w:tab/>
      </w:r>
    </w:p>
    <w:p w14:paraId="3778873A" w14:textId="40678166" w:rsidR="005824A3" w:rsidRDefault="00B76794" w:rsidP="006C34CF">
      <w:pPr>
        <w:pStyle w:val="Paragraphedeliste"/>
        <w:numPr>
          <w:ilvl w:val="0"/>
          <w:numId w:val="111"/>
        </w:numPr>
        <w:jc w:val="both"/>
        <w:rPr>
          <w:color w:val="FF6700" w:themeColor="accent3"/>
        </w:rPr>
      </w:pPr>
      <w:r>
        <w:rPr>
          <w:color w:val="FF6700" w:themeColor="accent3"/>
        </w:rPr>
        <w:lastRenderedPageBreak/>
        <w:t>L'aversion à la dépossession</w:t>
      </w:r>
    </w:p>
    <w:p w14:paraId="5DDBFC98" w14:textId="77777777" w:rsidR="00B76794" w:rsidRPr="00B76794" w:rsidRDefault="00B76794" w:rsidP="00B76794">
      <w:pPr>
        <w:ind w:left="360"/>
        <w:jc w:val="both"/>
        <w:rPr>
          <w:color w:val="FF6700" w:themeColor="accent3"/>
        </w:rPr>
      </w:pPr>
    </w:p>
    <w:p w14:paraId="1CBF1E31" w14:textId="5A463865" w:rsidR="005824A3" w:rsidRDefault="00B76794" w:rsidP="00B76794">
      <w:pPr>
        <w:jc w:val="both"/>
      </w:pPr>
      <w:r w:rsidRPr="00B76794">
        <w:t>L'aversion à la dépossession constitue un autre biais relié à une perception (émotion) qui échappe à un s</w:t>
      </w:r>
      <w:r>
        <w:t>c</w:t>
      </w:r>
      <w:r w:rsidRPr="00B76794">
        <w:t>héma rationnel.</w:t>
      </w:r>
      <w:r>
        <w:t xml:space="preserve"> Il consiste à voir un individu octroyer une plus grande valeur à un bien qu'il détient déjà comparativement au même bien qui ne lui serait pas acquis. </w:t>
      </w:r>
      <w:r w:rsidR="00683F71">
        <w:t>C'est le cas d'un grand amateur de musique qui détiendrait une paire de billets pour le dernier "pour de vrai" spectacle des Rolling Stones dans une intime salle de 350 personnes. La paire de billet</w:t>
      </w:r>
      <w:r w:rsidR="00B86872">
        <w:t>s</w:t>
      </w:r>
      <w:r w:rsidR="00683F71">
        <w:t xml:space="preserve"> se vend, à quelques journées du spectacle, 3 000 $. Cet amateur a payé 500 $ pour cette paire de billets et n'aurait jamais accepté de payer le montant de 3 000 $ qui est présentement celui du marché. Pourtant, il n'acceptera pas de vendre sa paire de billets! Aversion à la dépossession!</w:t>
      </w:r>
    </w:p>
    <w:p w14:paraId="6E1A77FC" w14:textId="77777777" w:rsidR="00B76794" w:rsidRPr="005824A3" w:rsidRDefault="00B76794" w:rsidP="00B76794">
      <w:pPr>
        <w:jc w:val="both"/>
        <w:rPr>
          <w:color w:val="FF6700" w:themeColor="accent3"/>
        </w:rPr>
      </w:pPr>
    </w:p>
    <w:p w14:paraId="6AF6025C" w14:textId="37E63D64" w:rsidR="005824A3" w:rsidRDefault="005824A3" w:rsidP="006C34CF">
      <w:pPr>
        <w:pStyle w:val="Paragraphedeliste"/>
        <w:numPr>
          <w:ilvl w:val="0"/>
          <w:numId w:val="111"/>
        </w:numPr>
        <w:jc w:val="both"/>
        <w:rPr>
          <w:color w:val="FF6700" w:themeColor="accent3"/>
        </w:rPr>
      </w:pPr>
      <w:r>
        <w:rPr>
          <w:color w:val="FF6700" w:themeColor="accent3"/>
        </w:rPr>
        <w:t>L'excès de confiance</w:t>
      </w:r>
    </w:p>
    <w:p w14:paraId="123FE2A3" w14:textId="77777777" w:rsidR="005824A3" w:rsidRDefault="005824A3" w:rsidP="005824A3">
      <w:pPr>
        <w:ind w:left="360"/>
        <w:jc w:val="both"/>
        <w:rPr>
          <w:color w:val="FF6700" w:themeColor="accent3"/>
        </w:rPr>
      </w:pPr>
    </w:p>
    <w:p w14:paraId="7ADFFA98" w14:textId="3F597161" w:rsidR="009E1284" w:rsidRPr="00B36568" w:rsidRDefault="00B36568" w:rsidP="009E1284">
      <w:pPr>
        <w:jc w:val="both"/>
      </w:pPr>
      <w:r w:rsidRPr="00B36568">
        <w:t>Les gens ont</w:t>
      </w:r>
      <w:r>
        <w:t>,</w:t>
      </w:r>
      <w:r w:rsidRPr="00B36568">
        <w:t xml:space="preserve"> pour la plupart</w:t>
      </w:r>
      <w:r>
        <w:t>,</w:t>
      </w:r>
      <w:r w:rsidRPr="00B36568">
        <w:t xml:space="preserve"> une trop grande confiance</w:t>
      </w:r>
      <w:r>
        <w:t xml:space="preserve"> en leur </w:t>
      </w:r>
      <w:r w:rsidR="00F53F74">
        <w:t>capacité</w:t>
      </w:r>
      <w:r>
        <w:t xml:space="preserve"> à prédire l'avenir, à contraindre des éléments de coûts, à générer des revenus </w:t>
      </w:r>
      <w:r w:rsidR="00F53F74">
        <w:t xml:space="preserve">et à faire preuve de toutes sortes d'autres habiletés. Ce </w:t>
      </w:r>
      <w:r w:rsidR="00B86872">
        <w:t>préjugé</w:t>
      </w:r>
      <w:r w:rsidR="00F53F74">
        <w:t xml:space="preserve"> emmène immanquablement les investisseurs à surévaluer leur niveau de tolérance au risque. Dans ces travaux</w:t>
      </w:r>
      <w:r w:rsidR="00B86872">
        <w:t>,</w:t>
      </w:r>
      <w:r w:rsidR="00F53F74">
        <w:t xml:space="preserve"> Daniel Kahneman démontre que les individus ont tendance à rationaliser à outrance des événements qui sont surtout d</w:t>
      </w:r>
      <w:r w:rsidR="00B86872">
        <w:t xml:space="preserve">us </w:t>
      </w:r>
      <w:r w:rsidR="00F53F74">
        <w:t xml:space="preserve">à l'expression du hasard créant ainsi un excès de confiance non justifié chez eux.    </w:t>
      </w:r>
    </w:p>
    <w:p w14:paraId="7D9D83D7" w14:textId="77777777" w:rsidR="009E1284" w:rsidRPr="005824A3" w:rsidRDefault="009E1284" w:rsidP="005824A3">
      <w:pPr>
        <w:ind w:left="360"/>
        <w:jc w:val="both"/>
        <w:rPr>
          <w:color w:val="FF6700" w:themeColor="accent3"/>
        </w:rPr>
      </w:pPr>
    </w:p>
    <w:p w14:paraId="3B766035" w14:textId="19A9B196" w:rsidR="005824A3" w:rsidRPr="009E1284" w:rsidRDefault="005824A3" w:rsidP="006C34CF">
      <w:pPr>
        <w:pStyle w:val="Paragraphedeliste"/>
        <w:numPr>
          <w:ilvl w:val="0"/>
          <w:numId w:val="111"/>
        </w:numPr>
        <w:jc w:val="both"/>
        <w:rPr>
          <w:color w:val="FF6700" w:themeColor="accent3"/>
        </w:rPr>
      </w:pPr>
      <w:r>
        <w:rPr>
          <w:color w:val="FF6700" w:themeColor="accent3"/>
        </w:rPr>
        <w:t>La mémoire sélective</w:t>
      </w:r>
    </w:p>
    <w:p w14:paraId="1B7A3F72" w14:textId="77777777" w:rsidR="00FC48B9" w:rsidRDefault="007F0FCD" w:rsidP="005E6A33">
      <w:pPr>
        <w:jc w:val="both"/>
      </w:pPr>
      <w:r>
        <w:t xml:space="preserve">  </w:t>
      </w:r>
    </w:p>
    <w:p w14:paraId="32672923" w14:textId="220A6DBD" w:rsidR="00C82D3A" w:rsidRDefault="00FC48B9" w:rsidP="005E6A33">
      <w:pPr>
        <w:jc w:val="both"/>
      </w:pPr>
      <w:r>
        <w:t xml:space="preserve">La présence de la mémoire sélective est suffisamment évocatrice pour </w:t>
      </w:r>
      <w:r w:rsidR="00C82D3A">
        <w:t xml:space="preserve">que nous y décelions immédiatement le </w:t>
      </w:r>
      <w:r w:rsidR="00B86872">
        <w:t>préjugé</w:t>
      </w:r>
      <w:r w:rsidR="00C82D3A">
        <w:t xml:space="preserve"> qu'elle peut provoquer dans une pensée qui devrait être rationnelle. Les</w:t>
      </w:r>
      <w:r>
        <w:t xml:space="preserve"> </w:t>
      </w:r>
      <w:r w:rsidR="00C82D3A">
        <w:t>gens aiment se rappeler et raconter leurs bon</w:t>
      </w:r>
      <w:r w:rsidR="00B86872">
        <w:t>s</w:t>
      </w:r>
      <w:r w:rsidR="00C82D3A">
        <w:t xml:space="preserve"> coups, alors qu'ils laissent sous silence les pans moins glorieux de certaines de leurs décisions. Cette double vue contribue à déformer le prisme de la réalité.</w:t>
      </w:r>
    </w:p>
    <w:p w14:paraId="72DC8A04" w14:textId="77777777" w:rsidR="00C82D3A" w:rsidRDefault="00C82D3A" w:rsidP="005E6A33">
      <w:pPr>
        <w:jc w:val="both"/>
      </w:pPr>
    </w:p>
    <w:p w14:paraId="3B458C97" w14:textId="3A4F6E8D" w:rsidR="00F528F3" w:rsidRDefault="00C82D3A" w:rsidP="005E6A33">
      <w:pPr>
        <w:jc w:val="both"/>
      </w:pPr>
      <w:r>
        <w:t xml:space="preserve">Globalement, chacune de ces failles comportementales </w:t>
      </w:r>
      <w:r w:rsidR="004F2507">
        <w:t>influe sur</w:t>
      </w:r>
      <w:r w:rsidR="00B6372A">
        <w:t xml:space="preserve"> l'appréciation de la tolérance au risque du contribuable. Il faut alors que le conseiller financier utilise un questionnaire qui sera à même de faire ressortir les incohérences possibles des différentes questions posées à l'investisseur. Ultimement, </w:t>
      </w:r>
      <w:r w:rsidR="00B81530">
        <w:t xml:space="preserve">l'utilisation d'un questionnaire </w:t>
      </w:r>
      <w:r w:rsidR="00B6372A">
        <w:t>ne devra</w:t>
      </w:r>
      <w:r w:rsidR="00B81530">
        <w:t xml:space="preserve"> pas </w:t>
      </w:r>
      <w:r w:rsidR="00B6372A">
        <w:t>se substituer à l'expérience et au jugement du conseiller lorsque viendra le temps de déterminer la relation qu</w:t>
      </w:r>
      <w:r w:rsidR="00B81530">
        <w:t>i unit</w:t>
      </w:r>
      <w:r w:rsidR="00B6372A">
        <w:t xml:space="preserve"> le client </w:t>
      </w:r>
      <w:r w:rsidR="00B81530">
        <w:t>au</w:t>
      </w:r>
      <w:r w:rsidR="00B6372A">
        <w:t xml:space="preserve"> risque.  </w:t>
      </w:r>
      <w:r>
        <w:t xml:space="preserve"> </w:t>
      </w:r>
      <w:r w:rsidR="00FC48B9">
        <w:t xml:space="preserve"> </w:t>
      </w:r>
      <w:r w:rsidR="00126D42">
        <w:t xml:space="preserve"> </w:t>
      </w:r>
    </w:p>
    <w:p w14:paraId="5D0CAD6D" w14:textId="62046829" w:rsidR="00FC4720" w:rsidRDefault="00FC4720" w:rsidP="006C34CF">
      <w:pPr>
        <w:pStyle w:val="Titre3"/>
        <w:numPr>
          <w:ilvl w:val="2"/>
          <w:numId w:val="118"/>
        </w:numPr>
      </w:pPr>
      <w:bookmarkStart w:id="169" w:name="_Toc314397891"/>
      <w:bookmarkStart w:id="170" w:name="_Toc443569435"/>
      <w:r>
        <w:lastRenderedPageBreak/>
        <w:t>Les phases de vie de l'investisseur</w:t>
      </w:r>
      <w:bookmarkEnd w:id="169"/>
      <w:bookmarkEnd w:id="170"/>
    </w:p>
    <w:p w14:paraId="4A660451" w14:textId="77777777" w:rsidR="00FC4720" w:rsidRDefault="00FC4720" w:rsidP="00FC4720"/>
    <w:p w14:paraId="4662DE7F" w14:textId="0443B17A" w:rsidR="009E7AF1" w:rsidRDefault="00B81530" w:rsidP="00F25862">
      <w:pPr>
        <w:jc w:val="both"/>
      </w:pPr>
      <w:r>
        <w:t xml:space="preserve">Tout aussi fondamental que l'appréciation du niveau de risque que l'investisseur </w:t>
      </w:r>
      <w:r w:rsidR="00E8075A">
        <w:t>est</w:t>
      </w:r>
      <w:r>
        <w:t xml:space="preserve"> à même de supporter, nous retrouvons le positionnement de la phase de vie de ce dernier. La politique de placement</w:t>
      </w:r>
      <w:r w:rsidR="00F25862">
        <w:t xml:space="preserve"> et la répartition des actifs financiers qui en découle seront fortement influencées par l'espace temporel de </w:t>
      </w:r>
      <w:r w:rsidR="009E7AF1">
        <w:t>l'investisseur</w:t>
      </w:r>
      <w:r w:rsidR="00F25862">
        <w:t>. D'emblée, il est facile de convenir que les objectifs et le regard de l'épargnant ne ser</w:t>
      </w:r>
      <w:r w:rsidR="00B86872">
        <w:t>ont</w:t>
      </w:r>
      <w:r w:rsidR="00F25862">
        <w:t xml:space="preserve"> pas le même s'il se retrouve au tout début de sa carrière professionnelle (disons 25 ans) ou dans une période où il consomme ses actifs de retraite (disons à 70 ans).</w:t>
      </w:r>
      <w:r w:rsidR="008E46DD">
        <w:t xml:space="preserve"> Au tout début, les épargnes sont immobilisées sur une longue période; ce qui signifie que la synchronisation des marchés n'est pas, globalement, un facteur. L'investisseur, s'il fait son arrivé</w:t>
      </w:r>
      <w:r w:rsidR="00B86872">
        <w:t>e</w:t>
      </w:r>
      <w:r w:rsidR="008E46DD">
        <w:t xml:space="preserve"> dans un marché qui atteint son sommet (prix élevé), aura l'occasion de vivre plusieurs cycles boursiers avant de matérialiser et encaisser son épargne. De cette façon, l'effet de faire son entrée au sommet du cycle boursier à 25 ans, lui sera globalement favorable, lorsqu'il encaissera ses rentes de retraites à 65 ans, et ce, même si la conversion du placement en rente s'effectue dans le creux (prix bas) du cycle boursier. À l'opposé, le retraité de 70 ans sera très sensible aux cycles boursier</w:t>
      </w:r>
      <w:r w:rsidR="00F6269C">
        <w:t>s. Il</w:t>
      </w:r>
      <w:r w:rsidR="008E46DD">
        <w:t xml:space="preserve"> devra </w:t>
      </w:r>
      <w:r w:rsidR="00BA1875">
        <w:t xml:space="preserve">alors </w:t>
      </w:r>
      <w:r w:rsidR="008E46DD">
        <w:t>éviter</w:t>
      </w:r>
      <w:r w:rsidR="00F6269C">
        <w:t xml:space="preserve"> de détenir des titres de croissances qui sont </w:t>
      </w:r>
      <w:r w:rsidR="00BA1875">
        <w:t xml:space="preserve">fortement influencés par le </w:t>
      </w:r>
      <w:r w:rsidR="00F6269C">
        <w:t>marché. Dans l'ensemble, tout en respectant la tolérance au risque général de l'investisseur, il faut tenir compte que celle-ci diminuera avec le passage du temps.</w:t>
      </w:r>
      <w:r w:rsidR="002A14E4">
        <w:t xml:space="preserve"> </w:t>
      </w:r>
      <w:r w:rsidR="008E46DD">
        <w:t xml:space="preserve"> </w:t>
      </w:r>
      <w:r w:rsidR="00F25862">
        <w:t xml:space="preserve"> </w:t>
      </w:r>
    </w:p>
    <w:p w14:paraId="06D3A608" w14:textId="77777777" w:rsidR="00F6269C" w:rsidRDefault="00F6269C" w:rsidP="00F25862">
      <w:pPr>
        <w:jc w:val="both"/>
      </w:pPr>
    </w:p>
    <w:p w14:paraId="458ECDB9" w14:textId="5F48D294" w:rsidR="002A14E4" w:rsidRDefault="008E3831" w:rsidP="00F25862">
      <w:pPr>
        <w:jc w:val="both"/>
      </w:pPr>
      <w:r>
        <w:rPr>
          <w:color w:val="FF6700" w:themeColor="accent3"/>
        </w:rPr>
        <w:t>IMAGE 7-22 Les phases de vie de l'investisseur</w:t>
      </w:r>
    </w:p>
    <w:p w14:paraId="00952D31" w14:textId="0BA44EF5" w:rsidR="00F6269C" w:rsidRDefault="008E3831" w:rsidP="00F25862">
      <w:pPr>
        <w:jc w:val="both"/>
      </w:pPr>
      <w:r>
        <w:rPr>
          <w:noProof/>
          <w:lang w:eastAsia="fr-FR"/>
        </w:rPr>
        <w:drawing>
          <wp:anchor distT="0" distB="0" distL="114300" distR="114300" simplePos="0" relativeHeight="253184000" behindDoc="0" locked="0" layoutInCell="1" allowOverlap="1" wp14:anchorId="4E93B7A1" wp14:editId="32B91599">
            <wp:simplePos x="0" y="0"/>
            <wp:positionH relativeFrom="column">
              <wp:posOffset>-457200</wp:posOffset>
            </wp:positionH>
            <wp:positionV relativeFrom="paragraph">
              <wp:posOffset>50165</wp:posOffset>
            </wp:positionV>
            <wp:extent cx="4686300" cy="3255645"/>
            <wp:effectExtent l="0" t="0" r="12700" b="0"/>
            <wp:wrapTight wrapText="bothSides">
              <wp:wrapPolygon edited="0">
                <wp:start x="0" y="0"/>
                <wp:lineTo x="0" y="21402"/>
                <wp:lineTo x="21541" y="21402"/>
                <wp:lineTo x="21541" y="0"/>
                <wp:lineTo x="0" y="0"/>
              </wp:wrapPolygon>
            </wp:wrapTight>
            <wp:docPr id="838" name="Image 838" descr="Macintosh HD:Users:marcbachand:Desktop:Capture d’écran 2015-12-15 à 11.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2-15 à 11.20.21.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686300" cy="32556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952F2">
        <w:t xml:space="preserve">Le graphique sur les phases de vie de l'investisseur est inspiré de la théorie </w:t>
      </w:r>
      <w:r w:rsidR="005B7CFD">
        <w:t>du</w:t>
      </w:r>
      <w:r w:rsidR="00C952F2">
        <w:t xml:space="preserve"> cycle de vie de Modigliani</w:t>
      </w:r>
      <w:r w:rsidR="005B7CFD">
        <w:t xml:space="preserve"> (1963), de la relation risque/rendement et du principe de la réduction de la tolérance au risque</w:t>
      </w:r>
      <w:r w:rsidR="003B0022">
        <w:t xml:space="preserve"> avec le temps. En finalité, les rendements devraient être plus élevés en début de vie active qu'au moment de la retraite. Le passage à travers les différentes phases de vie doit s'effectuer en douceur selon une période de transition qui tiendra compte des objectifs de l'investisseur</w:t>
      </w:r>
      <w:r w:rsidR="00B86872">
        <w:t xml:space="preserve"> touchant </w:t>
      </w:r>
      <w:r w:rsidR="003B0022">
        <w:t>la durée normale des cycles boursiers. Cette dernière notion sera étudiée un peu plus loin dans l'ouvrage.</w:t>
      </w:r>
    </w:p>
    <w:p w14:paraId="638C25E7" w14:textId="27BC642C" w:rsidR="00230BA1" w:rsidRDefault="00230BA1">
      <w:r>
        <w:br w:type="page"/>
      </w:r>
    </w:p>
    <w:p w14:paraId="5E9B1CD3" w14:textId="0F7A5A89" w:rsidR="00FC4720" w:rsidRDefault="00FC4720" w:rsidP="006C34CF">
      <w:pPr>
        <w:pStyle w:val="Titre3"/>
        <w:numPr>
          <w:ilvl w:val="2"/>
          <w:numId w:val="118"/>
        </w:numPr>
      </w:pPr>
      <w:bookmarkStart w:id="171" w:name="_Toc314397892"/>
      <w:bookmarkStart w:id="172" w:name="_Toc443569436"/>
      <w:r>
        <w:lastRenderedPageBreak/>
        <w:t>Les questionnaires</w:t>
      </w:r>
      <w:bookmarkEnd w:id="171"/>
      <w:bookmarkEnd w:id="172"/>
    </w:p>
    <w:p w14:paraId="63EFFC14" w14:textId="77777777" w:rsidR="00FC4720" w:rsidRDefault="00FC4720" w:rsidP="00FC4720"/>
    <w:p w14:paraId="51020D41" w14:textId="2D581D72" w:rsidR="002542A4" w:rsidRDefault="002542A4" w:rsidP="002542A4">
      <w:pPr>
        <w:jc w:val="both"/>
      </w:pPr>
      <w:r>
        <w:t>L'usage des questionnaires est l'un des outils qui est utilisé par le conseiller financier afin qu'il puisse consigner l'information sur les connaissances du client et déterminer</w:t>
      </w:r>
      <w:r w:rsidR="00E8075A">
        <w:t xml:space="preserve"> </w:t>
      </w:r>
      <w:r>
        <w:t xml:space="preserve">sa tolérance au risque. Il </w:t>
      </w:r>
      <w:r w:rsidR="00E8075A">
        <w:t xml:space="preserve">est </w:t>
      </w:r>
      <w:r>
        <w:t>important de rappeler que l'usage de ces questionnaires ne remplaceront pas le jugement et l'expérience du conseiller, pas plus qu'ils le libera de ses responsabilité</w:t>
      </w:r>
      <w:r w:rsidR="00BA1875">
        <w:t>s</w:t>
      </w:r>
      <w:r>
        <w:t xml:space="preserve"> de diligence envers son client. </w:t>
      </w:r>
      <w:r w:rsidR="0024754A">
        <w:t xml:space="preserve">À cet effet, l'avis 31-336 de l'ACVM qui aborde les obligations en matière de connaissance du client, mentionne que le conseiller ne doit pas </w:t>
      </w:r>
      <w:r w:rsidR="0024754A" w:rsidRPr="0024754A">
        <w:t>"</w:t>
      </w:r>
      <w:r w:rsidR="00A83BC3">
        <w:t>s</w:t>
      </w:r>
      <w:r w:rsidR="0024754A" w:rsidRPr="0024754A">
        <w:t xml:space="preserve">e fier uniquement au formulaire « Connaissance du client » ou </w:t>
      </w:r>
      <w:r w:rsidR="0024754A">
        <w:t>à</w:t>
      </w:r>
      <w:r w:rsidR="0024754A" w:rsidRPr="0024754A">
        <w:t xml:space="preserve"> un autre document comme moyen de conna</w:t>
      </w:r>
      <w:r w:rsidR="0024754A">
        <w:t>it</w:t>
      </w:r>
      <w:r w:rsidR="0024754A" w:rsidRPr="0024754A">
        <w:t>re le client. Cette fa</w:t>
      </w:r>
      <w:r w:rsidR="0024754A">
        <w:t>ç</w:t>
      </w:r>
      <w:r w:rsidR="0024754A" w:rsidRPr="0024754A">
        <w:t>on de faire ne suffit pas à remplir l’obligation d’</w:t>
      </w:r>
      <w:r w:rsidR="0024754A">
        <w:t>é</w:t>
      </w:r>
      <w:r w:rsidR="0024754A" w:rsidRPr="0024754A">
        <w:t>valuation de la convenance au client qui incombe à la personne inscrite."</w:t>
      </w:r>
    </w:p>
    <w:p w14:paraId="219E3986" w14:textId="77777777" w:rsidR="002542A4" w:rsidRDefault="002542A4" w:rsidP="00D419D3"/>
    <w:p w14:paraId="3F80B7C2" w14:textId="486CD873" w:rsidR="0024754A" w:rsidRDefault="0024754A" w:rsidP="00A83BC3">
      <w:pPr>
        <w:jc w:val="both"/>
      </w:pPr>
      <w:r>
        <w:t xml:space="preserve">À propos de l'information à recueillir sur le client, </w:t>
      </w:r>
      <w:r w:rsidR="00BA1875">
        <w:t>i</w:t>
      </w:r>
      <w:r>
        <w:t>l est également mentionné au même avis 31-336 (règlement 31-103), que:</w:t>
      </w:r>
    </w:p>
    <w:p w14:paraId="4E119E33" w14:textId="77777777" w:rsidR="002542A4" w:rsidRDefault="002542A4" w:rsidP="00A83BC3">
      <w:pPr>
        <w:jc w:val="both"/>
      </w:pPr>
    </w:p>
    <w:p w14:paraId="1AEA568F" w14:textId="6EB5AA8A" w:rsidR="004501E3" w:rsidRDefault="0024754A" w:rsidP="00A83BC3">
      <w:pPr>
        <w:jc w:val="both"/>
        <w:rPr>
          <w:lang w:val="fr-CA"/>
        </w:rPr>
      </w:pPr>
      <w:r>
        <w:rPr>
          <w:lang w:val="fr-CA"/>
        </w:rPr>
        <w:t>"</w:t>
      </w:r>
      <w:r w:rsidR="004501E3" w:rsidRPr="004501E3">
        <w:rPr>
          <w:lang w:val="fr-CA"/>
        </w:rPr>
        <w:t>Pour s’acquitter de leur obligation d’</w:t>
      </w:r>
      <w:r>
        <w:rPr>
          <w:lang w:val="fr-CA"/>
        </w:rPr>
        <w:t>é</w:t>
      </w:r>
      <w:r w:rsidR="004501E3" w:rsidRPr="004501E3">
        <w:rPr>
          <w:lang w:val="fr-CA"/>
        </w:rPr>
        <w:t xml:space="preserve">valuation de la convenance au client, les personnes inscrites (y compris les courtiers membres de l’OCRCVM et de l’ACFM) sont tenues de prendre des mesures raisonnables afin de disposer de renseignements suffisants sur ce qui suit : </w:t>
      </w:r>
    </w:p>
    <w:p w14:paraId="69C9A41A" w14:textId="77777777" w:rsidR="0024754A" w:rsidRPr="004501E3" w:rsidRDefault="0024754A" w:rsidP="00A83BC3">
      <w:pPr>
        <w:jc w:val="both"/>
        <w:rPr>
          <w:lang w:val="fr-CA"/>
        </w:rPr>
      </w:pPr>
    </w:p>
    <w:p w14:paraId="2B0770BC" w14:textId="77777777" w:rsidR="004501E3" w:rsidRDefault="004501E3" w:rsidP="006C34CF">
      <w:pPr>
        <w:numPr>
          <w:ilvl w:val="0"/>
          <w:numId w:val="119"/>
        </w:numPr>
        <w:jc w:val="both"/>
        <w:rPr>
          <w:lang w:val="fr-CA"/>
        </w:rPr>
      </w:pPr>
      <w:r w:rsidRPr="004501E3">
        <w:rPr>
          <w:lang w:val="fr-CA"/>
        </w:rPr>
        <w:t xml:space="preserve">les besoins et objectifs de placement du client, notamment l’horizon temporel des investissements; </w:t>
      </w:r>
    </w:p>
    <w:p w14:paraId="20A3712C" w14:textId="77777777" w:rsidR="0024754A" w:rsidRPr="004501E3" w:rsidRDefault="0024754A" w:rsidP="00A83BC3">
      <w:pPr>
        <w:ind w:left="360"/>
        <w:jc w:val="both"/>
        <w:rPr>
          <w:lang w:val="fr-CA"/>
        </w:rPr>
      </w:pPr>
    </w:p>
    <w:p w14:paraId="577CAC65" w14:textId="536EB1AE" w:rsidR="004501E3" w:rsidRDefault="004501E3" w:rsidP="006C34CF">
      <w:pPr>
        <w:numPr>
          <w:ilvl w:val="0"/>
          <w:numId w:val="119"/>
        </w:numPr>
        <w:jc w:val="both"/>
        <w:rPr>
          <w:lang w:val="fr-CA"/>
        </w:rPr>
      </w:pPr>
      <w:r w:rsidRPr="004501E3">
        <w:rPr>
          <w:lang w:val="fr-CA"/>
        </w:rPr>
        <w:t>la situation financi</w:t>
      </w:r>
      <w:r w:rsidR="0024754A">
        <w:rPr>
          <w:lang w:val="fr-CA"/>
        </w:rPr>
        <w:t>è</w:t>
      </w:r>
      <w:r w:rsidRPr="004501E3">
        <w:rPr>
          <w:lang w:val="fr-CA"/>
        </w:rPr>
        <w:t xml:space="preserve">re du client (dont sa valeur nette, ses revenus, ses investissements actuels et sa situation d’emploi); </w:t>
      </w:r>
    </w:p>
    <w:p w14:paraId="3939644D" w14:textId="77777777" w:rsidR="0024754A" w:rsidRPr="004501E3" w:rsidRDefault="0024754A" w:rsidP="00A83BC3">
      <w:pPr>
        <w:ind w:left="360"/>
        <w:jc w:val="both"/>
        <w:rPr>
          <w:lang w:val="fr-CA"/>
        </w:rPr>
      </w:pPr>
    </w:p>
    <w:p w14:paraId="64EE7F32" w14:textId="39363358" w:rsidR="004501E3" w:rsidRPr="004501E3" w:rsidRDefault="004501E3" w:rsidP="006C34CF">
      <w:pPr>
        <w:numPr>
          <w:ilvl w:val="0"/>
          <w:numId w:val="119"/>
        </w:numPr>
        <w:jc w:val="both"/>
        <w:rPr>
          <w:lang w:val="fr-CA"/>
        </w:rPr>
      </w:pPr>
      <w:r w:rsidRPr="004501E3">
        <w:rPr>
          <w:lang w:val="fr-CA"/>
        </w:rPr>
        <w:t>la tol</w:t>
      </w:r>
      <w:r w:rsidR="0024754A">
        <w:rPr>
          <w:lang w:val="fr-CA"/>
        </w:rPr>
        <w:t>é</w:t>
      </w:r>
      <w:r w:rsidRPr="004501E3">
        <w:rPr>
          <w:lang w:val="fr-CA"/>
        </w:rPr>
        <w:t>rance du client au risque associ</w:t>
      </w:r>
      <w:r w:rsidR="00A83BC3">
        <w:rPr>
          <w:lang w:val="fr-CA"/>
        </w:rPr>
        <w:t>é</w:t>
      </w:r>
      <w:r w:rsidRPr="004501E3">
        <w:rPr>
          <w:lang w:val="fr-CA"/>
        </w:rPr>
        <w:t xml:space="preserve"> </w:t>
      </w:r>
      <w:r w:rsidR="00A83BC3">
        <w:rPr>
          <w:lang w:val="fr-CA"/>
        </w:rPr>
        <w:t>à</w:t>
      </w:r>
      <w:r w:rsidRPr="004501E3">
        <w:rPr>
          <w:lang w:val="fr-CA"/>
        </w:rPr>
        <w:t xml:space="preserve"> divers types de titres et de portefeuilles, compte tenu de ses connaissances en mati</w:t>
      </w:r>
      <w:r w:rsidR="0024754A">
        <w:rPr>
          <w:lang w:val="fr-CA"/>
        </w:rPr>
        <w:t>è</w:t>
      </w:r>
      <w:r w:rsidRPr="004501E3">
        <w:rPr>
          <w:lang w:val="fr-CA"/>
        </w:rPr>
        <w:t xml:space="preserve">re de placement (collectivement, les « </w:t>
      </w:r>
      <w:r w:rsidRPr="004501E3">
        <w:rPr>
          <w:b/>
          <w:bCs/>
          <w:lang w:val="fr-CA"/>
        </w:rPr>
        <w:t xml:space="preserve">besoins et objectifs de placement </w:t>
      </w:r>
      <w:r w:rsidRPr="004501E3">
        <w:rPr>
          <w:lang w:val="fr-CA"/>
        </w:rPr>
        <w:t>»).</w:t>
      </w:r>
      <w:r w:rsidR="0024754A">
        <w:rPr>
          <w:lang w:val="fr-CA"/>
        </w:rPr>
        <w:t>"</w:t>
      </w:r>
      <w:r w:rsidRPr="004501E3">
        <w:rPr>
          <w:lang w:val="fr-CA"/>
        </w:rPr>
        <w:t xml:space="preserve"> </w:t>
      </w:r>
    </w:p>
    <w:p w14:paraId="14EEE02C" w14:textId="77777777" w:rsidR="002542A4" w:rsidRDefault="002542A4" w:rsidP="00A83BC3">
      <w:pPr>
        <w:jc w:val="both"/>
      </w:pPr>
    </w:p>
    <w:p w14:paraId="39380A32" w14:textId="12B8835B" w:rsidR="004501E3" w:rsidRDefault="00EE7259" w:rsidP="00A83BC3">
      <w:pPr>
        <w:jc w:val="both"/>
      </w:pPr>
      <w:r>
        <w:t xml:space="preserve">Il existe deux types </w:t>
      </w:r>
      <w:r w:rsidR="00A83BC3">
        <w:t>de questionnaire, l'un visant à cueillir de l'information générale sur le client, et l'autre visant à établir son niveau de risque acceptable. Les questionnaires qui sont utilisés par les conseillers ne sont pas tous  identiques ou disponible</w:t>
      </w:r>
      <w:r w:rsidR="00BA1875">
        <w:t>s</w:t>
      </w:r>
      <w:r w:rsidR="00A83BC3">
        <w:t xml:space="preserve"> sous une forme prescrite par un organisme règlementaire. Néanmoins, ils ont tous le même objectif de mieux connaitre celui pour qui ils travaillent, le </w:t>
      </w:r>
      <w:r w:rsidR="00A83BC3" w:rsidRPr="00A83BC3">
        <w:rPr>
          <w:color w:val="FF6700" w:themeColor="accent3"/>
        </w:rPr>
        <w:t>CLIENT</w:t>
      </w:r>
      <w:r w:rsidR="00A83BC3">
        <w:t>.</w:t>
      </w:r>
      <w:r w:rsidRPr="00EE7259">
        <w:t xml:space="preserve"> </w:t>
      </w:r>
      <w:r>
        <w:t>Nous aimerions maintenant présenter</w:t>
      </w:r>
      <w:r w:rsidR="008B2EED">
        <w:t xml:space="preserve"> un exemple de questionnaire visant à mesurer la tolérance au risque des investisseurs.</w:t>
      </w:r>
    </w:p>
    <w:p w14:paraId="5882DD64" w14:textId="5C670C39" w:rsidR="00DB3BFC" w:rsidRDefault="00DB3BFC" w:rsidP="00A83BC3">
      <w:pPr>
        <w:jc w:val="both"/>
      </w:pPr>
      <w:r>
        <w:lastRenderedPageBreak/>
        <w:t>QUESTIONNAIRE POUR MESURER LA TOLÉRANCE AU RISQUE</w:t>
      </w:r>
      <w:r>
        <w:rPr>
          <w:rStyle w:val="Marquenotebasdepage"/>
        </w:rPr>
        <w:footnoteReference w:customMarkFollows="1" w:id="82"/>
        <w:t>79</w:t>
      </w:r>
    </w:p>
    <w:p w14:paraId="2F742CF5" w14:textId="77777777" w:rsidR="00DB3BFC" w:rsidRDefault="00DB3BFC" w:rsidP="00A83BC3">
      <w:pPr>
        <w:jc w:val="both"/>
      </w:pPr>
    </w:p>
    <w:p w14:paraId="0C459388" w14:textId="47EFE076" w:rsidR="006A0A34" w:rsidRPr="00AF78C7" w:rsidRDefault="006A0A34" w:rsidP="006C34CF">
      <w:pPr>
        <w:numPr>
          <w:ilvl w:val="0"/>
          <w:numId w:val="120"/>
        </w:numPr>
        <w:rPr>
          <w:sz w:val="20"/>
          <w:szCs w:val="20"/>
          <w:lang w:val="fr-CA"/>
        </w:rPr>
      </w:pPr>
      <w:r w:rsidRPr="00AF78C7">
        <w:rPr>
          <w:i/>
          <w:iCs/>
          <w:sz w:val="20"/>
          <w:szCs w:val="20"/>
          <w:lang w:val="fr-CA"/>
        </w:rPr>
        <w:t>En g</w:t>
      </w:r>
      <w:r w:rsidR="008B2EED" w:rsidRPr="00AF78C7">
        <w:rPr>
          <w:i/>
          <w:iCs/>
          <w:sz w:val="20"/>
          <w:szCs w:val="20"/>
          <w:lang w:val="fr-CA"/>
        </w:rPr>
        <w:t>é</w:t>
      </w:r>
      <w:r w:rsidRPr="00AF78C7">
        <w:rPr>
          <w:i/>
          <w:iCs/>
          <w:sz w:val="20"/>
          <w:szCs w:val="20"/>
          <w:lang w:val="fr-CA"/>
        </w:rPr>
        <w:t>n</w:t>
      </w:r>
      <w:r w:rsidR="008B2EED" w:rsidRPr="00AF78C7">
        <w:rPr>
          <w:i/>
          <w:iCs/>
          <w:sz w:val="20"/>
          <w:szCs w:val="20"/>
          <w:lang w:val="fr-CA"/>
        </w:rPr>
        <w:t>é</w:t>
      </w:r>
      <w:r w:rsidRPr="00AF78C7">
        <w:rPr>
          <w:i/>
          <w:iCs/>
          <w:sz w:val="20"/>
          <w:szCs w:val="20"/>
          <w:lang w:val="fr-CA"/>
        </w:rPr>
        <w:t>ral, comment votre meilleur ami vous d</w:t>
      </w:r>
      <w:r w:rsidR="008B2EED" w:rsidRPr="00AF78C7">
        <w:rPr>
          <w:i/>
          <w:iCs/>
          <w:sz w:val="20"/>
          <w:szCs w:val="20"/>
          <w:lang w:val="fr-CA"/>
        </w:rPr>
        <w:t>é</w:t>
      </w:r>
      <w:r w:rsidRPr="00AF78C7">
        <w:rPr>
          <w:i/>
          <w:iCs/>
          <w:sz w:val="20"/>
          <w:szCs w:val="20"/>
          <w:lang w:val="fr-CA"/>
        </w:rPr>
        <w:t>crirait</w:t>
      </w:r>
      <w:r w:rsidRPr="00AF78C7">
        <w:rPr>
          <w:rFonts w:ascii="American Typewriter Light" w:hAnsi="American Typewriter Light" w:cs="American Typewriter Light"/>
          <w:i/>
          <w:iCs/>
          <w:sz w:val="20"/>
          <w:szCs w:val="20"/>
          <w:lang w:val="fr-CA"/>
        </w:rPr>
        <w:t>‐</w:t>
      </w:r>
      <w:r w:rsidRPr="00AF78C7">
        <w:rPr>
          <w:i/>
          <w:iCs/>
          <w:sz w:val="20"/>
          <w:szCs w:val="20"/>
          <w:lang w:val="fr-CA"/>
        </w:rPr>
        <w:t>il en tant que personne qui prend des risques</w:t>
      </w:r>
      <w:r w:rsidRPr="00AF78C7">
        <w:rPr>
          <w:sz w:val="20"/>
          <w:szCs w:val="20"/>
          <w:lang w:val="fr-CA"/>
        </w:rPr>
        <w:t xml:space="preserve">? </w:t>
      </w:r>
    </w:p>
    <w:p w14:paraId="0684DFDD" w14:textId="77777777" w:rsidR="00AE1E45" w:rsidRPr="00AF78C7" w:rsidRDefault="00AE1E45" w:rsidP="008B2EED">
      <w:pPr>
        <w:ind w:left="1080"/>
        <w:rPr>
          <w:sz w:val="20"/>
          <w:szCs w:val="20"/>
          <w:lang w:val="fr-CA"/>
        </w:rPr>
      </w:pPr>
    </w:p>
    <w:p w14:paraId="6439736A" w14:textId="27D4C56B" w:rsidR="006A0A34" w:rsidRPr="00AF78C7" w:rsidRDefault="006A0A34" w:rsidP="008B2EED">
      <w:pPr>
        <w:ind w:left="1080"/>
        <w:rPr>
          <w:sz w:val="20"/>
          <w:szCs w:val="20"/>
          <w:lang w:val="fr-CA"/>
        </w:rPr>
      </w:pPr>
      <w:r w:rsidRPr="00AF78C7">
        <w:rPr>
          <w:sz w:val="20"/>
          <w:szCs w:val="20"/>
          <w:lang w:val="fr-CA"/>
        </w:rPr>
        <w:t>a)  Une</w:t>
      </w:r>
      <w:r w:rsidR="008B2EED" w:rsidRPr="00AF78C7">
        <w:rPr>
          <w:sz w:val="20"/>
          <w:szCs w:val="20"/>
          <w:lang w:val="fr-CA"/>
        </w:rPr>
        <w:t xml:space="preserve"> </w:t>
      </w:r>
      <w:r w:rsidRPr="00AF78C7">
        <w:rPr>
          <w:sz w:val="20"/>
          <w:szCs w:val="20"/>
          <w:lang w:val="fr-CA"/>
        </w:rPr>
        <w:t>personne</w:t>
      </w:r>
      <w:r w:rsidR="008B2EED" w:rsidRPr="00AF78C7">
        <w:rPr>
          <w:sz w:val="20"/>
          <w:szCs w:val="20"/>
          <w:lang w:val="fr-CA"/>
        </w:rPr>
        <w:t xml:space="preserve"> </w:t>
      </w:r>
      <w:r w:rsidRPr="00AF78C7">
        <w:rPr>
          <w:sz w:val="20"/>
          <w:szCs w:val="20"/>
          <w:lang w:val="fr-CA"/>
        </w:rPr>
        <w:t>qui</w:t>
      </w:r>
      <w:r w:rsidR="008B2EED" w:rsidRPr="00AF78C7">
        <w:rPr>
          <w:sz w:val="20"/>
          <w:szCs w:val="20"/>
          <w:lang w:val="fr-CA"/>
        </w:rPr>
        <w:t xml:space="preserve"> </w:t>
      </w:r>
      <w:r w:rsidRPr="00AF78C7">
        <w:rPr>
          <w:sz w:val="20"/>
          <w:szCs w:val="20"/>
          <w:lang w:val="fr-CA"/>
        </w:rPr>
        <w:t>aime</w:t>
      </w:r>
      <w:r w:rsidR="008B2EED" w:rsidRPr="00AF78C7">
        <w:rPr>
          <w:sz w:val="20"/>
          <w:szCs w:val="20"/>
          <w:lang w:val="fr-CA"/>
        </w:rPr>
        <w:t xml:space="preserve"> </w:t>
      </w:r>
      <w:r w:rsidRPr="00AF78C7">
        <w:rPr>
          <w:sz w:val="20"/>
          <w:szCs w:val="20"/>
          <w:lang w:val="fr-CA"/>
        </w:rPr>
        <w:t xml:space="preserve">parier </w:t>
      </w:r>
    </w:p>
    <w:p w14:paraId="0B0D8D64" w14:textId="365369A6" w:rsidR="006A0A34" w:rsidRPr="00AF78C7" w:rsidRDefault="006A0A34" w:rsidP="008B2EED">
      <w:pPr>
        <w:ind w:left="1080"/>
        <w:rPr>
          <w:sz w:val="20"/>
          <w:szCs w:val="20"/>
          <w:lang w:val="fr-CA"/>
        </w:rPr>
      </w:pPr>
      <w:r w:rsidRPr="00AF78C7">
        <w:rPr>
          <w:sz w:val="20"/>
          <w:szCs w:val="20"/>
          <w:lang w:val="fr-CA"/>
        </w:rPr>
        <w:t>b)  Une</w:t>
      </w:r>
      <w:r w:rsidR="008B2EED" w:rsidRPr="00AF78C7">
        <w:rPr>
          <w:sz w:val="20"/>
          <w:szCs w:val="20"/>
          <w:lang w:val="fr-CA"/>
        </w:rPr>
        <w:t xml:space="preserve"> </w:t>
      </w:r>
      <w:r w:rsidRPr="00AF78C7">
        <w:rPr>
          <w:sz w:val="20"/>
          <w:szCs w:val="20"/>
          <w:lang w:val="fr-CA"/>
        </w:rPr>
        <w:t>personne</w:t>
      </w:r>
      <w:r w:rsidR="008B2EED" w:rsidRPr="00AF78C7">
        <w:rPr>
          <w:sz w:val="20"/>
          <w:szCs w:val="20"/>
          <w:lang w:val="fr-CA"/>
        </w:rPr>
        <w:t xml:space="preserve"> </w:t>
      </w:r>
      <w:r w:rsidRPr="00AF78C7">
        <w:rPr>
          <w:sz w:val="20"/>
          <w:szCs w:val="20"/>
          <w:lang w:val="fr-CA"/>
        </w:rPr>
        <w:t>qui</w:t>
      </w:r>
      <w:r w:rsidR="008B2EED" w:rsidRPr="00AF78C7">
        <w:rPr>
          <w:sz w:val="20"/>
          <w:szCs w:val="20"/>
          <w:lang w:val="fr-CA"/>
        </w:rPr>
        <w:t xml:space="preserve"> </w:t>
      </w:r>
      <w:r w:rsidRPr="00AF78C7">
        <w:rPr>
          <w:sz w:val="20"/>
          <w:szCs w:val="20"/>
          <w:lang w:val="fr-CA"/>
        </w:rPr>
        <w:t>est</w:t>
      </w:r>
      <w:r w:rsidR="008B2EED" w:rsidRPr="00AF78C7">
        <w:rPr>
          <w:sz w:val="20"/>
          <w:szCs w:val="20"/>
          <w:lang w:val="fr-CA"/>
        </w:rPr>
        <w:t xml:space="preserve"> </w:t>
      </w:r>
      <w:r w:rsidRPr="00AF78C7">
        <w:rPr>
          <w:sz w:val="20"/>
          <w:szCs w:val="20"/>
          <w:lang w:val="fr-CA"/>
        </w:rPr>
        <w:t>pr</w:t>
      </w:r>
      <w:r w:rsidR="008B2EED" w:rsidRPr="00AF78C7">
        <w:rPr>
          <w:sz w:val="20"/>
          <w:szCs w:val="20"/>
          <w:lang w:val="fr-CA"/>
        </w:rPr>
        <w:t>ê</w:t>
      </w:r>
      <w:r w:rsidRPr="00AF78C7">
        <w:rPr>
          <w:sz w:val="20"/>
          <w:szCs w:val="20"/>
          <w:lang w:val="fr-CA"/>
        </w:rPr>
        <w:t>te</w:t>
      </w:r>
      <w:r w:rsidR="008B2EED" w:rsidRPr="00AF78C7">
        <w:rPr>
          <w:sz w:val="20"/>
          <w:szCs w:val="20"/>
          <w:lang w:val="fr-CA"/>
        </w:rPr>
        <w:t xml:space="preserve"> à </w:t>
      </w:r>
      <w:r w:rsidRPr="00AF78C7">
        <w:rPr>
          <w:sz w:val="20"/>
          <w:szCs w:val="20"/>
          <w:lang w:val="fr-CA"/>
        </w:rPr>
        <w:t>prendre</w:t>
      </w:r>
      <w:r w:rsidR="008B2EED" w:rsidRPr="00AF78C7">
        <w:rPr>
          <w:sz w:val="20"/>
          <w:szCs w:val="20"/>
          <w:lang w:val="fr-CA"/>
        </w:rPr>
        <w:t xml:space="preserve"> </w:t>
      </w:r>
      <w:r w:rsidRPr="00AF78C7">
        <w:rPr>
          <w:sz w:val="20"/>
          <w:szCs w:val="20"/>
          <w:lang w:val="fr-CA"/>
        </w:rPr>
        <w:t>des</w:t>
      </w:r>
      <w:r w:rsidR="008B2EED" w:rsidRPr="00AF78C7">
        <w:rPr>
          <w:sz w:val="20"/>
          <w:szCs w:val="20"/>
          <w:lang w:val="fr-CA"/>
        </w:rPr>
        <w:t xml:space="preserve"> </w:t>
      </w:r>
      <w:r w:rsidRPr="00AF78C7">
        <w:rPr>
          <w:sz w:val="20"/>
          <w:szCs w:val="20"/>
          <w:lang w:val="fr-CA"/>
        </w:rPr>
        <w:t>risques</w:t>
      </w:r>
      <w:r w:rsidR="008B2EED" w:rsidRPr="00AF78C7">
        <w:rPr>
          <w:sz w:val="20"/>
          <w:szCs w:val="20"/>
          <w:lang w:val="fr-CA"/>
        </w:rPr>
        <w:t xml:space="preserve"> </w:t>
      </w:r>
      <w:r w:rsidRPr="00AF78C7">
        <w:rPr>
          <w:sz w:val="20"/>
          <w:szCs w:val="20"/>
          <w:lang w:val="fr-CA"/>
        </w:rPr>
        <w:t>apr</w:t>
      </w:r>
      <w:r w:rsidR="008B2EED" w:rsidRPr="00AF78C7">
        <w:rPr>
          <w:sz w:val="20"/>
          <w:szCs w:val="20"/>
          <w:lang w:val="fr-CA"/>
        </w:rPr>
        <w:t>è</w:t>
      </w:r>
      <w:r w:rsidRPr="00AF78C7">
        <w:rPr>
          <w:sz w:val="20"/>
          <w:szCs w:val="20"/>
          <w:lang w:val="fr-CA"/>
        </w:rPr>
        <w:t>s</w:t>
      </w:r>
      <w:r w:rsidR="008B2EED" w:rsidRPr="00AF78C7">
        <w:rPr>
          <w:sz w:val="20"/>
          <w:szCs w:val="20"/>
          <w:lang w:val="fr-CA"/>
        </w:rPr>
        <w:t xml:space="preserve"> </w:t>
      </w:r>
      <w:r w:rsidRPr="00AF78C7">
        <w:rPr>
          <w:sz w:val="20"/>
          <w:szCs w:val="20"/>
          <w:lang w:val="fr-CA"/>
        </w:rPr>
        <w:t>avoir</w:t>
      </w:r>
      <w:r w:rsidR="008B2EED" w:rsidRPr="00AF78C7">
        <w:rPr>
          <w:sz w:val="20"/>
          <w:szCs w:val="20"/>
          <w:lang w:val="fr-CA"/>
        </w:rPr>
        <w:t xml:space="preserve"> </w:t>
      </w:r>
      <w:r w:rsidRPr="00AF78C7">
        <w:rPr>
          <w:sz w:val="20"/>
          <w:szCs w:val="20"/>
          <w:lang w:val="fr-CA"/>
        </w:rPr>
        <w:t>effectu</w:t>
      </w:r>
      <w:r w:rsidR="008B2EED" w:rsidRPr="00AF78C7">
        <w:rPr>
          <w:sz w:val="20"/>
          <w:szCs w:val="20"/>
          <w:lang w:val="fr-CA"/>
        </w:rPr>
        <w:t xml:space="preserve">é </w:t>
      </w:r>
      <w:r w:rsidRPr="00AF78C7">
        <w:rPr>
          <w:sz w:val="20"/>
          <w:szCs w:val="20"/>
          <w:lang w:val="fr-CA"/>
        </w:rPr>
        <w:t>une</w:t>
      </w:r>
      <w:r w:rsidR="008B2EED" w:rsidRPr="00AF78C7">
        <w:rPr>
          <w:sz w:val="20"/>
          <w:szCs w:val="20"/>
          <w:lang w:val="fr-CA"/>
        </w:rPr>
        <w:t xml:space="preserve"> </w:t>
      </w:r>
      <w:r w:rsidRPr="00AF78C7">
        <w:rPr>
          <w:sz w:val="20"/>
          <w:szCs w:val="20"/>
          <w:lang w:val="fr-CA"/>
        </w:rPr>
        <w:t>certaine</w:t>
      </w:r>
      <w:r w:rsidR="008B2EED" w:rsidRPr="00AF78C7">
        <w:rPr>
          <w:sz w:val="20"/>
          <w:szCs w:val="20"/>
          <w:lang w:val="fr-CA"/>
        </w:rPr>
        <w:t xml:space="preserve"> </w:t>
      </w:r>
      <w:r w:rsidRPr="00AF78C7">
        <w:rPr>
          <w:sz w:val="20"/>
          <w:szCs w:val="20"/>
          <w:lang w:val="fr-CA"/>
        </w:rPr>
        <w:t xml:space="preserve">recherche </w:t>
      </w:r>
    </w:p>
    <w:p w14:paraId="21F5EDAD" w14:textId="77777777" w:rsidR="006A0A34" w:rsidRPr="00AF78C7" w:rsidRDefault="006A0A34" w:rsidP="008B2EED">
      <w:pPr>
        <w:ind w:left="1080"/>
        <w:rPr>
          <w:sz w:val="20"/>
          <w:szCs w:val="20"/>
          <w:lang w:val="fr-CA"/>
        </w:rPr>
      </w:pPr>
      <w:r w:rsidRPr="00AF78C7">
        <w:rPr>
          <w:sz w:val="20"/>
          <w:szCs w:val="20"/>
          <w:lang w:val="fr-CA"/>
        </w:rPr>
        <w:t xml:space="preserve">c)  Une personne prudente </w:t>
      </w:r>
    </w:p>
    <w:p w14:paraId="72ABD019" w14:textId="5D749060" w:rsidR="006A0A34" w:rsidRPr="00AF78C7" w:rsidRDefault="006A0A34" w:rsidP="008B2EED">
      <w:pPr>
        <w:ind w:left="1080"/>
        <w:rPr>
          <w:sz w:val="20"/>
          <w:szCs w:val="20"/>
          <w:lang w:val="fr-CA"/>
        </w:rPr>
      </w:pPr>
      <w:r w:rsidRPr="00AF78C7">
        <w:rPr>
          <w:sz w:val="20"/>
          <w:szCs w:val="20"/>
          <w:lang w:val="fr-CA"/>
        </w:rPr>
        <w:t>d)  Une</w:t>
      </w:r>
      <w:r w:rsidR="008B2EED" w:rsidRPr="00AF78C7">
        <w:rPr>
          <w:sz w:val="20"/>
          <w:szCs w:val="20"/>
          <w:lang w:val="fr-CA"/>
        </w:rPr>
        <w:t xml:space="preserve"> </w:t>
      </w:r>
      <w:r w:rsidRPr="00AF78C7">
        <w:rPr>
          <w:sz w:val="20"/>
          <w:szCs w:val="20"/>
          <w:lang w:val="fr-CA"/>
        </w:rPr>
        <w:t>personne</w:t>
      </w:r>
      <w:r w:rsidR="008B2EED" w:rsidRPr="00AF78C7">
        <w:rPr>
          <w:sz w:val="20"/>
          <w:szCs w:val="20"/>
          <w:lang w:val="fr-CA"/>
        </w:rPr>
        <w:t xml:space="preserve"> </w:t>
      </w:r>
      <w:r w:rsidRPr="00AF78C7">
        <w:rPr>
          <w:sz w:val="20"/>
          <w:szCs w:val="20"/>
          <w:lang w:val="fr-CA"/>
        </w:rPr>
        <w:t>qui</w:t>
      </w:r>
      <w:r w:rsidR="008B2EED" w:rsidRPr="00AF78C7">
        <w:rPr>
          <w:sz w:val="20"/>
          <w:szCs w:val="20"/>
          <w:lang w:val="fr-CA"/>
        </w:rPr>
        <w:t xml:space="preserve"> é</w:t>
      </w:r>
      <w:r w:rsidRPr="00AF78C7">
        <w:rPr>
          <w:sz w:val="20"/>
          <w:szCs w:val="20"/>
          <w:lang w:val="fr-CA"/>
        </w:rPr>
        <w:t>vite</w:t>
      </w:r>
      <w:r w:rsidR="008B2EED" w:rsidRPr="00AF78C7">
        <w:rPr>
          <w:sz w:val="20"/>
          <w:szCs w:val="20"/>
          <w:lang w:val="fr-CA"/>
        </w:rPr>
        <w:t xml:space="preserve"> </w:t>
      </w:r>
      <w:r w:rsidRPr="00AF78C7">
        <w:rPr>
          <w:sz w:val="20"/>
          <w:szCs w:val="20"/>
          <w:lang w:val="fr-CA"/>
        </w:rPr>
        <w:t>syst</w:t>
      </w:r>
      <w:r w:rsidR="008B2EED" w:rsidRPr="00AF78C7">
        <w:rPr>
          <w:sz w:val="20"/>
          <w:szCs w:val="20"/>
          <w:lang w:val="fr-CA"/>
        </w:rPr>
        <w:t>é</w:t>
      </w:r>
      <w:r w:rsidRPr="00AF78C7">
        <w:rPr>
          <w:sz w:val="20"/>
          <w:szCs w:val="20"/>
          <w:lang w:val="fr-CA"/>
        </w:rPr>
        <w:t>matiquement</w:t>
      </w:r>
      <w:r w:rsidR="008B2EED" w:rsidRPr="00AF78C7">
        <w:rPr>
          <w:sz w:val="20"/>
          <w:szCs w:val="20"/>
          <w:lang w:val="fr-CA"/>
        </w:rPr>
        <w:t xml:space="preserve"> </w:t>
      </w:r>
      <w:r w:rsidRPr="00AF78C7">
        <w:rPr>
          <w:sz w:val="20"/>
          <w:szCs w:val="20"/>
          <w:lang w:val="fr-CA"/>
        </w:rPr>
        <w:t>le</w:t>
      </w:r>
      <w:r w:rsidR="008B2EED" w:rsidRPr="00AF78C7">
        <w:rPr>
          <w:sz w:val="20"/>
          <w:szCs w:val="20"/>
          <w:lang w:val="fr-CA"/>
        </w:rPr>
        <w:t xml:space="preserve"> </w:t>
      </w:r>
      <w:r w:rsidRPr="00AF78C7">
        <w:rPr>
          <w:sz w:val="20"/>
          <w:szCs w:val="20"/>
          <w:lang w:val="fr-CA"/>
        </w:rPr>
        <w:t xml:space="preserve">risque </w:t>
      </w:r>
    </w:p>
    <w:p w14:paraId="776F660A" w14:textId="77777777" w:rsidR="008B2EED" w:rsidRPr="00AF78C7" w:rsidRDefault="008B2EED" w:rsidP="008B2EED">
      <w:pPr>
        <w:ind w:left="1080"/>
        <w:rPr>
          <w:sz w:val="20"/>
          <w:szCs w:val="20"/>
          <w:lang w:val="fr-CA"/>
        </w:rPr>
      </w:pPr>
    </w:p>
    <w:p w14:paraId="445B4F82" w14:textId="709A6F14" w:rsidR="006A0A34" w:rsidRPr="00AF78C7" w:rsidRDefault="006A0A34" w:rsidP="006C34CF">
      <w:pPr>
        <w:numPr>
          <w:ilvl w:val="0"/>
          <w:numId w:val="120"/>
        </w:numPr>
        <w:jc w:val="both"/>
        <w:rPr>
          <w:sz w:val="20"/>
          <w:szCs w:val="20"/>
          <w:lang w:val="fr-CA"/>
        </w:rPr>
      </w:pPr>
      <w:r w:rsidRPr="00AF78C7">
        <w:rPr>
          <w:i/>
          <w:iCs/>
          <w:sz w:val="20"/>
          <w:szCs w:val="20"/>
          <w:lang w:val="fr-CA"/>
        </w:rPr>
        <w:t xml:space="preserve">Vous participez </w:t>
      </w:r>
      <w:r w:rsidR="008B2EED" w:rsidRPr="00AF78C7">
        <w:rPr>
          <w:i/>
          <w:iCs/>
          <w:sz w:val="20"/>
          <w:szCs w:val="20"/>
          <w:lang w:val="fr-CA"/>
        </w:rPr>
        <w:t>à</w:t>
      </w:r>
      <w:r w:rsidRPr="00AF78C7">
        <w:rPr>
          <w:i/>
          <w:iCs/>
          <w:sz w:val="20"/>
          <w:szCs w:val="20"/>
          <w:lang w:val="fr-CA"/>
        </w:rPr>
        <w:t xml:space="preserve"> un jeu</w:t>
      </w:r>
      <w:r w:rsidRPr="00AF78C7">
        <w:rPr>
          <w:rFonts w:ascii="American Typewriter Light" w:hAnsi="American Typewriter Light" w:cs="American Typewriter Light"/>
          <w:i/>
          <w:iCs/>
          <w:sz w:val="20"/>
          <w:szCs w:val="20"/>
          <w:lang w:val="fr-CA"/>
        </w:rPr>
        <w:t>‐</w:t>
      </w:r>
      <w:r w:rsidRPr="00AF78C7">
        <w:rPr>
          <w:i/>
          <w:iCs/>
          <w:sz w:val="20"/>
          <w:szCs w:val="20"/>
          <w:lang w:val="fr-CA"/>
        </w:rPr>
        <w:t>questionnaire t</w:t>
      </w:r>
      <w:r w:rsidR="008B2EED" w:rsidRPr="00AF78C7">
        <w:rPr>
          <w:i/>
          <w:iCs/>
          <w:sz w:val="20"/>
          <w:szCs w:val="20"/>
          <w:lang w:val="fr-CA"/>
        </w:rPr>
        <w:t>é</w:t>
      </w:r>
      <w:r w:rsidRPr="00AF78C7">
        <w:rPr>
          <w:i/>
          <w:iCs/>
          <w:sz w:val="20"/>
          <w:szCs w:val="20"/>
          <w:lang w:val="fr-CA"/>
        </w:rPr>
        <w:t>l</w:t>
      </w:r>
      <w:r w:rsidR="008B2EED" w:rsidRPr="00AF78C7">
        <w:rPr>
          <w:i/>
          <w:iCs/>
          <w:sz w:val="20"/>
          <w:szCs w:val="20"/>
          <w:lang w:val="fr-CA"/>
        </w:rPr>
        <w:t>é</w:t>
      </w:r>
      <w:r w:rsidRPr="00AF78C7">
        <w:rPr>
          <w:i/>
          <w:iCs/>
          <w:sz w:val="20"/>
          <w:szCs w:val="20"/>
          <w:lang w:val="fr-CA"/>
        </w:rPr>
        <w:t>vis</w:t>
      </w:r>
      <w:r w:rsidR="008B2EED" w:rsidRPr="00AF78C7">
        <w:rPr>
          <w:i/>
          <w:iCs/>
          <w:sz w:val="20"/>
          <w:szCs w:val="20"/>
          <w:lang w:val="fr-CA"/>
        </w:rPr>
        <w:t>é</w:t>
      </w:r>
      <w:r w:rsidRPr="00AF78C7">
        <w:rPr>
          <w:i/>
          <w:iCs/>
          <w:sz w:val="20"/>
          <w:szCs w:val="20"/>
          <w:lang w:val="fr-CA"/>
        </w:rPr>
        <w:t xml:space="preserve"> et vous pouvez choisir une option parmi les suivantes. Laquelle prendriez</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r w:rsidRPr="00AF78C7">
        <w:rPr>
          <w:sz w:val="20"/>
          <w:szCs w:val="20"/>
          <w:lang w:val="fr-CA"/>
        </w:rPr>
        <w:t xml:space="preserve">? </w:t>
      </w:r>
    </w:p>
    <w:p w14:paraId="328CE1BA" w14:textId="77777777" w:rsidR="00AE1E45" w:rsidRPr="00AF78C7" w:rsidRDefault="00AE1E45" w:rsidP="008B2EED">
      <w:pPr>
        <w:ind w:left="1080"/>
        <w:rPr>
          <w:sz w:val="20"/>
          <w:szCs w:val="20"/>
          <w:lang w:val="fr-CA"/>
        </w:rPr>
      </w:pPr>
    </w:p>
    <w:p w14:paraId="7E0614F3" w14:textId="02888904" w:rsidR="006A0A34" w:rsidRPr="00AF78C7" w:rsidRDefault="006A0A34" w:rsidP="008B2EED">
      <w:pPr>
        <w:ind w:left="1080"/>
        <w:rPr>
          <w:sz w:val="20"/>
          <w:szCs w:val="20"/>
          <w:lang w:val="fr-CA"/>
        </w:rPr>
      </w:pPr>
      <w:r w:rsidRPr="00AF78C7">
        <w:rPr>
          <w:sz w:val="20"/>
          <w:szCs w:val="20"/>
          <w:lang w:val="fr-CA"/>
        </w:rPr>
        <w:t>a)  1</w:t>
      </w:r>
      <w:r w:rsidR="00625E01" w:rsidRPr="00AF78C7">
        <w:rPr>
          <w:sz w:val="20"/>
          <w:szCs w:val="20"/>
          <w:lang w:val="fr-CA"/>
        </w:rPr>
        <w:t xml:space="preserve"> </w:t>
      </w:r>
      <w:r w:rsidRPr="00AF78C7">
        <w:rPr>
          <w:sz w:val="20"/>
          <w:szCs w:val="20"/>
          <w:lang w:val="fr-CA"/>
        </w:rPr>
        <w:t>000</w:t>
      </w:r>
      <w:r w:rsidR="00FC2575" w:rsidRPr="00AF78C7">
        <w:rPr>
          <w:sz w:val="20"/>
          <w:szCs w:val="20"/>
          <w:lang w:val="fr-CA"/>
        </w:rPr>
        <w:t xml:space="preserve"> </w:t>
      </w:r>
      <w:r w:rsidRPr="00AF78C7">
        <w:rPr>
          <w:sz w:val="20"/>
          <w:szCs w:val="20"/>
          <w:lang w:val="fr-CA"/>
        </w:rPr>
        <w:t>$</w:t>
      </w:r>
      <w:r w:rsidR="008B2EED" w:rsidRPr="00AF78C7">
        <w:rPr>
          <w:sz w:val="20"/>
          <w:szCs w:val="20"/>
          <w:lang w:val="fr-CA"/>
        </w:rPr>
        <w:t xml:space="preserve"> </w:t>
      </w:r>
      <w:r w:rsidRPr="00AF78C7">
        <w:rPr>
          <w:sz w:val="20"/>
          <w:szCs w:val="20"/>
          <w:lang w:val="fr-CA"/>
        </w:rPr>
        <w:t>en</w:t>
      </w:r>
      <w:r w:rsidR="008B2EED" w:rsidRPr="00AF78C7">
        <w:rPr>
          <w:sz w:val="20"/>
          <w:szCs w:val="20"/>
          <w:lang w:val="fr-CA"/>
        </w:rPr>
        <w:t xml:space="preserve"> </w:t>
      </w:r>
      <w:r w:rsidRPr="00AF78C7">
        <w:rPr>
          <w:sz w:val="20"/>
          <w:szCs w:val="20"/>
          <w:lang w:val="fr-CA"/>
        </w:rPr>
        <w:t xml:space="preserve">argent </w:t>
      </w:r>
    </w:p>
    <w:p w14:paraId="4A5EAF9A" w14:textId="4AFD01AB" w:rsidR="006A0A34" w:rsidRPr="00AF78C7" w:rsidRDefault="006A0A34" w:rsidP="008B2EED">
      <w:pPr>
        <w:ind w:left="1080"/>
        <w:rPr>
          <w:sz w:val="20"/>
          <w:szCs w:val="20"/>
          <w:lang w:val="fr-CA"/>
        </w:rPr>
      </w:pPr>
      <w:r w:rsidRPr="00AF78C7">
        <w:rPr>
          <w:sz w:val="20"/>
          <w:szCs w:val="20"/>
          <w:lang w:val="fr-CA"/>
        </w:rPr>
        <w:t>b)  Une</w:t>
      </w:r>
      <w:r w:rsidR="008B2EED" w:rsidRPr="00AF78C7">
        <w:rPr>
          <w:sz w:val="20"/>
          <w:szCs w:val="20"/>
          <w:lang w:val="fr-CA"/>
        </w:rPr>
        <w:t xml:space="preserve"> </w:t>
      </w:r>
      <w:r w:rsidRPr="00AF78C7">
        <w:rPr>
          <w:sz w:val="20"/>
          <w:szCs w:val="20"/>
          <w:lang w:val="fr-CA"/>
        </w:rPr>
        <w:t>chance</w:t>
      </w:r>
      <w:r w:rsidR="008B2EED" w:rsidRPr="00AF78C7">
        <w:rPr>
          <w:sz w:val="20"/>
          <w:szCs w:val="20"/>
          <w:lang w:val="fr-CA"/>
        </w:rPr>
        <w:t xml:space="preserve"> </w:t>
      </w:r>
      <w:r w:rsidRPr="00AF78C7">
        <w:rPr>
          <w:sz w:val="20"/>
          <w:szCs w:val="20"/>
          <w:lang w:val="fr-CA"/>
        </w:rPr>
        <w:t>sur</w:t>
      </w:r>
      <w:r w:rsidR="008B2EED" w:rsidRPr="00AF78C7">
        <w:rPr>
          <w:sz w:val="20"/>
          <w:szCs w:val="20"/>
          <w:lang w:val="fr-CA"/>
        </w:rPr>
        <w:t xml:space="preserve"> </w:t>
      </w:r>
      <w:r w:rsidRPr="00AF78C7">
        <w:rPr>
          <w:sz w:val="20"/>
          <w:szCs w:val="20"/>
          <w:lang w:val="fr-CA"/>
        </w:rPr>
        <w:t>deux</w:t>
      </w:r>
      <w:r w:rsidR="008B2EED" w:rsidRPr="00AF78C7">
        <w:rPr>
          <w:sz w:val="20"/>
          <w:szCs w:val="20"/>
          <w:lang w:val="fr-CA"/>
        </w:rPr>
        <w:t xml:space="preserve"> </w:t>
      </w:r>
      <w:r w:rsidRPr="00AF78C7">
        <w:rPr>
          <w:sz w:val="20"/>
          <w:szCs w:val="20"/>
          <w:lang w:val="fr-CA"/>
        </w:rPr>
        <w:t>de</w:t>
      </w:r>
      <w:r w:rsidR="008B2EED" w:rsidRPr="00AF78C7">
        <w:rPr>
          <w:sz w:val="20"/>
          <w:szCs w:val="20"/>
          <w:lang w:val="fr-CA"/>
        </w:rPr>
        <w:t xml:space="preserve"> </w:t>
      </w:r>
      <w:r w:rsidRPr="00AF78C7">
        <w:rPr>
          <w:sz w:val="20"/>
          <w:szCs w:val="20"/>
          <w:lang w:val="fr-CA"/>
        </w:rPr>
        <w:t>remporter</w:t>
      </w:r>
      <w:r w:rsidR="008B2EED" w:rsidRPr="00AF78C7">
        <w:rPr>
          <w:sz w:val="20"/>
          <w:szCs w:val="20"/>
          <w:lang w:val="fr-CA"/>
        </w:rPr>
        <w:t xml:space="preserve"> </w:t>
      </w:r>
      <w:r w:rsidRPr="00AF78C7">
        <w:rPr>
          <w:sz w:val="20"/>
          <w:szCs w:val="20"/>
          <w:lang w:val="fr-CA"/>
        </w:rPr>
        <w:t>5</w:t>
      </w:r>
      <w:r w:rsidR="008B2EED" w:rsidRPr="00AF78C7">
        <w:rPr>
          <w:sz w:val="20"/>
          <w:szCs w:val="20"/>
          <w:lang w:val="fr-CA"/>
        </w:rPr>
        <w:t xml:space="preserve"> </w:t>
      </w:r>
      <w:r w:rsidRPr="00AF78C7">
        <w:rPr>
          <w:sz w:val="20"/>
          <w:szCs w:val="20"/>
          <w:lang w:val="fr-CA"/>
        </w:rPr>
        <w:t>000</w:t>
      </w:r>
      <w:r w:rsidR="00FC2575" w:rsidRPr="00AF78C7">
        <w:rPr>
          <w:sz w:val="20"/>
          <w:szCs w:val="20"/>
          <w:lang w:val="fr-CA"/>
        </w:rPr>
        <w:t xml:space="preserve"> </w:t>
      </w:r>
      <w:r w:rsidRPr="00AF78C7">
        <w:rPr>
          <w:sz w:val="20"/>
          <w:szCs w:val="20"/>
          <w:lang w:val="fr-CA"/>
        </w:rPr>
        <w:t xml:space="preserve">$ </w:t>
      </w:r>
    </w:p>
    <w:p w14:paraId="2D839491" w14:textId="77777777" w:rsidR="006A0A34" w:rsidRPr="00AF78C7" w:rsidRDefault="006A0A34" w:rsidP="008B2EED">
      <w:pPr>
        <w:ind w:left="1080"/>
        <w:rPr>
          <w:sz w:val="20"/>
          <w:szCs w:val="20"/>
          <w:lang w:val="fr-CA"/>
        </w:rPr>
      </w:pPr>
      <w:r w:rsidRPr="00AF78C7">
        <w:rPr>
          <w:sz w:val="20"/>
          <w:szCs w:val="20"/>
          <w:lang w:val="fr-CA"/>
        </w:rPr>
        <w:t xml:space="preserve">c)  Une chance sur quatre de remporter 10 000 $ </w:t>
      </w:r>
    </w:p>
    <w:p w14:paraId="2BE74E8D" w14:textId="6735E532" w:rsidR="006A0A34" w:rsidRPr="00AF78C7" w:rsidRDefault="006A0A34" w:rsidP="008B2EED">
      <w:pPr>
        <w:ind w:left="1080"/>
        <w:rPr>
          <w:sz w:val="20"/>
          <w:szCs w:val="20"/>
          <w:lang w:val="fr-CA"/>
        </w:rPr>
      </w:pPr>
      <w:r w:rsidRPr="00AF78C7">
        <w:rPr>
          <w:sz w:val="20"/>
          <w:szCs w:val="20"/>
          <w:lang w:val="fr-CA"/>
        </w:rPr>
        <w:t>d)  Une</w:t>
      </w:r>
      <w:r w:rsidR="008B2EED" w:rsidRPr="00AF78C7">
        <w:rPr>
          <w:sz w:val="20"/>
          <w:szCs w:val="20"/>
          <w:lang w:val="fr-CA"/>
        </w:rPr>
        <w:t xml:space="preserve"> </w:t>
      </w:r>
      <w:r w:rsidRPr="00AF78C7">
        <w:rPr>
          <w:sz w:val="20"/>
          <w:szCs w:val="20"/>
          <w:lang w:val="fr-CA"/>
        </w:rPr>
        <w:t>chance</w:t>
      </w:r>
      <w:r w:rsidR="008B2EED" w:rsidRPr="00AF78C7">
        <w:rPr>
          <w:sz w:val="20"/>
          <w:szCs w:val="20"/>
          <w:lang w:val="fr-CA"/>
        </w:rPr>
        <w:t xml:space="preserve"> </w:t>
      </w:r>
      <w:r w:rsidRPr="00AF78C7">
        <w:rPr>
          <w:sz w:val="20"/>
          <w:szCs w:val="20"/>
          <w:lang w:val="fr-CA"/>
        </w:rPr>
        <w:t>sur</w:t>
      </w:r>
      <w:r w:rsidR="008B2EED" w:rsidRPr="00AF78C7">
        <w:rPr>
          <w:sz w:val="20"/>
          <w:szCs w:val="20"/>
          <w:lang w:val="fr-CA"/>
        </w:rPr>
        <w:t xml:space="preserve"> </w:t>
      </w:r>
      <w:r w:rsidRPr="00AF78C7">
        <w:rPr>
          <w:sz w:val="20"/>
          <w:szCs w:val="20"/>
          <w:lang w:val="fr-CA"/>
        </w:rPr>
        <w:t>20</w:t>
      </w:r>
      <w:r w:rsidR="008B2EED" w:rsidRPr="00AF78C7">
        <w:rPr>
          <w:sz w:val="20"/>
          <w:szCs w:val="20"/>
          <w:lang w:val="fr-CA"/>
        </w:rPr>
        <w:t xml:space="preserve"> </w:t>
      </w:r>
      <w:r w:rsidRPr="00AF78C7">
        <w:rPr>
          <w:sz w:val="20"/>
          <w:szCs w:val="20"/>
          <w:lang w:val="fr-CA"/>
        </w:rPr>
        <w:t>de</w:t>
      </w:r>
      <w:r w:rsidR="008B2EED" w:rsidRPr="00AF78C7">
        <w:rPr>
          <w:sz w:val="20"/>
          <w:szCs w:val="20"/>
          <w:lang w:val="fr-CA"/>
        </w:rPr>
        <w:t xml:space="preserve"> </w:t>
      </w:r>
      <w:r w:rsidRPr="00AF78C7">
        <w:rPr>
          <w:sz w:val="20"/>
          <w:szCs w:val="20"/>
          <w:lang w:val="fr-CA"/>
        </w:rPr>
        <w:t>remporter</w:t>
      </w:r>
      <w:r w:rsidR="00625E01" w:rsidRPr="00AF78C7">
        <w:rPr>
          <w:sz w:val="20"/>
          <w:szCs w:val="20"/>
          <w:lang w:val="fr-CA"/>
        </w:rPr>
        <w:t xml:space="preserve"> 1</w:t>
      </w:r>
      <w:r w:rsidRPr="00AF78C7">
        <w:rPr>
          <w:sz w:val="20"/>
          <w:szCs w:val="20"/>
          <w:lang w:val="fr-CA"/>
        </w:rPr>
        <w:t>00</w:t>
      </w:r>
      <w:r w:rsidR="008B2EED" w:rsidRPr="00AF78C7">
        <w:rPr>
          <w:sz w:val="20"/>
          <w:szCs w:val="20"/>
          <w:lang w:val="fr-CA"/>
        </w:rPr>
        <w:t xml:space="preserve"> </w:t>
      </w:r>
      <w:r w:rsidRPr="00AF78C7">
        <w:rPr>
          <w:sz w:val="20"/>
          <w:szCs w:val="20"/>
          <w:lang w:val="fr-CA"/>
        </w:rPr>
        <w:t>000</w:t>
      </w:r>
      <w:r w:rsidR="00FC2575" w:rsidRPr="00AF78C7">
        <w:rPr>
          <w:sz w:val="20"/>
          <w:szCs w:val="20"/>
          <w:lang w:val="fr-CA"/>
        </w:rPr>
        <w:t xml:space="preserve"> </w:t>
      </w:r>
      <w:r w:rsidRPr="00AF78C7">
        <w:rPr>
          <w:sz w:val="20"/>
          <w:szCs w:val="20"/>
          <w:lang w:val="fr-CA"/>
        </w:rPr>
        <w:t xml:space="preserve">$ </w:t>
      </w:r>
    </w:p>
    <w:p w14:paraId="07AA8B71" w14:textId="77777777" w:rsidR="008B2EED" w:rsidRPr="00AF78C7" w:rsidRDefault="008B2EED" w:rsidP="008B2EED">
      <w:pPr>
        <w:ind w:left="1080"/>
        <w:rPr>
          <w:sz w:val="20"/>
          <w:szCs w:val="20"/>
          <w:lang w:val="fr-CA"/>
        </w:rPr>
      </w:pPr>
    </w:p>
    <w:p w14:paraId="63BD42D3" w14:textId="676EDFD7" w:rsidR="006A0A34" w:rsidRPr="00AF78C7" w:rsidRDefault="006A0A34" w:rsidP="006C34CF">
      <w:pPr>
        <w:numPr>
          <w:ilvl w:val="0"/>
          <w:numId w:val="120"/>
        </w:numPr>
        <w:jc w:val="both"/>
        <w:rPr>
          <w:sz w:val="20"/>
          <w:szCs w:val="20"/>
          <w:lang w:val="fr-CA"/>
        </w:rPr>
      </w:pPr>
      <w:r w:rsidRPr="00AF78C7">
        <w:rPr>
          <w:i/>
          <w:iCs/>
          <w:sz w:val="20"/>
          <w:szCs w:val="20"/>
          <w:lang w:val="fr-CA"/>
        </w:rPr>
        <w:t xml:space="preserve">Vous avez enfin </w:t>
      </w:r>
      <w:r w:rsidR="008B2EED" w:rsidRPr="00AF78C7">
        <w:rPr>
          <w:i/>
          <w:iCs/>
          <w:sz w:val="20"/>
          <w:szCs w:val="20"/>
          <w:lang w:val="fr-CA"/>
        </w:rPr>
        <w:t>é</w:t>
      </w:r>
      <w:r w:rsidRPr="00AF78C7">
        <w:rPr>
          <w:i/>
          <w:iCs/>
          <w:sz w:val="20"/>
          <w:szCs w:val="20"/>
          <w:lang w:val="fr-CA"/>
        </w:rPr>
        <w:t>pargn</w:t>
      </w:r>
      <w:r w:rsidR="008B2EED" w:rsidRPr="00AF78C7">
        <w:rPr>
          <w:i/>
          <w:iCs/>
          <w:sz w:val="20"/>
          <w:szCs w:val="20"/>
          <w:lang w:val="fr-CA"/>
        </w:rPr>
        <w:t>é</w:t>
      </w:r>
      <w:r w:rsidRPr="00AF78C7">
        <w:rPr>
          <w:i/>
          <w:iCs/>
          <w:sz w:val="20"/>
          <w:szCs w:val="20"/>
          <w:lang w:val="fr-CA"/>
        </w:rPr>
        <w:t xml:space="preserve"> l</w:t>
      </w:r>
      <w:r w:rsidR="008B2EED" w:rsidRPr="00AF78C7">
        <w:rPr>
          <w:i/>
          <w:iCs/>
          <w:sz w:val="20"/>
          <w:szCs w:val="20"/>
          <w:lang w:val="fr-CA"/>
        </w:rPr>
        <w:t>'</w:t>
      </w:r>
      <w:r w:rsidRPr="00AF78C7">
        <w:rPr>
          <w:i/>
          <w:iCs/>
          <w:sz w:val="20"/>
          <w:szCs w:val="20"/>
          <w:lang w:val="fr-CA"/>
        </w:rPr>
        <w:t>argent qu'il vous fallait pour prendre les « vacances de votre vie ». Trois semaines avant votre d</w:t>
      </w:r>
      <w:r w:rsidR="008B2EED" w:rsidRPr="00AF78C7">
        <w:rPr>
          <w:i/>
          <w:iCs/>
          <w:sz w:val="20"/>
          <w:szCs w:val="20"/>
          <w:lang w:val="fr-CA"/>
        </w:rPr>
        <w:t>é</w:t>
      </w:r>
      <w:r w:rsidRPr="00AF78C7">
        <w:rPr>
          <w:i/>
          <w:iCs/>
          <w:sz w:val="20"/>
          <w:szCs w:val="20"/>
          <w:lang w:val="fr-CA"/>
        </w:rPr>
        <w:t xml:space="preserve">part, vous perdez votre boulot. Vous </w:t>
      </w:r>
      <w:r w:rsidRPr="00AF78C7">
        <w:rPr>
          <w:sz w:val="20"/>
          <w:szCs w:val="20"/>
          <w:lang w:val="fr-CA"/>
        </w:rPr>
        <w:t>prenez une des d</w:t>
      </w:r>
      <w:r w:rsidR="008B2EED" w:rsidRPr="00AF78C7">
        <w:rPr>
          <w:sz w:val="20"/>
          <w:szCs w:val="20"/>
          <w:lang w:val="fr-CA"/>
        </w:rPr>
        <w:t>é</w:t>
      </w:r>
      <w:r w:rsidRPr="00AF78C7">
        <w:rPr>
          <w:sz w:val="20"/>
          <w:szCs w:val="20"/>
          <w:lang w:val="fr-CA"/>
        </w:rPr>
        <w:t xml:space="preserve">cisions suivantes : </w:t>
      </w:r>
    </w:p>
    <w:p w14:paraId="61BC5823" w14:textId="77777777" w:rsidR="00AE1E45" w:rsidRPr="00AF78C7" w:rsidRDefault="00AE1E45" w:rsidP="008B2EED">
      <w:pPr>
        <w:ind w:left="1080"/>
        <w:rPr>
          <w:sz w:val="20"/>
          <w:szCs w:val="20"/>
          <w:lang w:val="fr-CA"/>
        </w:rPr>
      </w:pPr>
    </w:p>
    <w:p w14:paraId="6EB97D0E" w14:textId="22359AFF" w:rsidR="006A0A34" w:rsidRPr="00AF78C7" w:rsidRDefault="006A0A34" w:rsidP="008B2EED">
      <w:pPr>
        <w:ind w:left="1080"/>
        <w:rPr>
          <w:sz w:val="20"/>
          <w:szCs w:val="20"/>
          <w:lang w:val="fr-CA"/>
        </w:rPr>
      </w:pPr>
      <w:r w:rsidRPr="00AF78C7">
        <w:rPr>
          <w:sz w:val="20"/>
          <w:szCs w:val="20"/>
          <w:lang w:val="fr-CA"/>
        </w:rPr>
        <w:t>a)  Annuler</w:t>
      </w:r>
      <w:r w:rsidR="008B2EED" w:rsidRPr="00AF78C7">
        <w:rPr>
          <w:sz w:val="20"/>
          <w:szCs w:val="20"/>
          <w:lang w:val="fr-CA"/>
        </w:rPr>
        <w:t xml:space="preserve"> </w:t>
      </w:r>
      <w:r w:rsidRPr="00AF78C7">
        <w:rPr>
          <w:sz w:val="20"/>
          <w:szCs w:val="20"/>
          <w:lang w:val="fr-CA"/>
        </w:rPr>
        <w:t>vos</w:t>
      </w:r>
      <w:r w:rsidR="008B2EED" w:rsidRPr="00AF78C7">
        <w:rPr>
          <w:sz w:val="20"/>
          <w:szCs w:val="20"/>
          <w:lang w:val="fr-CA"/>
        </w:rPr>
        <w:t xml:space="preserve"> </w:t>
      </w:r>
      <w:r w:rsidRPr="00AF78C7">
        <w:rPr>
          <w:sz w:val="20"/>
          <w:szCs w:val="20"/>
          <w:lang w:val="fr-CA"/>
        </w:rPr>
        <w:t xml:space="preserve">vacances </w:t>
      </w:r>
    </w:p>
    <w:p w14:paraId="5CFF6B35" w14:textId="4E95E79C" w:rsidR="006A0A34" w:rsidRPr="00AF78C7" w:rsidRDefault="006A0A34" w:rsidP="008B2EED">
      <w:pPr>
        <w:ind w:left="1080"/>
        <w:rPr>
          <w:sz w:val="20"/>
          <w:szCs w:val="20"/>
          <w:lang w:val="fr-CA"/>
        </w:rPr>
      </w:pPr>
      <w:r w:rsidRPr="00AF78C7">
        <w:rPr>
          <w:sz w:val="20"/>
          <w:szCs w:val="20"/>
          <w:lang w:val="fr-CA"/>
        </w:rPr>
        <w:t>b)  Prendre</w:t>
      </w:r>
      <w:r w:rsidR="008B2EED" w:rsidRPr="00AF78C7">
        <w:rPr>
          <w:sz w:val="20"/>
          <w:szCs w:val="20"/>
          <w:lang w:val="fr-CA"/>
        </w:rPr>
        <w:t xml:space="preserve"> </w:t>
      </w:r>
      <w:r w:rsidRPr="00AF78C7">
        <w:rPr>
          <w:sz w:val="20"/>
          <w:szCs w:val="20"/>
          <w:lang w:val="fr-CA"/>
        </w:rPr>
        <w:t>des</w:t>
      </w:r>
      <w:r w:rsidR="008B2EED" w:rsidRPr="00AF78C7">
        <w:rPr>
          <w:sz w:val="20"/>
          <w:szCs w:val="20"/>
          <w:lang w:val="fr-CA"/>
        </w:rPr>
        <w:t xml:space="preserve"> </w:t>
      </w:r>
      <w:r w:rsidRPr="00AF78C7">
        <w:rPr>
          <w:sz w:val="20"/>
          <w:szCs w:val="20"/>
          <w:lang w:val="fr-CA"/>
        </w:rPr>
        <w:t>vacances</w:t>
      </w:r>
      <w:r w:rsidR="008B2EED" w:rsidRPr="00AF78C7">
        <w:rPr>
          <w:sz w:val="20"/>
          <w:szCs w:val="20"/>
          <w:lang w:val="fr-CA"/>
        </w:rPr>
        <w:t xml:space="preserve"> </w:t>
      </w:r>
      <w:r w:rsidRPr="00AF78C7">
        <w:rPr>
          <w:sz w:val="20"/>
          <w:szCs w:val="20"/>
          <w:lang w:val="fr-CA"/>
        </w:rPr>
        <w:t>beaucoup</w:t>
      </w:r>
      <w:r w:rsidR="008B2EED" w:rsidRPr="00AF78C7">
        <w:rPr>
          <w:sz w:val="20"/>
          <w:szCs w:val="20"/>
          <w:lang w:val="fr-CA"/>
        </w:rPr>
        <w:t xml:space="preserve"> </w:t>
      </w:r>
      <w:r w:rsidRPr="00AF78C7">
        <w:rPr>
          <w:sz w:val="20"/>
          <w:szCs w:val="20"/>
          <w:lang w:val="fr-CA"/>
        </w:rPr>
        <w:t>moins</w:t>
      </w:r>
      <w:r w:rsidR="008B2EED" w:rsidRPr="00AF78C7">
        <w:rPr>
          <w:sz w:val="20"/>
          <w:szCs w:val="20"/>
          <w:lang w:val="fr-CA"/>
        </w:rPr>
        <w:t xml:space="preserve"> </w:t>
      </w:r>
      <w:r w:rsidRPr="00AF78C7">
        <w:rPr>
          <w:sz w:val="20"/>
          <w:szCs w:val="20"/>
          <w:lang w:val="fr-CA"/>
        </w:rPr>
        <w:t>co</w:t>
      </w:r>
      <w:r w:rsidR="00625E01" w:rsidRPr="00AF78C7">
        <w:rPr>
          <w:sz w:val="20"/>
          <w:szCs w:val="20"/>
          <w:lang w:val="fr-CA"/>
        </w:rPr>
        <w:t>û</w:t>
      </w:r>
      <w:r w:rsidRPr="00AF78C7">
        <w:rPr>
          <w:sz w:val="20"/>
          <w:szCs w:val="20"/>
          <w:lang w:val="fr-CA"/>
        </w:rPr>
        <w:t xml:space="preserve">teuses </w:t>
      </w:r>
    </w:p>
    <w:p w14:paraId="7823F485" w14:textId="10425615" w:rsidR="006A0A34" w:rsidRPr="00AF78C7" w:rsidRDefault="006A0A34" w:rsidP="00625E01">
      <w:pPr>
        <w:ind w:left="1080"/>
        <w:rPr>
          <w:sz w:val="20"/>
          <w:szCs w:val="20"/>
          <w:lang w:val="fr-CA"/>
        </w:rPr>
      </w:pPr>
      <w:r w:rsidRPr="00AF78C7">
        <w:rPr>
          <w:sz w:val="20"/>
          <w:szCs w:val="20"/>
          <w:lang w:val="fr-CA"/>
        </w:rPr>
        <w:t>c)  Partir comme pr</w:t>
      </w:r>
      <w:r w:rsidR="00625E01" w:rsidRPr="00AF78C7">
        <w:rPr>
          <w:sz w:val="20"/>
          <w:szCs w:val="20"/>
          <w:lang w:val="fr-CA"/>
        </w:rPr>
        <w:t>é</w:t>
      </w:r>
      <w:r w:rsidRPr="00AF78C7">
        <w:rPr>
          <w:sz w:val="20"/>
          <w:szCs w:val="20"/>
          <w:lang w:val="fr-CA"/>
        </w:rPr>
        <w:t>vu, en vous disant que vous avez besoin de temps pour vous pr</w:t>
      </w:r>
      <w:r w:rsidR="00625E01" w:rsidRPr="00AF78C7">
        <w:rPr>
          <w:sz w:val="20"/>
          <w:szCs w:val="20"/>
          <w:lang w:val="fr-CA"/>
        </w:rPr>
        <w:t>é</w:t>
      </w:r>
      <w:r w:rsidRPr="00AF78C7">
        <w:rPr>
          <w:sz w:val="20"/>
          <w:szCs w:val="20"/>
          <w:lang w:val="fr-CA"/>
        </w:rPr>
        <w:t xml:space="preserve">parer </w:t>
      </w:r>
      <w:r w:rsidR="00625E01" w:rsidRPr="00AF78C7">
        <w:rPr>
          <w:sz w:val="20"/>
          <w:szCs w:val="20"/>
          <w:lang w:val="fr-CA"/>
        </w:rPr>
        <w:t>à</w:t>
      </w:r>
      <w:r w:rsidRPr="00AF78C7">
        <w:rPr>
          <w:sz w:val="20"/>
          <w:szCs w:val="20"/>
          <w:lang w:val="fr-CA"/>
        </w:rPr>
        <w:t xml:space="preserve"> la</w:t>
      </w:r>
      <w:r w:rsidR="00625E01" w:rsidRPr="00AF78C7">
        <w:rPr>
          <w:sz w:val="20"/>
          <w:szCs w:val="20"/>
          <w:lang w:val="fr-CA"/>
        </w:rPr>
        <w:t xml:space="preserve"> </w:t>
      </w:r>
      <w:r w:rsidR="005242B9">
        <w:rPr>
          <w:sz w:val="20"/>
          <w:szCs w:val="20"/>
          <w:lang w:val="fr-CA"/>
        </w:rPr>
        <w:t>r</w:t>
      </w:r>
      <w:r w:rsidRPr="00AF78C7">
        <w:rPr>
          <w:sz w:val="20"/>
          <w:szCs w:val="20"/>
          <w:lang w:val="fr-CA"/>
        </w:rPr>
        <w:t xml:space="preserve">echerche d'un nouvel </w:t>
      </w:r>
      <w:r w:rsidR="005242B9">
        <w:rPr>
          <w:sz w:val="20"/>
          <w:szCs w:val="20"/>
          <w:lang w:val="fr-CA"/>
        </w:rPr>
        <w:tab/>
      </w:r>
      <w:r w:rsidRPr="00AF78C7">
        <w:rPr>
          <w:sz w:val="20"/>
          <w:szCs w:val="20"/>
          <w:lang w:val="fr-CA"/>
        </w:rPr>
        <w:t xml:space="preserve">emploi </w:t>
      </w:r>
    </w:p>
    <w:p w14:paraId="4262A5BD" w14:textId="317C4F76" w:rsidR="006A0A34" w:rsidRPr="00AF78C7" w:rsidRDefault="006A0A34" w:rsidP="005242B9">
      <w:pPr>
        <w:ind w:left="1080"/>
        <w:rPr>
          <w:sz w:val="20"/>
          <w:szCs w:val="20"/>
          <w:lang w:val="fr-CA"/>
        </w:rPr>
      </w:pPr>
      <w:r w:rsidRPr="00AF78C7">
        <w:rPr>
          <w:sz w:val="20"/>
          <w:szCs w:val="20"/>
          <w:lang w:val="fr-CA"/>
        </w:rPr>
        <w:t>d)  Prolonger</w:t>
      </w:r>
      <w:r w:rsidR="00625E01" w:rsidRPr="00AF78C7">
        <w:rPr>
          <w:sz w:val="20"/>
          <w:szCs w:val="20"/>
          <w:lang w:val="fr-CA"/>
        </w:rPr>
        <w:t xml:space="preserve"> </w:t>
      </w:r>
      <w:r w:rsidRPr="00AF78C7">
        <w:rPr>
          <w:sz w:val="20"/>
          <w:szCs w:val="20"/>
          <w:lang w:val="fr-CA"/>
        </w:rPr>
        <w:t>vos</w:t>
      </w:r>
      <w:r w:rsidR="00625E01" w:rsidRPr="00AF78C7">
        <w:rPr>
          <w:sz w:val="20"/>
          <w:szCs w:val="20"/>
          <w:lang w:val="fr-CA"/>
        </w:rPr>
        <w:t xml:space="preserve"> </w:t>
      </w:r>
      <w:r w:rsidRPr="00AF78C7">
        <w:rPr>
          <w:sz w:val="20"/>
          <w:szCs w:val="20"/>
          <w:lang w:val="fr-CA"/>
        </w:rPr>
        <w:t>vacances,</w:t>
      </w:r>
      <w:r w:rsidR="00625E01" w:rsidRPr="00AF78C7">
        <w:rPr>
          <w:sz w:val="20"/>
          <w:szCs w:val="20"/>
          <w:lang w:val="fr-CA"/>
        </w:rPr>
        <w:t xml:space="preserve"> </w:t>
      </w:r>
      <w:r w:rsidRPr="00AF78C7">
        <w:rPr>
          <w:sz w:val="20"/>
          <w:szCs w:val="20"/>
          <w:lang w:val="fr-CA"/>
        </w:rPr>
        <w:t>puisqu'il</w:t>
      </w:r>
      <w:r w:rsidR="00625E01" w:rsidRPr="00AF78C7">
        <w:rPr>
          <w:sz w:val="20"/>
          <w:szCs w:val="20"/>
          <w:lang w:val="fr-CA"/>
        </w:rPr>
        <w:t xml:space="preserve"> </w:t>
      </w:r>
      <w:r w:rsidRPr="00AF78C7">
        <w:rPr>
          <w:sz w:val="20"/>
          <w:szCs w:val="20"/>
          <w:lang w:val="fr-CA"/>
        </w:rPr>
        <w:t>s'agit</w:t>
      </w:r>
      <w:r w:rsidR="00625E01" w:rsidRPr="00AF78C7">
        <w:rPr>
          <w:sz w:val="20"/>
          <w:szCs w:val="20"/>
          <w:lang w:val="fr-CA"/>
        </w:rPr>
        <w:t xml:space="preserve"> </w:t>
      </w:r>
      <w:r w:rsidRPr="00AF78C7">
        <w:rPr>
          <w:sz w:val="20"/>
          <w:szCs w:val="20"/>
          <w:lang w:val="fr-CA"/>
        </w:rPr>
        <w:t>peut</w:t>
      </w:r>
      <w:r w:rsidR="00625E01" w:rsidRPr="00AF78C7">
        <w:rPr>
          <w:sz w:val="20"/>
          <w:szCs w:val="20"/>
          <w:lang w:val="fr-CA"/>
        </w:rPr>
        <w:t>-êt</w:t>
      </w:r>
      <w:r w:rsidRPr="00AF78C7">
        <w:rPr>
          <w:sz w:val="20"/>
          <w:szCs w:val="20"/>
          <w:lang w:val="fr-CA"/>
        </w:rPr>
        <w:t>re</w:t>
      </w:r>
      <w:r w:rsidR="00625E01" w:rsidRPr="00AF78C7">
        <w:rPr>
          <w:sz w:val="20"/>
          <w:szCs w:val="20"/>
          <w:lang w:val="fr-CA"/>
        </w:rPr>
        <w:t xml:space="preserve"> </w:t>
      </w:r>
      <w:r w:rsidRPr="00AF78C7">
        <w:rPr>
          <w:sz w:val="20"/>
          <w:szCs w:val="20"/>
          <w:lang w:val="fr-CA"/>
        </w:rPr>
        <w:t>de</w:t>
      </w:r>
      <w:r w:rsidR="00625E01" w:rsidRPr="00AF78C7">
        <w:rPr>
          <w:sz w:val="20"/>
          <w:szCs w:val="20"/>
          <w:lang w:val="fr-CA"/>
        </w:rPr>
        <w:t xml:space="preserve"> </w:t>
      </w:r>
      <w:r w:rsidRPr="00AF78C7">
        <w:rPr>
          <w:sz w:val="20"/>
          <w:szCs w:val="20"/>
          <w:lang w:val="fr-CA"/>
        </w:rPr>
        <w:t>votre</w:t>
      </w:r>
      <w:r w:rsidR="00625E01" w:rsidRPr="00AF78C7">
        <w:rPr>
          <w:sz w:val="20"/>
          <w:szCs w:val="20"/>
          <w:lang w:val="fr-CA"/>
        </w:rPr>
        <w:t xml:space="preserve"> </w:t>
      </w:r>
      <w:r w:rsidRPr="00AF78C7">
        <w:rPr>
          <w:sz w:val="20"/>
          <w:szCs w:val="20"/>
          <w:lang w:val="fr-CA"/>
        </w:rPr>
        <w:t>derni</w:t>
      </w:r>
      <w:r w:rsidR="00625E01" w:rsidRPr="00AF78C7">
        <w:rPr>
          <w:sz w:val="20"/>
          <w:szCs w:val="20"/>
          <w:lang w:val="fr-CA"/>
        </w:rPr>
        <w:t>è</w:t>
      </w:r>
      <w:r w:rsidRPr="00AF78C7">
        <w:rPr>
          <w:sz w:val="20"/>
          <w:szCs w:val="20"/>
          <w:lang w:val="fr-CA"/>
        </w:rPr>
        <w:t>re</w:t>
      </w:r>
      <w:r w:rsidR="00625E01" w:rsidRPr="00AF78C7">
        <w:rPr>
          <w:sz w:val="20"/>
          <w:szCs w:val="20"/>
          <w:lang w:val="fr-CA"/>
        </w:rPr>
        <w:t xml:space="preserve"> </w:t>
      </w:r>
      <w:r w:rsidRPr="00AF78C7">
        <w:rPr>
          <w:sz w:val="20"/>
          <w:szCs w:val="20"/>
          <w:lang w:val="fr-CA"/>
        </w:rPr>
        <w:t>chance</w:t>
      </w:r>
      <w:r w:rsidR="00625E01" w:rsidRPr="00AF78C7">
        <w:rPr>
          <w:sz w:val="20"/>
          <w:szCs w:val="20"/>
          <w:lang w:val="fr-CA"/>
        </w:rPr>
        <w:t xml:space="preserve"> </w:t>
      </w:r>
      <w:r w:rsidRPr="00AF78C7">
        <w:rPr>
          <w:sz w:val="20"/>
          <w:szCs w:val="20"/>
          <w:lang w:val="fr-CA"/>
        </w:rPr>
        <w:t>de</w:t>
      </w:r>
      <w:r w:rsidR="00625E01" w:rsidRPr="00AF78C7">
        <w:rPr>
          <w:sz w:val="20"/>
          <w:szCs w:val="20"/>
          <w:lang w:val="fr-CA"/>
        </w:rPr>
        <w:t xml:space="preserve"> </w:t>
      </w:r>
      <w:r w:rsidRPr="00AF78C7">
        <w:rPr>
          <w:sz w:val="20"/>
          <w:szCs w:val="20"/>
          <w:lang w:val="fr-CA"/>
        </w:rPr>
        <w:t>partir</w:t>
      </w:r>
      <w:r w:rsidR="00625E01" w:rsidRPr="00AF78C7">
        <w:rPr>
          <w:sz w:val="20"/>
          <w:szCs w:val="20"/>
          <w:lang w:val="fr-CA"/>
        </w:rPr>
        <w:t xml:space="preserve"> </w:t>
      </w:r>
      <w:r w:rsidRPr="00AF78C7">
        <w:rPr>
          <w:sz w:val="20"/>
          <w:szCs w:val="20"/>
          <w:lang w:val="fr-CA"/>
        </w:rPr>
        <w:t>en</w:t>
      </w:r>
      <w:r w:rsidR="00625E01" w:rsidRPr="00AF78C7">
        <w:rPr>
          <w:sz w:val="20"/>
          <w:szCs w:val="20"/>
          <w:lang w:val="fr-CA"/>
        </w:rPr>
        <w:t xml:space="preserve"> </w:t>
      </w:r>
      <w:r w:rsidRPr="00AF78C7">
        <w:rPr>
          <w:sz w:val="20"/>
          <w:szCs w:val="20"/>
          <w:lang w:val="fr-CA"/>
        </w:rPr>
        <w:t>premi</w:t>
      </w:r>
      <w:r w:rsidR="00625E01" w:rsidRPr="00AF78C7">
        <w:rPr>
          <w:sz w:val="20"/>
          <w:szCs w:val="20"/>
          <w:lang w:val="fr-CA"/>
        </w:rPr>
        <w:t>è</w:t>
      </w:r>
      <w:r w:rsidRPr="00AF78C7">
        <w:rPr>
          <w:sz w:val="20"/>
          <w:szCs w:val="20"/>
          <w:lang w:val="fr-CA"/>
        </w:rPr>
        <w:t xml:space="preserve">re classe </w:t>
      </w:r>
    </w:p>
    <w:p w14:paraId="149E8D42" w14:textId="77777777" w:rsidR="0066290D" w:rsidRDefault="0066290D" w:rsidP="006A0A34">
      <w:pPr>
        <w:rPr>
          <w:lang w:val="fr-CA"/>
        </w:rPr>
      </w:pPr>
    </w:p>
    <w:p w14:paraId="5D7D2391" w14:textId="77777777" w:rsidR="006A0A34" w:rsidRPr="00AF78C7" w:rsidRDefault="006A0A34" w:rsidP="006C34CF">
      <w:pPr>
        <w:numPr>
          <w:ilvl w:val="0"/>
          <w:numId w:val="120"/>
        </w:numPr>
        <w:rPr>
          <w:sz w:val="20"/>
          <w:szCs w:val="20"/>
          <w:lang w:val="fr-CA"/>
        </w:rPr>
      </w:pPr>
      <w:r w:rsidRPr="00AF78C7">
        <w:rPr>
          <w:i/>
          <w:iCs/>
          <w:sz w:val="20"/>
          <w:szCs w:val="20"/>
          <w:lang w:val="fr-CA"/>
        </w:rPr>
        <w:t>Si vous receviez soudainement 20 000 $ pour investir, que feriez</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r w:rsidRPr="00AF78C7">
        <w:rPr>
          <w:sz w:val="20"/>
          <w:szCs w:val="20"/>
          <w:lang w:val="fr-CA"/>
        </w:rPr>
        <w:t xml:space="preserve">? </w:t>
      </w:r>
    </w:p>
    <w:p w14:paraId="22A15859" w14:textId="77777777" w:rsidR="00AE1E45" w:rsidRPr="00AF78C7" w:rsidRDefault="00AE1E45" w:rsidP="00625E01">
      <w:pPr>
        <w:ind w:left="1080"/>
        <w:rPr>
          <w:sz w:val="20"/>
          <w:szCs w:val="20"/>
          <w:lang w:val="fr-CA"/>
        </w:rPr>
      </w:pPr>
    </w:p>
    <w:p w14:paraId="24CA5EB3" w14:textId="2641E6FC" w:rsidR="006A0A34" w:rsidRPr="00AF78C7" w:rsidRDefault="006A0A34" w:rsidP="00625E01">
      <w:pPr>
        <w:ind w:left="1080"/>
        <w:rPr>
          <w:sz w:val="20"/>
          <w:szCs w:val="20"/>
          <w:lang w:val="fr-CA"/>
        </w:rPr>
      </w:pPr>
      <w:r w:rsidRPr="00AF78C7">
        <w:rPr>
          <w:sz w:val="20"/>
          <w:szCs w:val="20"/>
          <w:lang w:val="fr-CA"/>
        </w:rPr>
        <w:t>a)  Vous</w:t>
      </w:r>
      <w:r w:rsidR="00625E01" w:rsidRPr="00AF78C7">
        <w:rPr>
          <w:sz w:val="20"/>
          <w:szCs w:val="20"/>
          <w:lang w:val="fr-CA"/>
        </w:rPr>
        <w:t xml:space="preserve"> </w:t>
      </w:r>
      <w:r w:rsidRPr="00AF78C7">
        <w:rPr>
          <w:sz w:val="20"/>
          <w:szCs w:val="20"/>
          <w:lang w:val="fr-CA"/>
        </w:rPr>
        <w:t>les</w:t>
      </w:r>
      <w:r w:rsidR="00625E01" w:rsidRPr="00AF78C7">
        <w:rPr>
          <w:sz w:val="20"/>
          <w:szCs w:val="20"/>
          <w:lang w:val="fr-CA"/>
        </w:rPr>
        <w:t xml:space="preserve"> </w:t>
      </w:r>
      <w:r w:rsidRPr="00AF78C7">
        <w:rPr>
          <w:sz w:val="20"/>
          <w:szCs w:val="20"/>
          <w:lang w:val="fr-CA"/>
        </w:rPr>
        <w:t>d</w:t>
      </w:r>
      <w:r w:rsidR="00625E01" w:rsidRPr="00AF78C7">
        <w:rPr>
          <w:sz w:val="20"/>
          <w:szCs w:val="20"/>
          <w:lang w:val="fr-CA"/>
        </w:rPr>
        <w:t>é</w:t>
      </w:r>
      <w:r w:rsidRPr="00AF78C7">
        <w:rPr>
          <w:sz w:val="20"/>
          <w:szCs w:val="20"/>
          <w:lang w:val="fr-CA"/>
        </w:rPr>
        <w:t>poseriez</w:t>
      </w:r>
      <w:r w:rsidR="00625E01" w:rsidRPr="00AF78C7">
        <w:rPr>
          <w:sz w:val="20"/>
          <w:szCs w:val="20"/>
          <w:lang w:val="fr-CA"/>
        </w:rPr>
        <w:t xml:space="preserve"> </w:t>
      </w:r>
      <w:r w:rsidRPr="00AF78C7">
        <w:rPr>
          <w:sz w:val="20"/>
          <w:szCs w:val="20"/>
          <w:lang w:val="fr-CA"/>
        </w:rPr>
        <w:t>dans</w:t>
      </w:r>
      <w:r w:rsidR="00625E01" w:rsidRPr="00AF78C7">
        <w:rPr>
          <w:sz w:val="20"/>
          <w:szCs w:val="20"/>
          <w:lang w:val="fr-CA"/>
        </w:rPr>
        <w:t xml:space="preserve"> </w:t>
      </w:r>
      <w:r w:rsidRPr="00AF78C7">
        <w:rPr>
          <w:sz w:val="20"/>
          <w:szCs w:val="20"/>
          <w:lang w:val="fr-CA"/>
        </w:rPr>
        <w:t>un</w:t>
      </w:r>
      <w:r w:rsidR="00625E01" w:rsidRPr="00AF78C7">
        <w:rPr>
          <w:sz w:val="20"/>
          <w:szCs w:val="20"/>
          <w:lang w:val="fr-CA"/>
        </w:rPr>
        <w:t xml:space="preserve"> </w:t>
      </w:r>
      <w:r w:rsidRPr="00AF78C7">
        <w:rPr>
          <w:sz w:val="20"/>
          <w:szCs w:val="20"/>
          <w:lang w:val="fr-CA"/>
        </w:rPr>
        <w:t>compte</w:t>
      </w:r>
      <w:r w:rsidR="00625E01" w:rsidRPr="00AF78C7">
        <w:rPr>
          <w:sz w:val="20"/>
          <w:szCs w:val="20"/>
          <w:lang w:val="fr-CA"/>
        </w:rPr>
        <w:t xml:space="preserve"> </w:t>
      </w:r>
      <w:r w:rsidRPr="00AF78C7">
        <w:rPr>
          <w:sz w:val="20"/>
          <w:szCs w:val="20"/>
          <w:lang w:val="fr-CA"/>
        </w:rPr>
        <w:t>bancaire</w:t>
      </w:r>
      <w:r w:rsidR="00625E01" w:rsidRPr="00AF78C7">
        <w:rPr>
          <w:sz w:val="20"/>
          <w:szCs w:val="20"/>
          <w:lang w:val="fr-CA"/>
        </w:rPr>
        <w:t xml:space="preserve"> </w:t>
      </w:r>
      <w:r w:rsidRPr="00AF78C7">
        <w:rPr>
          <w:sz w:val="20"/>
          <w:szCs w:val="20"/>
          <w:lang w:val="fr-CA"/>
        </w:rPr>
        <w:t>ou</w:t>
      </w:r>
      <w:r w:rsidR="00625E01" w:rsidRPr="00AF78C7">
        <w:rPr>
          <w:sz w:val="20"/>
          <w:szCs w:val="20"/>
          <w:lang w:val="fr-CA"/>
        </w:rPr>
        <w:t xml:space="preserve"> </w:t>
      </w:r>
      <w:r w:rsidRPr="00AF78C7">
        <w:rPr>
          <w:sz w:val="20"/>
          <w:szCs w:val="20"/>
          <w:lang w:val="fr-CA"/>
        </w:rPr>
        <w:t>un</w:t>
      </w:r>
      <w:r w:rsidR="00625E01" w:rsidRPr="00AF78C7">
        <w:rPr>
          <w:sz w:val="20"/>
          <w:szCs w:val="20"/>
          <w:lang w:val="fr-CA"/>
        </w:rPr>
        <w:t xml:space="preserve"> </w:t>
      </w:r>
      <w:r w:rsidRPr="00AF78C7">
        <w:rPr>
          <w:sz w:val="20"/>
          <w:szCs w:val="20"/>
          <w:lang w:val="fr-CA"/>
        </w:rPr>
        <w:t>compte</w:t>
      </w:r>
      <w:r w:rsidR="00625E01" w:rsidRPr="00AF78C7">
        <w:rPr>
          <w:sz w:val="20"/>
          <w:szCs w:val="20"/>
          <w:lang w:val="fr-CA"/>
        </w:rPr>
        <w:t xml:space="preserve"> </w:t>
      </w:r>
      <w:r w:rsidRPr="00AF78C7">
        <w:rPr>
          <w:sz w:val="20"/>
          <w:szCs w:val="20"/>
          <w:lang w:val="fr-CA"/>
        </w:rPr>
        <w:t>du</w:t>
      </w:r>
      <w:r w:rsidR="00625E01" w:rsidRPr="00AF78C7">
        <w:rPr>
          <w:sz w:val="20"/>
          <w:szCs w:val="20"/>
          <w:lang w:val="fr-CA"/>
        </w:rPr>
        <w:t xml:space="preserve"> </w:t>
      </w:r>
      <w:r w:rsidRPr="00AF78C7">
        <w:rPr>
          <w:sz w:val="20"/>
          <w:szCs w:val="20"/>
          <w:lang w:val="fr-CA"/>
        </w:rPr>
        <w:t>march</w:t>
      </w:r>
      <w:r w:rsidR="00625E01" w:rsidRPr="00AF78C7">
        <w:rPr>
          <w:sz w:val="20"/>
          <w:szCs w:val="20"/>
          <w:lang w:val="fr-CA"/>
        </w:rPr>
        <w:t xml:space="preserve">é </w:t>
      </w:r>
      <w:r w:rsidRPr="00AF78C7">
        <w:rPr>
          <w:sz w:val="20"/>
          <w:szCs w:val="20"/>
          <w:lang w:val="fr-CA"/>
        </w:rPr>
        <w:t>mon</w:t>
      </w:r>
      <w:r w:rsidR="00625E01" w:rsidRPr="00AF78C7">
        <w:rPr>
          <w:sz w:val="20"/>
          <w:szCs w:val="20"/>
          <w:lang w:val="fr-CA"/>
        </w:rPr>
        <w:t>é</w:t>
      </w:r>
      <w:r w:rsidRPr="00AF78C7">
        <w:rPr>
          <w:sz w:val="20"/>
          <w:szCs w:val="20"/>
          <w:lang w:val="fr-CA"/>
        </w:rPr>
        <w:t xml:space="preserve">taire? </w:t>
      </w:r>
    </w:p>
    <w:p w14:paraId="029FB786" w14:textId="4B58394A" w:rsidR="006A0A34" w:rsidRPr="00AF78C7" w:rsidRDefault="006A0A34" w:rsidP="00625E01">
      <w:pPr>
        <w:ind w:left="1080"/>
        <w:rPr>
          <w:sz w:val="20"/>
          <w:szCs w:val="20"/>
          <w:lang w:val="fr-CA"/>
        </w:rPr>
      </w:pPr>
      <w:r w:rsidRPr="00AF78C7">
        <w:rPr>
          <w:sz w:val="20"/>
          <w:szCs w:val="20"/>
          <w:lang w:val="fr-CA"/>
        </w:rPr>
        <w:t>b)  Vous</w:t>
      </w:r>
      <w:r w:rsidR="00625E01" w:rsidRPr="00AF78C7">
        <w:rPr>
          <w:sz w:val="20"/>
          <w:szCs w:val="20"/>
          <w:lang w:val="fr-CA"/>
        </w:rPr>
        <w:t xml:space="preserve"> </w:t>
      </w:r>
      <w:r w:rsidRPr="00AF78C7">
        <w:rPr>
          <w:sz w:val="20"/>
          <w:szCs w:val="20"/>
          <w:lang w:val="fr-CA"/>
        </w:rPr>
        <w:t>les</w:t>
      </w:r>
      <w:r w:rsidR="00625E01" w:rsidRPr="00AF78C7">
        <w:rPr>
          <w:sz w:val="20"/>
          <w:szCs w:val="20"/>
          <w:lang w:val="fr-CA"/>
        </w:rPr>
        <w:t xml:space="preserve"> </w:t>
      </w:r>
      <w:r w:rsidRPr="00AF78C7">
        <w:rPr>
          <w:sz w:val="20"/>
          <w:szCs w:val="20"/>
          <w:lang w:val="fr-CA"/>
        </w:rPr>
        <w:t>investiriez</w:t>
      </w:r>
      <w:r w:rsidR="00625E01" w:rsidRPr="00AF78C7">
        <w:rPr>
          <w:sz w:val="20"/>
          <w:szCs w:val="20"/>
          <w:lang w:val="fr-CA"/>
        </w:rPr>
        <w:t xml:space="preserve"> </w:t>
      </w:r>
      <w:r w:rsidRPr="00AF78C7">
        <w:rPr>
          <w:sz w:val="20"/>
          <w:szCs w:val="20"/>
          <w:lang w:val="fr-CA"/>
        </w:rPr>
        <w:t>dans</w:t>
      </w:r>
      <w:r w:rsidR="00625E01" w:rsidRPr="00AF78C7">
        <w:rPr>
          <w:sz w:val="20"/>
          <w:szCs w:val="20"/>
          <w:lang w:val="fr-CA"/>
        </w:rPr>
        <w:t xml:space="preserve"> </w:t>
      </w:r>
      <w:r w:rsidRPr="00AF78C7">
        <w:rPr>
          <w:sz w:val="20"/>
          <w:szCs w:val="20"/>
          <w:lang w:val="fr-CA"/>
        </w:rPr>
        <w:t>des</w:t>
      </w:r>
      <w:r w:rsidR="00625E01" w:rsidRPr="00AF78C7">
        <w:rPr>
          <w:sz w:val="20"/>
          <w:szCs w:val="20"/>
          <w:lang w:val="fr-CA"/>
        </w:rPr>
        <w:t xml:space="preserve"> </w:t>
      </w:r>
      <w:r w:rsidRPr="00AF78C7">
        <w:rPr>
          <w:sz w:val="20"/>
          <w:szCs w:val="20"/>
          <w:lang w:val="fr-CA"/>
        </w:rPr>
        <w:t>obligations</w:t>
      </w:r>
      <w:r w:rsidR="00625E01" w:rsidRPr="00AF78C7">
        <w:rPr>
          <w:sz w:val="20"/>
          <w:szCs w:val="20"/>
          <w:lang w:val="fr-CA"/>
        </w:rPr>
        <w:t xml:space="preserve"> </w:t>
      </w:r>
      <w:r w:rsidRPr="00AF78C7">
        <w:rPr>
          <w:sz w:val="20"/>
          <w:szCs w:val="20"/>
          <w:lang w:val="fr-CA"/>
        </w:rPr>
        <w:t>de</w:t>
      </w:r>
      <w:r w:rsidR="00625E01" w:rsidRPr="00AF78C7">
        <w:rPr>
          <w:sz w:val="20"/>
          <w:szCs w:val="20"/>
          <w:lang w:val="fr-CA"/>
        </w:rPr>
        <w:t xml:space="preserve"> </w:t>
      </w:r>
      <w:r w:rsidRPr="00AF78C7">
        <w:rPr>
          <w:sz w:val="20"/>
          <w:szCs w:val="20"/>
          <w:lang w:val="fr-CA"/>
        </w:rPr>
        <w:t>premier</w:t>
      </w:r>
      <w:r w:rsidR="00625E01" w:rsidRPr="00AF78C7">
        <w:rPr>
          <w:sz w:val="20"/>
          <w:szCs w:val="20"/>
          <w:lang w:val="fr-CA"/>
        </w:rPr>
        <w:t xml:space="preserve"> </w:t>
      </w:r>
      <w:r w:rsidRPr="00AF78C7">
        <w:rPr>
          <w:sz w:val="20"/>
          <w:szCs w:val="20"/>
          <w:lang w:val="fr-CA"/>
        </w:rPr>
        <w:t>rang</w:t>
      </w:r>
      <w:r w:rsidR="00625E01" w:rsidRPr="00AF78C7">
        <w:rPr>
          <w:sz w:val="20"/>
          <w:szCs w:val="20"/>
          <w:lang w:val="fr-CA"/>
        </w:rPr>
        <w:t xml:space="preserve"> </w:t>
      </w:r>
      <w:r w:rsidRPr="00AF78C7">
        <w:rPr>
          <w:sz w:val="20"/>
          <w:szCs w:val="20"/>
          <w:lang w:val="fr-CA"/>
        </w:rPr>
        <w:t>ou</w:t>
      </w:r>
      <w:r w:rsidR="00625E01" w:rsidRPr="00AF78C7">
        <w:rPr>
          <w:sz w:val="20"/>
          <w:szCs w:val="20"/>
          <w:lang w:val="fr-CA"/>
        </w:rPr>
        <w:t xml:space="preserve"> </w:t>
      </w:r>
      <w:r w:rsidRPr="00AF78C7">
        <w:rPr>
          <w:sz w:val="20"/>
          <w:szCs w:val="20"/>
          <w:lang w:val="fr-CA"/>
        </w:rPr>
        <w:t>dans</w:t>
      </w:r>
      <w:r w:rsidR="00625E01" w:rsidRPr="00AF78C7">
        <w:rPr>
          <w:sz w:val="20"/>
          <w:szCs w:val="20"/>
          <w:lang w:val="fr-CA"/>
        </w:rPr>
        <w:t xml:space="preserve"> </w:t>
      </w:r>
      <w:r w:rsidRPr="00AF78C7">
        <w:rPr>
          <w:sz w:val="20"/>
          <w:szCs w:val="20"/>
          <w:lang w:val="fr-CA"/>
        </w:rPr>
        <w:t>des</w:t>
      </w:r>
      <w:r w:rsidR="00625E01" w:rsidRPr="00AF78C7">
        <w:rPr>
          <w:sz w:val="20"/>
          <w:szCs w:val="20"/>
          <w:lang w:val="fr-CA"/>
        </w:rPr>
        <w:t xml:space="preserve"> </w:t>
      </w:r>
      <w:r w:rsidRPr="00AF78C7">
        <w:rPr>
          <w:sz w:val="20"/>
          <w:szCs w:val="20"/>
          <w:lang w:val="fr-CA"/>
        </w:rPr>
        <w:t>fonds</w:t>
      </w:r>
      <w:r w:rsidR="00625E01" w:rsidRPr="00AF78C7">
        <w:rPr>
          <w:sz w:val="20"/>
          <w:szCs w:val="20"/>
          <w:lang w:val="fr-CA"/>
        </w:rPr>
        <w:t xml:space="preserve"> </w:t>
      </w:r>
      <w:r w:rsidRPr="00AF78C7">
        <w:rPr>
          <w:sz w:val="20"/>
          <w:szCs w:val="20"/>
          <w:lang w:val="fr-CA"/>
        </w:rPr>
        <w:t>communs</w:t>
      </w:r>
      <w:r w:rsidR="00625E01" w:rsidRPr="00AF78C7">
        <w:rPr>
          <w:sz w:val="20"/>
          <w:szCs w:val="20"/>
          <w:lang w:val="fr-CA"/>
        </w:rPr>
        <w:t xml:space="preserve"> </w:t>
      </w:r>
      <w:r w:rsidRPr="00AF78C7">
        <w:rPr>
          <w:sz w:val="20"/>
          <w:szCs w:val="20"/>
          <w:lang w:val="fr-CA"/>
        </w:rPr>
        <w:t xml:space="preserve">obligataires </w:t>
      </w:r>
    </w:p>
    <w:p w14:paraId="44502F86" w14:textId="77777777" w:rsidR="006A0A34" w:rsidRPr="00AF78C7" w:rsidRDefault="006A0A34" w:rsidP="00625E01">
      <w:pPr>
        <w:ind w:left="1080"/>
        <w:rPr>
          <w:sz w:val="20"/>
          <w:szCs w:val="20"/>
          <w:lang w:val="fr-CA"/>
        </w:rPr>
      </w:pPr>
      <w:r w:rsidRPr="00AF78C7">
        <w:rPr>
          <w:sz w:val="20"/>
          <w:szCs w:val="20"/>
          <w:lang w:val="fr-CA"/>
        </w:rPr>
        <w:t xml:space="preserve">c)  Vous les placeriez dans des actions ou dans des fonds communs </w:t>
      </w:r>
    </w:p>
    <w:p w14:paraId="3A81602E" w14:textId="77777777" w:rsidR="00AF78C7" w:rsidRDefault="00AF78C7" w:rsidP="008B2EED">
      <w:pPr>
        <w:ind w:left="1080"/>
        <w:rPr>
          <w:sz w:val="22"/>
          <w:szCs w:val="22"/>
          <w:lang w:val="fr-CA"/>
        </w:rPr>
      </w:pPr>
    </w:p>
    <w:p w14:paraId="54BF2DFC" w14:textId="77777777" w:rsidR="005242B9" w:rsidRDefault="005242B9" w:rsidP="008B2EED">
      <w:pPr>
        <w:ind w:left="1080"/>
        <w:rPr>
          <w:sz w:val="22"/>
          <w:szCs w:val="22"/>
          <w:lang w:val="fr-CA"/>
        </w:rPr>
      </w:pPr>
    </w:p>
    <w:p w14:paraId="45541016" w14:textId="77777777" w:rsidR="005242B9" w:rsidRPr="0066290D" w:rsidRDefault="005242B9" w:rsidP="008B2EED">
      <w:pPr>
        <w:ind w:left="1080"/>
        <w:rPr>
          <w:sz w:val="22"/>
          <w:szCs w:val="22"/>
          <w:lang w:val="fr-CA"/>
        </w:rPr>
      </w:pPr>
    </w:p>
    <w:p w14:paraId="533C0917" w14:textId="3846A464" w:rsidR="006A0A34" w:rsidRPr="00AF78C7" w:rsidRDefault="006A0A34" w:rsidP="006C34CF">
      <w:pPr>
        <w:numPr>
          <w:ilvl w:val="0"/>
          <w:numId w:val="120"/>
        </w:numPr>
        <w:jc w:val="both"/>
        <w:rPr>
          <w:sz w:val="20"/>
          <w:szCs w:val="20"/>
          <w:lang w:val="fr-CA"/>
        </w:rPr>
      </w:pPr>
      <w:r w:rsidRPr="00AF78C7">
        <w:rPr>
          <w:i/>
          <w:iCs/>
          <w:sz w:val="20"/>
          <w:szCs w:val="20"/>
          <w:lang w:val="fr-CA"/>
        </w:rPr>
        <w:lastRenderedPageBreak/>
        <w:t xml:space="preserve">Relativement </w:t>
      </w:r>
      <w:r w:rsidR="00625E01" w:rsidRPr="00AF78C7">
        <w:rPr>
          <w:i/>
          <w:iCs/>
          <w:sz w:val="20"/>
          <w:szCs w:val="20"/>
          <w:lang w:val="fr-CA"/>
        </w:rPr>
        <w:t>à</w:t>
      </w:r>
      <w:r w:rsidRPr="00AF78C7">
        <w:rPr>
          <w:i/>
          <w:iCs/>
          <w:sz w:val="20"/>
          <w:szCs w:val="20"/>
          <w:lang w:val="fr-CA"/>
        </w:rPr>
        <w:t xml:space="preserve"> votre exp</w:t>
      </w:r>
      <w:r w:rsidR="00625E01" w:rsidRPr="00AF78C7">
        <w:rPr>
          <w:i/>
          <w:iCs/>
          <w:sz w:val="20"/>
          <w:szCs w:val="20"/>
          <w:lang w:val="fr-CA"/>
        </w:rPr>
        <w:t>é</w:t>
      </w:r>
      <w:r w:rsidRPr="00AF78C7">
        <w:rPr>
          <w:i/>
          <w:iCs/>
          <w:sz w:val="20"/>
          <w:szCs w:val="20"/>
          <w:lang w:val="fr-CA"/>
        </w:rPr>
        <w:t>rience, jusqu'</w:t>
      </w:r>
      <w:r w:rsidR="00625E01" w:rsidRPr="00AF78C7">
        <w:rPr>
          <w:i/>
          <w:iCs/>
          <w:sz w:val="20"/>
          <w:szCs w:val="20"/>
          <w:lang w:val="fr-CA"/>
        </w:rPr>
        <w:t>à</w:t>
      </w:r>
      <w:r w:rsidRPr="00AF78C7">
        <w:rPr>
          <w:i/>
          <w:iCs/>
          <w:sz w:val="20"/>
          <w:szCs w:val="20"/>
          <w:lang w:val="fr-CA"/>
        </w:rPr>
        <w:t xml:space="preserve"> quel point </w:t>
      </w:r>
      <w:r w:rsidR="00625E01" w:rsidRPr="00AF78C7">
        <w:rPr>
          <w:i/>
          <w:iCs/>
          <w:sz w:val="20"/>
          <w:szCs w:val="20"/>
          <w:lang w:val="fr-CA"/>
        </w:rPr>
        <w:t>ê</w:t>
      </w:r>
      <w:r w:rsidRPr="00AF78C7">
        <w:rPr>
          <w:i/>
          <w:iCs/>
          <w:sz w:val="20"/>
          <w:szCs w:val="20"/>
          <w:lang w:val="fr-CA"/>
        </w:rPr>
        <w:t>tes</w:t>
      </w:r>
      <w:r w:rsidRPr="00AF78C7">
        <w:rPr>
          <w:rFonts w:ascii="American Typewriter Light" w:hAnsi="American Typewriter Light" w:cs="American Typewriter Light"/>
          <w:i/>
          <w:iCs/>
          <w:sz w:val="20"/>
          <w:szCs w:val="20"/>
          <w:lang w:val="fr-CA"/>
        </w:rPr>
        <w:t>‐</w:t>
      </w:r>
      <w:r w:rsidRPr="00AF78C7">
        <w:rPr>
          <w:i/>
          <w:iCs/>
          <w:sz w:val="20"/>
          <w:szCs w:val="20"/>
          <w:lang w:val="fr-CA"/>
        </w:rPr>
        <w:t xml:space="preserve">vous </w:t>
      </w:r>
      <w:r w:rsidR="00625E01" w:rsidRPr="00AF78C7">
        <w:rPr>
          <w:i/>
          <w:iCs/>
          <w:sz w:val="20"/>
          <w:szCs w:val="20"/>
          <w:lang w:val="fr-CA"/>
        </w:rPr>
        <w:t>à</w:t>
      </w:r>
      <w:r w:rsidRPr="00AF78C7">
        <w:rPr>
          <w:i/>
          <w:iCs/>
          <w:sz w:val="20"/>
          <w:szCs w:val="20"/>
          <w:lang w:val="fr-CA"/>
        </w:rPr>
        <w:t xml:space="preserve"> l'aise d'investir dans des titres boursiers ou des fonds communs</w:t>
      </w:r>
      <w:r w:rsidRPr="00AF78C7">
        <w:rPr>
          <w:sz w:val="20"/>
          <w:szCs w:val="20"/>
          <w:lang w:val="fr-CA"/>
        </w:rPr>
        <w:t xml:space="preserve">? </w:t>
      </w:r>
    </w:p>
    <w:p w14:paraId="22C71A03" w14:textId="77777777" w:rsidR="00AE1E45" w:rsidRPr="00AF78C7" w:rsidRDefault="00AE1E45" w:rsidP="00625E01">
      <w:pPr>
        <w:ind w:left="1080"/>
        <w:rPr>
          <w:sz w:val="20"/>
          <w:szCs w:val="20"/>
          <w:lang w:val="fr-CA"/>
        </w:rPr>
      </w:pPr>
    </w:p>
    <w:p w14:paraId="413586EE" w14:textId="7DA3A18C" w:rsidR="006A0A34" w:rsidRPr="00AF78C7" w:rsidRDefault="006A0A34" w:rsidP="00625E01">
      <w:pPr>
        <w:ind w:left="1080"/>
        <w:rPr>
          <w:sz w:val="20"/>
          <w:szCs w:val="20"/>
          <w:lang w:val="fr-CA"/>
        </w:rPr>
      </w:pPr>
      <w:r w:rsidRPr="00AF78C7">
        <w:rPr>
          <w:sz w:val="20"/>
          <w:szCs w:val="20"/>
          <w:lang w:val="fr-CA"/>
        </w:rPr>
        <w:t>a)  Pas</w:t>
      </w:r>
      <w:r w:rsidR="00625E01" w:rsidRPr="00AF78C7">
        <w:rPr>
          <w:sz w:val="20"/>
          <w:szCs w:val="20"/>
          <w:lang w:val="fr-CA"/>
        </w:rPr>
        <w:t xml:space="preserve"> </w:t>
      </w:r>
      <w:r w:rsidRPr="00AF78C7">
        <w:rPr>
          <w:sz w:val="20"/>
          <w:szCs w:val="20"/>
          <w:lang w:val="fr-CA"/>
        </w:rPr>
        <w:t>du</w:t>
      </w:r>
      <w:r w:rsidR="00625E01" w:rsidRPr="00AF78C7">
        <w:rPr>
          <w:sz w:val="20"/>
          <w:szCs w:val="20"/>
          <w:lang w:val="fr-CA"/>
        </w:rPr>
        <w:t xml:space="preserve"> </w:t>
      </w:r>
      <w:r w:rsidRPr="00AF78C7">
        <w:rPr>
          <w:sz w:val="20"/>
          <w:szCs w:val="20"/>
          <w:lang w:val="fr-CA"/>
        </w:rPr>
        <w:t>tout</w:t>
      </w:r>
      <w:r w:rsidR="00625E01" w:rsidRPr="00AF78C7">
        <w:rPr>
          <w:sz w:val="20"/>
          <w:szCs w:val="20"/>
          <w:lang w:val="fr-CA"/>
        </w:rPr>
        <w:t xml:space="preserve"> à </w:t>
      </w:r>
      <w:r w:rsidRPr="00AF78C7">
        <w:rPr>
          <w:sz w:val="20"/>
          <w:szCs w:val="20"/>
          <w:lang w:val="fr-CA"/>
        </w:rPr>
        <w:t xml:space="preserve">l'aise </w:t>
      </w:r>
    </w:p>
    <w:p w14:paraId="3D862E8E" w14:textId="1B171CD5" w:rsidR="006A0A34" w:rsidRPr="00AF78C7" w:rsidRDefault="006A0A34" w:rsidP="00625E01">
      <w:pPr>
        <w:ind w:left="1080"/>
        <w:rPr>
          <w:sz w:val="20"/>
          <w:szCs w:val="20"/>
          <w:lang w:val="fr-CA"/>
        </w:rPr>
      </w:pPr>
      <w:r w:rsidRPr="00AF78C7">
        <w:rPr>
          <w:sz w:val="20"/>
          <w:szCs w:val="20"/>
          <w:lang w:val="fr-CA"/>
        </w:rPr>
        <w:t>b)  Plut</w:t>
      </w:r>
      <w:r w:rsidR="00625E01" w:rsidRPr="00AF78C7">
        <w:rPr>
          <w:sz w:val="20"/>
          <w:szCs w:val="20"/>
          <w:lang w:val="fr-CA"/>
        </w:rPr>
        <w:t>ô</w:t>
      </w:r>
      <w:r w:rsidRPr="00AF78C7">
        <w:rPr>
          <w:sz w:val="20"/>
          <w:szCs w:val="20"/>
          <w:lang w:val="fr-CA"/>
        </w:rPr>
        <w:t>t</w:t>
      </w:r>
      <w:r w:rsidR="00625E01" w:rsidRPr="00AF78C7">
        <w:rPr>
          <w:sz w:val="20"/>
          <w:szCs w:val="20"/>
          <w:lang w:val="fr-CA"/>
        </w:rPr>
        <w:t xml:space="preserve"> à </w:t>
      </w:r>
      <w:r w:rsidRPr="00AF78C7">
        <w:rPr>
          <w:sz w:val="20"/>
          <w:szCs w:val="20"/>
          <w:lang w:val="fr-CA"/>
        </w:rPr>
        <w:t xml:space="preserve">l'aise </w:t>
      </w:r>
    </w:p>
    <w:p w14:paraId="5FB4CC1C" w14:textId="5379DBCA" w:rsidR="006A0A34" w:rsidRPr="00AF78C7" w:rsidRDefault="006A0A34" w:rsidP="00625E01">
      <w:pPr>
        <w:ind w:left="1080"/>
        <w:rPr>
          <w:sz w:val="20"/>
          <w:szCs w:val="20"/>
          <w:lang w:val="fr-CA"/>
        </w:rPr>
      </w:pPr>
      <w:r w:rsidRPr="00AF78C7">
        <w:rPr>
          <w:sz w:val="20"/>
          <w:szCs w:val="20"/>
          <w:lang w:val="fr-CA"/>
        </w:rPr>
        <w:t>c)  Tr</w:t>
      </w:r>
      <w:r w:rsidR="00625E01" w:rsidRPr="00AF78C7">
        <w:rPr>
          <w:sz w:val="20"/>
          <w:szCs w:val="20"/>
          <w:lang w:val="fr-CA"/>
        </w:rPr>
        <w:t>è</w:t>
      </w:r>
      <w:r w:rsidRPr="00AF78C7">
        <w:rPr>
          <w:sz w:val="20"/>
          <w:szCs w:val="20"/>
          <w:lang w:val="fr-CA"/>
        </w:rPr>
        <w:t xml:space="preserve">s à l'aise </w:t>
      </w:r>
    </w:p>
    <w:p w14:paraId="36CB6713" w14:textId="77777777" w:rsidR="008B2EED" w:rsidRPr="00AF78C7" w:rsidRDefault="008B2EED" w:rsidP="008B2EED">
      <w:pPr>
        <w:ind w:left="1080"/>
        <w:rPr>
          <w:sz w:val="20"/>
          <w:szCs w:val="20"/>
          <w:lang w:val="fr-CA"/>
        </w:rPr>
      </w:pPr>
    </w:p>
    <w:p w14:paraId="04F1B3D8" w14:textId="4366546B" w:rsidR="00625E01" w:rsidRPr="00AF78C7" w:rsidRDefault="006A0A34" w:rsidP="006C34CF">
      <w:pPr>
        <w:numPr>
          <w:ilvl w:val="0"/>
          <w:numId w:val="120"/>
        </w:numPr>
        <w:rPr>
          <w:sz w:val="20"/>
          <w:szCs w:val="20"/>
          <w:lang w:val="fr-CA"/>
        </w:rPr>
      </w:pPr>
      <w:r w:rsidRPr="00AF78C7">
        <w:rPr>
          <w:i/>
          <w:iCs/>
          <w:sz w:val="20"/>
          <w:szCs w:val="20"/>
          <w:lang w:val="fr-CA"/>
        </w:rPr>
        <w:t>Quand vous pensez au mot « risque », lequel des mots suivants vous vient imm</w:t>
      </w:r>
      <w:r w:rsidR="00625E01" w:rsidRPr="00AF78C7">
        <w:rPr>
          <w:i/>
          <w:iCs/>
          <w:sz w:val="20"/>
          <w:szCs w:val="20"/>
          <w:lang w:val="fr-CA"/>
        </w:rPr>
        <w:t>é</w:t>
      </w:r>
      <w:r w:rsidRPr="00AF78C7">
        <w:rPr>
          <w:i/>
          <w:iCs/>
          <w:sz w:val="20"/>
          <w:szCs w:val="20"/>
          <w:lang w:val="fr-CA"/>
        </w:rPr>
        <w:t>diatement en t</w:t>
      </w:r>
      <w:r w:rsidR="00625E01" w:rsidRPr="00AF78C7">
        <w:rPr>
          <w:i/>
          <w:iCs/>
          <w:sz w:val="20"/>
          <w:szCs w:val="20"/>
          <w:lang w:val="fr-CA"/>
        </w:rPr>
        <w:t>ê</w:t>
      </w:r>
      <w:r w:rsidRPr="00AF78C7">
        <w:rPr>
          <w:i/>
          <w:iCs/>
          <w:sz w:val="20"/>
          <w:szCs w:val="20"/>
          <w:lang w:val="fr-CA"/>
        </w:rPr>
        <w:t>te</w:t>
      </w:r>
      <w:r w:rsidRPr="00AF78C7">
        <w:rPr>
          <w:sz w:val="20"/>
          <w:szCs w:val="20"/>
          <w:lang w:val="fr-CA"/>
        </w:rPr>
        <w:t>?</w:t>
      </w:r>
    </w:p>
    <w:p w14:paraId="4B3DAA19" w14:textId="77777777" w:rsidR="00AE1E45" w:rsidRPr="00AF78C7" w:rsidRDefault="00AE1E45" w:rsidP="00625E01">
      <w:pPr>
        <w:ind w:left="1134"/>
        <w:rPr>
          <w:sz w:val="20"/>
          <w:szCs w:val="20"/>
          <w:lang w:val="fr-CA"/>
        </w:rPr>
      </w:pPr>
    </w:p>
    <w:p w14:paraId="360735CC" w14:textId="6BD590E3" w:rsidR="006A0A34" w:rsidRPr="00AF78C7" w:rsidRDefault="006A0A34" w:rsidP="00625E01">
      <w:pPr>
        <w:ind w:left="1134"/>
        <w:rPr>
          <w:sz w:val="20"/>
          <w:szCs w:val="20"/>
          <w:lang w:val="fr-CA"/>
        </w:rPr>
      </w:pPr>
      <w:r w:rsidRPr="00AF78C7">
        <w:rPr>
          <w:sz w:val="20"/>
          <w:szCs w:val="20"/>
          <w:lang w:val="fr-CA"/>
        </w:rPr>
        <w:t xml:space="preserve">a) Perte </w:t>
      </w:r>
    </w:p>
    <w:p w14:paraId="137B92E9" w14:textId="787C9747" w:rsidR="00625E01" w:rsidRPr="00AF78C7" w:rsidRDefault="006A0A34" w:rsidP="00625E01">
      <w:pPr>
        <w:ind w:left="1134"/>
        <w:rPr>
          <w:sz w:val="20"/>
          <w:szCs w:val="20"/>
          <w:lang w:val="fr-CA"/>
        </w:rPr>
      </w:pPr>
      <w:r w:rsidRPr="00AF78C7">
        <w:rPr>
          <w:sz w:val="20"/>
          <w:szCs w:val="20"/>
          <w:lang w:val="fr-CA"/>
        </w:rPr>
        <w:t>b) Incertitude</w:t>
      </w:r>
    </w:p>
    <w:p w14:paraId="6E2B8C18" w14:textId="33D887EB" w:rsidR="00625E01" w:rsidRPr="00AF78C7" w:rsidRDefault="006A0A34" w:rsidP="00625E01">
      <w:pPr>
        <w:ind w:left="1134"/>
        <w:rPr>
          <w:sz w:val="20"/>
          <w:szCs w:val="20"/>
          <w:lang w:val="fr-CA"/>
        </w:rPr>
      </w:pPr>
      <w:r w:rsidRPr="00AF78C7">
        <w:rPr>
          <w:sz w:val="20"/>
          <w:szCs w:val="20"/>
          <w:lang w:val="fr-CA"/>
        </w:rPr>
        <w:t>c) Avantage</w:t>
      </w:r>
    </w:p>
    <w:p w14:paraId="4DA7B4F7" w14:textId="6696029C" w:rsidR="006A0A34" w:rsidRPr="00AF78C7" w:rsidRDefault="006A0A34" w:rsidP="00625E01">
      <w:pPr>
        <w:ind w:left="1134"/>
        <w:rPr>
          <w:sz w:val="20"/>
          <w:szCs w:val="20"/>
          <w:lang w:val="fr-CA"/>
        </w:rPr>
      </w:pPr>
      <w:r w:rsidRPr="00AF78C7">
        <w:rPr>
          <w:sz w:val="20"/>
          <w:szCs w:val="20"/>
          <w:lang w:val="fr-CA"/>
        </w:rPr>
        <w:t xml:space="preserve">d) Frissons </w:t>
      </w:r>
    </w:p>
    <w:p w14:paraId="343E1593" w14:textId="77777777" w:rsidR="008B2EED" w:rsidRPr="00AF78C7" w:rsidRDefault="008B2EED" w:rsidP="006A0A34">
      <w:pPr>
        <w:rPr>
          <w:sz w:val="20"/>
          <w:szCs w:val="20"/>
          <w:lang w:val="fr-CA"/>
        </w:rPr>
      </w:pPr>
    </w:p>
    <w:p w14:paraId="35D64A1D" w14:textId="002999FE" w:rsidR="006A0A34" w:rsidRPr="00AF78C7" w:rsidRDefault="006A0A34" w:rsidP="006C34CF">
      <w:pPr>
        <w:numPr>
          <w:ilvl w:val="0"/>
          <w:numId w:val="121"/>
        </w:numPr>
        <w:jc w:val="both"/>
        <w:rPr>
          <w:sz w:val="20"/>
          <w:szCs w:val="20"/>
          <w:lang w:val="fr-CA"/>
        </w:rPr>
      </w:pPr>
      <w:r w:rsidRPr="00AF78C7">
        <w:rPr>
          <w:i/>
          <w:iCs/>
          <w:sz w:val="20"/>
          <w:szCs w:val="20"/>
          <w:lang w:val="fr-CA"/>
        </w:rPr>
        <w:t>Certains sp</w:t>
      </w:r>
      <w:r w:rsidR="00625E01" w:rsidRPr="00AF78C7">
        <w:rPr>
          <w:i/>
          <w:iCs/>
          <w:sz w:val="20"/>
          <w:szCs w:val="20"/>
          <w:lang w:val="fr-CA"/>
        </w:rPr>
        <w:t>é</w:t>
      </w:r>
      <w:r w:rsidRPr="00AF78C7">
        <w:rPr>
          <w:i/>
          <w:iCs/>
          <w:sz w:val="20"/>
          <w:szCs w:val="20"/>
          <w:lang w:val="fr-CA"/>
        </w:rPr>
        <w:t>cialistes pr</w:t>
      </w:r>
      <w:r w:rsidR="00625E01" w:rsidRPr="00AF78C7">
        <w:rPr>
          <w:i/>
          <w:iCs/>
          <w:sz w:val="20"/>
          <w:szCs w:val="20"/>
          <w:lang w:val="fr-CA"/>
        </w:rPr>
        <w:t>é</w:t>
      </w:r>
      <w:r w:rsidRPr="00AF78C7">
        <w:rPr>
          <w:i/>
          <w:iCs/>
          <w:sz w:val="20"/>
          <w:szCs w:val="20"/>
          <w:lang w:val="fr-CA"/>
        </w:rPr>
        <w:t>voient que le cours de certains actifs comme l'or, les bijoux, les articles de collection et l'immobilier (biens durables) augmenteront de valeur. Le cours des obligations risque de baisser; toutefois, les sp</w:t>
      </w:r>
      <w:r w:rsidR="00625E01" w:rsidRPr="00AF78C7">
        <w:rPr>
          <w:i/>
          <w:iCs/>
          <w:sz w:val="20"/>
          <w:szCs w:val="20"/>
          <w:lang w:val="fr-CA"/>
        </w:rPr>
        <w:t>é</w:t>
      </w:r>
      <w:r w:rsidRPr="00AF78C7">
        <w:rPr>
          <w:i/>
          <w:iCs/>
          <w:sz w:val="20"/>
          <w:szCs w:val="20"/>
          <w:lang w:val="fr-CA"/>
        </w:rPr>
        <w:t>cialistes s'accordent sur le fait que les obligations du gouvernement sont relativement s</w:t>
      </w:r>
      <w:r w:rsidR="00625E01" w:rsidRPr="00AF78C7">
        <w:rPr>
          <w:i/>
          <w:iCs/>
          <w:sz w:val="20"/>
          <w:szCs w:val="20"/>
          <w:lang w:val="fr-CA"/>
        </w:rPr>
        <w:t>é</w:t>
      </w:r>
      <w:r w:rsidRPr="00AF78C7">
        <w:rPr>
          <w:i/>
          <w:iCs/>
          <w:sz w:val="20"/>
          <w:szCs w:val="20"/>
          <w:lang w:val="fr-CA"/>
        </w:rPr>
        <w:t xml:space="preserve">curitaires. La plupart de vos placements sont actuellement dans des obligations gouvernementales </w:t>
      </w:r>
      <w:r w:rsidR="00625E01" w:rsidRPr="00AF78C7">
        <w:rPr>
          <w:i/>
          <w:iCs/>
          <w:sz w:val="20"/>
          <w:szCs w:val="20"/>
          <w:lang w:val="fr-CA"/>
        </w:rPr>
        <w:t>à</w:t>
      </w:r>
      <w:r w:rsidRPr="00AF78C7">
        <w:rPr>
          <w:i/>
          <w:iCs/>
          <w:sz w:val="20"/>
          <w:szCs w:val="20"/>
          <w:lang w:val="fr-CA"/>
        </w:rPr>
        <w:t xml:space="preserve"> fort int</w:t>
      </w:r>
      <w:r w:rsidR="00625E01" w:rsidRPr="00AF78C7">
        <w:rPr>
          <w:i/>
          <w:iCs/>
          <w:sz w:val="20"/>
          <w:szCs w:val="20"/>
          <w:lang w:val="fr-CA"/>
        </w:rPr>
        <w:t>é</w:t>
      </w:r>
      <w:r w:rsidRPr="00AF78C7">
        <w:rPr>
          <w:i/>
          <w:iCs/>
          <w:sz w:val="20"/>
          <w:szCs w:val="20"/>
          <w:lang w:val="fr-CA"/>
        </w:rPr>
        <w:t>r</w:t>
      </w:r>
      <w:r w:rsidR="00625E01" w:rsidRPr="00AF78C7">
        <w:rPr>
          <w:i/>
          <w:iCs/>
          <w:sz w:val="20"/>
          <w:szCs w:val="20"/>
          <w:lang w:val="fr-CA"/>
        </w:rPr>
        <w:t>ê</w:t>
      </w:r>
      <w:r w:rsidRPr="00AF78C7">
        <w:rPr>
          <w:i/>
          <w:iCs/>
          <w:sz w:val="20"/>
          <w:szCs w:val="20"/>
          <w:lang w:val="fr-CA"/>
        </w:rPr>
        <w:t>t. Que faites</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r w:rsidRPr="00AF78C7">
        <w:rPr>
          <w:sz w:val="20"/>
          <w:szCs w:val="20"/>
          <w:lang w:val="fr-CA"/>
        </w:rPr>
        <w:t xml:space="preserve">? </w:t>
      </w:r>
    </w:p>
    <w:p w14:paraId="17B36617" w14:textId="77777777" w:rsidR="00AE1E45" w:rsidRPr="00AF78C7" w:rsidRDefault="00AE1E45" w:rsidP="00625E01">
      <w:pPr>
        <w:ind w:left="1080"/>
        <w:rPr>
          <w:sz w:val="20"/>
          <w:szCs w:val="20"/>
          <w:lang w:val="fr-CA"/>
        </w:rPr>
      </w:pPr>
    </w:p>
    <w:p w14:paraId="78E600F7" w14:textId="61AC4A06" w:rsidR="006A0A34" w:rsidRPr="00AF78C7" w:rsidRDefault="006A0A34" w:rsidP="00625E01">
      <w:pPr>
        <w:ind w:left="1080"/>
        <w:rPr>
          <w:sz w:val="20"/>
          <w:szCs w:val="20"/>
          <w:lang w:val="fr-CA"/>
        </w:rPr>
      </w:pPr>
      <w:r w:rsidRPr="00AF78C7">
        <w:rPr>
          <w:sz w:val="20"/>
          <w:szCs w:val="20"/>
          <w:lang w:val="fr-CA"/>
        </w:rPr>
        <w:t>a)  Vous</w:t>
      </w:r>
      <w:r w:rsidR="00625E01" w:rsidRPr="00AF78C7">
        <w:rPr>
          <w:sz w:val="20"/>
          <w:szCs w:val="20"/>
          <w:lang w:val="fr-CA"/>
        </w:rPr>
        <w:t xml:space="preserve"> </w:t>
      </w:r>
      <w:r w:rsidRPr="00AF78C7">
        <w:rPr>
          <w:sz w:val="20"/>
          <w:szCs w:val="20"/>
          <w:lang w:val="fr-CA"/>
        </w:rPr>
        <w:t>conservez</w:t>
      </w:r>
      <w:r w:rsidR="00625E01" w:rsidRPr="00AF78C7">
        <w:rPr>
          <w:sz w:val="20"/>
          <w:szCs w:val="20"/>
          <w:lang w:val="fr-CA"/>
        </w:rPr>
        <w:t xml:space="preserve"> </w:t>
      </w:r>
      <w:r w:rsidRPr="00AF78C7">
        <w:rPr>
          <w:sz w:val="20"/>
          <w:szCs w:val="20"/>
          <w:lang w:val="fr-CA"/>
        </w:rPr>
        <w:t>les</w:t>
      </w:r>
      <w:r w:rsidR="00625E01" w:rsidRPr="00AF78C7">
        <w:rPr>
          <w:sz w:val="20"/>
          <w:szCs w:val="20"/>
          <w:lang w:val="fr-CA"/>
        </w:rPr>
        <w:t xml:space="preserve"> </w:t>
      </w:r>
      <w:r w:rsidRPr="00AF78C7">
        <w:rPr>
          <w:sz w:val="20"/>
          <w:szCs w:val="20"/>
          <w:lang w:val="fr-CA"/>
        </w:rPr>
        <w:t xml:space="preserve">obligations </w:t>
      </w:r>
    </w:p>
    <w:p w14:paraId="21E84AA5" w14:textId="6C26D915" w:rsidR="006A0A34" w:rsidRPr="00AF78C7" w:rsidRDefault="006A0A34" w:rsidP="009B4C86">
      <w:pPr>
        <w:ind w:left="1080"/>
        <w:rPr>
          <w:sz w:val="20"/>
          <w:szCs w:val="20"/>
          <w:lang w:val="fr-CA"/>
        </w:rPr>
      </w:pPr>
      <w:r w:rsidRPr="00AF78C7">
        <w:rPr>
          <w:sz w:val="20"/>
          <w:szCs w:val="20"/>
          <w:lang w:val="fr-CA"/>
        </w:rPr>
        <w:t>b)  Vous</w:t>
      </w:r>
      <w:r w:rsidR="00625E01" w:rsidRPr="00AF78C7">
        <w:rPr>
          <w:sz w:val="20"/>
          <w:szCs w:val="20"/>
          <w:lang w:val="fr-CA"/>
        </w:rPr>
        <w:t xml:space="preserve"> </w:t>
      </w:r>
      <w:r w:rsidRPr="00AF78C7">
        <w:rPr>
          <w:sz w:val="20"/>
          <w:szCs w:val="20"/>
          <w:lang w:val="fr-CA"/>
        </w:rPr>
        <w:t>vendez</w:t>
      </w:r>
      <w:r w:rsidR="00625E01" w:rsidRPr="00AF78C7">
        <w:rPr>
          <w:sz w:val="20"/>
          <w:szCs w:val="20"/>
          <w:lang w:val="fr-CA"/>
        </w:rPr>
        <w:t xml:space="preserve"> </w:t>
      </w:r>
      <w:r w:rsidRPr="00AF78C7">
        <w:rPr>
          <w:sz w:val="20"/>
          <w:szCs w:val="20"/>
          <w:lang w:val="fr-CA"/>
        </w:rPr>
        <w:t>vos</w:t>
      </w:r>
      <w:r w:rsidR="00625E01" w:rsidRPr="00AF78C7">
        <w:rPr>
          <w:sz w:val="20"/>
          <w:szCs w:val="20"/>
          <w:lang w:val="fr-CA"/>
        </w:rPr>
        <w:t xml:space="preserve"> </w:t>
      </w:r>
      <w:r w:rsidRPr="00AF78C7">
        <w:rPr>
          <w:sz w:val="20"/>
          <w:szCs w:val="20"/>
          <w:lang w:val="fr-CA"/>
        </w:rPr>
        <w:t>obligations,</w:t>
      </w:r>
      <w:r w:rsidR="00625E01" w:rsidRPr="00AF78C7">
        <w:rPr>
          <w:sz w:val="20"/>
          <w:szCs w:val="20"/>
          <w:lang w:val="fr-CA"/>
        </w:rPr>
        <w:t xml:space="preserve"> </w:t>
      </w:r>
      <w:r w:rsidRPr="00AF78C7">
        <w:rPr>
          <w:sz w:val="20"/>
          <w:szCs w:val="20"/>
          <w:lang w:val="fr-CA"/>
        </w:rPr>
        <w:t>placez</w:t>
      </w:r>
      <w:r w:rsidR="009B4C86" w:rsidRPr="00AF78C7">
        <w:rPr>
          <w:sz w:val="20"/>
          <w:szCs w:val="20"/>
          <w:lang w:val="fr-CA"/>
        </w:rPr>
        <w:t xml:space="preserve"> </w:t>
      </w:r>
      <w:r w:rsidRPr="00AF78C7">
        <w:rPr>
          <w:sz w:val="20"/>
          <w:szCs w:val="20"/>
          <w:lang w:val="fr-CA"/>
        </w:rPr>
        <w:t>la</w:t>
      </w:r>
      <w:r w:rsidR="009B4C86" w:rsidRPr="00AF78C7">
        <w:rPr>
          <w:sz w:val="20"/>
          <w:szCs w:val="20"/>
          <w:lang w:val="fr-CA"/>
        </w:rPr>
        <w:t xml:space="preserve"> </w:t>
      </w:r>
      <w:r w:rsidRPr="00AF78C7">
        <w:rPr>
          <w:sz w:val="20"/>
          <w:szCs w:val="20"/>
          <w:lang w:val="fr-CA"/>
        </w:rPr>
        <w:t>moiti</w:t>
      </w:r>
      <w:r w:rsidR="009B4C86" w:rsidRPr="00AF78C7">
        <w:rPr>
          <w:sz w:val="20"/>
          <w:szCs w:val="20"/>
          <w:lang w:val="fr-CA"/>
        </w:rPr>
        <w:t xml:space="preserve">é </w:t>
      </w:r>
      <w:r w:rsidRPr="00AF78C7">
        <w:rPr>
          <w:sz w:val="20"/>
          <w:szCs w:val="20"/>
          <w:lang w:val="fr-CA"/>
        </w:rPr>
        <w:t>des</w:t>
      </w:r>
      <w:r w:rsidR="009B4C86" w:rsidRPr="00AF78C7">
        <w:rPr>
          <w:sz w:val="20"/>
          <w:szCs w:val="20"/>
          <w:lang w:val="fr-CA"/>
        </w:rPr>
        <w:t xml:space="preserve"> </w:t>
      </w:r>
      <w:r w:rsidRPr="00AF78C7">
        <w:rPr>
          <w:sz w:val="20"/>
          <w:szCs w:val="20"/>
          <w:lang w:val="fr-CA"/>
        </w:rPr>
        <w:t>profits</w:t>
      </w:r>
      <w:r w:rsidR="009B4C86" w:rsidRPr="00AF78C7">
        <w:rPr>
          <w:sz w:val="20"/>
          <w:szCs w:val="20"/>
          <w:lang w:val="fr-CA"/>
        </w:rPr>
        <w:t xml:space="preserve"> </w:t>
      </w:r>
      <w:r w:rsidRPr="00AF78C7">
        <w:rPr>
          <w:sz w:val="20"/>
          <w:szCs w:val="20"/>
          <w:lang w:val="fr-CA"/>
        </w:rPr>
        <w:t>dans</w:t>
      </w:r>
      <w:r w:rsidR="009B4C86" w:rsidRPr="00AF78C7">
        <w:rPr>
          <w:sz w:val="20"/>
          <w:szCs w:val="20"/>
          <w:lang w:val="fr-CA"/>
        </w:rPr>
        <w:t xml:space="preserve"> </w:t>
      </w:r>
      <w:r w:rsidRPr="00AF78C7">
        <w:rPr>
          <w:sz w:val="20"/>
          <w:szCs w:val="20"/>
          <w:lang w:val="fr-CA"/>
        </w:rPr>
        <w:t>des</w:t>
      </w:r>
      <w:r w:rsidR="009B4C86" w:rsidRPr="00AF78C7">
        <w:rPr>
          <w:sz w:val="20"/>
          <w:szCs w:val="20"/>
          <w:lang w:val="fr-CA"/>
        </w:rPr>
        <w:t xml:space="preserve"> </w:t>
      </w:r>
      <w:r w:rsidRPr="00AF78C7">
        <w:rPr>
          <w:sz w:val="20"/>
          <w:szCs w:val="20"/>
          <w:lang w:val="fr-CA"/>
        </w:rPr>
        <w:t>comptes</w:t>
      </w:r>
      <w:r w:rsidR="009B4C86" w:rsidRPr="00AF78C7">
        <w:rPr>
          <w:sz w:val="20"/>
          <w:szCs w:val="20"/>
          <w:lang w:val="fr-CA"/>
        </w:rPr>
        <w:t xml:space="preserve"> </w:t>
      </w:r>
      <w:r w:rsidRPr="00AF78C7">
        <w:rPr>
          <w:sz w:val="20"/>
          <w:szCs w:val="20"/>
          <w:lang w:val="fr-CA"/>
        </w:rPr>
        <w:t>du</w:t>
      </w:r>
      <w:r w:rsidR="009B4C86" w:rsidRPr="00AF78C7">
        <w:rPr>
          <w:sz w:val="20"/>
          <w:szCs w:val="20"/>
          <w:lang w:val="fr-CA"/>
        </w:rPr>
        <w:t xml:space="preserve"> </w:t>
      </w:r>
      <w:r w:rsidRPr="00AF78C7">
        <w:rPr>
          <w:sz w:val="20"/>
          <w:szCs w:val="20"/>
          <w:lang w:val="fr-CA"/>
        </w:rPr>
        <w:t>march</w:t>
      </w:r>
      <w:r w:rsidR="009B4C86" w:rsidRPr="00AF78C7">
        <w:rPr>
          <w:sz w:val="20"/>
          <w:szCs w:val="20"/>
          <w:lang w:val="fr-CA"/>
        </w:rPr>
        <w:t xml:space="preserve">é </w:t>
      </w:r>
      <w:r w:rsidRPr="00AF78C7">
        <w:rPr>
          <w:sz w:val="20"/>
          <w:szCs w:val="20"/>
          <w:lang w:val="fr-CA"/>
        </w:rPr>
        <w:t>mon</w:t>
      </w:r>
      <w:r w:rsidR="009B4C86" w:rsidRPr="00AF78C7">
        <w:rPr>
          <w:sz w:val="20"/>
          <w:szCs w:val="20"/>
          <w:lang w:val="fr-CA"/>
        </w:rPr>
        <w:t>é</w:t>
      </w:r>
      <w:r w:rsidRPr="00AF78C7">
        <w:rPr>
          <w:sz w:val="20"/>
          <w:szCs w:val="20"/>
          <w:lang w:val="fr-CA"/>
        </w:rPr>
        <w:t>taire,</w:t>
      </w:r>
      <w:r w:rsidR="009B4C86" w:rsidRPr="00AF78C7">
        <w:rPr>
          <w:sz w:val="20"/>
          <w:szCs w:val="20"/>
          <w:lang w:val="fr-CA"/>
        </w:rPr>
        <w:t xml:space="preserve"> </w:t>
      </w:r>
      <w:r w:rsidRPr="00AF78C7">
        <w:rPr>
          <w:sz w:val="20"/>
          <w:szCs w:val="20"/>
          <w:lang w:val="fr-CA"/>
        </w:rPr>
        <w:t>et</w:t>
      </w:r>
      <w:r w:rsidR="009B4C86" w:rsidRPr="00AF78C7">
        <w:rPr>
          <w:sz w:val="20"/>
          <w:szCs w:val="20"/>
          <w:lang w:val="fr-CA"/>
        </w:rPr>
        <w:t xml:space="preserve"> </w:t>
      </w:r>
      <w:r w:rsidRPr="00AF78C7">
        <w:rPr>
          <w:sz w:val="20"/>
          <w:szCs w:val="20"/>
          <w:lang w:val="fr-CA"/>
        </w:rPr>
        <w:t>l'autre moiti</w:t>
      </w:r>
      <w:r w:rsidR="009B4C86" w:rsidRPr="00AF78C7">
        <w:rPr>
          <w:sz w:val="20"/>
          <w:szCs w:val="20"/>
          <w:lang w:val="fr-CA"/>
        </w:rPr>
        <w:t>é</w:t>
      </w:r>
      <w:r w:rsidRPr="00AF78C7">
        <w:rPr>
          <w:sz w:val="20"/>
          <w:szCs w:val="20"/>
          <w:lang w:val="fr-CA"/>
        </w:rPr>
        <w:t xml:space="preserve"> dans </w:t>
      </w:r>
      <w:r w:rsidR="005242B9">
        <w:rPr>
          <w:sz w:val="20"/>
          <w:szCs w:val="20"/>
          <w:lang w:val="fr-CA"/>
        </w:rPr>
        <w:tab/>
      </w:r>
      <w:r w:rsidRPr="00AF78C7">
        <w:rPr>
          <w:sz w:val="20"/>
          <w:szCs w:val="20"/>
          <w:lang w:val="fr-CA"/>
        </w:rPr>
        <w:t xml:space="preserve">des biens durables </w:t>
      </w:r>
    </w:p>
    <w:p w14:paraId="67845CD4" w14:textId="5BDDD8FB" w:rsidR="006A0A34" w:rsidRPr="00AF78C7" w:rsidRDefault="006A0A34" w:rsidP="00625E01">
      <w:pPr>
        <w:ind w:left="1080"/>
        <w:rPr>
          <w:sz w:val="20"/>
          <w:szCs w:val="20"/>
          <w:lang w:val="fr-CA"/>
        </w:rPr>
      </w:pPr>
      <w:r w:rsidRPr="00AF78C7">
        <w:rPr>
          <w:sz w:val="20"/>
          <w:szCs w:val="20"/>
          <w:lang w:val="fr-CA"/>
        </w:rPr>
        <w:t>c)  Vous vendez vos obligations et placez la totalit</w:t>
      </w:r>
      <w:r w:rsidR="00FC2575" w:rsidRPr="00AF78C7">
        <w:rPr>
          <w:sz w:val="20"/>
          <w:szCs w:val="20"/>
          <w:lang w:val="fr-CA"/>
        </w:rPr>
        <w:t>é</w:t>
      </w:r>
      <w:r w:rsidRPr="00AF78C7">
        <w:rPr>
          <w:sz w:val="20"/>
          <w:szCs w:val="20"/>
          <w:lang w:val="fr-CA"/>
        </w:rPr>
        <w:t xml:space="preserve"> des profits dans des biens durables </w:t>
      </w:r>
    </w:p>
    <w:p w14:paraId="3E69F151" w14:textId="3037C5D3" w:rsidR="006A0A34" w:rsidRPr="00AF78C7" w:rsidRDefault="006A0A34" w:rsidP="00FC2575">
      <w:pPr>
        <w:ind w:left="1080"/>
        <w:rPr>
          <w:sz w:val="20"/>
          <w:szCs w:val="20"/>
          <w:lang w:val="fr-CA"/>
        </w:rPr>
      </w:pPr>
      <w:r w:rsidRPr="00AF78C7">
        <w:rPr>
          <w:sz w:val="20"/>
          <w:szCs w:val="20"/>
          <w:lang w:val="fr-CA"/>
        </w:rPr>
        <w:t>d)  Vous</w:t>
      </w:r>
      <w:r w:rsidR="00FC2575" w:rsidRPr="00AF78C7">
        <w:rPr>
          <w:sz w:val="20"/>
          <w:szCs w:val="20"/>
          <w:lang w:val="fr-CA"/>
        </w:rPr>
        <w:t xml:space="preserve"> </w:t>
      </w:r>
      <w:r w:rsidRPr="00AF78C7">
        <w:rPr>
          <w:sz w:val="20"/>
          <w:szCs w:val="20"/>
          <w:lang w:val="fr-CA"/>
        </w:rPr>
        <w:t>vendez</w:t>
      </w:r>
      <w:r w:rsidR="00FC2575" w:rsidRPr="00AF78C7">
        <w:rPr>
          <w:sz w:val="20"/>
          <w:szCs w:val="20"/>
          <w:lang w:val="fr-CA"/>
        </w:rPr>
        <w:t xml:space="preserve"> </w:t>
      </w:r>
      <w:r w:rsidRPr="00AF78C7">
        <w:rPr>
          <w:sz w:val="20"/>
          <w:szCs w:val="20"/>
          <w:lang w:val="fr-CA"/>
        </w:rPr>
        <w:t>vos</w:t>
      </w:r>
      <w:r w:rsidR="00FC2575" w:rsidRPr="00AF78C7">
        <w:rPr>
          <w:sz w:val="20"/>
          <w:szCs w:val="20"/>
          <w:lang w:val="fr-CA"/>
        </w:rPr>
        <w:t xml:space="preserve"> </w:t>
      </w:r>
      <w:r w:rsidRPr="00AF78C7">
        <w:rPr>
          <w:sz w:val="20"/>
          <w:szCs w:val="20"/>
          <w:lang w:val="fr-CA"/>
        </w:rPr>
        <w:t>obligations,</w:t>
      </w:r>
      <w:r w:rsidR="00FC2575" w:rsidRPr="00AF78C7">
        <w:rPr>
          <w:sz w:val="20"/>
          <w:szCs w:val="20"/>
          <w:lang w:val="fr-CA"/>
        </w:rPr>
        <w:t xml:space="preserve"> </w:t>
      </w:r>
      <w:r w:rsidRPr="00AF78C7">
        <w:rPr>
          <w:sz w:val="20"/>
          <w:szCs w:val="20"/>
          <w:lang w:val="fr-CA"/>
        </w:rPr>
        <w:t>placez</w:t>
      </w:r>
      <w:r w:rsidR="00FC2575" w:rsidRPr="00AF78C7">
        <w:rPr>
          <w:sz w:val="20"/>
          <w:szCs w:val="20"/>
          <w:lang w:val="fr-CA"/>
        </w:rPr>
        <w:t xml:space="preserve"> </w:t>
      </w:r>
      <w:r w:rsidRPr="00AF78C7">
        <w:rPr>
          <w:sz w:val="20"/>
          <w:szCs w:val="20"/>
          <w:lang w:val="fr-CA"/>
        </w:rPr>
        <w:t>l'argent</w:t>
      </w:r>
      <w:r w:rsidR="00FC2575" w:rsidRPr="00AF78C7">
        <w:rPr>
          <w:sz w:val="20"/>
          <w:szCs w:val="20"/>
          <w:lang w:val="fr-CA"/>
        </w:rPr>
        <w:t xml:space="preserve"> </w:t>
      </w:r>
      <w:r w:rsidRPr="00AF78C7">
        <w:rPr>
          <w:sz w:val="20"/>
          <w:szCs w:val="20"/>
          <w:lang w:val="fr-CA"/>
        </w:rPr>
        <w:t>obtenu</w:t>
      </w:r>
      <w:r w:rsidR="00FC2575" w:rsidRPr="00AF78C7">
        <w:rPr>
          <w:sz w:val="20"/>
          <w:szCs w:val="20"/>
          <w:lang w:val="fr-CA"/>
        </w:rPr>
        <w:t xml:space="preserve"> </w:t>
      </w:r>
      <w:r w:rsidRPr="00AF78C7">
        <w:rPr>
          <w:sz w:val="20"/>
          <w:szCs w:val="20"/>
          <w:lang w:val="fr-CA"/>
        </w:rPr>
        <w:t>dans</w:t>
      </w:r>
      <w:r w:rsidR="00FC2575" w:rsidRPr="00AF78C7">
        <w:rPr>
          <w:sz w:val="20"/>
          <w:szCs w:val="20"/>
          <w:lang w:val="fr-CA"/>
        </w:rPr>
        <w:t xml:space="preserve"> </w:t>
      </w:r>
      <w:r w:rsidRPr="00AF78C7">
        <w:rPr>
          <w:sz w:val="20"/>
          <w:szCs w:val="20"/>
          <w:lang w:val="fr-CA"/>
        </w:rPr>
        <w:t>des</w:t>
      </w:r>
      <w:r w:rsidR="00FC2575" w:rsidRPr="00AF78C7">
        <w:rPr>
          <w:sz w:val="20"/>
          <w:szCs w:val="20"/>
          <w:lang w:val="fr-CA"/>
        </w:rPr>
        <w:t xml:space="preserve"> </w:t>
      </w:r>
      <w:r w:rsidRPr="00AF78C7">
        <w:rPr>
          <w:sz w:val="20"/>
          <w:szCs w:val="20"/>
          <w:lang w:val="fr-CA"/>
        </w:rPr>
        <w:t>biens</w:t>
      </w:r>
      <w:r w:rsidR="00FC2575" w:rsidRPr="00AF78C7">
        <w:rPr>
          <w:sz w:val="20"/>
          <w:szCs w:val="20"/>
          <w:lang w:val="fr-CA"/>
        </w:rPr>
        <w:t xml:space="preserve"> </w:t>
      </w:r>
      <w:r w:rsidRPr="00AF78C7">
        <w:rPr>
          <w:sz w:val="20"/>
          <w:szCs w:val="20"/>
          <w:lang w:val="fr-CA"/>
        </w:rPr>
        <w:t>durables</w:t>
      </w:r>
      <w:r w:rsidR="00FC2575" w:rsidRPr="00AF78C7">
        <w:rPr>
          <w:sz w:val="20"/>
          <w:szCs w:val="20"/>
          <w:lang w:val="fr-CA"/>
        </w:rPr>
        <w:t xml:space="preserve"> </w:t>
      </w:r>
      <w:r w:rsidRPr="00AF78C7">
        <w:rPr>
          <w:sz w:val="20"/>
          <w:szCs w:val="20"/>
          <w:lang w:val="fr-CA"/>
        </w:rPr>
        <w:t>et</w:t>
      </w:r>
      <w:r w:rsidR="00FC2575" w:rsidRPr="00AF78C7">
        <w:rPr>
          <w:sz w:val="20"/>
          <w:szCs w:val="20"/>
          <w:lang w:val="fr-CA"/>
        </w:rPr>
        <w:t xml:space="preserve"> </w:t>
      </w:r>
      <w:r w:rsidRPr="00AF78C7">
        <w:rPr>
          <w:sz w:val="20"/>
          <w:szCs w:val="20"/>
          <w:lang w:val="fr-CA"/>
        </w:rPr>
        <w:t xml:space="preserve">empruntez </w:t>
      </w:r>
      <w:r w:rsidR="00FC2575" w:rsidRPr="00AF78C7">
        <w:rPr>
          <w:sz w:val="20"/>
          <w:szCs w:val="20"/>
          <w:lang w:val="fr-CA"/>
        </w:rPr>
        <w:t xml:space="preserve"> </w:t>
      </w:r>
      <w:r w:rsidRPr="00AF78C7">
        <w:rPr>
          <w:sz w:val="20"/>
          <w:szCs w:val="20"/>
          <w:lang w:val="fr-CA"/>
        </w:rPr>
        <w:t xml:space="preserve">davantage pour en </w:t>
      </w:r>
      <w:r w:rsidR="005242B9">
        <w:rPr>
          <w:sz w:val="20"/>
          <w:szCs w:val="20"/>
          <w:lang w:val="fr-CA"/>
        </w:rPr>
        <w:tab/>
      </w:r>
      <w:r w:rsidRPr="00AF78C7">
        <w:rPr>
          <w:sz w:val="20"/>
          <w:szCs w:val="20"/>
          <w:lang w:val="fr-CA"/>
        </w:rPr>
        <w:t xml:space="preserve">acheter plus </w:t>
      </w:r>
    </w:p>
    <w:p w14:paraId="3EA34031" w14:textId="77777777" w:rsidR="0066290D" w:rsidRPr="00AF78C7" w:rsidRDefault="0066290D" w:rsidP="006A0A34">
      <w:pPr>
        <w:rPr>
          <w:sz w:val="20"/>
          <w:szCs w:val="20"/>
          <w:lang w:val="fr-CA"/>
        </w:rPr>
      </w:pPr>
    </w:p>
    <w:p w14:paraId="015B74FD" w14:textId="023BCB7C" w:rsidR="006A0A34" w:rsidRPr="00AF78C7" w:rsidRDefault="006A0A34" w:rsidP="006C34CF">
      <w:pPr>
        <w:numPr>
          <w:ilvl w:val="0"/>
          <w:numId w:val="121"/>
        </w:numPr>
        <w:rPr>
          <w:sz w:val="20"/>
          <w:szCs w:val="20"/>
          <w:lang w:val="fr-CA"/>
        </w:rPr>
      </w:pPr>
      <w:r w:rsidRPr="00AF78C7">
        <w:rPr>
          <w:i/>
          <w:iCs/>
          <w:sz w:val="20"/>
          <w:szCs w:val="20"/>
          <w:lang w:val="fr-CA"/>
        </w:rPr>
        <w:t>Lequel des quatre sc</w:t>
      </w:r>
      <w:r w:rsidR="00FC2575" w:rsidRPr="00AF78C7">
        <w:rPr>
          <w:i/>
          <w:iCs/>
          <w:sz w:val="20"/>
          <w:szCs w:val="20"/>
          <w:lang w:val="fr-CA"/>
        </w:rPr>
        <w:t>é</w:t>
      </w:r>
      <w:r w:rsidRPr="00AF78C7">
        <w:rPr>
          <w:i/>
          <w:iCs/>
          <w:sz w:val="20"/>
          <w:szCs w:val="20"/>
          <w:lang w:val="fr-CA"/>
        </w:rPr>
        <w:t>narios de placement ci</w:t>
      </w:r>
      <w:r w:rsidRPr="00AF78C7">
        <w:rPr>
          <w:rFonts w:ascii="American Typewriter Light" w:hAnsi="American Typewriter Light" w:cs="American Typewriter Light"/>
          <w:i/>
          <w:iCs/>
          <w:sz w:val="20"/>
          <w:szCs w:val="20"/>
          <w:lang w:val="fr-CA"/>
        </w:rPr>
        <w:t>‐</w:t>
      </w:r>
      <w:r w:rsidRPr="00AF78C7">
        <w:rPr>
          <w:i/>
          <w:iCs/>
          <w:sz w:val="20"/>
          <w:szCs w:val="20"/>
          <w:lang w:val="fr-CA"/>
        </w:rPr>
        <w:t>dessous choisiriez</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r w:rsidRPr="00AF78C7">
        <w:rPr>
          <w:sz w:val="20"/>
          <w:szCs w:val="20"/>
          <w:lang w:val="fr-CA"/>
        </w:rPr>
        <w:t xml:space="preserve">? </w:t>
      </w:r>
    </w:p>
    <w:p w14:paraId="58602E23" w14:textId="77777777" w:rsidR="00AE1E45" w:rsidRPr="00AF78C7" w:rsidRDefault="00AE1E45" w:rsidP="00FC2575">
      <w:pPr>
        <w:ind w:left="1080"/>
        <w:rPr>
          <w:sz w:val="20"/>
          <w:szCs w:val="20"/>
          <w:lang w:val="fr-CA"/>
        </w:rPr>
      </w:pPr>
    </w:p>
    <w:p w14:paraId="2CA3C91B" w14:textId="2A0D018C" w:rsidR="006A0A34" w:rsidRPr="00AF78C7" w:rsidRDefault="006A0A34" w:rsidP="00FC2575">
      <w:pPr>
        <w:ind w:left="1080"/>
        <w:rPr>
          <w:sz w:val="20"/>
          <w:szCs w:val="20"/>
          <w:lang w:val="fr-CA"/>
        </w:rPr>
      </w:pPr>
      <w:r w:rsidRPr="00AF78C7">
        <w:rPr>
          <w:sz w:val="20"/>
          <w:szCs w:val="20"/>
          <w:lang w:val="fr-CA"/>
        </w:rPr>
        <w:t>a)  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meilleur</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vous</w:t>
      </w:r>
      <w:r w:rsidR="00FC2575" w:rsidRPr="00AF78C7">
        <w:rPr>
          <w:sz w:val="20"/>
          <w:szCs w:val="20"/>
          <w:lang w:val="fr-CA"/>
        </w:rPr>
        <w:t xml:space="preserve"> </w:t>
      </w:r>
      <w:r w:rsidRPr="00AF78C7">
        <w:rPr>
          <w:sz w:val="20"/>
          <w:szCs w:val="20"/>
          <w:lang w:val="fr-CA"/>
        </w:rPr>
        <w:t>gagnez</w:t>
      </w:r>
      <w:r w:rsidR="00FC2575" w:rsidRPr="00AF78C7">
        <w:rPr>
          <w:sz w:val="20"/>
          <w:szCs w:val="20"/>
          <w:lang w:val="fr-CA"/>
        </w:rPr>
        <w:t xml:space="preserve"> </w:t>
      </w:r>
      <w:r w:rsidRPr="00AF78C7">
        <w:rPr>
          <w:sz w:val="20"/>
          <w:szCs w:val="20"/>
          <w:lang w:val="fr-CA"/>
        </w:rPr>
        <w:t>200</w:t>
      </w:r>
      <w:r w:rsidR="00FC2575" w:rsidRPr="00AF78C7">
        <w:rPr>
          <w:sz w:val="20"/>
          <w:szCs w:val="20"/>
          <w:lang w:val="fr-CA"/>
        </w:rPr>
        <w:t xml:space="preserve"> </w:t>
      </w:r>
      <w:r w:rsidRPr="00AF78C7">
        <w:rPr>
          <w:sz w:val="20"/>
          <w:szCs w:val="20"/>
          <w:lang w:val="fr-CA"/>
        </w:rPr>
        <w:t>$;</w:t>
      </w:r>
      <w:r w:rsidR="00FC2575" w:rsidRPr="00AF78C7">
        <w:rPr>
          <w:sz w:val="20"/>
          <w:szCs w:val="20"/>
          <w:lang w:val="fr-CA"/>
        </w:rPr>
        <w:t xml:space="preserve"> </w:t>
      </w:r>
      <w:r w:rsidRPr="00AF78C7">
        <w:rPr>
          <w:sz w:val="20"/>
          <w:szCs w:val="20"/>
          <w:lang w:val="fr-CA"/>
        </w:rPr>
        <w:t>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pire</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vous</w:t>
      </w:r>
      <w:r w:rsidR="00FC2575" w:rsidRPr="00AF78C7">
        <w:rPr>
          <w:sz w:val="20"/>
          <w:szCs w:val="20"/>
          <w:lang w:val="fr-CA"/>
        </w:rPr>
        <w:t xml:space="preserve"> </w:t>
      </w:r>
      <w:r w:rsidRPr="00AF78C7">
        <w:rPr>
          <w:sz w:val="20"/>
          <w:szCs w:val="20"/>
          <w:lang w:val="fr-CA"/>
        </w:rPr>
        <w:t>perdez</w:t>
      </w:r>
      <w:r w:rsidR="00FC2575" w:rsidRPr="00AF78C7">
        <w:rPr>
          <w:sz w:val="20"/>
          <w:szCs w:val="20"/>
          <w:lang w:val="fr-CA"/>
        </w:rPr>
        <w:t xml:space="preserve"> </w:t>
      </w:r>
      <w:r w:rsidRPr="00AF78C7">
        <w:rPr>
          <w:sz w:val="20"/>
          <w:szCs w:val="20"/>
          <w:lang w:val="fr-CA"/>
        </w:rPr>
        <w:t>0</w:t>
      </w:r>
      <w:r w:rsidR="00FC2575" w:rsidRPr="00AF78C7">
        <w:rPr>
          <w:sz w:val="20"/>
          <w:szCs w:val="20"/>
          <w:lang w:val="fr-CA"/>
        </w:rPr>
        <w:t xml:space="preserve"> </w:t>
      </w:r>
      <w:r w:rsidRPr="00AF78C7">
        <w:rPr>
          <w:sz w:val="20"/>
          <w:szCs w:val="20"/>
          <w:lang w:val="fr-CA"/>
        </w:rPr>
        <w:t xml:space="preserve">$ </w:t>
      </w:r>
    </w:p>
    <w:p w14:paraId="2266D752" w14:textId="5669CDE4" w:rsidR="006A0A34" w:rsidRPr="00AF78C7" w:rsidRDefault="006A0A34" w:rsidP="00FC2575">
      <w:pPr>
        <w:ind w:left="1080"/>
        <w:rPr>
          <w:sz w:val="20"/>
          <w:szCs w:val="20"/>
          <w:lang w:val="fr-CA"/>
        </w:rPr>
      </w:pPr>
      <w:r w:rsidRPr="00AF78C7">
        <w:rPr>
          <w:sz w:val="20"/>
          <w:szCs w:val="20"/>
          <w:lang w:val="fr-CA"/>
        </w:rPr>
        <w:t>b)  Vous</w:t>
      </w:r>
      <w:r w:rsidR="00FC2575" w:rsidRPr="00AF78C7">
        <w:rPr>
          <w:sz w:val="20"/>
          <w:szCs w:val="20"/>
          <w:lang w:val="fr-CA"/>
        </w:rPr>
        <w:t xml:space="preserve"> </w:t>
      </w:r>
      <w:r w:rsidRPr="00AF78C7">
        <w:rPr>
          <w:sz w:val="20"/>
          <w:szCs w:val="20"/>
          <w:lang w:val="fr-CA"/>
        </w:rPr>
        <w:t>gagnez</w:t>
      </w:r>
      <w:r w:rsidR="00FC2575" w:rsidRPr="00AF78C7">
        <w:rPr>
          <w:sz w:val="20"/>
          <w:szCs w:val="20"/>
          <w:lang w:val="fr-CA"/>
        </w:rPr>
        <w:t xml:space="preserve"> </w:t>
      </w:r>
      <w:r w:rsidRPr="00AF78C7">
        <w:rPr>
          <w:sz w:val="20"/>
          <w:szCs w:val="20"/>
          <w:lang w:val="fr-CA"/>
        </w:rPr>
        <w:t>800</w:t>
      </w:r>
      <w:r w:rsidR="00FC2575" w:rsidRPr="00AF78C7">
        <w:rPr>
          <w:sz w:val="20"/>
          <w:szCs w:val="20"/>
          <w:lang w:val="fr-CA"/>
        </w:rPr>
        <w:t xml:space="preserve"> </w:t>
      </w:r>
      <w:r w:rsidRPr="00AF78C7">
        <w:rPr>
          <w:sz w:val="20"/>
          <w:szCs w:val="20"/>
          <w:lang w:val="fr-CA"/>
        </w:rPr>
        <w:t>$</w:t>
      </w:r>
      <w:r w:rsidR="00FC2575" w:rsidRPr="00AF78C7">
        <w:rPr>
          <w:sz w:val="20"/>
          <w:szCs w:val="20"/>
          <w:lang w:val="fr-CA"/>
        </w:rPr>
        <w:t xml:space="preserve"> </w:t>
      </w:r>
      <w:r w:rsidRPr="00AF78C7">
        <w:rPr>
          <w:sz w:val="20"/>
          <w:szCs w:val="20"/>
          <w:lang w:val="fr-CA"/>
        </w:rPr>
        <w:t>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meilleur</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pire</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vous</w:t>
      </w:r>
      <w:r w:rsidR="00FC2575" w:rsidRPr="00AF78C7">
        <w:rPr>
          <w:sz w:val="20"/>
          <w:szCs w:val="20"/>
          <w:lang w:val="fr-CA"/>
        </w:rPr>
        <w:t xml:space="preserve"> </w:t>
      </w:r>
      <w:r w:rsidRPr="00AF78C7">
        <w:rPr>
          <w:sz w:val="20"/>
          <w:szCs w:val="20"/>
          <w:lang w:val="fr-CA"/>
        </w:rPr>
        <w:t>perdez</w:t>
      </w:r>
      <w:r w:rsidR="00FC2575" w:rsidRPr="00AF78C7">
        <w:rPr>
          <w:sz w:val="20"/>
          <w:szCs w:val="20"/>
          <w:lang w:val="fr-CA"/>
        </w:rPr>
        <w:t xml:space="preserve"> </w:t>
      </w:r>
      <w:r w:rsidRPr="00AF78C7">
        <w:rPr>
          <w:sz w:val="20"/>
          <w:szCs w:val="20"/>
          <w:lang w:val="fr-CA"/>
        </w:rPr>
        <w:t>200</w:t>
      </w:r>
      <w:r w:rsidR="00FC2575" w:rsidRPr="00AF78C7">
        <w:rPr>
          <w:sz w:val="20"/>
          <w:szCs w:val="20"/>
          <w:lang w:val="fr-CA"/>
        </w:rPr>
        <w:t xml:space="preserve"> </w:t>
      </w:r>
      <w:r w:rsidRPr="00AF78C7">
        <w:rPr>
          <w:sz w:val="20"/>
          <w:szCs w:val="20"/>
          <w:lang w:val="fr-CA"/>
        </w:rPr>
        <w:t xml:space="preserve">$ </w:t>
      </w:r>
    </w:p>
    <w:p w14:paraId="5E5F20D8" w14:textId="77777777" w:rsidR="006A0A34" w:rsidRPr="00AF78C7" w:rsidRDefault="006A0A34" w:rsidP="00FC2575">
      <w:pPr>
        <w:ind w:left="1080"/>
        <w:rPr>
          <w:sz w:val="20"/>
          <w:szCs w:val="20"/>
          <w:lang w:val="fr-CA"/>
        </w:rPr>
      </w:pPr>
      <w:r w:rsidRPr="00AF78C7">
        <w:rPr>
          <w:sz w:val="20"/>
          <w:szCs w:val="20"/>
          <w:lang w:val="fr-CA"/>
        </w:rPr>
        <w:t xml:space="preserve">c)  Vous gagnez 2 600 $ dans le meilleur cas; dans le pire cas, vous perdez 800 $ </w:t>
      </w:r>
    </w:p>
    <w:p w14:paraId="027BDB92" w14:textId="2BEF9199" w:rsidR="006A0A34" w:rsidRPr="00AF78C7" w:rsidRDefault="006A0A34" w:rsidP="00FC2575">
      <w:pPr>
        <w:ind w:left="1080"/>
        <w:rPr>
          <w:sz w:val="20"/>
          <w:szCs w:val="20"/>
          <w:lang w:val="fr-CA"/>
        </w:rPr>
      </w:pPr>
      <w:r w:rsidRPr="00AF78C7">
        <w:rPr>
          <w:sz w:val="20"/>
          <w:szCs w:val="20"/>
          <w:lang w:val="fr-CA"/>
        </w:rPr>
        <w:t>d)  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meilleur</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vous</w:t>
      </w:r>
      <w:r w:rsidR="00FC2575" w:rsidRPr="00AF78C7">
        <w:rPr>
          <w:sz w:val="20"/>
          <w:szCs w:val="20"/>
          <w:lang w:val="fr-CA"/>
        </w:rPr>
        <w:t xml:space="preserve"> </w:t>
      </w:r>
      <w:r w:rsidRPr="00AF78C7">
        <w:rPr>
          <w:sz w:val="20"/>
          <w:szCs w:val="20"/>
          <w:lang w:val="fr-CA"/>
        </w:rPr>
        <w:t>gagnez</w:t>
      </w:r>
      <w:r w:rsidR="00FC2575" w:rsidRPr="00AF78C7">
        <w:rPr>
          <w:sz w:val="20"/>
          <w:szCs w:val="20"/>
          <w:lang w:val="fr-CA"/>
        </w:rPr>
        <w:t xml:space="preserve"> </w:t>
      </w:r>
      <w:r w:rsidRPr="00AF78C7">
        <w:rPr>
          <w:sz w:val="20"/>
          <w:szCs w:val="20"/>
          <w:lang w:val="fr-CA"/>
        </w:rPr>
        <w:t>4</w:t>
      </w:r>
      <w:r w:rsidR="00FC2575" w:rsidRPr="00AF78C7">
        <w:rPr>
          <w:sz w:val="20"/>
          <w:szCs w:val="20"/>
          <w:lang w:val="fr-CA"/>
        </w:rPr>
        <w:t xml:space="preserve"> </w:t>
      </w:r>
      <w:r w:rsidRPr="00AF78C7">
        <w:rPr>
          <w:sz w:val="20"/>
          <w:szCs w:val="20"/>
          <w:lang w:val="fr-CA"/>
        </w:rPr>
        <w:t>800</w:t>
      </w:r>
      <w:r w:rsidR="00FC2575" w:rsidRPr="00AF78C7">
        <w:rPr>
          <w:sz w:val="20"/>
          <w:szCs w:val="20"/>
          <w:lang w:val="fr-CA"/>
        </w:rPr>
        <w:t xml:space="preserve"> </w:t>
      </w:r>
      <w:r w:rsidRPr="00AF78C7">
        <w:rPr>
          <w:sz w:val="20"/>
          <w:szCs w:val="20"/>
          <w:lang w:val="fr-CA"/>
        </w:rPr>
        <w:t>$;</w:t>
      </w:r>
      <w:r w:rsidR="00FC2575" w:rsidRPr="00AF78C7">
        <w:rPr>
          <w:sz w:val="20"/>
          <w:szCs w:val="20"/>
          <w:lang w:val="fr-CA"/>
        </w:rPr>
        <w:t xml:space="preserve"> </w:t>
      </w:r>
      <w:r w:rsidRPr="00AF78C7">
        <w:rPr>
          <w:sz w:val="20"/>
          <w:szCs w:val="20"/>
          <w:lang w:val="fr-CA"/>
        </w:rPr>
        <w:t>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pire</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vous</w:t>
      </w:r>
      <w:r w:rsidR="00FC2575" w:rsidRPr="00AF78C7">
        <w:rPr>
          <w:sz w:val="20"/>
          <w:szCs w:val="20"/>
          <w:lang w:val="fr-CA"/>
        </w:rPr>
        <w:t xml:space="preserve"> </w:t>
      </w:r>
      <w:r w:rsidRPr="00AF78C7">
        <w:rPr>
          <w:sz w:val="20"/>
          <w:szCs w:val="20"/>
          <w:lang w:val="fr-CA"/>
        </w:rPr>
        <w:t>perdez</w:t>
      </w:r>
      <w:r w:rsidR="00FC2575" w:rsidRPr="00AF78C7">
        <w:rPr>
          <w:sz w:val="20"/>
          <w:szCs w:val="20"/>
          <w:lang w:val="fr-CA"/>
        </w:rPr>
        <w:t xml:space="preserve"> </w:t>
      </w:r>
      <w:r w:rsidRPr="00AF78C7">
        <w:rPr>
          <w:sz w:val="20"/>
          <w:szCs w:val="20"/>
          <w:lang w:val="fr-CA"/>
        </w:rPr>
        <w:t>2</w:t>
      </w:r>
      <w:r w:rsidR="00FC2575" w:rsidRPr="00AF78C7">
        <w:rPr>
          <w:sz w:val="20"/>
          <w:szCs w:val="20"/>
          <w:lang w:val="fr-CA"/>
        </w:rPr>
        <w:t xml:space="preserve"> </w:t>
      </w:r>
      <w:r w:rsidRPr="00AF78C7">
        <w:rPr>
          <w:sz w:val="20"/>
          <w:szCs w:val="20"/>
          <w:lang w:val="fr-CA"/>
        </w:rPr>
        <w:t>400</w:t>
      </w:r>
      <w:r w:rsidR="00FC2575" w:rsidRPr="00AF78C7">
        <w:rPr>
          <w:sz w:val="20"/>
          <w:szCs w:val="20"/>
          <w:lang w:val="fr-CA"/>
        </w:rPr>
        <w:t xml:space="preserve"> </w:t>
      </w:r>
      <w:r w:rsidRPr="00AF78C7">
        <w:rPr>
          <w:sz w:val="20"/>
          <w:szCs w:val="20"/>
          <w:lang w:val="fr-CA"/>
        </w:rPr>
        <w:t xml:space="preserve">$ </w:t>
      </w:r>
    </w:p>
    <w:p w14:paraId="295616F9" w14:textId="77777777" w:rsidR="008B2EED" w:rsidRPr="0066290D" w:rsidRDefault="008B2EED" w:rsidP="008B2EED">
      <w:pPr>
        <w:ind w:left="1080"/>
        <w:rPr>
          <w:sz w:val="22"/>
          <w:szCs w:val="22"/>
          <w:lang w:val="fr-CA"/>
        </w:rPr>
      </w:pPr>
    </w:p>
    <w:p w14:paraId="64A32AC8" w14:textId="5C1340A1" w:rsidR="006A0A34" w:rsidRPr="00AF78C7" w:rsidRDefault="006A0A34" w:rsidP="006C34CF">
      <w:pPr>
        <w:numPr>
          <w:ilvl w:val="0"/>
          <w:numId w:val="121"/>
        </w:numPr>
        <w:rPr>
          <w:sz w:val="20"/>
          <w:szCs w:val="20"/>
          <w:lang w:val="fr-CA"/>
        </w:rPr>
      </w:pPr>
      <w:r w:rsidRPr="00AF78C7">
        <w:rPr>
          <w:i/>
          <w:iCs/>
          <w:sz w:val="20"/>
          <w:szCs w:val="20"/>
          <w:lang w:val="fr-CA"/>
        </w:rPr>
        <w:t>En plus de ce que vous poss</w:t>
      </w:r>
      <w:r w:rsidR="00EA617D" w:rsidRPr="00AF78C7">
        <w:rPr>
          <w:i/>
          <w:iCs/>
          <w:sz w:val="20"/>
          <w:szCs w:val="20"/>
          <w:lang w:val="fr-CA"/>
        </w:rPr>
        <w:t>é</w:t>
      </w:r>
      <w:r w:rsidRPr="00AF78C7">
        <w:rPr>
          <w:i/>
          <w:iCs/>
          <w:sz w:val="20"/>
          <w:szCs w:val="20"/>
          <w:lang w:val="fr-CA"/>
        </w:rPr>
        <w:t>dez d</w:t>
      </w:r>
      <w:r w:rsidR="00EA617D" w:rsidRPr="00AF78C7">
        <w:rPr>
          <w:i/>
          <w:iCs/>
          <w:sz w:val="20"/>
          <w:szCs w:val="20"/>
          <w:lang w:val="fr-CA"/>
        </w:rPr>
        <w:t>é</w:t>
      </w:r>
      <w:r w:rsidRPr="00AF78C7">
        <w:rPr>
          <w:i/>
          <w:iCs/>
          <w:sz w:val="20"/>
          <w:szCs w:val="20"/>
          <w:lang w:val="fr-CA"/>
        </w:rPr>
        <w:t>j</w:t>
      </w:r>
      <w:r w:rsidR="00EA617D" w:rsidRPr="00AF78C7">
        <w:rPr>
          <w:i/>
          <w:iCs/>
          <w:sz w:val="20"/>
          <w:szCs w:val="20"/>
          <w:lang w:val="fr-CA"/>
        </w:rPr>
        <w:t>à</w:t>
      </w:r>
      <w:r w:rsidRPr="00AF78C7">
        <w:rPr>
          <w:i/>
          <w:iCs/>
          <w:sz w:val="20"/>
          <w:szCs w:val="20"/>
          <w:lang w:val="fr-CA"/>
        </w:rPr>
        <w:t xml:space="preserve">, on vous a donné 1 000 $. On vous demande maintenant de choisir entre </w:t>
      </w:r>
      <w:r w:rsidRPr="00AF78C7">
        <w:rPr>
          <w:sz w:val="20"/>
          <w:szCs w:val="20"/>
          <w:lang w:val="fr-CA"/>
        </w:rPr>
        <w:t xml:space="preserve">: </w:t>
      </w:r>
    </w:p>
    <w:p w14:paraId="7CD6CDE0" w14:textId="77777777" w:rsidR="00AE1E45" w:rsidRPr="00AF78C7" w:rsidRDefault="00EA617D" w:rsidP="00EA617D">
      <w:pPr>
        <w:ind w:left="1134"/>
        <w:rPr>
          <w:sz w:val="20"/>
          <w:szCs w:val="20"/>
          <w:lang w:val="fr-CA"/>
        </w:rPr>
      </w:pPr>
      <w:r w:rsidRPr="00AF78C7">
        <w:rPr>
          <w:sz w:val="20"/>
          <w:szCs w:val="20"/>
          <w:lang w:val="fr-CA"/>
        </w:rPr>
        <w:tab/>
      </w:r>
    </w:p>
    <w:p w14:paraId="600178F8" w14:textId="7273D76C" w:rsidR="00EA617D" w:rsidRPr="00AF78C7" w:rsidRDefault="006A0A34" w:rsidP="00EA617D">
      <w:pPr>
        <w:ind w:left="1134"/>
        <w:rPr>
          <w:sz w:val="20"/>
          <w:szCs w:val="20"/>
          <w:lang w:val="fr-CA"/>
        </w:rPr>
      </w:pPr>
      <w:r w:rsidRPr="00AF78C7">
        <w:rPr>
          <w:sz w:val="20"/>
          <w:szCs w:val="20"/>
          <w:lang w:val="fr-CA"/>
        </w:rPr>
        <w:t>a) Un</w:t>
      </w:r>
      <w:r w:rsidR="00EA617D" w:rsidRPr="00AF78C7">
        <w:rPr>
          <w:sz w:val="20"/>
          <w:szCs w:val="20"/>
          <w:lang w:val="fr-CA"/>
        </w:rPr>
        <w:t xml:space="preserve"> </w:t>
      </w:r>
      <w:r w:rsidRPr="00AF78C7">
        <w:rPr>
          <w:sz w:val="20"/>
          <w:szCs w:val="20"/>
          <w:lang w:val="fr-CA"/>
        </w:rPr>
        <w:t>gain</w:t>
      </w:r>
      <w:r w:rsidR="00EA617D" w:rsidRPr="00AF78C7">
        <w:rPr>
          <w:sz w:val="20"/>
          <w:szCs w:val="20"/>
          <w:lang w:val="fr-CA"/>
        </w:rPr>
        <w:t xml:space="preserve"> </w:t>
      </w:r>
      <w:r w:rsidRPr="00AF78C7">
        <w:rPr>
          <w:sz w:val="20"/>
          <w:szCs w:val="20"/>
          <w:lang w:val="fr-CA"/>
        </w:rPr>
        <w:t>assur</w:t>
      </w:r>
      <w:r w:rsidR="00EA617D" w:rsidRPr="00AF78C7">
        <w:rPr>
          <w:sz w:val="20"/>
          <w:szCs w:val="20"/>
          <w:lang w:val="fr-CA"/>
        </w:rPr>
        <w:t xml:space="preserve">é </w:t>
      </w:r>
      <w:r w:rsidRPr="00AF78C7">
        <w:rPr>
          <w:sz w:val="20"/>
          <w:szCs w:val="20"/>
          <w:lang w:val="fr-CA"/>
        </w:rPr>
        <w:t>de</w:t>
      </w:r>
      <w:r w:rsidR="00EA617D" w:rsidRPr="00AF78C7">
        <w:rPr>
          <w:sz w:val="20"/>
          <w:szCs w:val="20"/>
          <w:lang w:val="fr-CA"/>
        </w:rPr>
        <w:t xml:space="preserve"> </w:t>
      </w:r>
      <w:r w:rsidRPr="00AF78C7">
        <w:rPr>
          <w:sz w:val="20"/>
          <w:szCs w:val="20"/>
          <w:lang w:val="fr-CA"/>
        </w:rPr>
        <w:t>500</w:t>
      </w:r>
      <w:r w:rsidR="00EA617D" w:rsidRPr="00AF78C7">
        <w:rPr>
          <w:sz w:val="20"/>
          <w:szCs w:val="20"/>
          <w:lang w:val="fr-CA"/>
        </w:rPr>
        <w:t xml:space="preserve"> </w:t>
      </w:r>
      <w:r w:rsidRPr="00AF78C7">
        <w:rPr>
          <w:sz w:val="20"/>
          <w:szCs w:val="20"/>
          <w:lang w:val="fr-CA"/>
        </w:rPr>
        <w:t>$</w:t>
      </w:r>
      <w:r w:rsidRPr="00AF78C7">
        <w:rPr>
          <w:sz w:val="20"/>
          <w:szCs w:val="20"/>
          <w:lang w:val="fr-CA"/>
        </w:rPr>
        <w:br/>
        <w:t>b) 50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chances</w:t>
      </w:r>
      <w:r w:rsidR="00EA617D" w:rsidRPr="00AF78C7">
        <w:rPr>
          <w:sz w:val="20"/>
          <w:szCs w:val="20"/>
          <w:lang w:val="fr-CA"/>
        </w:rPr>
        <w:t xml:space="preserve"> </w:t>
      </w:r>
      <w:r w:rsidRPr="00AF78C7">
        <w:rPr>
          <w:sz w:val="20"/>
          <w:szCs w:val="20"/>
          <w:lang w:val="fr-CA"/>
        </w:rPr>
        <w:t>de</w:t>
      </w:r>
      <w:r w:rsidR="00EA617D" w:rsidRPr="00AF78C7">
        <w:rPr>
          <w:sz w:val="20"/>
          <w:szCs w:val="20"/>
          <w:lang w:val="fr-CA"/>
        </w:rPr>
        <w:t xml:space="preserve"> </w:t>
      </w:r>
      <w:r w:rsidRPr="00AF78C7">
        <w:rPr>
          <w:sz w:val="20"/>
          <w:szCs w:val="20"/>
          <w:lang w:val="fr-CA"/>
        </w:rPr>
        <w:t>gagner</w:t>
      </w:r>
      <w:r w:rsidR="00EA617D" w:rsidRPr="00AF78C7">
        <w:rPr>
          <w:sz w:val="20"/>
          <w:szCs w:val="20"/>
          <w:lang w:val="fr-CA"/>
        </w:rPr>
        <w:t xml:space="preserve"> 1 </w:t>
      </w:r>
      <w:r w:rsidRPr="00AF78C7">
        <w:rPr>
          <w:sz w:val="20"/>
          <w:szCs w:val="20"/>
          <w:lang w:val="fr-CA"/>
        </w:rPr>
        <w:t>000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et</w:t>
      </w:r>
      <w:r w:rsidR="00EA617D" w:rsidRPr="00AF78C7">
        <w:rPr>
          <w:sz w:val="20"/>
          <w:szCs w:val="20"/>
          <w:lang w:val="fr-CA"/>
        </w:rPr>
        <w:t xml:space="preserve"> </w:t>
      </w:r>
      <w:r w:rsidRPr="00AF78C7">
        <w:rPr>
          <w:sz w:val="20"/>
          <w:szCs w:val="20"/>
          <w:lang w:val="fr-CA"/>
        </w:rPr>
        <w:t>50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chances</w:t>
      </w:r>
      <w:r w:rsidR="00EA617D" w:rsidRPr="00AF78C7">
        <w:rPr>
          <w:sz w:val="20"/>
          <w:szCs w:val="20"/>
          <w:lang w:val="fr-CA"/>
        </w:rPr>
        <w:t xml:space="preserve"> </w:t>
      </w:r>
      <w:r w:rsidRPr="00AF78C7">
        <w:rPr>
          <w:sz w:val="20"/>
          <w:szCs w:val="20"/>
          <w:lang w:val="fr-CA"/>
        </w:rPr>
        <w:t>de</w:t>
      </w:r>
      <w:r w:rsidR="00EA617D" w:rsidRPr="00AF78C7">
        <w:rPr>
          <w:sz w:val="20"/>
          <w:szCs w:val="20"/>
          <w:lang w:val="fr-CA"/>
        </w:rPr>
        <w:t xml:space="preserve"> </w:t>
      </w:r>
      <w:r w:rsidRPr="00AF78C7">
        <w:rPr>
          <w:sz w:val="20"/>
          <w:szCs w:val="20"/>
          <w:lang w:val="fr-CA"/>
        </w:rPr>
        <w:t>ne</w:t>
      </w:r>
      <w:r w:rsidR="00EA617D" w:rsidRPr="00AF78C7">
        <w:rPr>
          <w:sz w:val="20"/>
          <w:szCs w:val="20"/>
          <w:lang w:val="fr-CA"/>
        </w:rPr>
        <w:t xml:space="preserve"> </w:t>
      </w:r>
      <w:r w:rsidRPr="00AF78C7">
        <w:rPr>
          <w:sz w:val="20"/>
          <w:szCs w:val="20"/>
          <w:lang w:val="fr-CA"/>
        </w:rPr>
        <w:t>rien</w:t>
      </w:r>
      <w:r w:rsidR="00EA617D" w:rsidRPr="00AF78C7">
        <w:rPr>
          <w:sz w:val="20"/>
          <w:szCs w:val="20"/>
          <w:lang w:val="fr-CA"/>
        </w:rPr>
        <w:t xml:space="preserve"> </w:t>
      </w:r>
      <w:r w:rsidRPr="00AF78C7">
        <w:rPr>
          <w:sz w:val="20"/>
          <w:szCs w:val="20"/>
          <w:lang w:val="fr-CA"/>
        </w:rPr>
        <w:t>gagner</w:t>
      </w:r>
    </w:p>
    <w:p w14:paraId="62AD2415" w14:textId="338A9DF5" w:rsidR="006A0A34" w:rsidRPr="0066290D" w:rsidRDefault="006A0A34" w:rsidP="006A0A34">
      <w:pPr>
        <w:rPr>
          <w:sz w:val="22"/>
          <w:szCs w:val="22"/>
          <w:lang w:val="fr-CA"/>
        </w:rPr>
      </w:pPr>
      <w:r w:rsidRPr="0066290D">
        <w:rPr>
          <w:sz w:val="22"/>
          <w:szCs w:val="22"/>
          <w:lang w:val="fr-CA"/>
        </w:rPr>
        <w:t xml:space="preserve"> </w:t>
      </w:r>
    </w:p>
    <w:p w14:paraId="274E19EA" w14:textId="0A119D81" w:rsidR="006A0A34" w:rsidRPr="00AF78C7" w:rsidRDefault="00EA617D" w:rsidP="006C34CF">
      <w:pPr>
        <w:numPr>
          <w:ilvl w:val="0"/>
          <w:numId w:val="121"/>
        </w:numPr>
        <w:rPr>
          <w:sz w:val="20"/>
          <w:szCs w:val="20"/>
          <w:lang w:val="fr-CA"/>
        </w:rPr>
      </w:pPr>
      <w:r w:rsidRPr="00AF78C7">
        <w:rPr>
          <w:i/>
          <w:iCs/>
          <w:sz w:val="20"/>
          <w:szCs w:val="20"/>
          <w:lang w:val="fr-CA"/>
        </w:rPr>
        <w:lastRenderedPageBreak/>
        <w:t xml:space="preserve"> </w:t>
      </w:r>
      <w:r w:rsidR="006A0A34" w:rsidRPr="00AF78C7">
        <w:rPr>
          <w:i/>
          <w:iCs/>
          <w:sz w:val="20"/>
          <w:szCs w:val="20"/>
          <w:lang w:val="fr-CA"/>
        </w:rPr>
        <w:t>En plus de ce que vous poss</w:t>
      </w:r>
      <w:r w:rsidRPr="00AF78C7">
        <w:rPr>
          <w:i/>
          <w:iCs/>
          <w:sz w:val="20"/>
          <w:szCs w:val="20"/>
          <w:lang w:val="fr-CA"/>
        </w:rPr>
        <w:t>é</w:t>
      </w:r>
      <w:r w:rsidR="006A0A34" w:rsidRPr="00AF78C7">
        <w:rPr>
          <w:i/>
          <w:iCs/>
          <w:sz w:val="20"/>
          <w:szCs w:val="20"/>
          <w:lang w:val="fr-CA"/>
        </w:rPr>
        <w:t>dez d</w:t>
      </w:r>
      <w:r w:rsidRPr="00AF78C7">
        <w:rPr>
          <w:i/>
          <w:iCs/>
          <w:sz w:val="20"/>
          <w:szCs w:val="20"/>
          <w:lang w:val="fr-CA"/>
        </w:rPr>
        <w:t>é</w:t>
      </w:r>
      <w:r w:rsidR="006A0A34" w:rsidRPr="00AF78C7">
        <w:rPr>
          <w:i/>
          <w:iCs/>
          <w:sz w:val="20"/>
          <w:szCs w:val="20"/>
          <w:lang w:val="fr-CA"/>
        </w:rPr>
        <w:t>j</w:t>
      </w:r>
      <w:r w:rsidRPr="00AF78C7">
        <w:rPr>
          <w:i/>
          <w:iCs/>
          <w:sz w:val="20"/>
          <w:szCs w:val="20"/>
          <w:lang w:val="fr-CA"/>
        </w:rPr>
        <w:t>à</w:t>
      </w:r>
      <w:r w:rsidR="006A0A34" w:rsidRPr="00AF78C7">
        <w:rPr>
          <w:i/>
          <w:iCs/>
          <w:sz w:val="20"/>
          <w:szCs w:val="20"/>
          <w:lang w:val="fr-CA"/>
        </w:rPr>
        <w:t>, on vous a donn</w:t>
      </w:r>
      <w:r w:rsidRPr="00AF78C7">
        <w:rPr>
          <w:i/>
          <w:iCs/>
          <w:sz w:val="20"/>
          <w:szCs w:val="20"/>
          <w:lang w:val="fr-CA"/>
        </w:rPr>
        <w:t>é</w:t>
      </w:r>
      <w:r w:rsidR="006A0A34" w:rsidRPr="00AF78C7">
        <w:rPr>
          <w:i/>
          <w:iCs/>
          <w:sz w:val="20"/>
          <w:szCs w:val="20"/>
          <w:lang w:val="fr-CA"/>
        </w:rPr>
        <w:t xml:space="preserve"> 2 000 $. On vous demande maintenant de choisir entre </w:t>
      </w:r>
      <w:r w:rsidR="006A0A34" w:rsidRPr="00AF78C7">
        <w:rPr>
          <w:sz w:val="20"/>
          <w:szCs w:val="20"/>
          <w:lang w:val="fr-CA"/>
        </w:rPr>
        <w:t xml:space="preserve">: </w:t>
      </w:r>
    </w:p>
    <w:p w14:paraId="7DE443ED" w14:textId="77777777" w:rsidR="001B142C" w:rsidRPr="00AF78C7" w:rsidRDefault="00EA617D" w:rsidP="006A0A34">
      <w:pPr>
        <w:rPr>
          <w:sz w:val="20"/>
          <w:szCs w:val="20"/>
          <w:lang w:val="fr-CA"/>
        </w:rPr>
      </w:pPr>
      <w:r w:rsidRPr="00AF78C7">
        <w:rPr>
          <w:sz w:val="20"/>
          <w:szCs w:val="20"/>
          <w:lang w:val="fr-CA"/>
        </w:rPr>
        <w:tab/>
      </w:r>
      <w:r w:rsidRPr="00AF78C7">
        <w:rPr>
          <w:sz w:val="20"/>
          <w:szCs w:val="20"/>
          <w:lang w:val="fr-CA"/>
        </w:rPr>
        <w:tab/>
      </w:r>
    </w:p>
    <w:p w14:paraId="7A44E924" w14:textId="25F20943" w:rsidR="006A0A34" w:rsidRPr="00AF78C7" w:rsidRDefault="006A0A34" w:rsidP="00B1006C">
      <w:pPr>
        <w:ind w:left="1134"/>
        <w:rPr>
          <w:sz w:val="20"/>
          <w:szCs w:val="20"/>
          <w:lang w:val="fr-CA"/>
        </w:rPr>
      </w:pPr>
      <w:r w:rsidRPr="00AF78C7">
        <w:rPr>
          <w:sz w:val="20"/>
          <w:szCs w:val="20"/>
          <w:lang w:val="fr-CA"/>
        </w:rPr>
        <w:t>a) Une</w:t>
      </w:r>
      <w:r w:rsidR="00EA617D" w:rsidRPr="00AF78C7">
        <w:rPr>
          <w:sz w:val="20"/>
          <w:szCs w:val="20"/>
          <w:lang w:val="fr-CA"/>
        </w:rPr>
        <w:t xml:space="preserve"> </w:t>
      </w:r>
      <w:r w:rsidRPr="00AF78C7">
        <w:rPr>
          <w:sz w:val="20"/>
          <w:szCs w:val="20"/>
          <w:lang w:val="fr-CA"/>
        </w:rPr>
        <w:t>perte</w:t>
      </w:r>
      <w:r w:rsidR="00EA617D" w:rsidRPr="00AF78C7">
        <w:rPr>
          <w:sz w:val="20"/>
          <w:szCs w:val="20"/>
          <w:lang w:val="fr-CA"/>
        </w:rPr>
        <w:t xml:space="preserve"> </w:t>
      </w:r>
      <w:r w:rsidRPr="00AF78C7">
        <w:rPr>
          <w:sz w:val="20"/>
          <w:szCs w:val="20"/>
          <w:lang w:val="fr-CA"/>
        </w:rPr>
        <w:t>assur</w:t>
      </w:r>
      <w:r w:rsidR="00EA617D" w:rsidRPr="00AF78C7">
        <w:rPr>
          <w:sz w:val="20"/>
          <w:szCs w:val="20"/>
          <w:lang w:val="fr-CA"/>
        </w:rPr>
        <w:t>é</w:t>
      </w:r>
      <w:r w:rsidRPr="00AF78C7">
        <w:rPr>
          <w:sz w:val="20"/>
          <w:szCs w:val="20"/>
          <w:lang w:val="fr-CA"/>
        </w:rPr>
        <w:t>e</w:t>
      </w:r>
      <w:r w:rsidR="00EA617D" w:rsidRPr="00AF78C7">
        <w:rPr>
          <w:sz w:val="20"/>
          <w:szCs w:val="20"/>
          <w:lang w:val="fr-CA"/>
        </w:rPr>
        <w:t xml:space="preserve"> </w:t>
      </w:r>
      <w:r w:rsidRPr="00AF78C7">
        <w:rPr>
          <w:sz w:val="20"/>
          <w:szCs w:val="20"/>
          <w:lang w:val="fr-CA"/>
        </w:rPr>
        <w:t>de</w:t>
      </w:r>
      <w:r w:rsidR="00EA617D" w:rsidRPr="00AF78C7">
        <w:rPr>
          <w:sz w:val="20"/>
          <w:szCs w:val="20"/>
          <w:lang w:val="fr-CA"/>
        </w:rPr>
        <w:t xml:space="preserve"> </w:t>
      </w:r>
      <w:r w:rsidRPr="00AF78C7">
        <w:rPr>
          <w:sz w:val="20"/>
          <w:szCs w:val="20"/>
          <w:lang w:val="fr-CA"/>
        </w:rPr>
        <w:t>500</w:t>
      </w:r>
      <w:r w:rsidR="00EA617D" w:rsidRPr="00AF78C7">
        <w:rPr>
          <w:sz w:val="20"/>
          <w:szCs w:val="20"/>
          <w:lang w:val="fr-CA"/>
        </w:rPr>
        <w:t xml:space="preserve"> </w:t>
      </w:r>
      <w:r w:rsidRPr="00AF78C7">
        <w:rPr>
          <w:sz w:val="20"/>
          <w:szCs w:val="20"/>
          <w:lang w:val="fr-CA"/>
        </w:rPr>
        <w:t>$</w:t>
      </w:r>
      <w:r w:rsidRPr="00AF78C7">
        <w:rPr>
          <w:sz w:val="20"/>
          <w:szCs w:val="20"/>
          <w:lang w:val="fr-CA"/>
        </w:rPr>
        <w:br/>
        <w:t>b) 50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chances</w:t>
      </w:r>
      <w:r w:rsidR="00EA617D" w:rsidRPr="00AF78C7">
        <w:rPr>
          <w:sz w:val="20"/>
          <w:szCs w:val="20"/>
          <w:lang w:val="fr-CA"/>
        </w:rPr>
        <w:t xml:space="preserve"> </w:t>
      </w:r>
      <w:r w:rsidRPr="00AF78C7">
        <w:rPr>
          <w:sz w:val="20"/>
          <w:szCs w:val="20"/>
          <w:lang w:val="fr-CA"/>
        </w:rPr>
        <w:t>de</w:t>
      </w:r>
      <w:r w:rsidR="00EA617D" w:rsidRPr="00AF78C7">
        <w:rPr>
          <w:sz w:val="20"/>
          <w:szCs w:val="20"/>
          <w:lang w:val="fr-CA"/>
        </w:rPr>
        <w:t xml:space="preserve"> </w:t>
      </w:r>
      <w:r w:rsidRPr="00AF78C7">
        <w:rPr>
          <w:sz w:val="20"/>
          <w:szCs w:val="20"/>
          <w:lang w:val="fr-CA"/>
        </w:rPr>
        <w:t>perdre1</w:t>
      </w:r>
      <w:r w:rsidR="00EA617D" w:rsidRPr="00AF78C7">
        <w:rPr>
          <w:sz w:val="20"/>
          <w:szCs w:val="20"/>
          <w:lang w:val="fr-CA"/>
        </w:rPr>
        <w:t xml:space="preserve"> </w:t>
      </w:r>
      <w:r w:rsidRPr="00AF78C7">
        <w:rPr>
          <w:sz w:val="20"/>
          <w:szCs w:val="20"/>
          <w:lang w:val="fr-CA"/>
        </w:rPr>
        <w:t>000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et</w:t>
      </w:r>
      <w:r w:rsidR="00EA617D" w:rsidRPr="00AF78C7">
        <w:rPr>
          <w:sz w:val="20"/>
          <w:szCs w:val="20"/>
          <w:lang w:val="fr-CA"/>
        </w:rPr>
        <w:t xml:space="preserve"> </w:t>
      </w:r>
      <w:r w:rsidRPr="00AF78C7">
        <w:rPr>
          <w:sz w:val="20"/>
          <w:szCs w:val="20"/>
          <w:lang w:val="fr-CA"/>
        </w:rPr>
        <w:t>50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chances</w:t>
      </w:r>
      <w:r w:rsidR="00EA617D" w:rsidRPr="00AF78C7">
        <w:rPr>
          <w:sz w:val="20"/>
          <w:szCs w:val="20"/>
          <w:lang w:val="fr-CA"/>
        </w:rPr>
        <w:t xml:space="preserve"> </w:t>
      </w:r>
      <w:r w:rsidRPr="00AF78C7">
        <w:rPr>
          <w:sz w:val="20"/>
          <w:szCs w:val="20"/>
          <w:lang w:val="fr-CA"/>
        </w:rPr>
        <w:t>de</w:t>
      </w:r>
      <w:r w:rsidR="00EA617D" w:rsidRPr="00AF78C7">
        <w:rPr>
          <w:sz w:val="20"/>
          <w:szCs w:val="20"/>
          <w:lang w:val="fr-CA"/>
        </w:rPr>
        <w:t xml:space="preserve"> </w:t>
      </w:r>
      <w:r w:rsidRPr="00AF78C7">
        <w:rPr>
          <w:sz w:val="20"/>
          <w:szCs w:val="20"/>
          <w:lang w:val="fr-CA"/>
        </w:rPr>
        <w:t>ne</w:t>
      </w:r>
      <w:r w:rsidR="00EA617D" w:rsidRPr="00AF78C7">
        <w:rPr>
          <w:sz w:val="20"/>
          <w:szCs w:val="20"/>
          <w:lang w:val="fr-CA"/>
        </w:rPr>
        <w:t xml:space="preserve"> </w:t>
      </w:r>
      <w:r w:rsidRPr="00AF78C7">
        <w:rPr>
          <w:sz w:val="20"/>
          <w:szCs w:val="20"/>
          <w:lang w:val="fr-CA"/>
        </w:rPr>
        <w:t>rien</w:t>
      </w:r>
      <w:r w:rsidR="00EA617D" w:rsidRPr="00AF78C7">
        <w:rPr>
          <w:sz w:val="20"/>
          <w:szCs w:val="20"/>
          <w:lang w:val="fr-CA"/>
        </w:rPr>
        <w:t xml:space="preserve"> </w:t>
      </w:r>
      <w:r w:rsidRPr="00AF78C7">
        <w:rPr>
          <w:sz w:val="20"/>
          <w:szCs w:val="20"/>
          <w:lang w:val="fr-CA"/>
        </w:rPr>
        <w:t xml:space="preserve">perdre </w:t>
      </w:r>
    </w:p>
    <w:p w14:paraId="66BC1A35" w14:textId="77777777" w:rsidR="008B2EED" w:rsidRPr="00AF78C7" w:rsidRDefault="008B2EED" w:rsidP="006A0A34">
      <w:pPr>
        <w:rPr>
          <w:sz w:val="20"/>
          <w:szCs w:val="20"/>
          <w:lang w:val="fr-CA"/>
        </w:rPr>
      </w:pPr>
    </w:p>
    <w:p w14:paraId="40B100B1" w14:textId="10031CBC" w:rsidR="006A0A34" w:rsidRPr="00AF78C7" w:rsidRDefault="00EA617D" w:rsidP="006C34CF">
      <w:pPr>
        <w:numPr>
          <w:ilvl w:val="0"/>
          <w:numId w:val="121"/>
        </w:numPr>
        <w:jc w:val="both"/>
        <w:rPr>
          <w:sz w:val="20"/>
          <w:szCs w:val="20"/>
          <w:lang w:val="fr-CA"/>
        </w:rPr>
      </w:pPr>
      <w:r w:rsidRPr="00AF78C7">
        <w:rPr>
          <w:i/>
          <w:iCs/>
          <w:sz w:val="20"/>
          <w:szCs w:val="20"/>
          <w:lang w:val="fr-CA"/>
        </w:rPr>
        <w:t xml:space="preserve"> </w:t>
      </w:r>
      <w:r w:rsidR="006A0A34" w:rsidRPr="00AF78C7">
        <w:rPr>
          <w:i/>
          <w:iCs/>
          <w:sz w:val="20"/>
          <w:szCs w:val="20"/>
          <w:lang w:val="fr-CA"/>
        </w:rPr>
        <w:t>Supposons qu'un de vos parents vous laisse un h</w:t>
      </w:r>
      <w:r w:rsidRPr="00AF78C7">
        <w:rPr>
          <w:i/>
          <w:iCs/>
          <w:sz w:val="20"/>
          <w:szCs w:val="20"/>
          <w:lang w:val="fr-CA"/>
        </w:rPr>
        <w:t>é</w:t>
      </w:r>
      <w:r w:rsidR="006A0A34" w:rsidRPr="00AF78C7">
        <w:rPr>
          <w:i/>
          <w:iCs/>
          <w:sz w:val="20"/>
          <w:szCs w:val="20"/>
          <w:lang w:val="fr-CA"/>
        </w:rPr>
        <w:t>ritage de 100 000 $, stipulant dans son testament que</w:t>
      </w:r>
      <w:r w:rsidR="005242B9">
        <w:rPr>
          <w:i/>
          <w:iCs/>
          <w:sz w:val="20"/>
          <w:szCs w:val="20"/>
          <w:lang w:val="fr-CA"/>
        </w:rPr>
        <w:t xml:space="preserve"> </w:t>
      </w:r>
      <w:r w:rsidR="006A0A34" w:rsidRPr="00AF78C7">
        <w:rPr>
          <w:i/>
          <w:iCs/>
          <w:sz w:val="20"/>
          <w:szCs w:val="20"/>
          <w:lang w:val="fr-CA"/>
        </w:rPr>
        <w:t xml:space="preserve">devez investir TOUTE </w:t>
      </w:r>
      <w:r w:rsidR="005242B9">
        <w:rPr>
          <w:i/>
          <w:iCs/>
          <w:sz w:val="20"/>
          <w:szCs w:val="20"/>
          <w:lang w:val="fr-CA"/>
        </w:rPr>
        <w:t xml:space="preserve">  </w:t>
      </w:r>
      <w:r w:rsidR="006A0A34" w:rsidRPr="00AF78C7">
        <w:rPr>
          <w:i/>
          <w:iCs/>
          <w:sz w:val="20"/>
          <w:szCs w:val="20"/>
          <w:lang w:val="fr-CA"/>
        </w:rPr>
        <w:t>cette somme dans UN des outils suivants. Lequel choisissez</w:t>
      </w:r>
      <w:r w:rsidR="006A0A34" w:rsidRPr="00AF78C7">
        <w:rPr>
          <w:rFonts w:ascii="American Typewriter Light" w:hAnsi="American Typewriter Light" w:cs="American Typewriter Light"/>
          <w:i/>
          <w:iCs/>
          <w:sz w:val="20"/>
          <w:szCs w:val="20"/>
          <w:lang w:val="fr-CA"/>
        </w:rPr>
        <w:t>‐</w:t>
      </w:r>
      <w:r w:rsidR="006A0A34" w:rsidRPr="00AF78C7">
        <w:rPr>
          <w:i/>
          <w:iCs/>
          <w:sz w:val="20"/>
          <w:szCs w:val="20"/>
          <w:lang w:val="fr-CA"/>
        </w:rPr>
        <w:t>vous</w:t>
      </w:r>
      <w:r w:rsidR="006A0A34" w:rsidRPr="00AF78C7">
        <w:rPr>
          <w:sz w:val="20"/>
          <w:szCs w:val="20"/>
          <w:lang w:val="fr-CA"/>
        </w:rPr>
        <w:t xml:space="preserve">? </w:t>
      </w:r>
    </w:p>
    <w:p w14:paraId="2E18A55F" w14:textId="77777777" w:rsidR="001B142C" w:rsidRPr="00AF78C7" w:rsidRDefault="00AE1E45" w:rsidP="00EA617D">
      <w:pPr>
        <w:ind w:left="1080"/>
        <w:rPr>
          <w:sz w:val="20"/>
          <w:szCs w:val="20"/>
          <w:lang w:val="fr-CA"/>
        </w:rPr>
      </w:pPr>
      <w:r w:rsidRPr="00AF78C7">
        <w:rPr>
          <w:sz w:val="20"/>
          <w:szCs w:val="20"/>
          <w:lang w:val="fr-CA"/>
        </w:rPr>
        <w:tab/>
      </w:r>
    </w:p>
    <w:p w14:paraId="61744E74" w14:textId="5386CC9C" w:rsidR="006A0A34" w:rsidRPr="00AF78C7" w:rsidRDefault="006A0A34" w:rsidP="005242B9">
      <w:pPr>
        <w:ind w:left="1134"/>
        <w:rPr>
          <w:sz w:val="20"/>
          <w:szCs w:val="20"/>
          <w:lang w:val="fr-CA"/>
        </w:rPr>
      </w:pPr>
      <w:r w:rsidRPr="00AF78C7">
        <w:rPr>
          <w:sz w:val="20"/>
          <w:szCs w:val="20"/>
          <w:lang w:val="fr-CA"/>
        </w:rPr>
        <w:t>a)  Un</w:t>
      </w:r>
      <w:r w:rsidR="00EA617D" w:rsidRPr="00AF78C7">
        <w:rPr>
          <w:sz w:val="20"/>
          <w:szCs w:val="20"/>
          <w:lang w:val="fr-CA"/>
        </w:rPr>
        <w:t xml:space="preserve"> </w:t>
      </w:r>
      <w:r w:rsidRPr="00AF78C7">
        <w:rPr>
          <w:sz w:val="20"/>
          <w:szCs w:val="20"/>
          <w:lang w:val="fr-CA"/>
        </w:rPr>
        <w:t>compte</w:t>
      </w:r>
      <w:r w:rsidR="00EA617D" w:rsidRPr="00AF78C7">
        <w:rPr>
          <w:sz w:val="20"/>
          <w:szCs w:val="20"/>
          <w:lang w:val="fr-CA"/>
        </w:rPr>
        <w:t xml:space="preserve"> </w:t>
      </w:r>
      <w:r w:rsidRPr="00AF78C7">
        <w:rPr>
          <w:sz w:val="20"/>
          <w:szCs w:val="20"/>
          <w:lang w:val="fr-CA"/>
        </w:rPr>
        <w:t>d'</w:t>
      </w:r>
      <w:r w:rsidR="00EA617D" w:rsidRPr="00AF78C7">
        <w:rPr>
          <w:sz w:val="20"/>
          <w:szCs w:val="20"/>
          <w:lang w:val="fr-CA"/>
        </w:rPr>
        <w:t>é</w:t>
      </w:r>
      <w:r w:rsidRPr="00AF78C7">
        <w:rPr>
          <w:sz w:val="20"/>
          <w:szCs w:val="20"/>
          <w:lang w:val="fr-CA"/>
        </w:rPr>
        <w:t>pargne</w:t>
      </w:r>
      <w:r w:rsidR="00EA617D" w:rsidRPr="00AF78C7">
        <w:rPr>
          <w:sz w:val="20"/>
          <w:szCs w:val="20"/>
          <w:lang w:val="fr-CA"/>
        </w:rPr>
        <w:t xml:space="preserve"> </w:t>
      </w:r>
      <w:r w:rsidRPr="00AF78C7">
        <w:rPr>
          <w:sz w:val="20"/>
          <w:szCs w:val="20"/>
          <w:lang w:val="fr-CA"/>
        </w:rPr>
        <w:t>ou</w:t>
      </w:r>
      <w:r w:rsidR="00EA617D" w:rsidRPr="00AF78C7">
        <w:rPr>
          <w:sz w:val="20"/>
          <w:szCs w:val="20"/>
          <w:lang w:val="fr-CA"/>
        </w:rPr>
        <w:t xml:space="preserve"> </w:t>
      </w:r>
      <w:r w:rsidRPr="00AF78C7">
        <w:rPr>
          <w:sz w:val="20"/>
          <w:szCs w:val="20"/>
          <w:lang w:val="fr-CA"/>
        </w:rPr>
        <w:t>un</w:t>
      </w:r>
      <w:r w:rsidR="00EA617D" w:rsidRPr="00AF78C7">
        <w:rPr>
          <w:sz w:val="20"/>
          <w:szCs w:val="20"/>
          <w:lang w:val="fr-CA"/>
        </w:rPr>
        <w:t xml:space="preserve"> </w:t>
      </w:r>
      <w:r w:rsidRPr="00AF78C7">
        <w:rPr>
          <w:sz w:val="20"/>
          <w:szCs w:val="20"/>
          <w:lang w:val="fr-CA"/>
        </w:rPr>
        <w:t>fonds</w:t>
      </w:r>
      <w:r w:rsidR="00EA617D" w:rsidRPr="00AF78C7">
        <w:rPr>
          <w:sz w:val="20"/>
          <w:szCs w:val="20"/>
          <w:lang w:val="fr-CA"/>
        </w:rPr>
        <w:t xml:space="preserve"> </w:t>
      </w:r>
      <w:r w:rsidRPr="00AF78C7">
        <w:rPr>
          <w:sz w:val="20"/>
          <w:szCs w:val="20"/>
          <w:lang w:val="fr-CA"/>
        </w:rPr>
        <w:t>du</w:t>
      </w:r>
      <w:r w:rsidR="00EA617D" w:rsidRPr="00AF78C7">
        <w:rPr>
          <w:sz w:val="20"/>
          <w:szCs w:val="20"/>
          <w:lang w:val="fr-CA"/>
        </w:rPr>
        <w:t xml:space="preserve"> </w:t>
      </w:r>
      <w:r w:rsidRPr="00AF78C7">
        <w:rPr>
          <w:sz w:val="20"/>
          <w:szCs w:val="20"/>
          <w:lang w:val="fr-CA"/>
        </w:rPr>
        <w:t>march</w:t>
      </w:r>
      <w:r w:rsidR="00EA617D" w:rsidRPr="00AF78C7">
        <w:rPr>
          <w:sz w:val="20"/>
          <w:szCs w:val="20"/>
          <w:lang w:val="fr-CA"/>
        </w:rPr>
        <w:t xml:space="preserve">é </w:t>
      </w:r>
      <w:r w:rsidRPr="00AF78C7">
        <w:rPr>
          <w:sz w:val="20"/>
          <w:szCs w:val="20"/>
          <w:lang w:val="fr-CA"/>
        </w:rPr>
        <w:t>mon</w:t>
      </w:r>
      <w:r w:rsidR="00EA617D" w:rsidRPr="00AF78C7">
        <w:rPr>
          <w:sz w:val="20"/>
          <w:szCs w:val="20"/>
          <w:lang w:val="fr-CA"/>
        </w:rPr>
        <w:t>é</w:t>
      </w:r>
      <w:r w:rsidRPr="00AF78C7">
        <w:rPr>
          <w:sz w:val="20"/>
          <w:szCs w:val="20"/>
          <w:lang w:val="fr-CA"/>
        </w:rPr>
        <w:t xml:space="preserve">taire </w:t>
      </w:r>
    </w:p>
    <w:p w14:paraId="45F2B545" w14:textId="75646BB6" w:rsidR="006A0A34" w:rsidRPr="00AF78C7" w:rsidRDefault="006A0A34" w:rsidP="005242B9">
      <w:pPr>
        <w:ind w:left="1134"/>
        <w:rPr>
          <w:sz w:val="20"/>
          <w:szCs w:val="20"/>
          <w:lang w:val="fr-CA"/>
        </w:rPr>
      </w:pPr>
      <w:r w:rsidRPr="00AF78C7">
        <w:rPr>
          <w:sz w:val="20"/>
          <w:szCs w:val="20"/>
          <w:lang w:val="fr-CA"/>
        </w:rPr>
        <w:t>b)  Un</w:t>
      </w:r>
      <w:r w:rsidR="00EA617D" w:rsidRPr="00AF78C7">
        <w:rPr>
          <w:sz w:val="20"/>
          <w:szCs w:val="20"/>
          <w:lang w:val="fr-CA"/>
        </w:rPr>
        <w:t xml:space="preserve"> </w:t>
      </w:r>
      <w:r w:rsidRPr="00AF78C7">
        <w:rPr>
          <w:sz w:val="20"/>
          <w:szCs w:val="20"/>
          <w:lang w:val="fr-CA"/>
        </w:rPr>
        <w:t>fonds</w:t>
      </w:r>
      <w:r w:rsidR="00EA617D" w:rsidRPr="00AF78C7">
        <w:rPr>
          <w:sz w:val="20"/>
          <w:szCs w:val="20"/>
          <w:lang w:val="fr-CA"/>
        </w:rPr>
        <w:t xml:space="preserve"> </w:t>
      </w:r>
      <w:r w:rsidRPr="00AF78C7">
        <w:rPr>
          <w:sz w:val="20"/>
          <w:szCs w:val="20"/>
          <w:lang w:val="fr-CA"/>
        </w:rPr>
        <w:t>commun</w:t>
      </w:r>
      <w:r w:rsidR="00EA617D" w:rsidRPr="00AF78C7">
        <w:rPr>
          <w:sz w:val="20"/>
          <w:szCs w:val="20"/>
          <w:lang w:val="fr-CA"/>
        </w:rPr>
        <w:t xml:space="preserve"> </w:t>
      </w:r>
      <w:r w:rsidRPr="00AF78C7">
        <w:rPr>
          <w:sz w:val="20"/>
          <w:szCs w:val="20"/>
          <w:lang w:val="fr-CA"/>
        </w:rPr>
        <w:t>qui</w:t>
      </w:r>
      <w:r w:rsidR="00EA617D" w:rsidRPr="00AF78C7">
        <w:rPr>
          <w:sz w:val="20"/>
          <w:szCs w:val="20"/>
          <w:lang w:val="fr-CA"/>
        </w:rPr>
        <w:t xml:space="preserve"> </w:t>
      </w:r>
      <w:r w:rsidRPr="00AF78C7">
        <w:rPr>
          <w:sz w:val="20"/>
          <w:szCs w:val="20"/>
          <w:lang w:val="fr-CA"/>
        </w:rPr>
        <w:t>poss</w:t>
      </w:r>
      <w:r w:rsidR="00EA617D" w:rsidRPr="00AF78C7">
        <w:rPr>
          <w:sz w:val="20"/>
          <w:szCs w:val="20"/>
          <w:lang w:val="fr-CA"/>
        </w:rPr>
        <w:t>è</w:t>
      </w:r>
      <w:r w:rsidRPr="00AF78C7">
        <w:rPr>
          <w:sz w:val="20"/>
          <w:szCs w:val="20"/>
          <w:lang w:val="fr-CA"/>
        </w:rPr>
        <w:t>de</w:t>
      </w:r>
      <w:r w:rsidR="00EA617D" w:rsidRPr="00AF78C7">
        <w:rPr>
          <w:sz w:val="20"/>
          <w:szCs w:val="20"/>
          <w:lang w:val="fr-CA"/>
        </w:rPr>
        <w:t xml:space="preserve"> à </w:t>
      </w:r>
      <w:r w:rsidRPr="00AF78C7">
        <w:rPr>
          <w:sz w:val="20"/>
          <w:szCs w:val="20"/>
          <w:lang w:val="fr-CA"/>
        </w:rPr>
        <w:t>la</w:t>
      </w:r>
      <w:r w:rsidR="00EA617D" w:rsidRPr="00AF78C7">
        <w:rPr>
          <w:sz w:val="20"/>
          <w:szCs w:val="20"/>
          <w:lang w:val="fr-CA"/>
        </w:rPr>
        <w:t xml:space="preserve"> </w:t>
      </w:r>
      <w:r w:rsidRPr="00AF78C7">
        <w:rPr>
          <w:sz w:val="20"/>
          <w:szCs w:val="20"/>
          <w:lang w:val="fr-CA"/>
        </w:rPr>
        <w:t>fois</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actions</w:t>
      </w:r>
      <w:r w:rsidR="00EA617D" w:rsidRPr="00AF78C7">
        <w:rPr>
          <w:sz w:val="20"/>
          <w:szCs w:val="20"/>
          <w:lang w:val="fr-CA"/>
        </w:rPr>
        <w:t xml:space="preserve"> </w:t>
      </w:r>
      <w:r w:rsidRPr="00AF78C7">
        <w:rPr>
          <w:sz w:val="20"/>
          <w:szCs w:val="20"/>
          <w:lang w:val="fr-CA"/>
        </w:rPr>
        <w:t>et</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 xml:space="preserve">obligations </w:t>
      </w:r>
    </w:p>
    <w:p w14:paraId="0B20FEF2" w14:textId="28852CAA" w:rsidR="006A0A34" w:rsidRPr="00AF78C7" w:rsidRDefault="006A0A34" w:rsidP="005242B9">
      <w:pPr>
        <w:ind w:left="1134"/>
        <w:rPr>
          <w:sz w:val="20"/>
          <w:szCs w:val="20"/>
          <w:lang w:val="fr-CA"/>
        </w:rPr>
      </w:pPr>
      <w:r w:rsidRPr="00AF78C7">
        <w:rPr>
          <w:sz w:val="20"/>
          <w:szCs w:val="20"/>
          <w:lang w:val="fr-CA"/>
        </w:rPr>
        <w:t xml:space="preserve">c)  Un portefeuille de 15 actions ordinaires </w:t>
      </w:r>
    </w:p>
    <w:p w14:paraId="0BE14C74" w14:textId="180F3FDD" w:rsidR="006A0A34" w:rsidRPr="00AF78C7" w:rsidRDefault="006A0A34" w:rsidP="005242B9">
      <w:pPr>
        <w:ind w:left="1134"/>
        <w:rPr>
          <w:sz w:val="20"/>
          <w:szCs w:val="20"/>
          <w:lang w:val="fr-CA"/>
        </w:rPr>
      </w:pPr>
      <w:r w:rsidRPr="00AF78C7">
        <w:rPr>
          <w:sz w:val="20"/>
          <w:szCs w:val="20"/>
          <w:lang w:val="fr-CA"/>
        </w:rPr>
        <w:t>d)  Des</w:t>
      </w:r>
      <w:r w:rsidR="00AE1E45" w:rsidRPr="00AF78C7">
        <w:rPr>
          <w:sz w:val="20"/>
          <w:szCs w:val="20"/>
          <w:lang w:val="fr-CA"/>
        </w:rPr>
        <w:t xml:space="preserve"> </w:t>
      </w:r>
      <w:r w:rsidRPr="00AF78C7">
        <w:rPr>
          <w:sz w:val="20"/>
          <w:szCs w:val="20"/>
          <w:lang w:val="fr-CA"/>
        </w:rPr>
        <w:t>biens</w:t>
      </w:r>
      <w:r w:rsidR="00AE1E45" w:rsidRPr="00AF78C7">
        <w:rPr>
          <w:sz w:val="20"/>
          <w:szCs w:val="20"/>
          <w:lang w:val="fr-CA"/>
        </w:rPr>
        <w:t xml:space="preserve"> </w:t>
      </w:r>
      <w:r w:rsidRPr="00AF78C7">
        <w:rPr>
          <w:sz w:val="20"/>
          <w:szCs w:val="20"/>
          <w:lang w:val="fr-CA"/>
        </w:rPr>
        <w:t>comme</w:t>
      </w:r>
      <w:r w:rsidR="00AE1E45" w:rsidRPr="00AF78C7">
        <w:rPr>
          <w:sz w:val="20"/>
          <w:szCs w:val="20"/>
          <w:lang w:val="fr-CA"/>
        </w:rPr>
        <w:t xml:space="preserve"> </w:t>
      </w:r>
      <w:r w:rsidRPr="00AF78C7">
        <w:rPr>
          <w:sz w:val="20"/>
          <w:szCs w:val="20"/>
          <w:lang w:val="fr-CA"/>
        </w:rPr>
        <w:t>l'or,</w:t>
      </w:r>
      <w:r w:rsidR="00AE1E45" w:rsidRPr="00AF78C7">
        <w:rPr>
          <w:sz w:val="20"/>
          <w:szCs w:val="20"/>
          <w:lang w:val="fr-CA"/>
        </w:rPr>
        <w:t xml:space="preserve"> </w:t>
      </w:r>
      <w:r w:rsidRPr="00AF78C7">
        <w:rPr>
          <w:sz w:val="20"/>
          <w:szCs w:val="20"/>
          <w:lang w:val="fr-CA"/>
        </w:rPr>
        <w:t>l'argent</w:t>
      </w:r>
      <w:r w:rsidR="00AE1E45" w:rsidRPr="00AF78C7">
        <w:rPr>
          <w:sz w:val="20"/>
          <w:szCs w:val="20"/>
          <w:lang w:val="fr-CA"/>
        </w:rPr>
        <w:t xml:space="preserve"> </w:t>
      </w:r>
      <w:r w:rsidRPr="00AF78C7">
        <w:rPr>
          <w:sz w:val="20"/>
          <w:szCs w:val="20"/>
          <w:lang w:val="fr-CA"/>
        </w:rPr>
        <w:t>et</w:t>
      </w:r>
      <w:r w:rsidR="00AE1E45" w:rsidRPr="00AF78C7">
        <w:rPr>
          <w:sz w:val="20"/>
          <w:szCs w:val="20"/>
          <w:lang w:val="fr-CA"/>
        </w:rPr>
        <w:t xml:space="preserve"> </w:t>
      </w:r>
      <w:r w:rsidRPr="00AF78C7">
        <w:rPr>
          <w:sz w:val="20"/>
          <w:szCs w:val="20"/>
          <w:lang w:val="fr-CA"/>
        </w:rPr>
        <w:t>le</w:t>
      </w:r>
      <w:r w:rsidR="00AE1E45" w:rsidRPr="00AF78C7">
        <w:rPr>
          <w:sz w:val="20"/>
          <w:szCs w:val="20"/>
          <w:lang w:val="fr-CA"/>
        </w:rPr>
        <w:t xml:space="preserve"> </w:t>
      </w:r>
      <w:r w:rsidRPr="00AF78C7">
        <w:rPr>
          <w:sz w:val="20"/>
          <w:szCs w:val="20"/>
          <w:lang w:val="fr-CA"/>
        </w:rPr>
        <w:t xml:space="preserve">gaz </w:t>
      </w:r>
    </w:p>
    <w:p w14:paraId="59465598" w14:textId="77777777" w:rsidR="008B2EED" w:rsidRPr="00AF78C7" w:rsidRDefault="008B2EED" w:rsidP="008B2EED">
      <w:pPr>
        <w:ind w:left="1080"/>
        <w:rPr>
          <w:sz w:val="20"/>
          <w:szCs w:val="20"/>
          <w:lang w:val="fr-CA"/>
        </w:rPr>
      </w:pPr>
    </w:p>
    <w:p w14:paraId="6373B643" w14:textId="77777777" w:rsidR="00B1006C" w:rsidRPr="00AF78C7" w:rsidRDefault="00B1006C" w:rsidP="008B2EED">
      <w:pPr>
        <w:ind w:left="1080"/>
        <w:rPr>
          <w:sz w:val="20"/>
          <w:szCs w:val="20"/>
          <w:lang w:val="fr-CA"/>
        </w:rPr>
      </w:pPr>
    </w:p>
    <w:p w14:paraId="5D3EBD01" w14:textId="3D15F7B9" w:rsidR="006A0A34" w:rsidRPr="00AF78C7" w:rsidRDefault="00AE1E45" w:rsidP="006C34CF">
      <w:pPr>
        <w:numPr>
          <w:ilvl w:val="0"/>
          <w:numId w:val="121"/>
        </w:numPr>
        <w:rPr>
          <w:sz w:val="20"/>
          <w:szCs w:val="20"/>
          <w:lang w:val="fr-CA"/>
        </w:rPr>
      </w:pPr>
      <w:r w:rsidRPr="00AF78C7">
        <w:rPr>
          <w:i/>
          <w:iCs/>
          <w:sz w:val="20"/>
          <w:szCs w:val="20"/>
          <w:lang w:val="fr-CA"/>
        </w:rPr>
        <w:t xml:space="preserve"> </w:t>
      </w:r>
      <w:r w:rsidR="006A0A34" w:rsidRPr="00AF78C7">
        <w:rPr>
          <w:i/>
          <w:iCs/>
          <w:sz w:val="20"/>
          <w:szCs w:val="20"/>
          <w:lang w:val="fr-CA"/>
        </w:rPr>
        <w:t xml:space="preserve">Si vous aviez </w:t>
      </w:r>
      <w:r w:rsidRPr="00AF78C7">
        <w:rPr>
          <w:i/>
          <w:iCs/>
          <w:sz w:val="20"/>
          <w:szCs w:val="20"/>
          <w:lang w:val="fr-CA"/>
        </w:rPr>
        <w:t>à</w:t>
      </w:r>
      <w:r w:rsidR="006A0A34" w:rsidRPr="00AF78C7">
        <w:rPr>
          <w:i/>
          <w:iCs/>
          <w:sz w:val="20"/>
          <w:szCs w:val="20"/>
          <w:lang w:val="fr-CA"/>
        </w:rPr>
        <w:t xml:space="preserve"> investir 20 000 $, laquelle des options de placement suivantes trouveriez</w:t>
      </w:r>
      <w:r w:rsidR="006A0A34" w:rsidRPr="00AF78C7">
        <w:rPr>
          <w:rFonts w:ascii="American Typewriter Light" w:hAnsi="American Typewriter Light" w:cs="American Typewriter Light"/>
          <w:i/>
          <w:iCs/>
          <w:sz w:val="20"/>
          <w:szCs w:val="20"/>
          <w:lang w:val="fr-CA"/>
        </w:rPr>
        <w:t>‐</w:t>
      </w:r>
      <w:r w:rsidR="006A0A34" w:rsidRPr="00AF78C7">
        <w:rPr>
          <w:i/>
          <w:iCs/>
          <w:sz w:val="20"/>
          <w:szCs w:val="20"/>
          <w:lang w:val="fr-CA"/>
        </w:rPr>
        <w:t>vous la plus</w:t>
      </w:r>
      <w:r w:rsidR="005242B9">
        <w:rPr>
          <w:i/>
          <w:iCs/>
          <w:sz w:val="20"/>
          <w:szCs w:val="20"/>
          <w:lang w:val="fr-CA"/>
        </w:rPr>
        <w:t xml:space="preserve"> </w:t>
      </w:r>
      <w:r w:rsidR="006A0A34" w:rsidRPr="00AF78C7">
        <w:rPr>
          <w:i/>
          <w:iCs/>
          <w:sz w:val="20"/>
          <w:szCs w:val="20"/>
          <w:lang w:val="fr-CA"/>
        </w:rPr>
        <w:t>attirante</w:t>
      </w:r>
      <w:r w:rsidR="006A0A34" w:rsidRPr="00AF78C7">
        <w:rPr>
          <w:sz w:val="20"/>
          <w:szCs w:val="20"/>
          <w:lang w:val="fr-CA"/>
        </w:rPr>
        <w:t xml:space="preserve">? </w:t>
      </w:r>
    </w:p>
    <w:p w14:paraId="515DB8FE" w14:textId="77777777" w:rsidR="001B142C" w:rsidRPr="00AF78C7" w:rsidRDefault="001B142C" w:rsidP="001B142C">
      <w:pPr>
        <w:ind w:left="360"/>
        <w:rPr>
          <w:sz w:val="20"/>
          <w:szCs w:val="20"/>
          <w:lang w:val="fr-CA"/>
        </w:rPr>
      </w:pPr>
    </w:p>
    <w:p w14:paraId="572A8702" w14:textId="4404BB18" w:rsidR="001B142C" w:rsidRPr="00AF78C7" w:rsidRDefault="006A0A34" w:rsidP="005242B9">
      <w:pPr>
        <w:ind w:left="1134"/>
        <w:rPr>
          <w:sz w:val="20"/>
          <w:szCs w:val="20"/>
          <w:lang w:val="fr-CA"/>
        </w:rPr>
      </w:pPr>
      <w:r w:rsidRPr="00AF78C7">
        <w:rPr>
          <w:sz w:val="20"/>
          <w:szCs w:val="20"/>
          <w:lang w:val="fr-CA"/>
        </w:rPr>
        <w:t>a)  60%</w:t>
      </w:r>
      <w:r w:rsidR="00AE1E45" w:rsidRPr="00AF78C7">
        <w:rPr>
          <w:sz w:val="20"/>
          <w:szCs w:val="20"/>
          <w:lang w:val="fr-CA"/>
        </w:rPr>
        <w:t xml:space="preserve"> </w:t>
      </w:r>
      <w:r w:rsidRPr="00AF78C7">
        <w:rPr>
          <w:sz w:val="20"/>
          <w:szCs w:val="20"/>
          <w:lang w:val="fr-CA"/>
        </w:rPr>
        <w:t>dans</w:t>
      </w:r>
      <w:r w:rsidR="00AE1E45" w:rsidRPr="00AF78C7">
        <w:rPr>
          <w:sz w:val="20"/>
          <w:szCs w:val="20"/>
          <w:lang w:val="fr-CA"/>
        </w:rPr>
        <w:t xml:space="preserve"> </w:t>
      </w:r>
      <w:r w:rsidRPr="00AF78C7">
        <w:rPr>
          <w:sz w:val="20"/>
          <w:szCs w:val="20"/>
          <w:lang w:val="fr-CA"/>
        </w:rPr>
        <w:t>des</w:t>
      </w:r>
      <w:r w:rsidR="00AE1E45" w:rsidRPr="00AF78C7">
        <w:rPr>
          <w:sz w:val="20"/>
          <w:szCs w:val="20"/>
          <w:lang w:val="fr-CA"/>
        </w:rPr>
        <w:t xml:space="preserve"> </w:t>
      </w:r>
      <w:r w:rsidRPr="00AF78C7">
        <w:rPr>
          <w:sz w:val="20"/>
          <w:szCs w:val="20"/>
          <w:lang w:val="fr-CA"/>
        </w:rPr>
        <w:t>placements</w:t>
      </w:r>
      <w:r w:rsidR="00AE1E45" w:rsidRPr="00AF78C7">
        <w:rPr>
          <w:sz w:val="20"/>
          <w:szCs w:val="20"/>
          <w:lang w:val="fr-CA"/>
        </w:rPr>
        <w:t xml:space="preserve"> à </w:t>
      </w:r>
      <w:r w:rsidRPr="00AF78C7">
        <w:rPr>
          <w:sz w:val="20"/>
          <w:szCs w:val="20"/>
          <w:lang w:val="fr-CA"/>
        </w:rPr>
        <w:t>faible</w:t>
      </w:r>
      <w:r w:rsidR="00AE1E45" w:rsidRPr="00AF78C7">
        <w:rPr>
          <w:sz w:val="20"/>
          <w:szCs w:val="20"/>
          <w:lang w:val="fr-CA"/>
        </w:rPr>
        <w:t xml:space="preserve"> </w:t>
      </w:r>
      <w:r w:rsidRPr="00AF78C7">
        <w:rPr>
          <w:sz w:val="20"/>
          <w:szCs w:val="20"/>
          <w:lang w:val="fr-CA"/>
        </w:rPr>
        <w:t>risque,</w:t>
      </w:r>
      <w:r w:rsidR="00AE1E45" w:rsidRPr="00AF78C7">
        <w:rPr>
          <w:sz w:val="20"/>
          <w:szCs w:val="20"/>
          <w:lang w:val="fr-CA"/>
        </w:rPr>
        <w:t xml:space="preserve"> </w:t>
      </w:r>
      <w:r w:rsidRPr="00AF78C7">
        <w:rPr>
          <w:sz w:val="20"/>
          <w:szCs w:val="20"/>
          <w:lang w:val="fr-CA"/>
        </w:rPr>
        <w:t>30</w:t>
      </w:r>
      <w:r w:rsidR="00AE1E45" w:rsidRPr="00AF78C7">
        <w:rPr>
          <w:sz w:val="20"/>
          <w:szCs w:val="20"/>
          <w:lang w:val="fr-CA"/>
        </w:rPr>
        <w:t xml:space="preserve"> </w:t>
      </w:r>
      <w:r w:rsidRPr="00AF78C7">
        <w:rPr>
          <w:sz w:val="20"/>
          <w:szCs w:val="20"/>
          <w:lang w:val="fr-CA"/>
        </w:rPr>
        <w:t>%</w:t>
      </w:r>
      <w:r w:rsidR="00AE1E45" w:rsidRPr="00AF78C7">
        <w:rPr>
          <w:sz w:val="20"/>
          <w:szCs w:val="20"/>
          <w:lang w:val="fr-CA"/>
        </w:rPr>
        <w:t xml:space="preserve"> </w:t>
      </w:r>
      <w:r w:rsidRPr="00AF78C7">
        <w:rPr>
          <w:sz w:val="20"/>
          <w:szCs w:val="20"/>
          <w:lang w:val="fr-CA"/>
        </w:rPr>
        <w:t>dans</w:t>
      </w:r>
      <w:r w:rsidR="00AE1E45" w:rsidRPr="00AF78C7">
        <w:rPr>
          <w:sz w:val="20"/>
          <w:szCs w:val="20"/>
          <w:lang w:val="fr-CA"/>
        </w:rPr>
        <w:t xml:space="preserve"> </w:t>
      </w:r>
      <w:r w:rsidRPr="00AF78C7">
        <w:rPr>
          <w:sz w:val="20"/>
          <w:szCs w:val="20"/>
          <w:lang w:val="fr-CA"/>
        </w:rPr>
        <w:t>des</w:t>
      </w:r>
      <w:r w:rsidR="00AE1E45" w:rsidRPr="00AF78C7">
        <w:rPr>
          <w:sz w:val="20"/>
          <w:szCs w:val="20"/>
          <w:lang w:val="fr-CA"/>
        </w:rPr>
        <w:t xml:space="preserve"> </w:t>
      </w:r>
      <w:r w:rsidRPr="00AF78C7">
        <w:rPr>
          <w:sz w:val="20"/>
          <w:szCs w:val="20"/>
          <w:lang w:val="fr-CA"/>
        </w:rPr>
        <w:t>placements</w:t>
      </w:r>
      <w:r w:rsidR="00AE1E45" w:rsidRPr="00AF78C7">
        <w:rPr>
          <w:sz w:val="20"/>
          <w:szCs w:val="20"/>
          <w:lang w:val="fr-CA"/>
        </w:rPr>
        <w:t xml:space="preserve"> à </w:t>
      </w:r>
      <w:r w:rsidRPr="00AF78C7">
        <w:rPr>
          <w:sz w:val="20"/>
          <w:szCs w:val="20"/>
          <w:lang w:val="fr-CA"/>
        </w:rPr>
        <w:t>risque</w:t>
      </w:r>
      <w:r w:rsidR="00AE1E45" w:rsidRPr="00AF78C7">
        <w:rPr>
          <w:sz w:val="20"/>
          <w:szCs w:val="20"/>
          <w:lang w:val="fr-CA"/>
        </w:rPr>
        <w:t xml:space="preserve"> </w:t>
      </w:r>
      <w:r w:rsidRPr="00AF78C7">
        <w:rPr>
          <w:sz w:val="20"/>
          <w:szCs w:val="20"/>
          <w:lang w:val="fr-CA"/>
        </w:rPr>
        <w:t>moyen,</w:t>
      </w:r>
      <w:r w:rsidR="00AE1E45" w:rsidRPr="00AF78C7">
        <w:rPr>
          <w:sz w:val="20"/>
          <w:szCs w:val="20"/>
          <w:lang w:val="fr-CA"/>
        </w:rPr>
        <w:t xml:space="preserve"> 1</w:t>
      </w:r>
      <w:r w:rsidRPr="00AF78C7">
        <w:rPr>
          <w:sz w:val="20"/>
          <w:szCs w:val="20"/>
          <w:lang w:val="fr-CA"/>
        </w:rPr>
        <w:t>0</w:t>
      </w:r>
      <w:r w:rsidR="00AE1E45" w:rsidRPr="00AF78C7">
        <w:rPr>
          <w:sz w:val="20"/>
          <w:szCs w:val="20"/>
          <w:lang w:val="fr-CA"/>
        </w:rPr>
        <w:t xml:space="preserve"> </w:t>
      </w:r>
      <w:r w:rsidRPr="00AF78C7">
        <w:rPr>
          <w:sz w:val="20"/>
          <w:szCs w:val="20"/>
          <w:lang w:val="fr-CA"/>
        </w:rPr>
        <w:t>%</w:t>
      </w:r>
      <w:r w:rsidR="00AE1E45" w:rsidRPr="00AF78C7">
        <w:rPr>
          <w:sz w:val="20"/>
          <w:szCs w:val="20"/>
          <w:lang w:val="fr-CA"/>
        </w:rPr>
        <w:t xml:space="preserve"> </w:t>
      </w:r>
      <w:r w:rsidRPr="00AF78C7">
        <w:rPr>
          <w:sz w:val="20"/>
          <w:szCs w:val="20"/>
          <w:lang w:val="fr-CA"/>
        </w:rPr>
        <w:t>dans</w:t>
      </w:r>
      <w:r w:rsidR="005242B9">
        <w:rPr>
          <w:sz w:val="20"/>
          <w:szCs w:val="20"/>
          <w:lang w:val="fr-CA"/>
        </w:rPr>
        <w:t xml:space="preserve"> </w:t>
      </w:r>
      <w:r w:rsidRPr="00AF78C7">
        <w:rPr>
          <w:sz w:val="20"/>
          <w:szCs w:val="20"/>
          <w:lang w:val="fr-CA"/>
        </w:rPr>
        <w:t xml:space="preserve">des placements </w:t>
      </w:r>
      <w:r w:rsidR="00AE1E45" w:rsidRPr="00AF78C7">
        <w:rPr>
          <w:sz w:val="20"/>
          <w:szCs w:val="20"/>
          <w:lang w:val="fr-CA"/>
        </w:rPr>
        <w:t>à</w:t>
      </w:r>
      <w:r w:rsidRPr="00AF78C7">
        <w:rPr>
          <w:sz w:val="20"/>
          <w:szCs w:val="20"/>
          <w:lang w:val="fr-CA"/>
        </w:rPr>
        <w:t xml:space="preserve"> </w:t>
      </w:r>
      <w:r w:rsidR="005242B9">
        <w:rPr>
          <w:sz w:val="20"/>
          <w:szCs w:val="20"/>
          <w:lang w:val="fr-CA"/>
        </w:rPr>
        <w:tab/>
      </w:r>
      <w:r w:rsidRPr="00AF78C7">
        <w:rPr>
          <w:sz w:val="20"/>
          <w:szCs w:val="20"/>
          <w:lang w:val="fr-CA"/>
        </w:rPr>
        <w:t xml:space="preserve">risque </w:t>
      </w:r>
      <w:r w:rsidR="00AE1E45" w:rsidRPr="00AF78C7">
        <w:rPr>
          <w:sz w:val="20"/>
          <w:szCs w:val="20"/>
          <w:lang w:val="fr-CA"/>
        </w:rPr>
        <w:t>é</w:t>
      </w:r>
      <w:r w:rsidRPr="00AF78C7">
        <w:rPr>
          <w:sz w:val="20"/>
          <w:szCs w:val="20"/>
          <w:lang w:val="fr-CA"/>
        </w:rPr>
        <w:t>lev</w:t>
      </w:r>
      <w:r w:rsidR="00AE1E45" w:rsidRPr="00AF78C7">
        <w:rPr>
          <w:sz w:val="20"/>
          <w:szCs w:val="20"/>
          <w:lang w:val="fr-CA"/>
        </w:rPr>
        <w:t>é</w:t>
      </w:r>
    </w:p>
    <w:p w14:paraId="69E0874F" w14:textId="048A5C8B" w:rsidR="006A0A34" w:rsidRPr="00AF78C7" w:rsidRDefault="006A0A34" w:rsidP="005242B9">
      <w:pPr>
        <w:ind w:left="1134"/>
        <w:rPr>
          <w:sz w:val="20"/>
          <w:szCs w:val="20"/>
          <w:lang w:val="fr-CA"/>
        </w:rPr>
      </w:pPr>
      <w:r w:rsidRPr="00AF78C7">
        <w:rPr>
          <w:sz w:val="20"/>
          <w:szCs w:val="20"/>
          <w:lang w:val="fr-CA"/>
        </w:rPr>
        <w:t>b)  30</w:t>
      </w:r>
      <w:r w:rsidR="00AE1E45" w:rsidRPr="00AF78C7">
        <w:rPr>
          <w:sz w:val="20"/>
          <w:szCs w:val="20"/>
          <w:lang w:val="fr-CA"/>
        </w:rPr>
        <w:t xml:space="preserve"> </w:t>
      </w:r>
      <w:r w:rsidRPr="00AF78C7">
        <w:rPr>
          <w:sz w:val="20"/>
          <w:szCs w:val="20"/>
          <w:lang w:val="fr-CA"/>
        </w:rPr>
        <w:t>%</w:t>
      </w:r>
      <w:r w:rsidR="00AE1E45" w:rsidRPr="00AF78C7">
        <w:rPr>
          <w:sz w:val="20"/>
          <w:szCs w:val="20"/>
          <w:lang w:val="fr-CA"/>
        </w:rPr>
        <w:t xml:space="preserve"> </w:t>
      </w:r>
      <w:r w:rsidRPr="00AF78C7">
        <w:rPr>
          <w:sz w:val="20"/>
          <w:szCs w:val="20"/>
          <w:lang w:val="fr-CA"/>
        </w:rPr>
        <w:t>dans</w:t>
      </w:r>
      <w:r w:rsidR="00AE1E45" w:rsidRPr="00AF78C7">
        <w:rPr>
          <w:sz w:val="20"/>
          <w:szCs w:val="20"/>
          <w:lang w:val="fr-CA"/>
        </w:rPr>
        <w:t xml:space="preserve"> </w:t>
      </w:r>
      <w:r w:rsidRPr="00AF78C7">
        <w:rPr>
          <w:sz w:val="20"/>
          <w:szCs w:val="20"/>
          <w:lang w:val="fr-CA"/>
        </w:rPr>
        <w:t>des</w:t>
      </w:r>
      <w:r w:rsidR="00AE1E45" w:rsidRPr="00AF78C7">
        <w:rPr>
          <w:sz w:val="20"/>
          <w:szCs w:val="20"/>
          <w:lang w:val="fr-CA"/>
        </w:rPr>
        <w:t xml:space="preserve"> </w:t>
      </w:r>
      <w:r w:rsidRPr="00AF78C7">
        <w:rPr>
          <w:sz w:val="20"/>
          <w:szCs w:val="20"/>
          <w:lang w:val="fr-CA"/>
        </w:rPr>
        <w:t>placements</w:t>
      </w:r>
      <w:r w:rsidR="00AE1E45" w:rsidRPr="00AF78C7">
        <w:rPr>
          <w:sz w:val="20"/>
          <w:szCs w:val="20"/>
          <w:lang w:val="fr-CA"/>
        </w:rPr>
        <w:t xml:space="preserve"> à </w:t>
      </w:r>
      <w:r w:rsidRPr="00AF78C7">
        <w:rPr>
          <w:sz w:val="20"/>
          <w:szCs w:val="20"/>
          <w:lang w:val="fr-CA"/>
        </w:rPr>
        <w:t>faible</w:t>
      </w:r>
      <w:r w:rsidR="00AE1E45" w:rsidRPr="00AF78C7">
        <w:rPr>
          <w:sz w:val="20"/>
          <w:szCs w:val="20"/>
          <w:lang w:val="fr-CA"/>
        </w:rPr>
        <w:t xml:space="preserve"> </w:t>
      </w:r>
      <w:r w:rsidRPr="00AF78C7">
        <w:rPr>
          <w:sz w:val="20"/>
          <w:szCs w:val="20"/>
          <w:lang w:val="fr-CA"/>
        </w:rPr>
        <w:t>risque,</w:t>
      </w:r>
      <w:r w:rsidR="00AE1E45" w:rsidRPr="00AF78C7">
        <w:rPr>
          <w:sz w:val="20"/>
          <w:szCs w:val="20"/>
          <w:lang w:val="fr-CA"/>
        </w:rPr>
        <w:t xml:space="preserve"> </w:t>
      </w:r>
      <w:r w:rsidRPr="00AF78C7">
        <w:rPr>
          <w:sz w:val="20"/>
          <w:szCs w:val="20"/>
          <w:lang w:val="fr-CA"/>
        </w:rPr>
        <w:t>40</w:t>
      </w:r>
      <w:r w:rsidR="00AE1E45" w:rsidRPr="00AF78C7">
        <w:rPr>
          <w:sz w:val="20"/>
          <w:szCs w:val="20"/>
          <w:lang w:val="fr-CA"/>
        </w:rPr>
        <w:t xml:space="preserve"> </w:t>
      </w:r>
      <w:r w:rsidRPr="00AF78C7">
        <w:rPr>
          <w:sz w:val="20"/>
          <w:szCs w:val="20"/>
          <w:lang w:val="fr-CA"/>
        </w:rPr>
        <w:t>%</w:t>
      </w:r>
      <w:r w:rsidR="00AE1E45" w:rsidRPr="00AF78C7">
        <w:rPr>
          <w:sz w:val="20"/>
          <w:szCs w:val="20"/>
          <w:lang w:val="fr-CA"/>
        </w:rPr>
        <w:t xml:space="preserve"> </w:t>
      </w:r>
      <w:r w:rsidRPr="00AF78C7">
        <w:rPr>
          <w:sz w:val="20"/>
          <w:szCs w:val="20"/>
          <w:lang w:val="fr-CA"/>
        </w:rPr>
        <w:t>dans</w:t>
      </w:r>
      <w:r w:rsidR="00AE1E45" w:rsidRPr="00AF78C7">
        <w:rPr>
          <w:sz w:val="20"/>
          <w:szCs w:val="20"/>
          <w:lang w:val="fr-CA"/>
        </w:rPr>
        <w:t xml:space="preserve"> </w:t>
      </w:r>
      <w:r w:rsidRPr="00AF78C7">
        <w:rPr>
          <w:sz w:val="20"/>
          <w:szCs w:val="20"/>
          <w:lang w:val="fr-CA"/>
        </w:rPr>
        <w:t>des</w:t>
      </w:r>
      <w:r w:rsidR="00AE1E45" w:rsidRPr="00AF78C7">
        <w:rPr>
          <w:sz w:val="20"/>
          <w:szCs w:val="20"/>
          <w:lang w:val="fr-CA"/>
        </w:rPr>
        <w:t xml:space="preserve"> </w:t>
      </w:r>
      <w:r w:rsidRPr="00AF78C7">
        <w:rPr>
          <w:sz w:val="20"/>
          <w:szCs w:val="20"/>
          <w:lang w:val="fr-CA"/>
        </w:rPr>
        <w:t>placements</w:t>
      </w:r>
      <w:r w:rsidR="00AE1E45" w:rsidRPr="00AF78C7">
        <w:rPr>
          <w:sz w:val="20"/>
          <w:szCs w:val="20"/>
          <w:lang w:val="fr-CA"/>
        </w:rPr>
        <w:t xml:space="preserve"> à </w:t>
      </w:r>
      <w:r w:rsidRPr="00AF78C7">
        <w:rPr>
          <w:sz w:val="20"/>
          <w:szCs w:val="20"/>
          <w:lang w:val="fr-CA"/>
        </w:rPr>
        <w:t>risque</w:t>
      </w:r>
      <w:r w:rsidR="00AE1E45" w:rsidRPr="00AF78C7">
        <w:rPr>
          <w:sz w:val="20"/>
          <w:szCs w:val="20"/>
          <w:lang w:val="fr-CA"/>
        </w:rPr>
        <w:t xml:space="preserve"> </w:t>
      </w:r>
      <w:r w:rsidRPr="00AF78C7">
        <w:rPr>
          <w:sz w:val="20"/>
          <w:szCs w:val="20"/>
          <w:lang w:val="fr-CA"/>
        </w:rPr>
        <w:t>moyen,</w:t>
      </w:r>
      <w:r w:rsidR="00AE1E45" w:rsidRPr="00AF78C7">
        <w:rPr>
          <w:sz w:val="20"/>
          <w:szCs w:val="20"/>
          <w:lang w:val="fr-CA"/>
        </w:rPr>
        <w:t xml:space="preserve"> </w:t>
      </w:r>
      <w:r w:rsidRPr="00AF78C7">
        <w:rPr>
          <w:sz w:val="20"/>
          <w:szCs w:val="20"/>
          <w:lang w:val="fr-CA"/>
        </w:rPr>
        <w:t>30</w:t>
      </w:r>
      <w:r w:rsidR="00AE1E45" w:rsidRPr="00AF78C7">
        <w:rPr>
          <w:sz w:val="20"/>
          <w:szCs w:val="20"/>
          <w:lang w:val="fr-CA"/>
        </w:rPr>
        <w:t xml:space="preserve"> </w:t>
      </w:r>
      <w:r w:rsidRPr="00AF78C7">
        <w:rPr>
          <w:sz w:val="20"/>
          <w:szCs w:val="20"/>
          <w:lang w:val="fr-CA"/>
        </w:rPr>
        <w:t>%</w:t>
      </w:r>
      <w:r w:rsidR="00AE1E45" w:rsidRPr="00AF78C7">
        <w:rPr>
          <w:sz w:val="20"/>
          <w:szCs w:val="20"/>
          <w:lang w:val="fr-CA"/>
        </w:rPr>
        <w:t xml:space="preserve"> </w:t>
      </w:r>
      <w:r w:rsidRPr="00AF78C7">
        <w:rPr>
          <w:sz w:val="20"/>
          <w:szCs w:val="20"/>
          <w:lang w:val="fr-CA"/>
        </w:rPr>
        <w:t>dans</w:t>
      </w:r>
      <w:r w:rsidR="005242B9">
        <w:rPr>
          <w:sz w:val="20"/>
          <w:szCs w:val="20"/>
          <w:lang w:val="fr-CA"/>
        </w:rPr>
        <w:t xml:space="preserve"> </w:t>
      </w:r>
      <w:r w:rsidRPr="00AF78C7">
        <w:rPr>
          <w:sz w:val="20"/>
          <w:szCs w:val="20"/>
          <w:lang w:val="fr-CA"/>
        </w:rPr>
        <w:t xml:space="preserve">des placements </w:t>
      </w:r>
      <w:r w:rsidR="00AE1E45" w:rsidRPr="00AF78C7">
        <w:rPr>
          <w:sz w:val="20"/>
          <w:szCs w:val="20"/>
          <w:lang w:val="fr-CA"/>
        </w:rPr>
        <w:t>à</w:t>
      </w:r>
      <w:r w:rsidRPr="00AF78C7">
        <w:rPr>
          <w:sz w:val="20"/>
          <w:szCs w:val="20"/>
          <w:lang w:val="fr-CA"/>
        </w:rPr>
        <w:t xml:space="preserve"> </w:t>
      </w:r>
      <w:r w:rsidR="005242B9">
        <w:rPr>
          <w:sz w:val="20"/>
          <w:szCs w:val="20"/>
          <w:lang w:val="fr-CA"/>
        </w:rPr>
        <w:tab/>
      </w:r>
      <w:r w:rsidRPr="00AF78C7">
        <w:rPr>
          <w:sz w:val="20"/>
          <w:szCs w:val="20"/>
          <w:lang w:val="fr-CA"/>
        </w:rPr>
        <w:t xml:space="preserve">risque </w:t>
      </w:r>
      <w:r w:rsidR="00AE1E45" w:rsidRPr="00AF78C7">
        <w:rPr>
          <w:sz w:val="20"/>
          <w:szCs w:val="20"/>
          <w:lang w:val="fr-CA"/>
        </w:rPr>
        <w:t>é</w:t>
      </w:r>
      <w:r w:rsidRPr="00AF78C7">
        <w:rPr>
          <w:sz w:val="20"/>
          <w:szCs w:val="20"/>
          <w:lang w:val="fr-CA"/>
        </w:rPr>
        <w:t>lev</w:t>
      </w:r>
      <w:r w:rsidR="00AE1E45" w:rsidRPr="00AF78C7">
        <w:rPr>
          <w:sz w:val="20"/>
          <w:szCs w:val="20"/>
          <w:lang w:val="fr-CA"/>
        </w:rPr>
        <w:t>é</w:t>
      </w:r>
      <w:r w:rsidRPr="00AF78C7">
        <w:rPr>
          <w:sz w:val="20"/>
          <w:szCs w:val="20"/>
          <w:lang w:val="fr-CA"/>
        </w:rPr>
        <w:t xml:space="preserve"> </w:t>
      </w:r>
    </w:p>
    <w:p w14:paraId="65B3C281" w14:textId="4B0CE549" w:rsidR="006A0A34" w:rsidRPr="00AF78C7" w:rsidRDefault="006A0A34" w:rsidP="005242B9">
      <w:pPr>
        <w:ind w:left="1134"/>
        <w:rPr>
          <w:sz w:val="20"/>
          <w:szCs w:val="20"/>
          <w:lang w:val="fr-CA"/>
        </w:rPr>
      </w:pPr>
      <w:r w:rsidRPr="00AF78C7">
        <w:rPr>
          <w:sz w:val="20"/>
          <w:szCs w:val="20"/>
          <w:lang w:val="fr-CA"/>
        </w:rPr>
        <w:t xml:space="preserve">c)  10 % dans des placements </w:t>
      </w:r>
      <w:r w:rsidR="00AE1E45" w:rsidRPr="00AF78C7">
        <w:rPr>
          <w:sz w:val="20"/>
          <w:szCs w:val="20"/>
          <w:lang w:val="fr-CA"/>
        </w:rPr>
        <w:t>à</w:t>
      </w:r>
      <w:r w:rsidRPr="00AF78C7">
        <w:rPr>
          <w:sz w:val="20"/>
          <w:szCs w:val="20"/>
          <w:lang w:val="fr-CA"/>
        </w:rPr>
        <w:t xml:space="preserve"> faible risque, 40 % dans des placements </w:t>
      </w:r>
      <w:r w:rsidR="00AE1E45" w:rsidRPr="00AF78C7">
        <w:rPr>
          <w:sz w:val="20"/>
          <w:szCs w:val="20"/>
          <w:lang w:val="fr-CA"/>
        </w:rPr>
        <w:t>à</w:t>
      </w:r>
      <w:r w:rsidRPr="00AF78C7">
        <w:rPr>
          <w:sz w:val="20"/>
          <w:szCs w:val="20"/>
          <w:lang w:val="fr-CA"/>
        </w:rPr>
        <w:t xml:space="preserve"> risque moyen, 50 % dans</w:t>
      </w:r>
      <w:r w:rsidR="005242B9">
        <w:rPr>
          <w:sz w:val="20"/>
          <w:szCs w:val="20"/>
          <w:lang w:val="fr-CA"/>
        </w:rPr>
        <w:t xml:space="preserve"> d</w:t>
      </w:r>
      <w:r w:rsidRPr="00AF78C7">
        <w:rPr>
          <w:sz w:val="20"/>
          <w:szCs w:val="20"/>
          <w:lang w:val="fr-CA"/>
        </w:rPr>
        <w:t xml:space="preserve">es placements </w:t>
      </w:r>
      <w:r w:rsidR="00AE1E45" w:rsidRPr="00AF78C7">
        <w:rPr>
          <w:sz w:val="20"/>
          <w:szCs w:val="20"/>
          <w:lang w:val="fr-CA"/>
        </w:rPr>
        <w:t>à</w:t>
      </w:r>
      <w:r w:rsidRPr="00AF78C7">
        <w:rPr>
          <w:sz w:val="20"/>
          <w:szCs w:val="20"/>
          <w:lang w:val="fr-CA"/>
        </w:rPr>
        <w:t xml:space="preserve"> </w:t>
      </w:r>
      <w:r w:rsidR="005242B9">
        <w:rPr>
          <w:sz w:val="20"/>
          <w:szCs w:val="20"/>
          <w:lang w:val="fr-CA"/>
        </w:rPr>
        <w:tab/>
      </w:r>
      <w:r w:rsidRPr="00AF78C7">
        <w:rPr>
          <w:sz w:val="20"/>
          <w:szCs w:val="20"/>
          <w:lang w:val="fr-CA"/>
        </w:rPr>
        <w:t xml:space="preserve">risque </w:t>
      </w:r>
      <w:r w:rsidR="00AE1E45" w:rsidRPr="00AF78C7">
        <w:rPr>
          <w:sz w:val="20"/>
          <w:szCs w:val="20"/>
          <w:lang w:val="fr-CA"/>
        </w:rPr>
        <w:t>é</w:t>
      </w:r>
      <w:r w:rsidRPr="00AF78C7">
        <w:rPr>
          <w:sz w:val="20"/>
          <w:szCs w:val="20"/>
          <w:lang w:val="fr-CA"/>
        </w:rPr>
        <w:t>lev</w:t>
      </w:r>
      <w:r w:rsidR="00AE1E45" w:rsidRPr="00AF78C7">
        <w:rPr>
          <w:sz w:val="20"/>
          <w:szCs w:val="20"/>
          <w:lang w:val="fr-CA"/>
        </w:rPr>
        <w:t>é</w:t>
      </w:r>
      <w:r w:rsidRPr="00AF78C7">
        <w:rPr>
          <w:sz w:val="20"/>
          <w:szCs w:val="20"/>
          <w:lang w:val="fr-CA"/>
        </w:rPr>
        <w:t xml:space="preserve"> </w:t>
      </w:r>
    </w:p>
    <w:p w14:paraId="56360D9B" w14:textId="77777777" w:rsidR="00AE1E45" w:rsidRPr="00AF78C7" w:rsidRDefault="00AE1E45" w:rsidP="008B2EED">
      <w:pPr>
        <w:ind w:left="1080"/>
        <w:rPr>
          <w:sz w:val="20"/>
          <w:szCs w:val="20"/>
          <w:lang w:val="fr-CA"/>
        </w:rPr>
      </w:pPr>
    </w:p>
    <w:p w14:paraId="3C39C2C7" w14:textId="2390874F" w:rsidR="006A0A34" w:rsidRPr="00AF78C7" w:rsidRDefault="006A0A34" w:rsidP="00AE1E45">
      <w:pPr>
        <w:ind w:left="851" w:hanging="567"/>
        <w:jc w:val="both"/>
        <w:rPr>
          <w:sz w:val="20"/>
          <w:szCs w:val="20"/>
          <w:lang w:val="fr-CA"/>
        </w:rPr>
      </w:pPr>
      <w:r w:rsidRPr="00AF78C7">
        <w:rPr>
          <w:sz w:val="20"/>
          <w:szCs w:val="20"/>
          <w:lang w:val="fr-CA"/>
        </w:rPr>
        <w:t xml:space="preserve">13. </w:t>
      </w:r>
      <w:r w:rsidR="00AE1E45" w:rsidRPr="00AF78C7">
        <w:rPr>
          <w:sz w:val="20"/>
          <w:szCs w:val="20"/>
          <w:lang w:val="fr-CA"/>
        </w:rPr>
        <w:t xml:space="preserve"> </w:t>
      </w:r>
      <w:r w:rsidRPr="00AF78C7">
        <w:rPr>
          <w:i/>
          <w:iCs/>
          <w:sz w:val="20"/>
          <w:szCs w:val="20"/>
          <w:lang w:val="fr-CA"/>
        </w:rPr>
        <w:t>Votre grand ami et voisin, un g</w:t>
      </w:r>
      <w:r w:rsidR="00AE1E45" w:rsidRPr="00AF78C7">
        <w:rPr>
          <w:i/>
          <w:iCs/>
          <w:sz w:val="20"/>
          <w:szCs w:val="20"/>
          <w:lang w:val="fr-CA"/>
        </w:rPr>
        <w:t>é</w:t>
      </w:r>
      <w:r w:rsidRPr="00AF78C7">
        <w:rPr>
          <w:i/>
          <w:iCs/>
          <w:sz w:val="20"/>
          <w:szCs w:val="20"/>
          <w:lang w:val="fr-CA"/>
        </w:rPr>
        <w:t>ologue d'exp</w:t>
      </w:r>
      <w:r w:rsidR="00AE1E45" w:rsidRPr="00AF78C7">
        <w:rPr>
          <w:i/>
          <w:iCs/>
          <w:sz w:val="20"/>
          <w:szCs w:val="20"/>
          <w:lang w:val="fr-CA"/>
        </w:rPr>
        <w:t>é</w:t>
      </w:r>
      <w:r w:rsidRPr="00AF78C7">
        <w:rPr>
          <w:i/>
          <w:iCs/>
          <w:sz w:val="20"/>
          <w:szCs w:val="20"/>
          <w:lang w:val="fr-CA"/>
        </w:rPr>
        <w:t>rience, rassemble un groupe d'investisseurs pour financer une entreprise d'exploitation aurif</w:t>
      </w:r>
      <w:r w:rsidR="00AE1E45" w:rsidRPr="00AF78C7">
        <w:rPr>
          <w:i/>
          <w:iCs/>
          <w:sz w:val="20"/>
          <w:szCs w:val="20"/>
          <w:lang w:val="fr-CA"/>
        </w:rPr>
        <w:t>è</w:t>
      </w:r>
      <w:r w:rsidRPr="00AF78C7">
        <w:rPr>
          <w:i/>
          <w:iCs/>
          <w:sz w:val="20"/>
          <w:szCs w:val="20"/>
          <w:lang w:val="fr-CA"/>
        </w:rPr>
        <w:t>re. L'entreprise pourrait rapporter de 50 à 100 fois l'investissement si elle r</w:t>
      </w:r>
      <w:r w:rsidR="00AE1E45" w:rsidRPr="00AF78C7">
        <w:rPr>
          <w:i/>
          <w:iCs/>
          <w:sz w:val="20"/>
          <w:szCs w:val="20"/>
          <w:lang w:val="fr-CA"/>
        </w:rPr>
        <w:t>é</w:t>
      </w:r>
      <w:r w:rsidRPr="00AF78C7">
        <w:rPr>
          <w:i/>
          <w:iCs/>
          <w:sz w:val="20"/>
          <w:szCs w:val="20"/>
          <w:lang w:val="fr-CA"/>
        </w:rPr>
        <w:t xml:space="preserve">ussit. Si l'entreprise </w:t>
      </w:r>
      <w:r w:rsidR="00AE1E45" w:rsidRPr="00AF78C7">
        <w:rPr>
          <w:i/>
          <w:iCs/>
          <w:sz w:val="20"/>
          <w:szCs w:val="20"/>
          <w:lang w:val="fr-CA"/>
        </w:rPr>
        <w:t>é</w:t>
      </w:r>
      <w:r w:rsidRPr="00AF78C7">
        <w:rPr>
          <w:i/>
          <w:iCs/>
          <w:sz w:val="20"/>
          <w:szCs w:val="20"/>
          <w:lang w:val="fr-CA"/>
        </w:rPr>
        <w:t>choue, l'investissement au complet sera englouti. Votre ami estime que les chances de succ</w:t>
      </w:r>
      <w:r w:rsidR="00AE1E45" w:rsidRPr="00AF78C7">
        <w:rPr>
          <w:i/>
          <w:iCs/>
          <w:sz w:val="20"/>
          <w:szCs w:val="20"/>
          <w:lang w:val="fr-CA"/>
        </w:rPr>
        <w:t>è</w:t>
      </w:r>
      <w:r w:rsidRPr="00AF78C7">
        <w:rPr>
          <w:i/>
          <w:iCs/>
          <w:sz w:val="20"/>
          <w:szCs w:val="20"/>
          <w:lang w:val="fr-CA"/>
        </w:rPr>
        <w:t>s ne sont que de 20 %. Si vous aviez de l'argent, combien investiriez</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r w:rsidRPr="00AF78C7">
        <w:rPr>
          <w:sz w:val="20"/>
          <w:szCs w:val="20"/>
          <w:lang w:val="fr-CA"/>
        </w:rPr>
        <w:t xml:space="preserve">? </w:t>
      </w:r>
    </w:p>
    <w:p w14:paraId="3F222460" w14:textId="77777777" w:rsidR="001B142C" w:rsidRPr="00AF78C7" w:rsidRDefault="001B142C" w:rsidP="00AE1E45">
      <w:pPr>
        <w:ind w:left="851" w:hanging="567"/>
        <w:jc w:val="both"/>
        <w:rPr>
          <w:sz w:val="20"/>
          <w:szCs w:val="20"/>
          <w:lang w:val="fr-CA"/>
        </w:rPr>
      </w:pPr>
    </w:p>
    <w:p w14:paraId="0EF2260F" w14:textId="48C5027A" w:rsidR="006A0A34" w:rsidRPr="00AF78C7" w:rsidRDefault="006A0A34" w:rsidP="00B1006C">
      <w:pPr>
        <w:ind w:left="1134"/>
        <w:rPr>
          <w:sz w:val="20"/>
          <w:szCs w:val="20"/>
          <w:lang w:val="fr-CA"/>
        </w:rPr>
      </w:pPr>
      <w:r w:rsidRPr="00AF78C7">
        <w:rPr>
          <w:sz w:val="20"/>
          <w:szCs w:val="20"/>
          <w:lang w:val="fr-CA"/>
        </w:rPr>
        <w:t xml:space="preserve">a)  Rien </w:t>
      </w:r>
    </w:p>
    <w:p w14:paraId="7AAAD826" w14:textId="66C9A2FA" w:rsidR="006A0A34" w:rsidRPr="00AF78C7" w:rsidRDefault="006A0A34" w:rsidP="005242B9">
      <w:pPr>
        <w:ind w:left="1134"/>
        <w:rPr>
          <w:sz w:val="20"/>
          <w:szCs w:val="20"/>
          <w:lang w:val="fr-CA"/>
        </w:rPr>
      </w:pPr>
      <w:r w:rsidRPr="00AF78C7">
        <w:rPr>
          <w:sz w:val="20"/>
          <w:szCs w:val="20"/>
          <w:lang w:val="fr-CA"/>
        </w:rPr>
        <w:t>b)  Un</w:t>
      </w:r>
      <w:r w:rsidR="00AE1E45" w:rsidRPr="00AF78C7">
        <w:rPr>
          <w:sz w:val="20"/>
          <w:szCs w:val="20"/>
          <w:lang w:val="fr-CA"/>
        </w:rPr>
        <w:t xml:space="preserve"> </w:t>
      </w:r>
      <w:r w:rsidRPr="00AF78C7">
        <w:rPr>
          <w:sz w:val="20"/>
          <w:szCs w:val="20"/>
          <w:lang w:val="fr-CA"/>
        </w:rPr>
        <w:t>mois</w:t>
      </w:r>
      <w:r w:rsidR="00AE1E45" w:rsidRPr="00AF78C7">
        <w:rPr>
          <w:sz w:val="20"/>
          <w:szCs w:val="20"/>
          <w:lang w:val="fr-CA"/>
        </w:rPr>
        <w:t xml:space="preserve"> </w:t>
      </w:r>
      <w:r w:rsidRPr="00AF78C7">
        <w:rPr>
          <w:sz w:val="20"/>
          <w:szCs w:val="20"/>
          <w:lang w:val="fr-CA"/>
        </w:rPr>
        <w:t>de</w:t>
      </w:r>
      <w:r w:rsidR="00AE1E45" w:rsidRPr="00AF78C7">
        <w:rPr>
          <w:sz w:val="20"/>
          <w:szCs w:val="20"/>
          <w:lang w:val="fr-CA"/>
        </w:rPr>
        <w:t xml:space="preserve"> </w:t>
      </w:r>
      <w:r w:rsidRPr="00AF78C7">
        <w:rPr>
          <w:sz w:val="20"/>
          <w:szCs w:val="20"/>
          <w:lang w:val="fr-CA"/>
        </w:rPr>
        <w:t xml:space="preserve">salaire </w:t>
      </w:r>
    </w:p>
    <w:p w14:paraId="07332DAF" w14:textId="607E3B97" w:rsidR="006A0A34" w:rsidRPr="00AF78C7" w:rsidRDefault="006A0A34" w:rsidP="005242B9">
      <w:pPr>
        <w:ind w:left="1134"/>
        <w:rPr>
          <w:sz w:val="20"/>
          <w:szCs w:val="20"/>
          <w:lang w:val="fr-CA"/>
        </w:rPr>
      </w:pPr>
      <w:r w:rsidRPr="00AF78C7">
        <w:rPr>
          <w:sz w:val="20"/>
          <w:szCs w:val="20"/>
          <w:lang w:val="fr-CA"/>
        </w:rPr>
        <w:t xml:space="preserve">c)  Trois mois de salaire </w:t>
      </w:r>
    </w:p>
    <w:p w14:paraId="516C3A10" w14:textId="65C109D6" w:rsidR="006A0A34" w:rsidRPr="00AF78C7" w:rsidRDefault="006A0A34" w:rsidP="005242B9">
      <w:pPr>
        <w:ind w:left="1134"/>
        <w:rPr>
          <w:sz w:val="20"/>
          <w:szCs w:val="20"/>
          <w:lang w:val="fr-CA"/>
        </w:rPr>
      </w:pPr>
      <w:r w:rsidRPr="00AF78C7">
        <w:rPr>
          <w:sz w:val="20"/>
          <w:szCs w:val="20"/>
          <w:lang w:val="fr-CA"/>
        </w:rPr>
        <w:t>d)  Six</w:t>
      </w:r>
      <w:r w:rsidR="00AE1E45" w:rsidRPr="00AF78C7">
        <w:rPr>
          <w:sz w:val="20"/>
          <w:szCs w:val="20"/>
          <w:lang w:val="fr-CA"/>
        </w:rPr>
        <w:t xml:space="preserve"> </w:t>
      </w:r>
      <w:r w:rsidRPr="00AF78C7">
        <w:rPr>
          <w:sz w:val="20"/>
          <w:szCs w:val="20"/>
          <w:lang w:val="fr-CA"/>
        </w:rPr>
        <w:t>mois</w:t>
      </w:r>
      <w:r w:rsidR="00AE1E45" w:rsidRPr="00AF78C7">
        <w:rPr>
          <w:sz w:val="20"/>
          <w:szCs w:val="20"/>
          <w:lang w:val="fr-CA"/>
        </w:rPr>
        <w:t xml:space="preserve"> </w:t>
      </w:r>
      <w:r w:rsidRPr="00AF78C7">
        <w:rPr>
          <w:sz w:val="20"/>
          <w:szCs w:val="20"/>
          <w:lang w:val="fr-CA"/>
        </w:rPr>
        <w:t>de</w:t>
      </w:r>
      <w:r w:rsidR="00AE1E45" w:rsidRPr="00AF78C7">
        <w:rPr>
          <w:sz w:val="20"/>
          <w:szCs w:val="20"/>
          <w:lang w:val="fr-CA"/>
        </w:rPr>
        <w:t xml:space="preserve"> </w:t>
      </w:r>
      <w:r w:rsidRPr="00AF78C7">
        <w:rPr>
          <w:sz w:val="20"/>
          <w:szCs w:val="20"/>
          <w:lang w:val="fr-CA"/>
        </w:rPr>
        <w:t xml:space="preserve">salaire </w:t>
      </w:r>
    </w:p>
    <w:p w14:paraId="63AE9A26" w14:textId="1F982518" w:rsidR="006A0A34" w:rsidRDefault="006A0A34" w:rsidP="006A0A34">
      <w:pPr>
        <w:rPr>
          <w:lang w:val="fr-CA"/>
        </w:rPr>
      </w:pPr>
    </w:p>
    <w:p w14:paraId="10538514" w14:textId="77777777" w:rsidR="00AF78C7" w:rsidRDefault="00AF78C7" w:rsidP="006A0A34">
      <w:pPr>
        <w:rPr>
          <w:lang w:val="fr-CA"/>
        </w:rPr>
      </w:pPr>
    </w:p>
    <w:p w14:paraId="6F2504DD" w14:textId="77777777" w:rsidR="00AF78C7" w:rsidRDefault="00AF78C7" w:rsidP="006A0A34">
      <w:pPr>
        <w:rPr>
          <w:lang w:val="fr-CA"/>
        </w:rPr>
      </w:pPr>
    </w:p>
    <w:p w14:paraId="7A387FC1" w14:textId="77777777" w:rsidR="00AF78C7" w:rsidRDefault="00AF78C7" w:rsidP="006A0A34">
      <w:pPr>
        <w:rPr>
          <w:lang w:val="fr-CA"/>
        </w:rPr>
      </w:pPr>
    </w:p>
    <w:p w14:paraId="6489F77D" w14:textId="77777777" w:rsidR="00AF78C7" w:rsidRPr="006A0A34" w:rsidRDefault="00AF78C7" w:rsidP="006A0A34">
      <w:pPr>
        <w:rPr>
          <w:lang w:val="fr-CA"/>
        </w:rPr>
      </w:pPr>
    </w:p>
    <w:p w14:paraId="07DCC2E8" w14:textId="3F5784F4" w:rsidR="00441B65" w:rsidRDefault="006A0A34">
      <w:r w:rsidRPr="006A0A34">
        <w:lastRenderedPageBreak/>
        <w:t xml:space="preserve"> </w:t>
      </w:r>
      <w:r w:rsidR="00764E79">
        <w:t>LES RÉSULATS</w:t>
      </w:r>
    </w:p>
    <w:p w14:paraId="698A31D2" w14:textId="77777777" w:rsidR="00764E79" w:rsidRDefault="00764E79"/>
    <w:p w14:paraId="75A64663" w14:textId="77777777" w:rsidR="00764E79" w:rsidRDefault="00764E79"/>
    <w:p w14:paraId="7A01F273" w14:textId="5073DC71" w:rsidR="00441B65" w:rsidRDefault="00441B65"/>
    <w:tbl>
      <w:tblPr>
        <w:tblStyle w:val="Listecouleur-Accent4"/>
        <w:tblpPr w:leftFromText="141" w:rightFromText="141" w:vertAnchor="text" w:horzAnchor="page" w:tblpX="1526" w:tblpY="-36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2693"/>
        <w:gridCol w:w="2835"/>
      </w:tblGrid>
      <w:tr w:rsidR="00764E79" w14:paraId="176491DE" w14:textId="77777777" w:rsidTr="00764E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il"/>
              <w:left w:val="nil"/>
              <w:bottom w:val="nil"/>
              <w:right w:val="nil"/>
            </w:tcBorders>
          </w:tcPr>
          <w:p w14:paraId="72B01A9C" w14:textId="77777777" w:rsidR="00764E79" w:rsidRDefault="00764E79" w:rsidP="00764E79"/>
        </w:tc>
        <w:tc>
          <w:tcPr>
            <w:tcW w:w="2693" w:type="dxa"/>
            <w:tcBorders>
              <w:top w:val="nil"/>
              <w:left w:val="nil"/>
              <w:bottom w:val="nil"/>
              <w:right w:val="nil"/>
            </w:tcBorders>
          </w:tcPr>
          <w:p w14:paraId="68F9C5AF" w14:textId="77777777" w:rsidR="00764E79" w:rsidRPr="00764E79" w:rsidRDefault="00764E79" w:rsidP="00764E79">
            <w:pPr>
              <w:jc w:val="center"/>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764E79">
              <w:rPr>
                <w:b w:val="0"/>
                <w:color w:val="auto"/>
                <w:sz w:val="20"/>
                <w:szCs w:val="20"/>
              </w:rPr>
              <w:t>POINTAGE</w:t>
            </w:r>
          </w:p>
        </w:tc>
        <w:tc>
          <w:tcPr>
            <w:tcW w:w="2835" w:type="dxa"/>
            <w:tcBorders>
              <w:top w:val="nil"/>
              <w:left w:val="nil"/>
              <w:bottom w:val="nil"/>
              <w:right w:val="nil"/>
            </w:tcBorders>
          </w:tcPr>
          <w:p w14:paraId="5121C3E2" w14:textId="77777777" w:rsidR="00764E79" w:rsidRDefault="00764E79" w:rsidP="00764E79">
            <w:pPr>
              <w:cnfStyle w:val="100000000000" w:firstRow="1" w:lastRow="0" w:firstColumn="0" w:lastColumn="0" w:oddVBand="0" w:evenVBand="0" w:oddHBand="0" w:evenHBand="0" w:firstRowFirstColumn="0" w:firstRowLastColumn="0" w:lastRowFirstColumn="0" w:lastRowLastColumn="0"/>
            </w:pPr>
          </w:p>
        </w:tc>
      </w:tr>
      <w:tr w:rsidR="00764E79" w14:paraId="2010C7D8" w14:textId="77777777" w:rsidTr="00764E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il"/>
            </w:tcBorders>
          </w:tcPr>
          <w:p w14:paraId="083CA02F" w14:textId="77777777" w:rsidR="00764E79" w:rsidRPr="002C6DE0" w:rsidRDefault="00764E79" w:rsidP="00764E79">
            <w:pPr>
              <w:rPr>
                <w:b w:val="0"/>
                <w:sz w:val="20"/>
                <w:szCs w:val="20"/>
              </w:rPr>
            </w:pPr>
            <w:r w:rsidRPr="002C6DE0">
              <w:rPr>
                <w:b w:val="0"/>
                <w:sz w:val="20"/>
                <w:szCs w:val="20"/>
                <w:lang w:val="fr-CA"/>
              </w:rPr>
              <w:t>1. a = 4; b = 3; c = 2; d = 1</w:t>
            </w:r>
          </w:p>
        </w:tc>
        <w:tc>
          <w:tcPr>
            <w:tcW w:w="2693" w:type="dxa"/>
            <w:tcBorders>
              <w:top w:val="nil"/>
            </w:tcBorders>
          </w:tcPr>
          <w:p w14:paraId="18D9D6D6" w14:textId="77777777" w:rsidR="00764E79" w:rsidRPr="002C6DE0" w:rsidRDefault="00764E79" w:rsidP="00764E79">
            <w:pPr>
              <w:cnfStyle w:val="000000100000" w:firstRow="0" w:lastRow="0" w:firstColumn="0" w:lastColumn="0" w:oddVBand="0" w:evenVBand="0" w:oddHBand="1" w:evenHBand="0" w:firstRowFirstColumn="0" w:firstRowLastColumn="0" w:lastRowFirstColumn="0" w:lastRowLastColumn="0"/>
              <w:rPr>
                <w:sz w:val="20"/>
                <w:szCs w:val="20"/>
              </w:rPr>
            </w:pPr>
            <w:r w:rsidRPr="002C6DE0">
              <w:rPr>
                <w:sz w:val="20"/>
                <w:szCs w:val="20"/>
                <w:lang w:val="fr-CA"/>
              </w:rPr>
              <w:t>6. a = 1; b = 2; c = 3; d = 4</w:t>
            </w:r>
          </w:p>
        </w:tc>
        <w:tc>
          <w:tcPr>
            <w:tcW w:w="2835" w:type="dxa"/>
            <w:tcBorders>
              <w:top w:val="nil"/>
            </w:tcBorders>
          </w:tcPr>
          <w:p w14:paraId="78138636" w14:textId="77777777" w:rsidR="00764E79" w:rsidRPr="002C6DE0" w:rsidRDefault="00764E79" w:rsidP="00764E79">
            <w:pPr>
              <w:cnfStyle w:val="000000100000" w:firstRow="0" w:lastRow="0" w:firstColumn="0" w:lastColumn="0" w:oddVBand="0" w:evenVBand="0" w:oddHBand="1" w:evenHBand="0" w:firstRowFirstColumn="0" w:firstRowLastColumn="0" w:lastRowFirstColumn="0" w:lastRowLastColumn="0"/>
              <w:rPr>
                <w:sz w:val="20"/>
                <w:szCs w:val="20"/>
              </w:rPr>
            </w:pPr>
            <w:r w:rsidRPr="002C6DE0">
              <w:rPr>
                <w:sz w:val="20"/>
                <w:szCs w:val="20"/>
                <w:lang w:val="fr-CA"/>
              </w:rPr>
              <w:t>11. a = 1; b = 2; c = 3; d = 4</w:t>
            </w:r>
          </w:p>
        </w:tc>
      </w:tr>
      <w:tr w:rsidR="00764E79" w14:paraId="1A6CA484" w14:textId="77777777" w:rsidTr="00764E79">
        <w:tc>
          <w:tcPr>
            <w:cnfStyle w:val="001000000000" w:firstRow="0" w:lastRow="0" w:firstColumn="1" w:lastColumn="0" w:oddVBand="0" w:evenVBand="0" w:oddHBand="0" w:evenHBand="0" w:firstRowFirstColumn="0" w:firstRowLastColumn="0" w:lastRowFirstColumn="0" w:lastRowLastColumn="0"/>
            <w:tcW w:w="2802" w:type="dxa"/>
          </w:tcPr>
          <w:p w14:paraId="3ECF779F" w14:textId="77777777" w:rsidR="00764E79" w:rsidRPr="002C6DE0" w:rsidRDefault="00764E79" w:rsidP="00764E79">
            <w:pPr>
              <w:rPr>
                <w:b w:val="0"/>
                <w:sz w:val="20"/>
                <w:szCs w:val="20"/>
              </w:rPr>
            </w:pPr>
            <w:r w:rsidRPr="002C6DE0">
              <w:rPr>
                <w:b w:val="0"/>
                <w:sz w:val="20"/>
                <w:szCs w:val="20"/>
                <w:lang w:val="fr-CA"/>
              </w:rPr>
              <w:t>2. a = 1; b = 2; c = 3; d = 4</w:t>
            </w:r>
          </w:p>
        </w:tc>
        <w:tc>
          <w:tcPr>
            <w:tcW w:w="2693" w:type="dxa"/>
          </w:tcPr>
          <w:p w14:paraId="382CD38C" w14:textId="77777777" w:rsidR="00764E79" w:rsidRPr="002C6DE0" w:rsidRDefault="00764E79" w:rsidP="00764E79">
            <w:pPr>
              <w:cnfStyle w:val="000000000000" w:firstRow="0" w:lastRow="0" w:firstColumn="0" w:lastColumn="0" w:oddVBand="0" w:evenVBand="0" w:oddHBand="0" w:evenHBand="0" w:firstRowFirstColumn="0" w:firstRowLastColumn="0" w:lastRowFirstColumn="0" w:lastRowLastColumn="0"/>
              <w:rPr>
                <w:sz w:val="20"/>
                <w:szCs w:val="20"/>
              </w:rPr>
            </w:pPr>
            <w:r w:rsidRPr="002C6DE0">
              <w:rPr>
                <w:sz w:val="20"/>
                <w:szCs w:val="20"/>
                <w:lang w:val="fr-CA"/>
              </w:rPr>
              <w:t>7. a = 1; b = 2; c = 3; d = 4</w:t>
            </w:r>
          </w:p>
        </w:tc>
        <w:tc>
          <w:tcPr>
            <w:tcW w:w="2835" w:type="dxa"/>
          </w:tcPr>
          <w:p w14:paraId="2ABC71F6" w14:textId="77777777" w:rsidR="00764E79" w:rsidRPr="002C6DE0" w:rsidRDefault="00764E79" w:rsidP="00764E79">
            <w:pPr>
              <w:cnfStyle w:val="000000000000" w:firstRow="0" w:lastRow="0" w:firstColumn="0" w:lastColumn="0" w:oddVBand="0" w:evenVBand="0" w:oddHBand="0" w:evenHBand="0" w:firstRowFirstColumn="0" w:firstRowLastColumn="0" w:lastRowFirstColumn="0" w:lastRowLastColumn="0"/>
              <w:rPr>
                <w:sz w:val="20"/>
                <w:szCs w:val="20"/>
              </w:rPr>
            </w:pPr>
            <w:r w:rsidRPr="002C6DE0">
              <w:rPr>
                <w:sz w:val="20"/>
                <w:szCs w:val="20"/>
                <w:lang w:val="fr-CA"/>
              </w:rPr>
              <w:t>12. a = 1; b = 2; c = 3</w:t>
            </w:r>
          </w:p>
        </w:tc>
      </w:tr>
      <w:tr w:rsidR="00764E79" w14:paraId="1B6DF3E2" w14:textId="77777777" w:rsidTr="00764E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54F00DA1" w14:textId="77777777" w:rsidR="00764E79" w:rsidRPr="002C6DE0" w:rsidRDefault="00764E79" w:rsidP="00764E79">
            <w:pPr>
              <w:rPr>
                <w:b w:val="0"/>
                <w:sz w:val="20"/>
                <w:szCs w:val="20"/>
              </w:rPr>
            </w:pPr>
            <w:r w:rsidRPr="002C6DE0">
              <w:rPr>
                <w:b w:val="0"/>
                <w:sz w:val="20"/>
                <w:szCs w:val="20"/>
                <w:lang w:val="fr-CA"/>
              </w:rPr>
              <w:t>3. a = 1; b = 2; c = 3; d = 4</w:t>
            </w:r>
          </w:p>
        </w:tc>
        <w:tc>
          <w:tcPr>
            <w:tcW w:w="2693" w:type="dxa"/>
          </w:tcPr>
          <w:p w14:paraId="1847C3BD" w14:textId="77777777" w:rsidR="00764E79" w:rsidRPr="002C6DE0" w:rsidRDefault="00764E79" w:rsidP="00764E79">
            <w:pPr>
              <w:cnfStyle w:val="000000100000" w:firstRow="0" w:lastRow="0" w:firstColumn="0" w:lastColumn="0" w:oddVBand="0" w:evenVBand="0" w:oddHBand="1" w:evenHBand="0" w:firstRowFirstColumn="0" w:firstRowLastColumn="0" w:lastRowFirstColumn="0" w:lastRowLastColumn="0"/>
              <w:rPr>
                <w:sz w:val="20"/>
                <w:szCs w:val="20"/>
              </w:rPr>
            </w:pPr>
            <w:r w:rsidRPr="002C6DE0">
              <w:rPr>
                <w:sz w:val="20"/>
                <w:szCs w:val="20"/>
                <w:lang w:val="fr-CA"/>
              </w:rPr>
              <w:t>8. a = 1; b = 2; c = 3; d = 4</w:t>
            </w:r>
          </w:p>
        </w:tc>
        <w:tc>
          <w:tcPr>
            <w:tcW w:w="2835" w:type="dxa"/>
          </w:tcPr>
          <w:p w14:paraId="142CF2DE" w14:textId="77777777" w:rsidR="00764E79" w:rsidRPr="002C6DE0" w:rsidRDefault="00764E79" w:rsidP="00764E79">
            <w:pPr>
              <w:cnfStyle w:val="000000100000" w:firstRow="0" w:lastRow="0" w:firstColumn="0" w:lastColumn="0" w:oddVBand="0" w:evenVBand="0" w:oddHBand="1" w:evenHBand="0" w:firstRowFirstColumn="0" w:firstRowLastColumn="0" w:lastRowFirstColumn="0" w:lastRowLastColumn="0"/>
              <w:rPr>
                <w:sz w:val="20"/>
                <w:szCs w:val="20"/>
              </w:rPr>
            </w:pPr>
            <w:r w:rsidRPr="002C6DE0">
              <w:rPr>
                <w:sz w:val="20"/>
                <w:szCs w:val="20"/>
                <w:lang w:val="fr-CA"/>
              </w:rPr>
              <w:t>13. a = 1; b = 2; c = 3; d = 4</w:t>
            </w:r>
          </w:p>
        </w:tc>
      </w:tr>
      <w:tr w:rsidR="00764E79" w14:paraId="31EC2D5A" w14:textId="77777777" w:rsidTr="00764E79">
        <w:tc>
          <w:tcPr>
            <w:cnfStyle w:val="001000000000" w:firstRow="0" w:lastRow="0" w:firstColumn="1" w:lastColumn="0" w:oddVBand="0" w:evenVBand="0" w:oddHBand="0" w:evenHBand="0" w:firstRowFirstColumn="0" w:firstRowLastColumn="0" w:lastRowFirstColumn="0" w:lastRowLastColumn="0"/>
            <w:tcW w:w="2802" w:type="dxa"/>
          </w:tcPr>
          <w:p w14:paraId="6431F8A5" w14:textId="77777777" w:rsidR="00764E79" w:rsidRPr="002C6DE0" w:rsidRDefault="00764E79" w:rsidP="00764E79">
            <w:pPr>
              <w:rPr>
                <w:b w:val="0"/>
                <w:sz w:val="20"/>
                <w:szCs w:val="20"/>
              </w:rPr>
            </w:pPr>
            <w:r w:rsidRPr="002C6DE0">
              <w:rPr>
                <w:b w:val="0"/>
                <w:sz w:val="20"/>
                <w:szCs w:val="20"/>
                <w:lang w:val="fr-CA"/>
              </w:rPr>
              <w:t>4. a = 1; b = 2; c = 3</w:t>
            </w:r>
          </w:p>
        </w:tc>
        <w:tc>
          <w:tcPr>
            <w:tcW w:w="2693" w:type="dxa"/>
          </w:tcPr>
          <w:p w14:paraId="6C1CC015" w14:textId="77777777" w:rsidR="00764E79" w:rsidRPr="002C6DE0" w:rsidRDefault="00764E79" w:rsidP="00764E79">
            <w:pPr>
              <w:cnfStyle w:val="000000000000" w:firstRow="0" w:lastRow="0" w:firstColumn="0" w:lastColumn="0" w:oddVBand="0" w:evenVBand="0" w:oddHBand="0" w:evenHBand="0" w:firstRowFirstColumn="0" w:firstRowLastColumn="0" w:lastRowFirstColumn="0" w:lastRowLastColumn="0"/>
              <w:rPr>
                <w:sz w:val="20"/>
                <w:szCs w:val="20"/>
              </w:rPr>
            </w:pPr>
            <w:r w:rsidRPr="002C6DE0">
              <w:rPr>
                <w:sz w:val="20"/>
                <w:szCs w:val="20"/>
                <w:lang w:val="fr-CA"/>
              </w:rPr>
              <w:t>9. a = 1; b = 3</w:t>
            </w:r>
          </w:p>
        </w:tc>
        <w:tc>
          <w:tcPr>
            <w:tcW w:w="2835" w:type="dxa"/>
          </w:tcPr>
          <w:p w14:paraId="2601E648" w14:textId="77777777" w:rsidR="00764E79" w:rsidRDefault="00764E79" w:rsidP="00764E79">
            <w:pPr>
              <w:cnfStyle w:val="000000000000" w:firstRow="0" w:lastRow="0" w:firstColumn="0" w:lastColumn="0" w:oddVBand="0" w:evenVBand="0" w:oddHBand="0" w:evenHBand="0" w:firstRowFirstColumn="0" w:firstRowLastColumn="0" w:lastRowFirstColumn="0" w:lastRowLastColumn="0"/>
            </w:pPr>
          </w:p>
        </w:tc>
      </w:tr>
      <w:tr w:rsidR="00764E79" w14:paraId="76B29027" w14:textId="77777777" w:rsidTr="00764E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4C949D54" w14:textId="77777777" w:rsidR="00764E79" w:rsidRPr="002C6DE0" w:rsidRDefault="00764E79" w:rsidP="00764E79">
            <w:pPr>
              <w:rPr>
                <w:b w:val="0"/>
                <w:sz w:val="20"/>
                <w:szCs w:val="20"/>
              </w:rPr>
            </w:pPr>
            <w:r w:rsidRPr="002C6DE0">
              <w:rPr>
                <w:b w:val="0"/>
                <w:sz w:val="20"/>
                <w:szCs w:val="20"/>
                <w:lang w:val="fr-CA"/>
              </w:rPr>
              <w:t>5. a = 1; b = 2; c = 3</w:t>
            </w:r>
          </w:p>
        </w:tc>
        <w:tc>
          <w:tcPr>
            <w:tcW w:w="2693" w:type="dxa"/>
          </w:tcPr>
          <w:p w14:paraId="7C646BDD" w14:textId="77777777" w:rsidR="00764E79" w:rsidRPr="002C6DE0" w:rsidRDefault="00764E79" w:rsidP="00764E79">
            <w:pPr>
              <w:cnfStyle w:val="000000100000" w:firstRow="0" w:lastRow="0" w:firstColumn="0" w:lastColumn="0" w:oddVBand="0" w:evenVBand="0" w:oddHBand="1" w:evenHBand="0" w:firstRowFirstColumn="0" w:firstRowLastColumn="0" w:lastRowFirstColumn="0" w:lastRowLastColumn="0"/>
              <w:rPr>
                <w:sz w:val="20"/>
                <w:szCs w:val="20"/>
              </w:rPr>
            </w:pPr>
            <w:r w:rsidRPr="002C6DE0">
              <w:rPr>
                <w:sz w:val="20"/>
                <w:szCs w:val="20"/>
                <w:lang w:val="fr-CA"/>
              </w:rPr>
              <w:t>10. a = 1; b = 3</w:t>
            </w:r>
          </w:p>
        </w:tc>
        <w:tc>
          <w:tcPr>
            <w:tcW w:w="2835" w:type="dxa"/>
          </w:tcPr>
          <w:p w14:paraId="338B0103" w14:textId="77777777" w:rsidR="00764E79" w:rsidRDefault="00764E79" w:rsidP="00764E79">
            <w:pPr>
              <w:cnfStyle w:val="000000100000" w:firstRow="0" w:lastRow="0" w:firstColumn="0" w:lastColumn="0" w:oddVBand="0" w:evenVBand="0" w:oddHBand="1" w:evenHBand="0" w:firstRowFirstColumn="0" w:firstRowLastColumn="0" w:lastRowFirstColumn="0" w:lastRowLastColumn="0"/>
            </w:pPr>
          </w:p>
        </w:tc>
      </w:tr>
    </w:tbl>
    <w:tbl>
      <w:tblPr>
        <w:tblStyle w:val="Listeclaire-Accent1"/>
        <w:tblpPr w:leftFromText="141" w:rightFromText="141" w:vertAnchor="page" w:horzAnchor="page" w:tblpX="1526" w:tblpY="4118"/>
        <w:tblW w:w="4155" w:type="dxa"/>
        <w:tblLook w:val="04A0" w:firstRow="1" w:lastRow="0" w:firstColumn="1" w:lastColumn="0" w:noHBand="0" w:noVBand="1"/>
      </w:tblPr>
      <w:tblGrid>
        <w:gridCol w:w="4155"/>
      </w:tblGrid>
      <w:tr w:rsidR="00A66961" w:rsidRPr="00A470BE" w14:paraId="475C98D2" w14:textId="77777777" w:rsidTr="00A66961">
        <w:trPr>
          <w:cnfStyle w:val="100000000000" w:firstRow="1" w:lastRow="0" w:firstColumn="0" w:lastColumn="0" w:oddVBand="0" w:evenVBand="0" w:oddHBand="0"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0" w:type="auto"/>
          </w:tcPr>
          <w:p w14:paraId="437A56B1" w14:textId="77777777" w:rsidR="00A66961" w:rsidRPr="00764E79" w:rsidRDefault="00A66961" w:rsidP="00A66961">
            <w:pPr>
              <w:jc w:val="center"/>
              <w:rPr>
                <w:b w:val="0"/>
                <w:color w:val="auto"/>
                <w:sz w:val="20"/>
                <w:szCs w:val="20"/>
                <w:lang w:val="fr-CA"/>
              </w:rPr>
            </w:pPr>
            <w:r w:rsidRPr="00764E79">
              <w:rPr>
                <w:b w:val="0"/>
                <w:color w:val="auto"/>
                <w:sz w:val="20"/>
                <w:szCs w:val="20"/>
                <w:lang w:val="fr-CA"/>
              </w:rPr>
              <w:t>TOLÉRANCE AU RISQUE</w:t>
            </w:r>
          </w:p>
        </w:tc>
      </w:tr>
      <w:tr w:rsidR="00A66961" w:rsidRPr="00A470BE" w14:paraId="59A1ECE7" w14:textId="77777777" w:rsidTr="00A66961">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0" w:type="auto"/>
            <w:hideMark/>
          </w:tcPr>
          <w:p w14:paraId="465F85EF" w14:textId="77777777" w:rsidR="00A66961" w:rsidRPr="00764E79" w:rsidRDefault="00A66961" w:rsidP="00A66961">
            <w:pPr>
              <w:rPr>
                <w:b w:val="0"/>
                <w:sz w:val="20"/>
                <w:szCs w:val="20"/>
                <w:lang w:val="fr-CA"/>
              </w:rPr>
            </w:pPr>
            <w:r w:rsidRPr="00764E79">
              <w:rPr>
                <w:b w:val="0"/>
                <w:sz w:val="20"/>
                <w:szCs w:val="20"/>
                <w:lang w:val="fr-CA"/>
              </w:rPr>
              <w:t xml:space="preserve">18 et moins = Faible </w:t>
            </w:r>
          </w:p>
        </w:tc>
      </w:tr>
      <w:tr w:rsidR="00A66961" w:rsidRPr="00A470BE" w14:paraId="06762AE5" w14:textId="77777777" w:rsidTr="00A66961">
        <w:trPr>
          <w:trHeight w:val="244"/>
        </w:trPr>
        <w:tc>
          <w:tcPr>
            <w:cnfStyle w:val="001000000000" w:firstRow="0" w:lastRow="0" w:firstColumn="1" w:lastColumn="0" w:oddVBand="0" w:evenVBand="0" w:oddHBand="0" w:evenHBand="0" w:firstRowFirstColumn="0" w:firstRowLastColumn="0" w:lastRowFirstColumn="0" w:lastRowLastColumn="0"/>
            <w:tcW w:w="0" w:type="auto"/>
            <w:hideMark/>
          </w:tcPr>
          <w:p w14:paraId="340A33E8" w14:textId="77777777" w:rsidR="00A66961" w:rsidRPr="002C6DE0" w:rsidRDefault="00A66961" w:rsidP="00A66961">
            <w:pPr>
              <w:rPr>
                <w:b w:val="0"/>
                <w:sz w:val="20"/>
                <w:szCs w:val="20"/>
                <w:lang w:val="fr-CA"/>
              </w:rPr>
            </w:pPr>
            <w:r w:rsidRPr="002C6DE0">
              <w:rPr>
                <w:b w:val="0"/>
                <w:sz w:val="20"/>
                <w:szCs w:val="20"/>
                <w:lang w:val="fr-CA"/>
              </w:rPr>
              <w:t xml:space="preserve">de 19 </w:t>
            </w:r>
            <w:r>
              <w:rPr>
                <w:b w:val="0"/>
                <w:sz w:val="20"/>
                <w:szCs w:val="20"/>
                <w:lang w:val="fr-CA"/>
              </w:rPr>
              <w:t xml:space="preserve">à </w:t>
            </w:r>
            <w:r w:rsidRPr="002C6DE0">
              <w:rPr>
                <w:b w:val="0"/>
                <w:sz w:val="20"/>
                <w:szCs w:val="20"/>
                <w:lang w:val="fr-CA"/>
              </w:rPr>
              <w:t xml:space="preserve">22 = En dessous de la moyenne </w:t>
            </w:r>
          </w:p>
        </w:tc>
      </w:tr>
      <w:tr w:rsidR="00A66961" w:rsidRPr="00A470BE" w14:paraId="1A4E6ECC" w14:textId="77777777" w:rsidTr="00A66961">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0" w:type="auto"/>
            <w:hideMark/>
          </w:tcPr>
          <w:p w14:paraId="7E583DF9" w14:textId="77777777" w:rsidR="00A66961" w:rsidRPr="002C6DE0" w:rsidRDefault="00A66961" w:rsidP="00A66961">
            <w:pPr>
              <w:rPr>
                <w:b w:val="0"/>
                <w:sz w:val="20"/>
                <w:szCs w:val="20"/>
                <w:lang w:val="fr-CA"/>
              </w:rPr>
            </w:pPr>
            <w:r w:rsidRPr="002C6DE0">
              <w:rPr>
                <w:b w:val="0"/>
                <w:sz w:val="20"/>
                <w:szCs w:val="20"/>
                <w:lang w:val="fr-CA"/>
              </w:rPr>
              <w:t xml:space="preserve">de 23 </w:t>
            </w:r>
            <w:r>
              <w:rPr>
                <w:b w:val="0"/>
                <w:sz w:val="20"/>
                <w:szCs w:val="20"/>
                <w:lang w:val="fr-CA"/>
              </w:rPr>
              <w:t>à</w:t>
            </w:r>
            <w:r w:rsidRPr="002C6DE0">
              <w:rPr>
                <w:b w:val="0"/>
                <w:sz w:val="20"/>
                <w:szCs w:val="20"/>
                <w:lang w:val="fr-CA"/>
              </w:rPr>
              <w:t xml:space="preserve"> 28 = Moyenne ou mod</w:t>
            </w:r>
            <w:r>
              <w:rPr>
                <w:b w:val="0"/>
                <w:sz w:val="20"/>
                <w:szCs w:val="20"/>
                <w:lang w:val="fr-CA"/>
              </w:rPr>
              <w:t>é</w:t>
            </w:r>
            <w:r w:rsidRPr="002C6DE0">
              <w:rPr>
                <w:b w:val="0"/>
                <w:sz w:val="20"/>
                <w:szCs w:val="20"/>
                <w:lang w:val="fr-CA"/>
              </w:rPr>
              <w:t>r</w:t>
            </w:r>
            <w:r>
              <w:rPr>
                <w:b w:val="0"/>
                <w:sz w:val="20"/>
                <w:szCs w:val="20"/>
                <w:lang w:val="fr-CA"/>
              </w:rPr>
              <w:t>é</w:t>
            </w:r>
            <w:r w:rsidRPr="002C6DE0">
              <w:rPr>
                <w:b w:val="0"/>
                <w:sz w:val="20"/>
                <w:szCs w:val="20"/>
                <w:lang w:val="fr-CA"/>
              </w:rPr>
              <w:t xml:space="preserve">e </w:t>
            </w:r>
          </w:p>
        </w:tc>
      </w:tr>
      <w:tr w:rsidR="00A66961" w:rsidRPr="00A470BE" w14:paraId="097E9D2A" w14:textId="77777777" w:rsidTr="00A66961">
        <w:trPr>
          <w:trHeight w:val="244"/>
        </w:trPr>
        <w:tc>
          <w:tcPr>
            <w:cnfStyle w:val="001000000000" w:firstRow="0" w:lastRow="0" w:firstColumn="1" w:lastColumn="0" w:oddVBand="0" w:evenVBand="0" w:oddHBand="0" w:evenHBand="0" w:firstRowFirstColumn="0" w:firstRowLastColumn="0" w:lastRowFirstColumn="0" w:lastRowLastColumn="0"/>
            <w:tcW w:w="0" w:type="auto"/>
            <w:hideMark/>
          </w:tcPr>
          <w:p w14:paraId="4DFD4CF8" w14:textId="77777777" w:rsidR="00A66961" w:rsidRPr="002C6DE0" w:rsidRDefault="00A66961" w:rsidP="00A66961">
            <w:pPr>
              <w:rPr>
                <w:b w:val="0"/>
                <w:sz w:val="20"/>
                <w:szCs w:val="20"/>
                <w:lang w:val="fr-CA"/>
              </w:rPr>
            </w:pPr>
            <w:r w:rsidRPr="002C6DE0">
              <w:rPr>
                <w:b w:val="0"/>
                <w:sz w:val="20"/>
                <w:szCs w:val="20"/>
                <w:lang w:val="fr-CA"/>
              </w:rPr>
              <w:t xml:space="preserve">de 29 </w:t>
            </w:r>
            <w:r>
              <w:rPr>
                <w:b w:val="0"/>
                <w:sz w:val="20"/>
                <w:szCs w:val="20"/>
                <w:lang w:val="fr-CA"/>
              </w:rPr>
              <w:t>à</w:t>
            </w:r>
            <w:r w:rsidRPr="002C6DE0">
              <w:rPr>
                <w:b w:val="0"/>
                <w:sz w:val="20"/>
                <w:szCs w:val="20"/>
                <w:lang w:val="fr-CA"/>
              </w:rPr>
              <w:t xml:space="preserve"> 32 = Au</w:t>
            </w:r>
            <w:r w:rsidRPr="002C6DE0">
              <w:rPr>
                <w:rFonts w:ascii="American Typewriter Light" w:hAnsi="American Typewriter Light" w:cs="American Typewriter Light"/>
                <w:b w:val="0"/>
                <w:sz w:val="20"/>
                <w:szCs w:val="20"/>
                <w:lang w:val="fr-CA"/>
              </w:rPr>
              <w:t>‐</w:t>
            </w:r>
            <w:r w:rsidRPr="002C6DE0">
              <w:rPr>
                <w:b w:val="0"/>
                <w:sz w:val="20"/>
                <w:szCs w:val="20"/>
                <w:lang w:val="fr-CA"/>
              </w:rPr>
              <w:t xml:space="preserve">dessus de la moyenne </w:t>
            </w:r>
          </w:p>
        </w:tc>
      </w:tr>
      <w:tr w:rsidR="00A66961" w:rsidRPr="00A470BE" w14:paraId="54774492" w14:textId="77777777" w:rsidTr="00A66961">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0" w:type="auto"/>
            <w:hideMark/>
          </w:tcPr>
          <w:p w14:paraId="59600A48" w14:textId="77777777" w:rsidR="00A66961" w:rsidRPr="002C6DE0" w:rsidRDefault="00A66961" w:rsidP="00A66961">
            <w:pPr>
              <w:rPr>
                <w:b w:val="0"/>
                <w:sz w:val="20"/>
                <w:szCs w:val="20"/>
                <w:lang w:val="fr-CA"/>
              </w:rPr>
            </w:pPr>
            <w:r w:rsidRPr="002C6DE0">
              <w:rPr>
                <w:b w:val="0"/>
                <w:sz w:val="20"/>
                <w:szCs w:val="20"/>
                <w:lang w:val="fr-CA"/>
              </w:rPr>
              <w:t xml:space="preserve">33 et plus = </w:t>
            </w:r>
            <w:r>
              <w:rPr>
                <w:b w:val="0"/>
                <w:sz w:val="20"/>
                <w:szCs w:val="20"/>
                <w:lang w:val="fr-CA"/>
              </w:rPr>
              <w:t>É</w:t>
            </w:r>
            <w:r w:rsidRPr="002C6DE0">
              <w:rPr>
                <w:b w:val="0"/>
                <w:sz w:val="20"/>
                <w:szCs w:val="20"/>
                <w:lang w:val="fr-CA"/>
              </w:rPr>
              <w:t>lev</w:t>
            </w:r>
            <w:r>
              <w:rPr>
                <w:b w:val="0"/>
                <w:sz w:val="20"/>
                <w:szCs w:val="20"/>
                <w:lang w:val="fr-CA"/>
              </w:rPr>
              <w:t>é</w:t>
            </w:r>
            <w:r w:rsidRPr="002C6DE0">
              <w:rPr>
                <w:b w:val="0"/>
                <w:sz w:val="20"/>
                <w:szCs w:val="20"/>
                <w:lang w:val="fr-CA"/>
              </w:rPr>
              <w:t xml:space="preserve">e </w:t>
            </w:r>
          </w:p>
        </w:tc>
      </w:tr>
    </w:tbl>
    <w:p w14:paraId="42984543" w14:textId="77777777" w:rsidR="00014BD7" w:rsidRDefault="00014BD7"/>
    <w:p w14:paraId="66A603F0" w14:textId="77777777" w:rsidR="00014BD7" w:rsidRDefault="00014BD7"/>
    <w:p w14:paraId="09F1FDE9" w14:textId="77777777" w:rsidR="00014BD7" w:rsidRDefault="00014BD7"/>
    <w:p w14:paraId="23A68074" w14:textId="77777777" w:rsidR="00014BD7" w:rsidRDefault="00014BD7"/>
    <w:p w14:paraId="459AAD72" w14:textId="77777777" w:rsidR="00014BD7" w:rsidRDefault="00014BD7"/>
    <w:p w14:paraId="59FCB6F2" w14:textId="77777777" w:rsidR="00014BD7" w:rsidRDefault="00014BD7"/>
    <w:p w14:paraId="4F033529" w14:textId="77777777" w:rsidR="00014BD7" w:rsidRDefault="00014BD7"/>
    <w:p w14:paraId="491B382A" w14:textId="77777777" w:rsidR="00014BD7" w:rsidRDefault="00014BD7"/>
    <w:p w14:paraId="34468E08" w14:textId="77777777" w:rsidR="00014BD7" w:rsidRDefault="00014BD7"/>
    <w:p w14:paraId="11C39C88" w14:textId="77777777" w:rsidR="00014BD7" w:rsidRDefault="00014BD7"/>
    <w:p w14:paraId="1858B5CC" w14:textId="3EB7CC28" w:rsidR="00014BD7" w:rsidRDefault="00A66961">
      <w:r>
        <w:rPr>
          <w:noProof/>
          <w:lang w:eastAsia="fr-FR"/>
        </w:rPr>
        <w:drawing>
          <wp:anchor distT="0" distB="0" distL="114300" distR="114300" simplePos="0" relativeHeight="253186048" behindDoc="1" locked="0" layoutInCell="1" allowOverlap="1" wp14:anchorId="23101D91" wp14:editId="69B52FB8">
            <wp:simplePos x="0" y="0"/>
            <wp:positionH relativeFrom="column">
              <wp:posOffset>5152390</wp:posOffset>
            </wp:positionH>
            <wp:positionV relativeFrom="paragraph">
              <wp:posOffset>12700</wp:posOffset>
            </wp:positionV>
            <wp:extent cx="685800" cy="681990"/>
            <wp:effectExtent l="0" t="0" r="0" b="3810"/>
            <wp:wrapNone/>
            <wp:docPr id="840" name="Image 840" descr="Macintosh HD:Users:marcbachand:Desktop:Capture d’écran 2015-06-08 à 17.04.54.png">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0C13201" w14:textId="52F93D76" w:rsidR="00014BD7" w:rsidRDefault="00014BD7" w:rsidP="00A66961"/>
    <w:p w14:paraId="66F4A78B" w14:textId="1A7902DB" w:rsidR="00A66961" w:rsidRDefault="00573C95">
      <w:pPr>
        <w:rPr>
          <w:color w:val="FF6700" w:themeColor="accent3"/>
        </w:rPr>
      </w:pPr>
      <w:hyperlink r:id="rId172" w:history="1">
        <w:r w:rsidR="00014BD7" w:rsidRPr="00014BD7">
          <w:rPr>
            <w:rStyle w:val="Lienhypertexte"/>
            <w:color w:val="FF6700" w:themeColor="accent3"/>
          </w:rPr>
          <w:t>Répondez au questionnaire et évaluez votre tolérance au risque en mode interactif - En anglais seulement</w:t>
        </w:r>
      </w:hyperlink>
    </w:p>
    <w:p w14:paraId="06F60E1D" w14:textId="77777777" w:rsidR="00A66961" w:rsidRDefault="00A66961">
      <w:pPr>
        <w:rPr>
          <w:color w:val="FF6700" w:themeColor="accent3"/>
        </w:rPr>
      </w:pPr>
    </w:p>
    <w:p w14:paraId="18823A08" w14:textId="77777777" w:rsidR="004A73D7" w:rsidRDefault="004A73D7">
      <w:pPr>
        <w:rPr>
          <w:color w:val="FF6700" w:themeColor="accent3"/>
        </w:rPr>
      </w:pPr>
    </w:p>
    <w:p w14:paraId="56F90365" w14:textId="48D7269B" w:rsidR="004A73D7" w:rsidRDefault="004A73D7">
      <w:pPr>
        <w:rPr>
          <w:color w:val="FF6700" w:themeColor="accent3"/>
        </w:rPr>
      </w:pPr>
    </w:p>
    <w:p w14:paraId="2A042644" w14:textId="00F0E72C" w:rsidR="004A73D7" w:rsidRDefault="004A73D7">
      <w:pPr>
        <w:rPr>
          <w:color w:val="FF6700" w:themeColor="accent3"/>
        </w:rPr>
      </w:pPr>
      <w:r>
        <w:rPr>
          <w:noProof/>
          <w:lang w:eastAsia="fr-FR"/>
        </w:rPr>
        <w:drawing>
          <wp:anchor distT="0" distB="0" distL="114300" distR="114300" simplePos="0" relativeHeight="253188096" behindDoc="1" locked="0" layoutInCell="1" allowOverlap="1" wp14:anchorId="2B275DA0" wp14:editId="758BD3A1">
            <wp:simplePos x="0" y="0"/>
            <wp:positionH relativeFrom="column">
              <wp:posOffset>4343400</wp:posOffset>
            </wp:positionH>
            <wp:positionV relativeFrom="paragraph">
              <wp:posOffset>34925</wp:posOffset>
            </wp:positionV>
            <wp:extent cx="685800" cy="681990"/>
            <wp:effectExtent l="0" t="0" r="0" b="3810"/>
            <wp:wrapNone/>
            <wp:docPr id="841" name="Image 841" descr="Macintosh HD:Users:marcbachand:Desktop:Capture d’écran 2015-06-08 à 17.04.54.png">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8881DE4" w14:textId="77777777" w:rsidR="00A66961" w:rsidRDefault="00A66961">
      <w:pPr>
        <w:rPr>
          <w:color w:val="FF6700" w:themeColor="accent3"/>
        </w:rPr>
      </w:pPr>
    </w:p>
    <w:p w14:paraId="08EF85E1" w14:textId="297F6CEB" w:rsidR="00A66961" w:rsidRPr="004A73D7" w:rsidRDefault="00573C95">
      <w:pPr>
        <w:rPr>
          <w:color w:val="FF6700" w:themeColor="accent3"/>
        </w:rPr>
      </w:pPr>
      <w:hyperlink r:id="rId174" w:history="1">
        <w:r w:rsidR="004A73D7" w:rsidRPr="004A73D7">
          <w:rPr>
            <w:rStyle w:val="Lienhypertexte"/>
            <w:color w:val="FF6700" w:themeColor="accent3"/>
          </w:rPr>
          <w:t>Questionnaire global de cueillette d'informations de l'IQPF</w:t>
        </w:r>
      </w:hyperlink>
    </w:p>
    <w:p w14:paraId="0E7F685E" w14:textId="514F676B" w:rsidR="0066290D" w:rsidRPr="00014BD7" w:rsidRDefault="00441B65">
      <w:pPr>
        <w:rPr>
          <w:color w:val="FF6700" w:themeColor="accent3"/>
        </w:rPr>
      </w:pPr>
      <w:r w:rsidRPr="00014BD7">
        <w:rPr>
          <w:color w:val="FF6700" w:themeColor="accent3"/>
        </w:rPr>
        <w:br w:type="page"/>
      </w:r>
    </w:p>
    <w:p w14:paraId="76D43CB0" w14:textId="3C4D31A7" w:rsidR="00FC4720" w:rsidRDefault="00FC4720" w:rsidP="006C34CF">
      <w:pPr>
        <w:pStyle w:val="Titre3"/>
        <w:numPr>
          <w:ilvl w:val="2"/>
          <w:numId w:val="118"/>
        </w:numPr>
      </w:pPr>
      <w:bookmarkStart w:id="173" w:name="_Toc314397893"/>
      <w:bookmarkStart w:id="174" w:name="_Toc443569437"/>
      <w:r>
        <w:lastRenderedPageBreak/>
        <w:t>La politique de placement</w:t>
      </w:r>
      <w:bookmarkEnd w:id="173"/>
      <w:bookmarkEnd w:id="174"/>
    </w:p>
    <w:p w14:paraId="08A681F5" w14:textId="77777777" w:rsidR="00FC4720" w:rsidRPr="00FC4720" w:rsidRDefault="00FC4720" w:rsidP="00FC4720"/>
    <w:p w14:paraId="241BF7FC" w14:textId="404D3391" w:rsidR="008062F6" w:rsidRDefault="00F607A4" w:rsidP="008062F6">
      <w:pPr>
        <w:jc w:val="both"/>
      </w:pPr>
      <w:r>
        <w:t>L</w:t>
      </w:r>
      <w:r w:rsidR="008062F6">
        <w:t xml:space="preserve">a politique de placement est un énoncé qui s'articule autour du profil de l'investisseur afin d'établir la manière avec laquelle les actifs financiers du client seront gérés, notamment quant à la répartition de ces actifs. Cette entente clarifie les attentes, les objectifs, la prise </w:t>
      </w:r>
      <w:r w:rsidR="00BA1875">
        <w:t>en</w:t>
      </w:r>
      <w:r w:rsidR="008062F6">
        <w:t xml:space="preserve"> charge du risque, le mode de fonctionnement, qui lie le client et le conseiller financier. Cette politique fera l'objet d'un document qui sera signé par les deux partis. </w:t>
      </w:r>
    </w:p>
    <w:p w14:paraId="0F738922" w14:textId="4F50BF40" w:rsidR="00117945" w:rsidRDefault="00117945" w:rsidP="008062F6">
      <w:pPr>
        <w:jc w:val="both"/>
      </w:pPr>
    </w:p>
    <w:p w14:paraId="11C22459" w14:textId="6B138DD2" w:rsidR="00F607A4" w:rsidRDefault="00265EDA" w:rsidP="008062F6">
      <w:pPr>
        <w:jc w:val="both"/>
      </w:pPr>
      <w:r>
        <w:t>Lorsqu'il s'agit de répartir les actifs de l'investisseur, il est important d'établir dès le départ les fourchettes à l'intérieur desquelles le conseiller devra travailler. L'objectif de ce canevas est de s'assure</w:t>
      </w:r>
      <w:r w:rsidR="00CB5A75">
        <w:t>r</w:t>
      </w:r>
      <w:r>
        <w:t xml:space="preserve"> que l'ensemble du portefeuille de placement témoigne du niveau de risque qui est acceptable pour le client. En ajoutant </w:t>
      </w:r>
      <w:r w:rsidR="00CB5A75">
        <w:t>cette ventilation selon les</w:t>
      </w:r>
      <w:r>
        <w:t xml:space="preserve"> types de placement (Liquidités et obligations, actions</w:t>
      </w:r>
      <w:r w:rsidR="00653B65">
        <w:t>, fonds communs de placements</w:t>
      </w:r>
      <w:r>
        <w:t xml:space="preserve"> et produits dérivés</w:t>
      </w:r>
      <w:r w:rsidR="007934E2">
        <w:t xml:space="preserve"> et alternatifs</w:t>
      </w:r>
      <w:r>
        <w:t>)</w:t>
      </w:r>
      <w:r w:rsidR="007934E2">
        <w:t>,</w:t>
      </w:r>
      <w:r>
        <w:t xml:space="preserve"> les </w:t>
      </w:r>
      <w:r w:rsidR="00CB5A75">
        <w:t>considérations</w:t>
      </w:r>
      <w:r>
        <w:t xml:space="preserve"> géographiques et sectorielles, nous établissions </w:t>
      </w:r>
      <w:r w:rsidR="00CB5A75">
        <w:t xml:space="preserve">les stratégies de base à une bonne </w:t>
      </w:r>
      <w:r w:rsidR="00CB5A75" w:rsidRPr="00CB5A75">
        <w:rPr>
          <w:color w:val="FF6700" w:themeColor="accent3"/>
        </w:rPr>
        <w:t>DIVERSIFICATION</w:t>
      </w:r>
      <w:r w:rsidR="00CB5A75">
        <w:t xml:space="preserve"> des investissements.</w:t>
      </w:r>
      <w:r w:rsidR="007E4012">
        <w:t xml:space="preserve"> Ces paramètres qui permettent de délimiter le champ d'action du conseiller se doivent d'être réévalu</w:t>
      </w:r>
      <w:r w:rsidR="00B466B7">
        <w:t>és</w:t>
      </w:r>
      <w:r w:rsidR="007E4012">
        <w:t xml:space="preserve"> à temps opportun puisque l'environnement du client est voué à changer dans le temps.</w:t>
      </w:r>
      <w:r w:rsidR="00B466B7">
        <w:t xml:space="preserve"> </w:t>
      </w:r>
    </w:p>
    <w:p w14:paraId="39D1190B" w14:textId="3656D7CF" w:rsidR="00B466B7" w:rsidRDefault="005A30CC" w:rsidP="008062F6">
      <w:pPr>
        <w:jc w:val="both"/>
      </w:pPr>
      <w:r>
        <w:rPr>
          <w:noProof/>
          <w:lang w:eastAsia="fr-FR"/>
        </w:rPr>
        <mc:AlternateContent>
          <mc:Choice Requires="wps">
            <w:drawing>
              <wp:anchor distT="0" distB="0" distL="114300" distR="114300" simplePos="0" relativeHeight="253219840" behindDoc="0" locked="0" layoutInCell="1" allowOverlap="1" wp14:anchorId="3CA1E728" wp14:editId="78B72DCD">
                <wp:simplePos x="0" y="0"/>
                <wp:positionH relativeFrom="column">
                  <wp:posOffset>4000500</wp:posOffset>
                </wp:positionH>
                <wp:positionV relativeFrom="paragraph">
                  <wp:posOffset>39370</wp:posOffset>
                </wp:positionV>
                <wp:extent cx="3657600" cy="342900"/>
                <wp:effectExtent l="0" t="0" r="0" b="12700"/>
                <wp:wrapSquare wrapText="bothSides"/>
                <wp:docPr id="823" name="Zone de texte 823"/>
                <wp:cNvGraphicFramePr/>
                <a:graphic xmlns:a="http://schemas.openxmlformats.org/drawingml/2006/main">
                  <a:graphicData uri="http://schemas.microsoft.com/office/word/2010/wordprocessingShape">
                    <wps:wsp>
                      <wps:cNvSpPr txBox="1"/>
                      <wps:spPr>
                        <a:xfrm>
                          <a:off x="0" y="0"/>
                          <a:ext cx="3657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CDFAB2" w14:textId="52C05FA1" w:rsidR="00573C95" w:rsidRDefault="00573C95">
                            <w:r>
                              <w:t>Exemple de canevas de répartition des actifs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23" o:spid="_x0000_s1569" type="#_x0000_t202" style="position:absolute;left:0;text-align:left;margin-left:315pt;margin-top:3.1pt;width:4in;height:27pt;z-index:2532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" filled="f" stroked="f">
                <v:textbox>
                  <w:txbxContent>
                    <w:p w14:paraId="5FCDFAB2" w14:textId="52C05FA1" w:rsidR="001501D6" w:rsidRDefault="001501D6">
                      <w:r>
                        <w:t>Exemple de canevas de répartition des actifs</w:t>
                      </w:r>
                    </w:p>
                  </w:txbxContent>
                </v:textbox>
                <w10:wrap type="square"/>
              </v:shape>
            </w:pict>
          </mc:Fallback>
        </mc:AlternateContent>
      </w:r>
    </w:p>
    <w:tbl>
      <w:tblPr>
        <w:tblStyle w:val="Grille"/>
        <w:tblpPr w:leftFromText="141" w:rightFromText="141" w:vertAnchor="text" w:horzAnchor="page" w:tblpX="1346"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2726"/>
      </w:tblGrid>
      <w:tr w:rsidR="00AF66F0" w14:paraId="0DEC6855" w14:textId="77777777" w:rsidTr="00522722">
        <w:tc>
          <w:tcPr>
            <w:tcW w:w="2943" w:type="dxa"/>
            <w:shd w:val="clear" w:color="auto" w:fill="909465" w:themeFill="accent4"/>
          </w:tcPr>
          <w:p w14:paraId="747B690D" w14:textId="77777777" w:rsidR="00AF66F0" w:rsidRDefault="00AF66F0" w:rsidP="00AF66F0">
            <w:pPr>
              <w:jc w:val="center"/>
            </w:pPr>
            <w:r>
              <w:t>Types de placement</w:t>
            </w:r>
          </w:p>
        </w:tc>
        <w:tc>
          <w:tcPr>
            <w:tcW w:w="2726" w:type="dxa"/>
            <w:shd w:val="clear" w:color="auto" w:fill="909465" w:themeFill="accent4"/>
          </w:tcPr>
          <w:p w14:paraId="3D7A0A5D" w14:textId="77777777" w:rsidR="00AF66F0" w:rsidRDefault="00AF66F0" w:rsidP="00AF66F0">
            <w:pPr>
              <w:jc w:val="center"/>
            </w:pPr>
            <w:r>
              <w:t>Fourchette/détention</w:t>
            </w:r>
          </w:p>
        </w:tc>
      </w:tr>
      <w:tr w:rsidR="00AF66F0" w14:paraId="73A28CCD" w14:textId="77777777" w:rsidTr="00522722">
        <w:tc>
          <w:tcPr>
            <w:tcW w:w="2943" w:type="dxa"/>
            <w:shd w:val="clear" w:color="auto" w:fill="909465" w:themeFill="accent4"/>
          </w:tcPr>
          <w:p w14:paraId="416B307D" w14:textId="77777777" w:rsidR="00AF66F0" w:rsidRDefault="00AF66F0" w:rsidP="00AF66F0"/>
        </w:tc>
        <w:tc>
          <w:tcPr>
            <w:tcW w:w="2726" w:type="dxa"/>
            <w:shd w:val="clear" w:color="auto" w:fill="909465" w:themeFill="accent4"/>
          </w:tcPr>
          <w:p w14:paraId="482FFA4F" w14:textId="77777777" w:rsidR="00AF66F0" w:rsidRDefault="00AF66F0" w:rsidP="00AF66F0"/>
        </w:tc>
      </w:tr>
      <w:tr w:rsidR="00AF66F0" w14:paraId="61ED63F2" w14:textId="77777777" w:rsidTr="00522722">
        <w:tc>
          <w:tcPr>
            <w:tcW w:w="2943" w:type="dxa"/>
            <w:shd w:val="clear" w:color="auto" w:fill="800000"/>
          </w:tcPr>
          <w:p w14:paraId="3E008816" w14:textId="77777777" w:rsidR="00AF66F0" w:rsidRDefault="00AF66F0" w:rsidP="00AF66F0">
            <w:r>
              <w:t>Liquidités et obligations</w:t>
            </w:r>
          </w:p>
        </w:tc>
        <w:tc>
          <w:tcPr>
            <w:tcW w:w="2726" w:type="dxa"/>
            <w:shd w:val="clear" w:color="auto" w:fill="000000" w:themeFill="text1"/>
          </w:tcPr>
          <w:p w14:paraId="35719852" w14:textId="77777777" w:rsidR="00AF66F0" w:rsidRDefault="00AF66F0" w:rsidP="00AF66F0">
            <w:pPr>
              <w:jc w:val="center"/>
            </w:pPr>
            <w:r>
              <w:t>10 % à 30 %</w:t>
            </w:r>
          </w:p>
        </w:tc>
      </w:tr>
      <w:tr w:rsidR="00AF66F0" w14:paraId="2F2F9441" w14:textId="77777777" w:rsidTr="00522722">
        <w:tc>
          <w:tcPr>
            <w:tcW w:w="2943" w:type="dxa"/>
            <w:shd w:val="clear" w:color="auto" w:fill="800000"/>
          </w:tcPr>
          <w:p w14:paraId="6B2012CD" w14:textId="77777777" w:rsidR="00AF66F0" w:rsidRDefault="00AF66F0" w:rsidP="00AF66F0">
            <w:r>
              <w:t>Actions</w:t>
            </w:r>
          </w:p>
        </w:tc>
        <w:tc>
          <w:tcPr>
            <w:tcW w:w="2726" w:type="dxa"/>
            <w:shd w:val="clear" w:color="auto" w:fill="000000" w:themeFill="text1"/>
          </w:tcPr>
          <w:p w14:paraId="487E4526" w14:textId="77777777" w:rsidR="00AF66F0" w:rsidRDefault="00AF66F0" w:rsidP="00AF66F0">
            <w:pPr>
              <w:jc w:val="center"/>
            </w:pPr>
            <w:r>
              <w:t>60 % à 90 %</w:t>
            </w:r>
          </w:p>
        </w:tc>
      </w:tr>
      <w:tr w:rsidR="00AF66F0" w14:paraId="5B181C1D" w14:textId="77777777" w:rsidTr="00522722">
        <w:tc>
          <w:tcPr>
            <w:tcW w:w="2943" w:type="dxa"/>
            <w:shd w:val="clear" w:color="auto" w:fill="800000"/>
          </w:tcPr>
          <w:p w14:paraId="4F574619" w14:textId="77777777" w:rsidR="00AF66F0" w:rsidRDefault="00AF66F0" w:rsidP="00AF66F0">
            <w:r>
              <w:t>Produits dérivés</w:t>
            </w:r>
          </w:p>
        </w:tc>
        <w:tc>
          <w:tcPr>
            <w:tcW w:w="2726" w:type="dxa"/>
            <w:shd w:val="clear" w:color="auto" w:fill="000000" w:themeFill="text1"/>
          </w:tcPr>
          <w:p w14:paraId="622907AB" w14:textId="77777777" w:rsidR="00AF66F0" w:rsidRDefault="00AF66F0" w:rsidP="00AF66F0">
            <w:pPr>
              <w:jc w:val="center"/>
            </w:pPr>
            <w:r>
              <w:t>0 % à 10 %</w:t>
            </w:r>
          </w:p>
        </w:tc>
      </w:tr>
    </w:tbl>
    <w:p w14:paraId="5FF920E1" w14:textId="600EB848" w:rsidR="00F607A4" w:rsidRDefault="00F607A4" w:rsidP="00D419D3"/>
    <w:tbl>
      <w:tblPr>
        <w:tblStyle w:val="Grille"/>
        <w:tblpPr w:leftFromText="141" w:rightFromText="141" w:vertAnchor="text" w:horzAnchor="page" w:tblpX="8006" w:tblpY="73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2726"/>
      </w:tblGrid>
      <w:tr w:rsidR="00AF66F0" w14:paraId="4E17E7F2" w14:textId="77777777" w:rsidTr="00522722">
        <w:tc>
          <w:tcPr>
            <w:tcW w:w="2943" w:type="dxa"/>
            <w:shd w:val="clear" w:color="auto" w:fill="909465" w:themeFill="accent4"/>
          </w:tcPr>
          <w:p w14:paraId="462CCBAB" w14:textId="77777777" w:rsidR="00AF66F0" w:rsidRDefault="00AF66F0" w:rsidP="00AF66F0">
            <w:pPr>
              <w:jc w:val="center"/>
            </w:pPr>
            <w:r>
              <w:t>Géographique</w:t>
            </w:r>
          </w:p>
        </w:tc>
        <w:tc>
          <w:tcPr>
            <w:tcW w:w="2726" w:type="dxa"/>
            <w:shd w:val="clear" w:color="auto" w:fill="909465" w:themeFill="accent4"/>
          </w:tcPr>
          <w:p w14:paraId="3F8E3870" w14:textId="77777777" w:rsidR="00AF66F0" w:rsidRDefault="00AF66F0" w:rsidP="00AF66F0">
            <w:pPr>
              <w:jc w:val="center"/>
            </w:pPr>
            <w:r>
              <w:t>Fourchette/détention</w:t>
            </w:r>
          </w:p>
        </w:tc>
      </w:tr>
      <w:tr w:rsidR="00AF66F0" w14:paraId="37B5E5F4" w14:textId="77777777" w:rsidTr="00522722">
        <w:tc>
          <w:tcPr>
            <w:tcW w:w="2943" w:type="dxa"/>
            <w:shd w:val="clear" w:color="auto" w:fill="909465" w:themeFill="accent4"/>
          </w:tcPr>
          <w:p w14:paraId="0629FECB" w14:textId="77777777" w:rsidR="00AF66F0" w:rsidRDefault="00AF66F0" w:rsidP="00AF66F0"/>
        </w:tc>
        <w:tc>
          <w:tcPr>
            <w:tcW w:w="2726" w:type="dxa"/>
            <w:shd w:val="clear" w:color="auto" w:fill="909465" w:themeFill="accent4"/>
          </w:tcPr>
          <w:p w14:paraId="142056FD" w14:textId="77777777" w:rsidR="00AF66F0" w:rsidRDefault="00AF66F0" w:rsidP="00AF66F0"/>
        </w:tc>
      </w:tr>
      <w:tr w:rsidR="00AF66F0" w14:paraId="47C10920" w14:textId="77777777" w:rsidTr="00522722">
        <w:tc>
          <w:tcPr>
            <w:tcW w:w="2943" w:type="dxa"/>
            <w:shd w:val="clear" w:color="auto" w:fill="008000"/>
          </w:tcPr>
          <w:p w14:paraId="58438467" w14:textId="77777777" w:rsidR="00AF66F0" w:rsidRPr="006E6F28" w:rsidRDefault="00AF66F0" w:rsidP="00AF66F0">
            <w:pPr>
              <w:rPr>
                <w:color w:val="FFFFFF" w:themeColor="background1"/>
              </w:rPr>
            </w:pPr>
            <w:r w:rsidRPr="006E6F28">
              <w:rPr>
                <w:color w:val="FFFFFF" w:themeColor="background1"/>
              </w:rPr>
              <w:t>Canada</w:t>
            </w:r>
          </w:p>
        </w:tc>
        <w:tc>
          <w:tcPr>
            <w:tcW w:w="2726" w:type="dxa"/>
            <w:shd w:val="clear" w:color="auto" w:fill="000000" w:themeFill="text1"/>
          </w:tcPr>
          <w:p w14:paraId="313B3730" w14:textId="77777777" w:rsidR="00AF66F0" w:rsidRDefault="00AF66F0" w:rsidP="00AF66F0">
            <w:pPr>
              <w:jc w:val="center"/>
            </w:pPr>
            <w:r>
              <w:t>30 % à 50 %</w:t>
            </w:r>
          </w:p>
        </w:tc>
      </w:tr>
      <w:tr w:rsidR="00AF66F0" w14:paraId="07B2BAB2" w14:textId="77777777" w:rsidTr="00522722">
        <w:tc>
          <w:tcPr>
            <w:tcW w:w="2943" w:type="dxa"/>
            <w:shd w:val="clear" w:color="auto" w:fill="008000"/>
          </w:tcPr>
          <w:p w14:paraId="5387DE8D" w14:textId="77777777" w:rsidR="00AF66F0" w:rsidRPr="006E6F28" w:rsidRDefault="00AF66F0" w:rsidP="00AF66F0">
            <w:pPr>
              <w:rPr>
                <w:color w:val="FFFFFF" w:themeColor="background1"/>
              </w:rPr>
            </w:pPr>
            <w:r w:rsidRPr="006E6F28">
              <w:rPr>
                <w:color w:val="FFFFFF" w:themeColor="background1"/>
              </w:rPr>
              <w:t>États-Unis</w:t>
            </w:r>
          </w:p>
        </w:tc>
        <w:tc>
          <w:tcPr>
            <w:tcW w:w="2726" w:type="dxa"/>
            <w:shd w:val="clear" w:color="auto" w:fill="000000" w:themeFill="text1"/>
          </w:tcPr>
          <w:p w14:paraId="1E719D78" w14:textId="77777777" w:rsidR="00AF66F0" w:rsidRDefault="00AF66F0" w:rsidP="00AF66F0">
            <w:pPr>
              <w:jc w:val="center"/>
            </w:pPr>
            <w:r>
              <w:t>20 % à 40 %</w:t>
            </w:r>
          </w:p>
        </w:tc>
      </w:tr>
      <w:tr w:rsidR="00AF66F0" w14:paraId="1EBDDB0D" w14:textId="77777777" w:rsidTr="00522722">
        <w:tc>
          <w:tcPr>
            <w:tcW w:w="2943" w:type="dxa"/>
            <w:shd w:val="clear" w:color="auto" w:fill="008000"/>
          </w:tcPr>
          <w:p w14:paraId="6EB0F7AF" w14:textId="77777777" w:rsidR="00AF66F0" w:rsidRPr="006E6F28" w:rsidRDefault="00AF66F0" w:rsidP="00AF66F0">
            <w:pPr>
              <w:rPr>
                <w:color w:val="FFFFFF" w:themeColor="background1"/>
              </w:rPr>
            </w:pPr>
            <w:r w:rsidRPr="006E6F28">
              <w:rPr>
                <w:color w:val="FFFFFF" w:themeColor="background1"/>
              </w:rPr>
              <w:t>Europe</w:t>
            </w:r>
          </w:p>
        </w:tc>
        <w:tc>
          <w:tcPr>
            <w:tcW w:w="2726" w:type="dxa"/>
            <w:shd w:val="clear" w:color="auto" w:fill="000000" w:themeFill="text1"/>
          </w:tcPr>
          <w:p w14:paraId="161AD72F" w14:textId="77777777" w:rsidR="00AF66F0" w:rsidRDefault="00AF66F0" w:rsidP="00AF66F0">
            <w:pPr>
              <w:jc w:val="center"/>
            </w:pPr>
            <w:r>
              <w:t>10 % à 30 %</w:t>
            </w:r>
          </w:p>
        </w:tc>
      </w:tr>
      <w:tr w:rsidR="00AF66F0" w14:paraId="6F05E77B" w14:textId="77777777" w:rsidTr="00522722">
        <w:tc>
          <w:tcPr>
            <w:tcW w:w="2943" w:type="dxa"/>
            <w:shd w:val="clear" w:color="auto" w:fill="008000"/>
          </w:tcPr>
          <w:p w14:paraId="7489454E" w14:textId="77777777" w:rsidR="00AF66F0" w:rsidRPr="006E6F28" w:rsidRDefault="00AF66F0" w:rsidP="00AF66F0">
            <w:pPr>
              <w:rPr>
                <w:color w:val="FFFFFF" w:themeColor="background1"/>
              </w:rPr>
            </w:pPr>
            <w:r w:rsidRPr="006E6F28">
              <w:rPr>
                <w:color w:val="FFFFFF" w:themeColor="background1"/>
              </w:rPr>
              <w:t>Asie</w:t>
            </w:r>
          </w:p>
        </w:tc>
        <w:tc>
          <w:tcPr>
            <w:tcW w:w="2726" w:type="dxa"/>
            <w:shd w:val="clear" w:color="auto" w:fill="000000" w:themeFill="text1"/>
          </w:tcPr>
          <w:p w14:paraId="5134BB65" w14:textId="77777777" w:rsidR="00AF66F0" w:rsidRDefault="00AF66F0" w:rsidP="00AF66F0">
            <w:pPr>
              <w:jc w:val="center"/>
            </w:pPr>
            <w:r>
              <w:t>0 % à 10 %</w:t>
            </w:r>
          </w:p>
        </w:tc>
      </w:tr>
      <w:tr w:rsidR="00AF66F0" w14:paraId="704C2A4E" w14:textId="77777777" w:rsidTr="00522722">
        <w:tc>
          <w:tcPr>
            <w:tcW w:w="2943" w:type="dxa"/>
            <w:shd w:val="clear" w:color="auto" w:fill="008000"/>
          </w:tcPr>
          <w:p w14:paraId="508E5910" w14:textId="77777777" w:rsidR="00AF66F0" w:rsidRPr="006E6F28" w:rsidRDefault="00AF66F0" w:rsidP="00AF66F0">
            <w:pPr>
              <w:rPr>
                <w:color w:val="FFFFFF" w:themeColor="background1"/>
              </w:rPr>
            </w:pPr>
            <w:r w:rsidRPr="006E6F28">
              <w:rPr>
                <w:color w:val="FFFFFF" w:themeColor="background1"/>
              </w:rPr>
              <w:t>Pays émergents</w:t>
            </w:r>
          </w:p>
        </w:tc>
        <w:tc>
          <w:tcPr>
            <w:tcW w:w="2726" w:type="dxa"/>
            <w:shd w:val="clear" w:color="auto" w:fill="000000" w:themeFill="text1"/>
          </w:tcPr>
          <w:p w14:paraId="7FFB8C8E" w14:textId="77777777" w:rsidR="00AF66F0" w:rsidRDefault="00AF66F0" w:rsidP="00AF66F0">
            <w:pPr>
              <w:jc w:val="center"/>
            </w:pPr>
            <w:r>
              <w:t>10 % à 20 %</w:t>
            </w:r>
          </w:p>
        </w:tc>
      </w:tr>
    </w:tbl>
    <w:p w14:paraId="3BD42993" w14:textId="77777777" w:rsidR="00CB5A75" w:rsidRDefault="00CB5A75" w:rsidP="00265EDA"/>
    <w:p w14:paraId="5848BB73" w14:textId="77777777" w:rsidR="00CB5A75" w:rsidRDefault="00CB5A75" w:rsidP="00265EDA"/>
    <w:p w14:paraId="794C2116" w14:textId="03C82FCB" w:rsidR="00CB5A75" w:rsidRDefault="00CB5A75" w:rsidP="00265EDA"/>
    <w:p w14:paraId="789E41EC" w14:textId="77777777" w:rsidR="00CB5A75" w:rsidRDefault="00CB5A75" w:rsidP="00265EDA"/>
    <w:p w14:paraId="6A540187" w14:textId="1E0AF372" w:rsidR="00CB5A75" w:rsidRDefault="00CB5A75" w:rsidP="00265EDA"/>
    <w:tbl>
      <w:tblPr>
        <w:tblStyle w:val="Grille"/>
        <w:tblpPr w:leftFromText="141" w:rightFromText="141" w:vertAnchor="text" w:horzAnchor="page" w:tblpX="1346" w:tblpY="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2726"/>
      </w:tblGrid>
      <w:tr w:rsidR="009E3511" w14:paraId="4D4CA145" w14:textId="77777777" w:rsidTr="00522722">
        <w:tc>
          <w:tcPr>
            <w:tcW w:w="2943" w:type="dxa"/>
            <w:shd w:val="clear" w:color="auto" w:fill="909465" w:themeFill="accent4"/>
          </w:tcPr>
          <w:p w14:paraId="6525CC13" w14:textId="77777777" w:rsidR="009E3511" w:rsidRDefault="009E3511" w:rsidP="009E3511">
            <w:pPr>
              <w:jc w:val="center"/>
            </w:pPr>
            <w:r>
              <w:t>Sectoriel</w:t>
            </w:r>
          </w:p>
        </w:tc>
        <w:tc>
          <w:tcPr>
            <w:tcW w:w="2726" w:type="dxa"/>
            <w:shd w:val="clear" w:color="auto" w:fill="909465" w:themeFill="accent4"/>
          </w:tcPr>
          <w:p w14:paraId="7612E0F2" w14:textId="77777777" w:rsidR="009E3511" w:rsidRDefault="009E3511" w:rsidP="009E3511">
            <w:pPr>
              <w:jc w:val="center"/>
            </w:pPr>
            <w:r>
              <w:t>Fourchette/détention</w:t>
            </w:r>
          </w:p>
        </w:tc>
      </w:tr>
      <w:tr w:rsidR="009E3511" w14:paraId="5690625F" w14:textId="77777777" w:rsidTr="00522722">
        <w:tc>
          <w:tcPr>
            <w:tcW w:w="2943" w:type="dxa"/>
            <w:shd w:val="clear" w:color="auto" w:fill="909465" w:themeFill="accent4"/>
          </w:tcPr>
          <w:p w14:paraId="0FD3A990" w14:textId="77777777" w:rsidR="009E3511" w:rsidRDefault="009E3511" w:rsidP="009E3511"/>
        </w:tc>
        <w:tc>
          <w:tcPr>
            <w:tcW w:w="2726" w:type="dxa"/>
            <w:shd w:val="clear" w:color="auto" w:fill="909465" w:themeFill="accent4"/>
          </w:tcPr>
          <w:p w14:paraId="461CB674" w14:textId="77777777" w:rsidR="009E3511" w:rsidRDefault="009E3511" w:rsidP="009E3511"/>
        </w:tc>
      </w:tr>
      <w:tr w:rsidR="009E3511" w14:paraId="2C8F2C4A" w14:textId="77777777" w:rsidTr="00522722">
        <w:tc>
          <w:tcPr>
            <w:tcW w:w="2943" w:type="dxa"/>
            <w:shd w:val="clear" w:color="auto" w:fill="3366FF"/>
          </w:tcPr>
          <w:p w14:paraId="7C1AB55E" w14:textId="77777777" w:rsidR="009E3511" w:rsidRPr="006E6F28" w:rsidRDefault="009E3511" w:rsidP="009E3511">
            <w:pPr>
              <w:rPr>
                <w:color w:val="FFFFFF" w:themeColor="background1"/>
              </w:rPr>
            </w:pPr>
            <w:r w:rsidRPr="006E6F28">
              <w:rPr>
                <w:color w:val="FFFFFF" w:themeColor="background1"/>
              </w:rPr>
              <w:t>Ressources naturelles</w:t>
            </w:r>
          </w:p>
        </w:tc>
        <w:tc>
          <w:tcPr>
            <w:tcW w:w="2726" w:type="dxa"/>
            <w:shd w:val="clear" w:color="auto" w:fill="000000" w:themeFill="text1"/>
          </w:tcPr>
          <w:p w14:paraId="27ACD5B4" w14:textId="06BC2AE4" w:rsidR="009E3511" w:rsidRDefault="00AF66F0" w:rsidP="00AF66F0">
            <w:pPr>
              <w:jc w:val="center"/>
            </w:pPr>
            <w:r>
              <w:t>20</w:t>
            </w:r>
            <w:r w:rsidR="009E3511">
              <w:t xml:space="preserve"> % à </w:t>
            </w:r>
            <w:r>
              <w:t>3</w:t>
            </w:r>
            <w:r w:rsidR="009E3511">
              <w:t>5 %</w:t>
            </w:r>
          </w:p>
        </w:tc>
      </w:tr>
      <w:tr w:rsidR="009E3511" w14:paraId="08CF2343" w14:textId="77777777" w:rsidTr="00522722">
        <w:tc>
          <w:tcPr>
            <w:tcW w:w="2943" w:type="dxa"/>
            <w:shd w:val="clear" w:color="auto" w:fill="3366FF"/>
          </w:tcPr>
          <w:p w14:paraId="0BA2DAD1" w14:textId="77777777" w:rsidR="009E3511" w:rsidRPr="006E6F28" w:rsidRDefault="009E3511" w:rsidP="009E3511">
            <w:pPr>
              <w:rPr>
                <w:color w:val="FFFFFF" w:themeColor="background1"/>
              </w:rPr>
            </w:pPr>
            <w:r w:rsidRPr="006E6F28">
              <w:rPr>
                <w:color w:val="FFFFFF" w:themeColor="background1"/>
              </w:rPr>
              <w:t>Financier</w:t>
            </w:r>
          </w:p>
        </w:tc>
        <w:tc>
          <w:tcPr>
            <w:tcW w:w="2726" w:type="dxa"/>
            <w:shd w:val="clear" w:color="auto" w:fill="000000" w:themeFill="text1"/>
          </w:tcPr>
          <w:p w14:paraId="01B145CB" w14:textId="7DB2A2F7" w:rsidR="009E3511" w:rsidRDefault="009E3511" w:rsidP="00AF66F0">
            <w:pPr>
              <w:jc w:val="center"/>
            </w:pPr>
            <w:r>
              <w:t xml:space="preserve">20 % à </w:t>
            </w:r>
            <w:r w:rsidR="00AF66F0">
              <w:t>30</w:t>
            </w:r>
            <w:r>
              <w:t xml:space="preserve"> %</w:t>
            </w:r>
          </w:p>
        </w:tc>
      </w:tr>
      <w:tr w:rsidR="009E3511" w14:paraId="13C09DF6" w14:textId="77777777" w:rsidTr="00522722">
        <w:tc>
          <w:tcPr>
            <w:tcW w:w="2943" w:type="dxa"/>
            <w:shd w:val="clear" w:color="auto" w:fill="3366FF"/>
          </w:tcPr>
          <w:p w14:paraId="0D8882C2" w14:textId="77777777" w:rsidR="009E3511" w:rsidRPr="006E6F28" w:rsidRDefault="009E3511" w:rsidP="009E3511">
            <w:pPr>
              <w:rPr>
                <w:color w:val="FFFFFF" w:themeColor="background1"/>
              </w:rPr>
            </w:pPr>
            <w:r w:rsidRPr="006E6F28">
              <w:rPr>
                <w:color w:val="FFFFFF" w:themeColor="background1"/>
              </w:rPr>
              <w:t>Télécommunication</w:t>
            </w:r>
          </w:p>
        </w:tc>
        <w:tc>
          <w:tcPr>
            <w:tcW w:w="2726" w:type="dxa"/>
            <w:shd w:val="clear" w:color="auto" w:fill="000000" w:themeFill="text1"/>
          </w:tcPr>
          <w:p w14:paraId="490D0689" w14:textId="77777777" w:rsidR="009E3511" w:rsidRDefault="009E3511" w:rsidP="009E3511">
            <w:pPr>
              <w:jc w:val="center"/>
            </w:pPr>
            <w:r>
              <w:t>10 % à 30 %</w:t>
            </w:r>
          </w:p>
        </w:tc>
      </w:tr>
      <w:tr w:rsidR="009E3511" w14:paraId="456F1D6C" w14:textId="77777777" w:rsidTr="00522722">
        <w:tc>
          <w:tcPr>
            <w:tcW w:w="2943" w:type="dxa"/>
            <w:shd w:val="clear" w:color="auto" w:fill="3366FF"/>
          </w:tcPr>
          <w:p w14:paraId="5F789C9D" w14:textId="77777777" w:rsidR="009E3511" w:rsidRPr="006E6F28" w:rsidRDefault="009E3511" w:rsidP="009E3511">
            <w:pPr>
              <w:rPr>
                <w:color w:val="FFFFFF" w:themeColor="background1"/>
              </w:rPr>
            </w:pPr>
            <w:r w:rsidRPr="006E6F28">
              <w:rPr>
                <w:color w:val="FFFFFF" w:themeColor="background1"/>
              </w:rPr>
              <w:t>Technologie</w:t>
            </w:r>
          </w:p>
        </w:tc>
        <w:tc>
          <w:tcPr>
            <w:tcW w:w="2726" w:type="dxa"/>
            <w:shd w:val="clear" w:color="auto" w:fill="000000" w:themeFill="text1"/>
          </w:tcPr>
          <w:p w14:paraId="311D205B" w14:textId="135C25D3" w:rsidR="009E3511" w:rsidRDefault="00AF66F0" w:rsidP="00AF66F0">
            <w:pPr>
              <w:jc w:val="center"/>
            </w:pPr>
            <w:r>
              <w:t>15</w:t>
            </w:r>
            <w:r w:rsidR="009E3511">
              <w:t xml:space="preserve"> % à </w:t>
            </w:r>
            <w:r>
              <w:t>40</w:t>
            </w:r>
            <w:r w:rsidR="009E3511">
              <w:t xml:space="preserve"> %</w:t>
            </w:r>
          </w:p>
        </w:tc>
      </w:tr>
      <w:tr w:rsidR="009E3511" w14:paraId="3094AD83" w14:textId="77777777" w:rsidTr="00522722">
        <w:tc>
          <w:tcPr>
            <w:tcW w:w="2943" w:type="dxa"/>
            <w:shd w:val="clear" w:color="auto" w:fill="3366FF"/>
          </w:tcPr>
          <w:p w14:paraId="52C89452" w14:textId="77777777" w:rsidR="009E3511" w:rsidRPr="006E6F28" w:rsidRDefault="009E3511" w:rsidP="009E3511">
            <w:pPr>
              <w:rPr>
                <w:color w:val="FFFFFF" w:themeColor="background1"/>
              </w:rPr>
            </w:pPr>
            <w:r w:rsidRPr="006E6F28">
              <w:rPr>
                <w:color w:val="FFFFFF" w:themeColor="background1"/>
              </w:rPr>
              <w:t>Manufacturier</w:t>
            </w:r>
          </w:p>
        </w:tc>
        <w:tc>
          <w:tcPr>
            <w:tcW w:w="2726" w:type="dxa"/>
            <w:shd w:val="clear" w:color="auto" w:fill="000000" w:themeFill="text1"/>
          </w:tcPr>
          <w:p w14:paraId="73EEF0B1" w14:textId="6DC03F2A" w:rsidR="009E3511" w:rsidRDefault="00AF66F0" w:rsidP="00AF66F0">
            <w:pPr>
              <w:jc w:val="center"/>
            </w:pPr>
            <w:r>
              <w:t>5</w:t>
            </w:r>
            <w:r w:rsidR="009E3511">
              <w:t xml:space="preserve"> % à 20 %</w:t>
            </w:r>
          </w:p>
        </w:tc>
      </w:tr>
      <w:tr w:rsidR="009E3511" w14:paraId="527D65AD" w14:textId="77777777" w:rsidTr="00522722">
        <w:tc>
          <w:tcPr>
            <w:tcW w:w="2943" w:type="dxa"/>
            <w:shd w:val="clear" w:color="auto" w:fill="3366FF"/>
          </w:tcPr>
          <w:p w14:paraId="52D15421" w14:textId="77777777" w:rsidR="009E3511" w:rsidRPr="006E6F28" w:rsidRDefault="009E3511" w:rsidP="009E3511">
            <w:pPr>
              <w:rPr>
                <w:color w:val="FFFFFF" w:themeColor="background1"/>
              </w:rPr>
            </w:pPr>
            <w:r w:rsidRPr="006E6F28">
              <w:rPr>
                <w:color w:val="FFFFFF" w:themeColor="background1"/>
              </w:rPr>
              <w:t>Santé</w:t>
            </w:r>
          </w:p>
        </w:tc>
        <w:tc>
          <w:tcPr>
            <w:tcW w:w="2726" w:type="dxa"/>
            <w:shd w:val="clear" w:color="auto" w:fill="000000" w:themeFill="text1"/>
          </w:tcPr>
          <w:p w14:paraId="43955226" w14:textId="059C4695" w:rsidR="009E3511" w:rsidRDefault="00AF66F0" w:rsidP="00AF66F0">
            <w:pPr>
              <w:jc w:val="center"/>
            </w:pPr>
            <w:r>
              <w:t>5 % à 20 %</w:t>
            </w:r>
          </w:p>
        </w:tc>
      </w:tr>
      <w:tr w:rsidR="009E3511" w14:paraId="7252DB36" w14:textId="77777777" w:rsidTr="00522722">
        <w:tc>
          <w:tcPr>
            <w:tcW w:w="2943" w:type="dxa"/>
            <w:shd w:val="clear" w:color="auto" w:fill="3366FF"/>
          </w:tcPr>
          <w:p w14:paraId="2FB290F0" w14:textId="77777777" w:rsidR="009E3511" w:rsidRPr="006E6F28" w:rsidRDefault="009E3511" w:rsidP="009E3511">
            <w:pPr>
              <w:rPr>
                <w:color w:val="FFFFFF" w:themeColor="background1"/>
              </w:rPr>
            </w:pPr>
            <w:r w:rsidRPr="006E6F28">
              <w:rPr>
                <w:color w:val="FFFFFF" w:themeColor="background1"/>
              </w:rPr>
              <w:t>Immobilier</w:t>
            </w:r>
          </w:p>
        </w:tc>
        <w:tc>
          <w:tcPr>
            <w:tcW w:w="2726" w:type="dxa"/>
            <w:shd w:val="clear" w:color="auto" w:fill="000000" w:themeFill="text1"/>
          </w:tcPr>
          <w:p w14:paraId="706F2106" w14:textId="03517FEA" w:rsidR="009E3511" w:rsidRDefault="00AF66F0" w:rsidP="00AF66F0">
            <w:pPr>
              <w:jc w:val="center"/>
            </w:pPr>
            <w:r>
              <w:t>5 % à 30 %</w:t>
            </w:r>
          </w:p>
        </w:tc>
      </w:tr>
    </w:tbl>
    <w:p w14:paraId="33CB8F8E" w14:textId="77777777" w:rsidR="00CB5A75" w:rsidRDefault="00CB5A75" w:rsidP="00265EDA"/>
    <w:p w14:paraId="234F0990" w14:textId="77777777" w:rsidR="00CB5A75" w:rsidRDefault="00CB5A75" w:rsidP="00265EDA"/>
    <w:p w14:paraId="2A2E9E06" w14:textId="77777777" w:rsidR="00CB5A75" w:rsidRDefault="00CB5A75" w:rsidP="00265EDA"/>
    <w:p w14:paraId="5971154F" w14:textId="77777777" w:rsidR="00CB5A75" w:rsidRDefault="00CB5A75" w:rsidP="00265EDA"/>
    <w:p w14:paraId="554BCEC8" w14:textId="77777777" w:rsidR="00CB5A75" w:rsidRDefault="00CB5A75" w:rsidP="00265EDA"/>
    <w:p w14:paraId="0D26BCEC" w14:textId="61149684" w:rsidR="00F607A4" w:rsidRDefault="00F607A4" w:rsidP="00D419D3"/>
    <w:p w14:paraId="6670A151" w14:textId="77777777" w:rsidR="00BA554E" w:rsidRDefault="00BA554E">
      <w:pPr>
        <w:rPr>
          <w:color w:val="FF6700" w:themeColor="accent3"/>
        </w:rPr>
      </w:pPr>
      <w:r>
        <w:rPr>
          <w:color w:val="FF6700" w:themeColor="accent3"/>
        </w:rPr>
        <w:br w:type="page"/>
      </w:r>
    </w:p>
    <w:p w14:paraId="57F521C3" w14:textId="68B23A17" w:rsidR="00C21FB0" w:rsidRDefault="00691E20" w:rsidP="00C21FB0">
      <w:pPr>
        <w:jc w:val="both"/>
      </w:pPr>
      <w:r>
        <w:rPr>
          <w:noProof/>
          <w:lang w:eastAsia="fr-FR"/>
        </w:rPr>
        <w:lastRenderedPageBreak/>
        <mc:AlternateContent>
          <mc:Choice Requires="wps">
            <w:drawing>
              <wp:anchor distT="0" distB="0" distL="114300" distR="114300" simplePos="0" relativeHeight="253200384" behindDoc="0" locked="0" layoutInCell="1" allowOverlap="1" wp14:anchorId="2FD07E4A" wp14:editId="6FC09402">
                <wp:simplePos x="0" y="0"/>
                <wp:positionH relativeFrom="column">
                  <wp:posOffset>0</wp:posOffset>
                </wp:positionH>
                <wp:positionV relativeFrom="paragraph">
                  <wp:posOffset>2171700</wp:posOffset>
                </wp:positionV>
                <wp:extent cx="1371600" cy="1371600"/>
                <wp:effectExtent l="76200" t="76200" r="76200" b="76200"/>
                <wp:wrapNone/>
                <wp:docPr id="829" name="Ellipse 829"/>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accent1">
                            <a:lumMod val="50000"/>
                          </a:schemeClr>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F6D2D4" w14:textId="000597FC" w:rsidR="00573C95" w:rsidRPr="00765E1B" w:rsidRDefault="00573C95" w:rsidP="00765E1B">
                            <w:pPr>
                              <w:jc w:val="center"/>
                              <w:rPr>
                                <w:sz w:val="16"/>
                                <w:szCs w:val="16"/>
                              </w:rPr>
                            </w:pPr>
                            <w:r>
                              <w:rPr>
                                <w:sz w:val="16"/>
                                <w:szCs w:val="16"/>
                              </w:rPr>
                              <w:t>Aversion au risque</w:t>
                            </w:r>
                            <w:r w:rsidRPr="00765E1B">
                              <w:rPr>
                                <w:sz w:val="16"/>
                                <w:szCs w:val="16"/>
                              </w:rPr>
                              <w:t xml:space="preserve"> du client</w:t>
                            </w:r>
                            <w:r>
                              <w:rPr>
                                <w:sz w:val="16"/>
                                <w:szCs w:val="16"/>
                              </w:rPr>
                              <w:t xml:space="preserve"> et rendement espéré</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29" o:spid="_x0000_s1570" style="position:absolute;left:0;text-align:left;margin-left:0;margin-top:171pt;width:108pt;height:108pt;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" fillcolor="#496200 [1604]" strokecolor="white">
                <v:textbox>
                  <w:txbxContent>
                    <w:p w14:paraId="78F6D2D4" w14:textId="000597FC" w:rsidR="001501D6" w:rsidRPr="00765E1B" w:rsidRDefault="001501D6" w:rsidP="00765E1B">
                      <w:pPr>
                        <w:jc w:val="center"/>
                        <w:rPr>
                          <w:sz w:val="16"/>
                          <w:szCs w:val="16"/>
                        </w:rPr>
                      </w:pPr>
                      <w:r>
                        <w:rPr>
                          <w:sz w:val="16"/>
                          <w:szCs w:val="16"/>
                        </w:rPr>
                        <w:t>Aversion au risque</w:t>
                      </w:r>
                      <w:r w:rsidRPr="00765E1B">
                        <w:rPr>
                          <w:sz w:val="16"/>
                          <w:szCs w:val="16"/>
                        </w:rPr>
                        <w:t xml:space="preserve"> du client</w:t>
                      </w:r>
                      <w:r>
                        <w:rPr>
                          <w:sz w:val="16"/>
                          <w:szCs w:val="16"/>
                        </w:rPr>
                        <w:t xml:space="preserve"> et rendement espéré</w:t>
                      </w:r>
                    </w:p>
                  </w:txbxContent>
                </v:textbox>
              </v:oval>
            </w:pict>
          </mc:Fallback>
        </mc:AlternateContent>
      </w:r>
      <w:r w:rsidR="000E3791">
        <w:rPr>
          <w:noProof/>
          <w:lang w:eastAsia="fr-FR"/>
        </w:rPr>
        <mc:AlternateContent>
          <mc:Choice Requires="wps">
            <w:drawing>
              <wp:anchor distT="0" distB="0" distL="114300" distR="114300" simplePos="0" relativeHeight="253216768" behindDoc="0" locked="0" layoutInCell="1" allowOverlap="1" wp14:anchorId="6725C971" wp14:editId="62372529">
                <wp:simplePos x="0" y="0"/>
                <wp:positionH relativeFrom="column">
                  <wp:posOffset>5486400</wp:posOffset>
                </wp:positionH>
                <wp:positionV relativeFrom="paragraph">
                  <wp:posOffset>2514600</wp:posOffset>
                </wp:positionV>
                <wp:extent cx="565785" cy="565785"/>
                <wp:effectExtent l="76200" t="76200" r="69215" b="69215"/>
                <wp:wrapNone/>
                <wp:docPr id="846" name="Ellipse 846"/>
                <wp:cNvGraphicFramePr/>
                <a:graphic xmlns:a="http://schemas.openxmlformats.org/drawingml/2006/main">
                  <a:graphicData uri="http://schemas.microsoft.com/office/word/2010/wordprocessingShape">
                    <wps:wsp>
                      <wps:cNvSpPr/>
                      <wps:spPr>
                        <a:xfrm>
                          <a:off x="0" y="0"/>
                          <a:ext cx="565785" cy="565785"/>
                        </a:xfrm>
                        <a:prstGeom prst="ellipse">
                          <a:avLst/>
                        </a:prstGeom>
                        <a:solidFill>
                          <a:schemeClr val="tx1"/>
                        </a:solidFill>
                        <a:ln>
                          <a:no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FE74BE7" w14:textId="1CB6126E" w:rsidR="00573C95" w:rsidRDefault="00573C95" w:rsidP="0095359D">
                            <w:pPr>
                              <w:jc w:val="center"/>
                            </w:pPr>
                            <w:r>
                              <w:t>2</w:t>
                            </w:r>
                          </w:p>
                        </w:txbxContent>
                      </wps:txbx>
                      <wps:bodyPr anchor="ctr" anchorCtr="0"/>
                    </wps:wsp>
                  </a:graphicData>
                </a:graphic>
                <wp14:sizeRelH relativeFrom="margin">
                  <wp14:pctWidth>0</wp14:pctWidth>
                </wp14:sizeRelH>
                <wp14:sizeRelV relativeFrom="margin">
                  <wp14:pctHeight>0</wp14:pctHeight>
                </wp14:sizeRelV>
              </wp:anchor>
            </w:drawing>
          </mc:Choice>
          <mc:Fallback>
            <w:pict>
              <v:oval id="Ellipse 846" o:spid="_x0000_s1571" style="position:absolute;left:0;text-align:left;margin-left:6in;margin-top:198pt;width:44.55pt;height:44.55pt;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" fillcolor="black [3213]" stroked="f">
                <v:textbox>
                  <w:txbxContent>
                    <w:p w14:paraId="7FE74BE7" w14:textId="1CB6126E" w:rsidR="001501D6" w:rsidRDefault="001501D6" w:rsidP="0095359D">
                      <w:pPr>
                        <w:jc w:val="center"/>
                      </w:pPr>
                      <w:r>
                        <w:t>2</w:t>
                      </w:r>
                    </w:p>
                  </w:txbxContent>
                </v:textbox>
              </v:oval>
            </w:pict>
          </mc:Fallback>
        </mc:AlternateContent>
      </w:r>
      <w:r w:rsidR="000E3791">
        <w:rPr>
          <w:noProof/>
          <w:lang w:eastAsia="fr-FR"/>
        </w:rPr>
        <mc:AlternateContent>
          <mc:Choice Requires="wps">
            <w:drawing>
              <wp:anchor distT="0" distB="0" distL="114300" distR="114300" simplePos="0" relativeHeight="253218816" behindDoc="0" locked="0" layoutInCell="1" allowOverlap="1" wp14:anchorId="6E063A98" wp14:editId="0FEDBD90">
                <wp:simplePos x="0" y="0"/>
                <wp:positionH relativeFrom="column">
                  <wp:posOffset>2400300</wp:posOffset>
                </wp:positionH>
                <wp:positionV relativeFrom="paragraph">
                  <wp:posOffset>4914900</wp:posOffset>
                </wp:positionV>
                <wp:extent cx="565785" cy="565785"/>
                <wp:effectExtent l="76200" t="76200" r="69215" b="69215"/>
                <wp:wrapNone/>
                <wp:docPr id="847" name="Ellipse 847"/>
                <wp:cNvGraphicFramePr/>
                <a:graphic xmlns:a="http://schemas.openxmlformats.org/drawingml/2006/main">
                  <a:graphicData uri="http://schemas.microsoft.com/office/word/2010/wordprocessingShape">
                    <wps:wsp>
                      <wps:cNvSpPr/>
                      <wps:spPr>
                        <a:xfrm>
                          <a:off x="0" y="0"/>
                          <a:ext cx="565785" cy="565785"/>
                        </a:xfrm>
                        <a:prstGeom prst="ellipse">
                          <a:avLst/>
                        </a:prstGeom>
                        <a:solidFill>
                          <a:schemeClr val="tx1"/>
                        </a:solidFill>
                        <a:ln>
                          <a:no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576F2E" w14:textId="151395CD" w:rsidR="00573C95" w:rsidRDefault="00573C95" w:rsidP="0095359D">
                            <w:pPr>
                              <w:jc w:val="center"/>
                            </w:pPr>
                            <w:r>
                              <w:t>3</w:t>
                            </w:r>
                          </w:p>
                        </w:txbxContent>
                      </wps:txbx>
                      <wps:bodyPr anchor="ctr" anchorCtr="0"/>
                    </wps:wsp>
                  </a:graphicData>
                </a:graphic>
                <wp14:sizeRelH relativeFrom="margin">
                  <wp14:pctWidth>0</wp14:pctWidth>
                </wp14:sizeRelH>
                <wp14:sizeRelV relativeFrom="margin">
                  <wp14:pctHeight>0</wp14:pctHeight>
                </wp14:sizeRelV>
              </wp:anchor>
            </w:drawing>
          </mc:Choice>
          <mc:Fallback>
            <w:pict>
              <v:oval id="Ellipse 847" o:spid="_x0000_s1572" style="position:absolute;left:0;text-align:left;margin-left:189pt;margin-top:387pt;width:44.55pt;height:44.55pt;z-index:2532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" fillcolor="black [3213]" stroked="f">
                <v:textbox>
                  <w:txbxContent>
                    <w:p w14:paraId="0D576F2E" w14:textId="151395CD" w:rsidR="001501D6" w:rsidRDefault="001501D6" w:rsidP="0095359D">
                      <w:pPr>
                        <w:jc w:val="center"/>
                      </w:pPr>
                      <w:r>
                        <w:t>3</w:t>
                      </w:r>
                    </w:p>
                  </w:txbxContent>
                </v:textbox>
              </v:oval>
            </w:pict>
          </mc:Fallback>
        </mc:AlternateContent>
      </w:r>
      <w:r w:rsidR="000E3791">
        <w:rPr>
          <w:noProof/>
          <w:lang w:eastAsia="fr-FR"/>
        </w:rPr>
        <mc:AlternateContent>
          <mc:Choice Requires="wps">
            <w:drawing>
              <wp:anchor distT="0" distB="0" distL="114300" distR="114300" simplePos="0" relativeHeight="253214720" behindDoc="0" locked="0" layoutInCell="1" allowOverlap="1" wp14:anchorId="1A1C3DBD" wp14:editId="38FD3580">
                <wp:simplePos x="0" y="0"/>
                <wp:positionH relativeFrom="column">
                  <wp:posOffset>-685800</wp:posOffset>
                </wp:positionH>
                <wp:positionV relativeFrom="paragraph">
                  <wp:posOffset>2628900</wp:posOffset>
                </wp:positionV>
                <wp:extent cx="565785" cy="565785"/>
                <wp:effectExtent l="76200" t="76200" r="69215" b="69215"/>
                <wp:wrapNone/>
                <wp:docPr id="843" name="Ellipse 843"/>
                <wp:cNvGraphicFramePr/>
                <a:graphic xmlns:a="http://schemas.openxmlformats.org/drawingml/2006/main">
                  <a:graphicData uri="http://schemas.microsoft.com/office/word/2010/wordprocessingShape">
                    <wps:wsp>
                      <wps:cNvSpPr/>
                      <wps:spPr>
                        <a:xfrm>
                          <a:off x="0" y="0"/>
                          <a:ext cx="565785" cy="565785"/>
                        </a:xfrm>
                        <a:prstGeom prst="ellipse">
                          <a:avLst/>
                        </a:prstGeom>
                        <a:solidFill>
                          <a:schemeClr val="tx1"/>
                        </a:solidFill>
                        <a:ln>
                          <a:no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E9A4530" w14:textId="01AB2620" w:rsidR="00573C95" w:rsidRDefault="00573C95" w:rsidP="009543A5">
                            <w:pPr>
                              <w:jc w:val="center"/>
                            </w:pPr>
                            <w:r>
                              <w:t>1</w:t>
                            </w:r>
                          </w:p>
                        </w:txbxContent>
                      </wps:txbx>
                      <wps:bodyPr anchor="ctr" anchorCtr="0"/>
                    </wps:wsp>
                  </a:graphicData>
                </a:graphic>
                <wp14:sizeRelH relativeFrom="margin">
                  <wp14:pctWidth>0</wp14:pctWidth>
                </wp14:sizeRelH>
                <wp14:sizeRelV relativeFrom="margin">
                  <wp14:pctHeight>0</wp14:pctHeight>
                </wp14:sizeRelV>
              </wp:anchor>
            </w:drawing>
          </mc:Choice>
          <mc:Fallback>
            <w:pict>
              <v:oval id="Ellipse 843" o:spid="_x0000_s1573" style="position:absolute;left:0;text-align:left;margin-left:-53.95pt;margin-top:207pt;width:44.55pt;height:44.55pt;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" fillcolor="black [3213]" stroked="f">
                <v:textbox>
                  <w:txbxContent>
                    <w:p w14:paraId="4E9A4530" w14:textId="01AB2620" w:rsidR="001501D6" w:rsidRDefault="001501D6" w:rsidP="009543A5">
                      <w:pPr>
                        <w:jc w:val="center"/>
                      </w:pPr>
                      <w:r>
                        <w:t>1</w:t>
                      </w:r>
                    </w:p>
                  </w:txbxContent>
                </v:textbox>
              </v:oval>
            </w:pict>
          </mc:Fallback>
        </mc:AlternateContent>
      </w:r>
      <w:r w:rsidR="00881B83">
        <w:rPr>
          <w:noProof/>
          <w:lang w:eastAsia="fr-FR"/>
        </w:rPr>
        <mc:AlternateContent>
          <mc:Choice Requires="wps">
            <w:drawing>
              <wp:anchor distT="0" distB="0" distL="114300" distR="114300" simplePos="0" relativeHeight="253198336" behindDoc="0" locked="0" layoutInCell="1" allowOverlap="1" wp14:anchorId="0C7E3F0D" wp14:editId="40C5784D">
                <wp:simplePos x="0" y="0"/>
                <wp:positionH relativeFrom="column">
                  <wp:posOffset>6172200</wp:posOffset>
                </wp:positionH>
                <wp:positionV relativeFrom="paragraph">
                  <wp:posOffset>2057400</wp:posOffset>
                </wp:positionV>
                <wp:extent cx="1371600" cy="1371600"/>
                <wp:effectExtent l="76200" t="76200" r="76200" b="76200"/>
                <wp:wrapNone/>
                <wp:docPr id="827" name="Ellipse 827"/>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84B2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5D62EDA" w14:textId="74799032" w:rsidR="00573C95" w:rsidRPr="00AE001D" w:rsidRDefault="00573C95" w:rsidP="009768E1">
                            <w:pPr>
                              <w:jc w:val="center"/>
                              <w:rPr>
                                <w:color w:val="000000"/>
                                <w:sz w:val="16"/>
                                <w:szCs w:val="16"/>
                              </w:rPr>
                            </w:pPr>
                            <w:r w:rsidRPr="00AE001D">
                              <w:rPr>
                                <w:color w:val="000000"/>
                                <w:sz w:val="16"/>
                                <w:szCs w:val="16"/>
                              </w:rPr>
                              <w:t>Selon les secteurs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27" o:spid="_x0000_s1574" style="position:absolute;left:0;text-align:left;margin-left:486pt;margin-top:162pt;width:108pt;height:108pt;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" fillcolor="#84b200">
                <v:textbox>
                  <w:txbxContent>
                    <w:p w14:paraId="65D62EDA" w14:textId="74799032" w:rsidR="001501D6" w:rsidRPr="00AE001D" w:rsidRDefault="001501D6" w:rsidP="009768E1">
                      <w:pPr>
                        <w:jc w:val="center"/>
                        <w:rPr>
                          <w:color w:val="000000"/>
                          <w:sz w:val="16"/>
                          <w:szCs w:val="16"/>
                        </w:rPr>
                      </w:pPr>
                      <w:r w:rsidRPr="00AE001D">
                        <w:rPr>
                          <w:color w:val="000000"/>
                          <w:sz w:val="16"/>
                          <w:szCs w:val="16"/>
                        </w:rPr>
                        <w:t>Selon les secteurs</w:t>
                      </w:r>
                    </w:p>
                  </w:txbxContent>
                </v:textbox>
              </v:oval>
            </w:pict>
          </mc:Fallback>
        </mc:AlternateContent>
      </w:r>
      <w:r w:rsidR="00881B83">
        <w:rPr>
          <w:noProof/>
          <w:lang w:eastAsia="fr-FR"/>
        </w:rPr>
        <mc:AlternateContent>
          <mc:Choice Requires="wps">
            <w:drawing>
              <wp:anchor distT="0" distB="0" distL="114300" distR="114300" simplePos="0" relativeHeight="253202432" behindDoc="0" locked="0" layoutInCell="1" allowOverlap="1" wp14:anchorId="5BB2D824" wp14:editId="211DAECB">
                <wp:simplePos x="0" y="0"/>
                <wp:positionH relativeFrom="column">
                  <wp:posOffset>-800100</wp:posOffset>
                </wp:positionH>
                <wp:positionV relativeFrom="paragraph">
                  <wp:posOffset>228600</wp:posOffset>
                </wp:positionV>
                <wp:extent cx="1371600" cy="1371600"/>
                <wp:effectExtent l="76200" t="76200" r="76200" b="76200"/>
                <wp:wrapNone/>
                <wp:docPr id="830" name="Ellipse 830"/>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accent1">
                            <a:lumMod val="50000"/>
                          </a:schemeClr>
                        </a:solidFill>
                        <a:ln>
                          <a:solidFill>
                            <a:schemeClr val="bg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DA2C901" w14:textId="77777777" w:rsidR="00573C95" w:rsidRPr="00765E1B" w:rsidRDefault="00573C95" w:rsidP="00060F20">
                            <w:pPr>
                              <w:jc w:val="center"/>
                              <w:rPr>
                                <w:sz w:val="16"/>
                                <w:szCs w:val="16"/>
                              </w:rPr>
                            </w:pPr>
                            <w:r w:rsidRPr="00765E1B">
                              <w:rPr>
                                <w:sz w:val="16"/>
                                <w:szCs w:val="16"/>
                              </w:rPr>
                              <w:t>Connaissance du client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30" o:spid="_x0000_s1575" style="position:absolute;left:0;text-align:left;margin-left:-62.95pt;margin-top:18pt;width:108pt;height:108pt;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" fillcolor="#496200 [1604]" strokecolor="white [3212]">
                <v:textbox>
                  <w:txbxContent>
                    <w:p w14:paraId="5DA2C901" w14:textId="77777777" w:rsidR="001501D6" w:rsidRPr="00765E1B" w:rsidRDefault="001501D6" w:rsidP="00060F20">
                      <w:pPr>
                        <w:jc w:val="center"/>
                        <w:rPr>
                          <w:sz w:val="16"/>
                          <w:szCs w:val="16"/>
                        </w:rPr>
                      </w:pPr>
                      <w:r w:rsidRPr="00765E1B">
                        <w:rPr>
                          <w:sz w:val="16"/>
                          <w:szCs w:val="16"/>
                        </w:rPr>
                        <w:t>Connaissance du client</w:t>
                      </w:r>
                    </w:p>
                  </w:txbxContent>
                </v:textbox>
              </v:oval>
            </w:pict>
          </mc:Fallback>
        </mc:AlternateContent>
      </w:r>
      <w:r w:rsidR="00881B83">
        <w:rPr>
          <w:noProof/>
          <w:lang w:eastAsia="fr-FR"/>
        </w:rPr>
        <mc:AlternateContent>
          <mc:Choice Requires="wps">
            <w:drawing>
              <wp:anchor distT="0" distB="0" distL="114300" distR="114300" simplePos="0" relativeHeight="253212672" behindDoc="0" locked="0" layoutInCell="1" allowOverlap="1" wp14:anchorId="73014E0E" wp14:editId="2293990B">
                <wp:simplePos x="0" y="0"/>
                <wp:positionH relativeFrom="column">
                  <wp:posOffset>3886200</wp:posOffset>
                </wp:positionH>
                <wp:positionV relativeFrom="paragraph">
                  <wp:posOffset>2514600</wp:posOffset>
                </wp:positionV>
                <wp:extent cx="1371600" cy="1371600"/>
                <wp:effectExtent l="76200" t="76200" r="76200" b="76200"/>
                <wp:wrapNone/>
                <wp:docPr id="842" name="Ellipse 842"/>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6F95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B9C68A9" w14:textId="3376916B" w:rsidR="00573C95" w:rsidRPr="00AE001D" w:rsidRDefault="00573C95" w:rsidP="00060F20">
                            <w:pPr>
                              <w:jc w:val="center"/>
                              <w:rPr>
                                <w:color w:val="000000"/>
                                <w:sz w:val="16"/>
                                <w:szCs w:val="16"/>
                              </w:rPr>
                            </w:pPr>
                            <w:r w:rsidRPr="00AE001D">
                              <w:rPr>
                                <w:color w:val="000000"/>
                                <w:sz w:val="16"/>
                                <w:szCs w:val="16"/>
                              </w:rPr>
                              <w:t>Identifier le niveau d'approbation requis du client pour procéder à la transaction</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42" o:spid="_x0000_s1576" style="position:absolute;left:0;text-align:left;margin-left:306pt;margin-top:198pt;width:108pt;height:108pt;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" fillcolor="#6f9500">
                <v:textbox>
                  <w:txbxContent>
                    <w:p w14:paraId="7B9C68A9" w14:textId="3376916B" w:rsidR="001501D6" w:rsidRPr="00AE001D" w:rsidRDefault="001501D6" w:rsidP="00060F20">
                      <w:pPr>
                        <w:jc w:val="center"/>
                        <w:rPr>
                          <w:color w:val="000000"/>
                          <w:sz w:val="16"/>
                          <w:szCs w:val="16"/>
                        </w:rPr>
                      </w:pPr>
                      <w:r w:rsidRPr="00AE001D">
                        <w:rPr>
                          <w:color w:val="000000"/>
                          <w:sz w:val="16"/>
                          <w:szCs w:val="16"/>
                        </w:rPr>
                        <w:t>Identifier le niveau d'approbation requis du client pour procéder à la transaction</w:t>
                      </w:r>
                    </w:p>
                  </w:txbxContent>
                </v:textbox>
              </v:oval>
            </w:pict>
          </mc:Fallback>
        </mc:AlternateContent>
      </w:r>
      <w:r w:rsidR="00C21FB0">
        <w:rPr>
          <w:noProof/>
          <w:lang w:eastAsia="fr-FR"/>
        </w:rPr>
        <mc:AlternateContent>
          <mc:Choice Requires="wps">
            <w:drawing>
              <wp:anchor distT="0" distB="0" distL="114300" distR="114300" simplePos="0" relativeHeight="253210624" behindDoc="0" locked="0" layoutInCell="1" allowOverlap="1" wp14:anchorId="77F0B351" wp14:editId="36F9A726">
                <wp:simplePos x="0" y="0"/>
                <wp:positionH relativeFrom="column">
                  <wp:posOffset>5372100</wp:posOffset>
                </wp:positionH>
                <wp:positionV relativeFrom="paragraph">
                  <wp:posOffset>114300</wp:posOffset>
                </wp:positionV>
                <wp:extent cx="1371600" cy="1371600"/>
                <wp:effectExtent l="76200" t="76200" r="76200" b="76200"/>
                <wp:wrapNone/>
                <wp:docPr id="839" name="Ellipse 839"/>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84B2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CA77C2E" w14:textId="1E043B52" w:rsidR="00573C95" w:rsidRPr="00AE001D" w:rsidRDefault="00573C95" w:rsidP="00060F20">
                            <w:pPr>
                              <w:jc w:val="center"/>
                              <w:rPr>
                                <w:color w:val="000000"/>
                                <w:sz w:val="16"/>
                                <w:szCs w:val="16"/>
                              </w:rPr>
                            </w:pPr>
                            <w:r w:rsidRPr="00AE001D">
                              <w:rPr>
                                <w:color w:val="000000"/>
                                <w:sz w:val="16"/>
                                <w:szCs w:val="16"/>
                              </w:rPr>
                              <w:t>Selon types de placements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39" o:spid="_x0000_s1577" style="position:absolute;left:0;text-align:left;margin-left:423pt;margin-top:9pt;width:108pt;height:108pt;z-index:2532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" fillcolor="#84b200">
                <v:textbox>
                  <w:txbxContent>
                    <w:p w14:paraId="1CA77C2E" w14:textId="1E043B52" w:rsidR="001501D6" w:rsidRPr="00AE001D" w:rsidRDefault="001501D6" w:rsidP="00060F20">
                      <w:pPr>
                        <w:jc w:val="center"/>
                        <w:rPr>
                          <w:color w:val="000000"/>
                          <w:sz w:val="16"/>
                          <w:szCs w:val="16"/>
                        </w:rPr>
                      </w:pPr>
                      <w:r w:rsidRPr="00AE001D">
                        <w:rPr>
                          <w:color w:val="000000"/>
                          <w:sz w:val="16"/>
                          <w:szCs w:val="16"/>
                        </w:rPr>
                        <w:t>Selon types de placements</w:t>
                      </w:r>
                    </w:p>
                  </w:txbxContent>
                </v:textbox>
              </v:oval>
            </w:pict>
          </mc:Fallback>
        </mc:AlternateContent>
      </w:r>
      <w:r w:rsidR="00C21FB0">
        <w:rPr>
          <w:noProof/>
          <w:lang w:eastAsia="fr-FR"/>
        </w:rPr>
        <mc:AlternateContent>
          <mc:Choice Requires="wps">
            <w:drawing>
              <wp:anchor distT="0" distB="0" distL="114300" distR="114300" simplePos="0" relativeHeight="253204480" behindDoc="0" locked="0" layoutInCell="1" allowOverlap="1" wp14:anchorId="740C32F6" wp14:editId="228E1B99">
                <wp:simplePos x="0" y="0"/>
                <wp:positionH relativeFrom="column">
                  <wp:posOffset>6972300</wp:posOffset>
                </wp:positionH>
                <wp:positionV relativeFrom="paragraph">
                  <wp:posOffset>114300</wp:posOffset>
                </wp:positionV>
                <wp:extent cx="1371600" cy="1371600"/>
                <wp:effectExtent l="76200" t="76200" r="76200" b="76200"/>
                <wp:wrapNone/>
                <wp:docPr id="832" name="Ellipse 832"/>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84B2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451D3B0" w14:textId="328444B3" w:rsidR="00573C95" w:rsidRPr="00AE001D" w:rsidRDefault="00573C95" w:rsidP="00060F20">
                            <w:pPr>
                              <w:jc w:val="center"/>
                              <w:rPr>
                                <w:color w:val="000000"/>
                                <w:sz w:val="16"/>
                                <w:szCs w:val="16"/>
                              </w:rPr>
                            </w:pPr>
                            <w:r w:rsidRPr="00AE001D">
                              <w:rPr>
                                <w:color w:val="000000"/>
                                <w:sz w:val="16"/>
                                <w:szCs w:val="16"/>
                              </w:rPr>
                              <w:t>Selon la géographie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32" o:spid="_x0000_s1578" style="position:absolute;left:0;text-align:left;margin-left:549pt;margin-top:9pt;width:108pt;height:108pt;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" fillcolor="#84b200">
                <v:textbox>
                  <w:txbxContent>
                    <w:p w14:paraId="2451D3B0" w14:textId="328444B3" w:rsidR="001501D6" w:rsidRPr="00AE001D" w:rsidRDefault="001501D6" w:rsidP="00060F20">
                      <w:pPr>
                        <w:jc w:val="center"/>
                        <w:rPr>
                          <w:color w:val="000000"/>
                          <w:sz w:val="16"/>
                          <w:szCs w:val="16"/>
                        </w:rPr>
                      </w:pPr>
                      <w:r w:rsidRPr="00AE001D">
                        <w:rPr>
                          <w:color w:val="000000"/>
                          <w:sz w:val="16"/>
                          <w:szCs w:val="16"/>
                        </w:rPr>
                        <w:t>Selon la géographie</w:t>
                      </w:r>
                    </w:p>
                  </w:txbxContent>
                </v:textbox>
              </v:oval>
            </w:pict>
          </mc:Fallback>
        </mc:AlternateContent>
      </w:r>
      <w:r w:rsidR="00C21FB0">
        <w:rPr>
          <w:noProof/>
          <w:lang w:eastAsia="fr-FR"/>
        </w:rPr>
        <mc:AlternateContent>
          <mc:Choice Requires="wps">
            <w:drawing>
              <wp:anchor distT="0" distB="0" distL="114300" distR="114300" simplePos="0" relativeHeight="253206528" behindDoc="0" locked="0" layoutInCell="1" allowOverlap="1" wp14:anchorId="52459B89" wp14:editId="719A4860">
                <wp:simplePos x="0" y="0"/>
                <wp:positionH relativeFrom="column">
                  <wp:posOffset>3086100</wp:posOffset>
                </wp:positionH>
                <wp:positionV relativeFrom="paragraph">
                  <wp:posOffset>4343400</wp:posOffset>
                </wp:positionV>
                <wp:extent cx="1371600" cy="1371600"/>
                <wp:effectExtent l="76200" t="76200" r="76200" b="76200"/>
                <wp:wrapNone/>
                <wp:docPr id="833" name="Ellipse 833"/>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6F9500"/>
                        </a:solidFill>
                        <a:ln>
                          <a:solidFill>
                            <a:srgbClr val="000000"/>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2D6B413" w14:textId="03A05111" w:rsidR="00573C95" w:rsidRPr="00AE001D" w:rsidRDefault="00573C95" w:rsidP="00060F20">
                            <w:pPr>
                              <w:jc w:val="center"/>
                              <w:rPr>
                                <w:color w:val="000000"/>
                                <w:sz w:val="16"/>
                                <w:szCs w:val="16"/>
                              </w:rPr>
                            </w:pPr>
                            <w:r w:rsidRPr="00AE001D">
                              <w:rPr>
                                <w:color w:val="000000"/>
                                <w:sz w:val="16"/>
                                <w:szCs w:val="16"/>
                              </w:rPr>
                              <w:t>Obtenir les signatures du conseiller et du client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33" o:spid="_x0000_s1579" style="position:absolute;left:0;text-align:left;margin-left:243pt;margin-top:342pt;width:108pt;height:108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" fillcolor="#6f9500">
                <v:textbox>
                  <w:txbxContent>
                    <w:p w14:paraId="22D6B413" w14:textId="03A05111" w:rsidR="001501D6" w:rsidRPr="00AE001D" w:rsidRDefault="001501D6" w:rsidP="00060F20">
                      <w:pPr>
                        <w:jc w:val="center"/>
                        <w:rPr>
                          <w:color w:val="000000"/>
                          <w:sz w:val="16"/>
                          <w:szCs w:val="16"/>
                        </w:rPr>
                      </w:pPr>
                      <w:r w:rsidRPr="00AE001D">
                        <w:rPr>
                          <w:color w:val="000000"/>
                          <w:sz w:val="16"/>
                          <w:szCs w:val="16"/>
                        </w:rPr>
                        <w:t>Obtenir les signatures du conseiller et du client</w:t>
                      </w:r>
                    </w:p>
                  </w:txbxContent>
                </v:textbox>
              </v:oval>
            </w:pict>
          </mc:Fallback>
        </mc:AlternateContent>
      </w:r>
      <w:r w:rsidR="00C21FB0">
        <w:rPr>
          <w:noProof/>
          <w:lang w:eastAsia="fr-FR"/>
        </w:rPr>
        <mc:AlternateContent>
          <mc:Choice Requires="wps">
            <w:drawing>
              <wp:anchor distT="0" distB="0" distL="114300" distR="114300" simplePos="0" relativeHeight="253208576" behindDoc="0" locked="0" layoutInCell="1" allowOverlap="1" wp14:anchorId="7F60D8F9" wp14:editId="186B8456">
                <wp:simplePos x="0" y="0"/>
                <wp:positionH relativeFrom="column">
                  <wp:posOffset>2286000</wp:posOffset>
                </wp:positionH>
                <wp:positionV relativeFrom="paragraph">
                  <wp:posOffset>2514600</wp:posOffset>
                </wp:positionV>
                <wp:extent cx="1371600" cy="1371600"/>
                <wp:effectExtent l="76200" t="76200" r="76200" b="76200"/>
                <wp:wrapNone/>
                <wp:docPr id="834" name="Ellipse 834"/>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accent1">
                            <a:lumMod val="75000"/>
                          </a:schemeClr>
                        </a:solidFill>
                        <a:ln>
                          <a:solidFill>
                            <a:schemeClr val="tx1"/>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A690918" w14:textId="31290774" w:rsidR="00573C95" w:rsidRPr="00AE001D" w:rsidRDefault="00573C95" w:rsidP="00060F20">
                            <w:pPr>
                              <w:jc w:val="center"/>
                              <w:rPr>
                                <w:color w:val="000000"/>
                                <w:sz w:val="16"/>
                                <w:szCs w:val="16"/>
                              </w:rPr>
                            </w:pPr>
                            <w:r w:rsidRPr="00AE001D">
                              <w:rPr>
                                <w:color w:val="000000"/>
                                <w:sz w:val="16"/>
                                <w:szCs w:val="16"/>
                              </w:rPr>
                              <w:t xml:space="preserve">Documenter les éléments énumérés aux points 1 et </w:t>
                            </w:r>
                            <w:r>
                              <w:rPr>
                                <w:color w:val="000000"/>
                                <w:sz w:val="16"/>
                                <w:szCs w:val="1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34" o:spid="_x0000_s1580" style="position:absolute;left:0;text-align:left;margin-left:180pt;margin-top:198pt;width:108pt;height:108pt;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" fillcolor="#6e9400 [2404]" strokecolor="black [3213]">
                <v:textbox>
                  <w:txbxContent>
                    <w:p w14:paraId="0A690918" w14:textId="31290774" w:rsidR="001501D6" w:rsidRPr="00AE001D" w:rsidRDefault="001501D6" w:rsidP="00060F20">
                      <w:pPr>
                        <w:jc w:val="center"/>
                        <w:rPr>
                          <w:color w:val="000000"/>
                          <w:sz w:val="16"/>
                          <w:szCs w:val="16"/>
                        </w:rPr>
                      </w:pPr>
                      <w:r w:rsidRPr="00AE001D">
                        <w:rPr>
                          <w:color w:val="000000"/>
                          <w:sz w:val="16"/>
                          <w:szCs w:val="16"/>
                        </w:rPr>
                        <w:t xml:space="preserve">Documenter les éléments énumérés aux points 1 et </w:t>
                      </w:r>
                      <w:r>
                        <w:rPr>
                          <w:color w:val="000000"/>
                          <w:sz w:val="16"/>
                          <w:szCs w:val="16"/>
                        </w:rPr>
                        <w:t>2</w:t>
                      </w:r>
                    </w:p>
                  </w:txbxContent>
                </v:textbox>
              </v:oval>
            </w:pict>
          </mc:Fallback>
        </mc:AlternateContent>
      </w:r>
      <w:r w:rsidR="00C21FB0">
        <w:rPr>
          <w:noProof/>
          <w:lang w:eastAsia="fr-FR"/>
        </w:rPr>
        <mc:AlternateContent>
          <mc:Choice Requires="wps">
            <w:drawing>
              <wp:anchor distT="0" distB="0" distL="114300" distR="114300" simplePos="0" relativeHeight="253190144" behindDoc="0" locked="0" layoutInCell="1" allowOverlap="1" wp14:anchorId="70AF9BEA" wp14:editId="6E12453D">
                <wp:simplePos x="0" y="0"/>
                <wp:positionH relativeFrom="column">
                  <wp:posOffset>800100</wp:posOffset>
                </wp:positionH>
                <wp:positionV relativeFrom="paragraph">
                  <wp:posOffset>228600</wp:posOffset>
                </wp:positionV>
                <wp:extent cx="1371600" cy="1371600"/>
                <wp:effectExtent l="76200" t="76200" r="76200" b="76200"/>
                <wp:wrapNone/>
                <wp:docPr id="820" name="Ellipse 820"/>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accent1">
                            <a:lumMod val="50000"/>
                          </a:schemeClr>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EB3B44E" w14:textId="769DD51B" w:rsidR="00573C95" w:rsidRPr="00765E1B" w:rsidRDefault="00573C95" w:rsidP="009768E1">
                            <w:pPr>
                              <w:jc w:val="center"/>
                              <w:rPr>
                                <w:sz w:val="18"/>
                                <w:szCs w:val="18"/>
                              </w:rPr>
                            </w:pPr>
                            <w:r w:rsidRPr="00765E1B">
                              <w:rPr>
                                <w:sz w:val="18"/>
                                <w:szCs w:val="18"/>
                              </w:rPr>
                              <w:t xml:space="preserve">Objectifs </w:t>
                            </w:r>
                            <w:r>
                              <w:rPr>
                                <w:sz w:val="18"/>
                                <w:szCs w:val="18"/>
                              </w:rPr>
                              <w:t xml:space="preserve">et attentes </w:t>
                            </w:r>
                            <w:r w:rsidRPr="00765E1B">
                              <w:rPr>
                                <w:sz w:val="18"/>
                                <w:szCs w:val="18"/>
                              </w:rPr>
                              <w:t>du client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820" o:spid="_x0000_s1581" style="position:absolute;left:0;text-align:left;margin-left:63pt;margin-top:18pt;width:108pt;height:108pt;z-index:2531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" fillcolor="#496200 [1604]" strokecolor="white">
                <v:textbox>
                  <w:txbxContent>
                    <w:p w14:paraId="2EB3B44E" w14:textId="769DD51B" w:rsidR="001501D6" w:rsidRPr="00765E1B" w:rsidRDefault="001501D6" w:rsidP="009768E1">
                      <w:pPr>
                        <w:jc w:val="center"/>
                        <w:rPr>
                          <w:sz w:val="18"/>
                          <w:szCs w:val="18"/>
                        </w:rPr>
                      </w:pPr>
                      <w:r w:rsidRPr="00765E1B">
                        <w:rPr>
                          <w:sz w:val="18"/>
                          <w:szCs w:val="18"/>
                        </w:rPr>
                        <w:t xml:space="preserve">Objectifs </w:t>
                      </w:r>
                      <w:r>
                        <w:rPr>
                          <w:sz w:val="18"/>
                          <w:szCs w:val="18"/>
                        </w:rPr>
                        <w:t xml:space="preserve">et attentes </w:t>
                      </w:r>
                      <w:r w:rsidRPr="00765E1B">
                        <w:rPr>
                          <w:sz w:val="18"/>
                          <w:szCs w:val="18"/>
                        </w:rPr>
                        <w:t>du client</w:t>
                      </w:r>
                    </w:p>
                  </w:txbxContent>
                </v:textbox>
              </v:oval>
            </w:pict>
          </mc:Fallback>
        </mc:AlternateContent>
      </w:r>
      <w:r w:rsidR="00C21FB0">
        <w:rPr>
          <w:noProof/>
          <w:lang w:eastAsia="fr-FR"/>
        </w:rPr>
        <mc:AlternateContent>
          <mc:Choice Requires="wps">
            <w:drawing>
              <wp:anchor distT="0" distB="0" distL="114300" distR="114300" simplePos="0" relativeHeight="253196288" behindDoc="0" locked="0" layoutInCell="1" allowOverlap="1" wp14:anchorId="66964241" wp14:editId="1333EA93">
                <wp:simplePos x="0" y="0"/>
                <wp:positionH relativeFrom="column">
                  <wp:posOffset>5486400</wp:posOffset>
                </wp:positionH>
                <wp:positionV relativeFrom="paragraph">
                  <wp:posOffset>342900</wp:posOffset>
                </wp:positionV>
                <wp:extent cx="2743200" cy="2743200"/>
                <wp:effectExtent l="76200" t="76200" r="76200" b="76200"/>
                <wp:wrapNone/>
                <wp:docPr id="826" name="Rectangle à coins arrondis 826"/>
                <wp:cNvGraphicFramePr/>
                <a:graphic xmlns:a="http://schemas.openxmlformats.org/drawingml/2006/main">
                  <a:graphicData uri="http://schemas.microsoft.com/office/word/2010/wordprocessingShape">
                    <wps:wsp>
                      <wps:cNvSpPr/>
                      <wps:spPr>
                        <a:xfrm>
                          <a:off x="0" y="0"/>
                          <a:ext cx="2743200" cy="2743200"/>
                        </a:xfrm>
                        <a:prstGeom prst="roundRect">
                          <a:avLst/>
                        </a:prstGeom>
                        <a:solidFill>
                          <a:srgbClr val="C67E8C"/>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E8306DF" w14:textId="5C9152B6" w:rsidR="00573C95" w:rsidRPr="009768E1" w:rsidRDefault="00573C95" w:rsidP="00EC7491">
                            <w:pPr>
                              <w:jc w:val="center"/>
                              <w:rPr>
                                <w:color w:val="000000"/>
                              </w:rPr>
                            </w:pPr>
                            <w:r w:rsidRPr="009768E1">
                              <w:rPr>
                                <w:color w:val="000000"/>
                              </w:rPr>
                              <w:t xml:space="preserve">Fixer la </w:t>
                            </w:r>
                            <w:r w:rsidRPr="000E3791">
                              <w:rPr>
                                <w:color w:val="000000"/>
                                <w:sz w:val="40"/>
                                <w:szCs w:val="40"/>
                              </w:rPr>
                              <w:t>RÉPARTITION</w:t>
                            </w:r>
                            <w:r w:rsidRPr="009768E1">
                              <w:rPr>
                                <w:color w:val="000000"/>
                              </w:rPr>
                              <w:t xml:space="preserve"> des actifs financiers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826" o:spid="_x0000_s1582" style="position:absolute;left:0;text-align:left;margin-left:6in;margin-top:27pt;width:3in;height:3in;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" fillcolor="#c67e8c" strokecolor="white">
                <v:textbox>
                  <w:txbxContent>
                    <w:p w14:paraId="1E8306DF" w14:textId="5C9152B6" w:rsidR="001501D6" w:rsidRPr="009768E1" w:rsidRDefault="001501D6" w:rsidP="00EC7491">
                      <w:pPr>
                        <w:jc w:val="center"/>
                        <w:rPr>
                          <w:color w:val="000000"/>
                        </w:rPr>
                      </w:pPr>
                      <w:r w:rsidRPr="009768E1">
                        <w:rPr>
                          <w:color w:val="000000"/>
                        </w:rPr>
                        <w:t xml:space="preserve">Fixer la </w:t>
                      </w:r>
                      <w:r w:rsidRPr="000E3791">
                        <w:rPr>
                          <w:color w:val="000000"/>
                          <w:sz w:val="40"/>
                          <w:szCs w:val="40"/>
                        </w:rPr>
                        <w:t>RÉPARTITION</w:t>
                      </w:r>
                      <w:r w:rsidRPr="009768E1">
                        <w:rPr>
                          <w:color w:val="000000"/>
                        </w:rPr>
                        <w:t xml:space="preserve"> des actifs financiers</w:t>
                      </w:r>
                    </w:p>
                  </w:txbxContent>
                </v:textbox>
              </v:roundrect>
            </w:pict>
          </mc:Fallback>
        </mc:AlternateContent>
      </w:r>
      <w:r w:rsidR="00C21FB0">
        <w:rPr>
          <w:noProof/>
          <w:lang w:eastAsia="fr-FR"/>
        </w:rPr>
        <mc:AlternateContent>
          <mc:Choice Requires="wps">
            <w:drawing>
              <wp:anchor distT="0" distB="0" distL="114300" distR="114300" simplePos="0" relativeHeight="253194240" behindDoc="0" locked="0" layoutInCell="1" allowOverlap="1" wp14:anchorId="652A3586" wp14:editId="5BD5AA8A">
                <wp:simplePos x="0" y="0"/>
                <wp:positionH relativeFrom="column">
                  <wp:posOffset>2400300</wp:posOffset>
                </wp:positionH>
                <wp:positionV relativeFrom="paragraph">
                  <wp:posOffset>2743200</wp:posOffset>
                </wp:positionV>
                <wp:extent cx="2743200" cy="2743200"/>
                <wp:effectExtent l="76200" t="76200" r="76200" b="76200"/>
                <wp:wrapNone/>
                <wp:docPr id="825" name="Rectangle à coins arrondis 825"/>
                <wp:cNvGraphicFramePr/>
                <a:graphic xmlns:a="http://schemas.openxmlformats.org/drawingml/2006/main">
                  <a:graphicData uri="http://schemas.microsoft.com/office/word/2010/wordprocessingShape">
                    <wps:wsp>
                      <wps:cNvSpPr/>
                      <wps:spPr>
                        <a:xfrm>
                          <a:off x="0" y="0"/>
                          <a:ext cx="2743200" cy="2743200"/>
                        </a:xfrm>
                        <a:prstGeom prst="roundRect">
                          <a:avLst/>
                        </a:prstGeom>
                        <a:solidFill>
                          <a:srgbClr val="E45070"/>
                        </a:solidFill>
                        <a:ln>
                          <a:solidFill>
                            <a:srgbClr val="FFFFFF"/>
                          </a:solid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8115FE1" w14:textId="12F1D01E" w:rsidR="00573C95" w:rsidRPr="009768E1" w:rsidRDefault="00573C95" w:rsidP="00EC7491">
                            <w:pPr>
                              <w:jc w:val="center"/>
                              <w:rPr>
                                <w:color w:val="000000"/>
                              </w:rPr>
                            </w:pPr>
                            <w:r w:rsidRPr="009768E1">
                              <w:rPr>
                                <w:color w:val="000000"/>
                              </w:rPr>
                              <w:t xml:space="preserve">Définir la </w:t>
                            </w:r>
                            <w:r w:rsidRPr="000E3791">
                              <w:rPr>
                                <w:color w:val="000000"/>
                                <w:sz w:val="40"/>
                                <w:szCs w:val="40"/>
                              </w:rPr>
                              <w:t>POLITIQUE</w:t>
                            </w:r>
                            <w:r>
                              <w:rPr>
                                <w:color w:val="000000"/>
                                <w:sz w:val="40"/>
                                <w:szCs w:val="40"/>
                              </w:rPr>
                              <w:t xml:space="preserve"> </w:t>
                            </w:r>
                            <w:r w:rsidRPr="009768E1">
                              <w:rPr>
                                <w:color w:val="000000"/>
                              </w:rPr>
                              <w:t>de placement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825" o:spid="_x0000_s1583" style="position:absolute;left:0;text-align:left;margin-left:189pt;margin-top:3in;width:3in;height:3in;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" fillcolor="#e45070" strokecolor="white">
                <v:textbox>
                  <w:txbxContent>
                    <w:p w14:paraId="48115FE1" w14:textId="12F1D01E" w:rsidR="001501D6" w:rsidRPr="009768E1" w:rsidRDefault="001501D6" w:rsidP="00EC7491">
                      <w:pPr>
                        <w:jc w:val="center"/>
                        <w:rPr>
                          <w:color w:val="000000"/>
                        </w:rPr>
                      </w:pPr>
                      <w:r w:rsidRPr="009768E1">
                        <w:rPr>
                          <w:color w:val="000000"/>
                        </w:rPr>
                        <w:t xml:space="preserve">Définir la </w:t>
                      </w:r>
                      <w:r w:rsidRPr="000E3791">
                        <w:rPr>
                          <w:color w:val="000000"/>
                          <w:sz w:val="40"/>
                          <w:szCs w:val="40"/>
                        </w:rPr>
                        <w:t>POLITIQUE</w:t>
                      </w:r>
                      <w:r>
                        <w:rPr>
                          <w:color w:val="000000"/>
                          <w:sz w:val="40"/>
                          <w:szCs w:val="40"/>
                        </w:rPr>
                        <w:t xml:space="preserve"> </w:t>
                      </w:r>
                      <w:r w:rsidRPr="009768E1">
                        <w:rPr>
                          <w:color w:val="000000"/>
                        </w:rPr>
                        <w:t>de placement</w:t>
                      </w:r>
                    </w:p>
                  </w:txbxContent>
                </v:textbox>
              </v:roundrect>
            </w:pict>
          </mc:Fallback>
        </mc:AlternateContent>
      </w:r>
      <w:r w:rsidR="00C21FB0">
        <w:rPr>
          <w:noProof/>
          <w:lang w:eastAsia="fr-FR"/>
        </w:rPr>
        <mc:AlternateContent>
          <mc:Choice Requires="wps">
            <w:drawing>
              <wp:anchor distT="0" distB="0" distL="114300" distR="114300" simplePos="0" relativeHeight="253192192" behindDoc="1" locked="0" layoutInCell="1" allowOverlap="1" wp14:anchorId="32258F6E" wp14:editId="0592BB13">
                <wp:simplePos x="0" y="0"/>
                <wp:positionH relativeFrom="column">
                  <wp:posOffset>-685800</wp:posOffset>
                </wp:positionH>
                <wp:positionV relativeFrom="paragraph">
                  <wp:posOffset>457200</wp:posOffset>
                </wp:positionV>
                <wp:extent cx="2743200" cy="2743200"/>
                <wp:effectExtent l="76200" t="76200" r="50800" b="50800"/>
                <wp:wrapNone/>
                <wp:docPr id="822" name="Rectangle à coins arrondis 822"/>
                <wp:cNvGraphicFramePr/>
                <a:graphic xmlns:a="http://schemas.openxmlformats.org/drawingml/2006/main">
                  <a:graphicData uri="http://schemas.microsoft.com/office/word/2010/wordprocessingShape">
                    <wps:wsp>
                      <wps:cNvSpPr/>
                      <wps:spPr>
                        <a:xfrm>
                          <a:off x="0" y="0"/>
                          <a:ext cx="2743200" cy="2743200"/>
                        </a:xfrm>
                        <a:prstGeom prst="roundRect">
                          <a:avLst/>
                        </a:prstGeom>
                        <a:solidFill>
                          <a:srgbClr val="990B11"/>
                        </a:solidFill>
                        <a:ln>
                          <a:noFill/>
                        </a:ln>
                        <a:effectLst/>
                        <a:scene3d>
                          <a:camera prst="orthographicFront"/>
                          <a:lightRig rig="threePt" dir="tl">
                            <a:rot lat="0" lon="0" rev="20400000"/>
                          </a:lightRig>
                        </a:scene3d>
                        <a:sp3d/>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2A95ECA" w14:textId="3B020F6C" w:rsidR="00573C95" w:rsidRDefault="00573C95" w:rsidP="00EC7491">
                            <w:pPr>
                              <w:jc w:val="center"/>
                            </w:pPr>
                            <w:r>
                              <w:t xml:space="preserve">Établir le </w:t>
                            </w:r>
                            <w:r w:rsidRPr="000E3791">
                              <w:rPr>
                                <w:sz w:val="40"/>
                                <w:szCs w:val="40"/>
                              </w:rPr>
                              <w:t>PROFIL</w:t>
                            </w:r>
                            <w:r>
                              <w:t xml:space="preserve"> de l'investisseur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822" o:spid="_x0000_s1584" style="position:absolute;left:0;text-align:left;margin-left:-53.95pt;margin-top:36pt;width:3in;height:3in;z-index:-2501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" fillcolor="#990b11" stroked="f">
                <v:textbox>
                  <w:txbxContent>
                    <w:p w14:paraId="52A95ECA" w14:textId="3B020F6C" w:rsidR="001501D6" w:rsidRDefault="001501D6" w:rsidP="00EC7491">
                      <w:pPr>
                        <w:jc w:val="center"/>
                      </w:pPr>
                      <w:r>
                        <w:t xml:space="preserve">Établir le </w:t>
                      </w:r>
                      <w:r w:rsidRPr="000E3791">
                        <w:rPr>
                          <w:sz w:val="40"/>
                          <w:szCs w:val="40"/>
                        </w:rPr>
                        <w:t>PROFIL</w:t>
                      </w:r>
                      <w:r>
                        <w:t xml:space="preserve"> de l'investisseur</w:t>
                      </w:r>
                    </w:p>
                  </w:txbxContent>
                </v:textbox>
              </v:roundrect>
            </w:pict>
          </mc:Fallback>
        </mc:AlternateContent>
      </w:r>
      <w:r w:rsidR="00C21FB0">
        <w:rPr>
          <w:color w:val="FF6700" w:themeColor="accent3"/>
        </w:rPr>
        <w:t>IMAGE 7-23 Le processus d'investissement - Relation conseiller/client</w:t>
      </w:r>
      <w:r w:rsidR="00C21FB0">
        <w:rPr>
          <w:rStyle w:val="Marquenotebasdepage"/>
          <w:color w:val="FF6700" w:themeColor="accent3"/>
        </w:rPr>
        <w:footnoteReference w:customMarkFollows="1" w:id="83"/>
        <w:t>80</w:t>
      </w:r>
      <w:r w:rsidR="00765E1B">
        <w:br w:type="page"/>
      </w:r>
    </w:p>
    <w:p w14:paraId="50E87025" w14:textId="1BF6B672" w:rsidR="00565342" w:rsidRDefault="00565342" w:rsidP="006C34CF">
      <w:pPr>
        <w:pStyle w:val="Titre2"/>
        <w:numPr>
          <w:ilvl w:val="1"/>
          <w:numId w:val="116"/>
        </w:numPr>
      </w:pPr>
      <w:bookmarkStart w:id="175" w:name="_Toc314397894"/>
      <w:bookmarkStart w:id="176" w:name="_Toc443569438"/>
      <w:r>
        <w:lastRenderedPageBreak/>
        <w:t>Les types de placements</w:t>
      </w:r>
      <w:bookmarkEnd w:id="175"/>
      <w:bookmarkEnd w:id="176"/>
    </w:p>
    <w:p w14:paraId="62C1F44D" w14:textId="77777777" w:rsidR="00565342" w:rsidRDefault="00565342" w:rsidP="00565342"/>
    <w:p w14:paraId="22C3893B" w14:textId="0894D7EA" w:rsidR="00E40979" w:rsidRDefault="00297B58" w:rsidP="00297B58">
      <w:pPr>
        <w:jc w:val="both"/>
      </w:pPr>
      <w:r>
        <w:t>L'investisseur qui souhaite faire fructifier ses épargnes a d'innombrables choix qui s'offrent à lui. Les types de placements qu'il choisira devront convenir à son profil d'épargnant et à la stratégie d'investissement que le conseiller financier développera afin de lui permettre d'atteindre ses objectifs financiers.</w:t>
      </w:r>
      <w:r w:rsidR="00E40979">
        <w:t xml:space="preserve"> L'horizon de types de placements sera plus large pour un investisseur qui sera prêt à assumer un plus grand risque. Dans le cas des investisseurs conservateurs, l'éventail des </w:t>
      </w:r>
      <w:r w:rsidR="005A30CC">
        <w:t xml:space="preserve">types de </w:t>
      </w:r>
      <w:r w:rsidR="00E40979">
        <w:t>placements sera plus limité.</w:t>
      </w:r>
    </w:p>
    <w:p w14:paraId="03F0C666" w14:textId="77777777" w:rsidR="00E40979" w:rsidRDefault="00E40979" w:rsidP="00297B58">
      <w:pPr>
        <w:jc w:val="both"/>
      </w:pPr>
    </w:p>
    <w:p w14:paraId="3A8DA373" w14:textId="6CA88E02" w:rsidR="00297B58" w:rsidRDefault="00E40979" w:rsidP="006C34CF">
      <w:pPr>
        <w:pStyle w:val="Titre3"/>
        <w:numPr>
          <w:ilvl w:val="2"/>
          <w:numId w:val="130"/>
        </w:numPr>
      </w:pPr>
      <w:bookmarkStart w:id="177" w:name="_Toc314397895"/>
      <w:bookmarkStart w:id="178" w:name="_Toc443569439"/>
      <w:r>
        <w:t>Le facteur risque</w:t>
      </w:r>
      <w:bookmarkEnd w:id="177"/>
      <w:bookmarkEnd w:id="178"/>
      <w:r w:rsidR="00297B58">
        <w:t xml:space="preserve"> </w:t>
      </w:r>
    </w:p>
    <w:p w14:paraId="762EE70D" w14:textId="77777777" w:rsidR="00802493" w:rsidRDefault="00802493" w:rsidP="00E40979">
      <w:pPr>
        <w:tabs>
          <w:tab w:val="left" w:pos="3314"/>
        </w:tabs>
      </w:pPr>
    </w:p>
    <w:p w14:paraId="2426E6BF" w14:textId="6CC010B9" w:rsidR="00067D70" w:rsidRPr="00067D70" w:rsidRDefault="005A30CC" w:rsidP="00067D70">
      <w:pPr>
        <w:jc w:val="both"/>
        <w:rPr>
          <w:lang w:val="fr-CA"/>
        </w:rPr>
      </w:pPr>
      <w:r>
        <w:t>Lorsqu'il est question de placements et de leur classification, il est impossible d'ignorer le niveau de risque qui leur est attribu</w:t>
      </w:r>
      <w:r w:rsidR="00896AB4">
        <w:t>able</w:t>
      </w:r>
      <w:r>
        <w:t xml:space="preserve"> et son corolaire, le rendement espéré. Il faut garder à l'esprit que le point de départ </w:t>
      </w:r>
      <w:r w:rsidR="00896AB4">
        <w:t xml:space="preserve">est la prise en charge d'un risque tolérable pour l'investisseur, qui lui, dictera un potentiel de rendement, et non le contraire. Le rendement souhaité et espéré sera toujours le plus élevé possible pour le contribuable. </w:t>
      </w:r>
      <w:r w:rsidR="003916D4">
        <w:t>Plutôt, l</w:t>
      </w:r>
      <w:r w:rsidR="00896AB4">
        <w:t>a question demeurera</w:t>
      </w:r>
      <w:r w:rsidR="00BA1875">
        <w:t>,</w:t>
      </w:r>
      <w:r w:rsidR="003916D4">
        <w:t xml:space="preserve"> </w:t>
      </w:r>
      <w:r w:rsidR="00896AB4">
        <w:t xml:space="preserve">quel montant le contribuable est-il </w:t>
      </w:r>
      <w:r w:rsidR="003916D4" w:rsidRPr="003916D4">
        <w:rPr>
          <w:color w:val="FF6700" w:themeColor="accent3"/>
        </w:rPr>
        <w:t>PRÊT À PERDRE</w:t>
      </w:r>
      <w:r w:rsidR="00896AB4">
        <w:t xml:space="preserve"> en cas de recul des marchés</w:t>
      </w:r>
      <w:r w:rsidR="003916D4" w:rsidRPr="003916D4">
        <w:rPr>
          <w:rFonts w:ascii="Avenir Book" w:hAnsi="Avenir Book"/>
        </w:rPr>
        <w:t xml:space="preserve">? </w:t>
      </w:r>
      <w:r w:rsidR="003916D4">
        <w:t>C'</w:t>
      </w:r>
      <w:r w:rsidR="00896AB4">
        <w:t xml:space="preserve">est </w:t>
      </w:r>
      <w:r w:rsidR="003916D4">
        <w:t xml:space="preserve">la définition du </w:t>
      </w:r>
      <w:r w:rsidR="003916D4" w:rsidRPr="003916D4">
        <w:rPr>
          <w:color w:val="FF6700" w:themeColor="accent3"/>
        </w:rPr>
        <w:t>RISQUE</w:t>
      </w:r>
      <w:r w:rsidR="003916D4">
        <w:t>, quel est le pire scénario possible</w:t>
      </w:r>
      <w:r w:rsidR="003916D4" w:rsidRPr="003916D4">
        <w:rPr>
          <w:rFonts w:ascii="Avenir Book" w:hAnsi="Avenir Book"/>
        </w:rPr>
        <w:t>?</w:t>
      </w:r>
      <w:r w:rsidR="003916D4">
        <w:t xml:space="preserve"> Et quelles sont les probabilités qu'il se produise</w:t>
      </w:r>
      <w:r w:rsidR="003916D4" w:rsidRPr="003916D4">
        <w:rPr>
          <w:rFonts w:ascii="Avenir Book" w:hAnsi="Avenir Book"/>
        </w:rPr>
        <w:t>?</w:t>
      </w:r>
      <w:r w:rsidR="00896AB4">
        <w:t xml:space="preserve"> </w:t>
      </w:r>
      <w:r w:rsidR="00067D70">
        <w:t>Selon l'autorité de marchés financiers (AMF), le risque correspond à "</w:t>
      </w:r>
      <w:r w:rsidR="00067D70" w:rsidRPr="00067D70">
        <w:rPr>
          <w:lang w:val="fr-CA"/>
        </w:rPr>
        <w:t>la possibilit</w:t>
      </w:r>
      <w:r w:rsidR="00067D70">
        <w:rPr>
          <w:lang w:val="fr-CA"/>
        </w:rPr>
        <w:t>é</w:t>
      </w:r>
      <w:r w:rsidR="00067D70" w:rsidRPr="00067D70">
        <w:rPr>
          <w:lang w:val="fr-CA"/>
        </w:rPr>
        <w:t xml:space="preserve"> que vous obteniez un rendement inf</w:t>
      </w:r>
      <w:r w:rsidR="00067D70">
        <w:rPr>
          <w:lang w:val="fr-CA"/>
        </w:rPr>
        <w:t>é</w:t>
      </w:r>
      <w:r w:rsidR="00067D70" w:rsidRPr="00067D70">
        <w:rPr>
          <w:lang w:val="fr-CA"/>
        </w:rPr>
        <w:t xml:space="preserve">rieur </w:t>
      </w:r>
      <w:r w:rsidR="00067D70">
        <w:rPr>
          <w:lang w:val="fr-CA"/>
        </w:rPr>
        <w:t>à</w:t>
      </w:r>
      <w:r w:rsidR="00067D70" w:rsidRPr="00067D70">
        <w:rPr>
          <w:lang w:val="fr-CA"/>
        </w:rPr>
        <w:t xml:space="preserve"> celui anticip</w:t>
      </w:r>
      <w:r w:rsidR="00067D70">
        <w:rPr>
          <w:lang w:val="fr-CA"/>
        </w:rPr>
        <w:t>é</w:t>
      </w:r>
      <w:r w:rsidR="00067D70" w:rsidRPr="00067D70">
        <w:rPr>
          <w:lang w:val="fr-CA"/>
        </w:rPr>
        <w:t xml:space="preserve"> ou encore que vous perdiez une partie ou la totalit</w:t>
      </w:r>
      <w:r w:rsidR="00067D70">
        <w:rPr>
          <w:lang w:val="fr-CA"/>
        </w:rPr>
        <w:t>é</w:t>
      </w:r>
      <w:r w:rsidR="00067D70" w:rsidRPr="00067D70">
        <w:rPr>
          <w:lang w:val="fr-CA"/>
        </w:rPr>
        <w:t xml:space="preserve"> des sommes investies, et peut-</w:t>
      </w:r>
      <w:r w:rsidR="00067D70">
        <w:rPr>
          <w:lang w:val="fr-CA"/>
        </w:rPr>
        <w:t>ê</w:t>
      </w:r>
      <w:r w:rsidR="00067D70" w:rsidRPr="00067D70">
        <w:rPr>
          <w:lang w:val="fr-CA"/>
        </w:rPr>
        <w:t>tre davantage dans certains cas.</w:t>
      </w:r>
      <w:r w:rsidR="00067D70">
        <w:rPr>
          <w:lang w:val="fr-CA"/>
        </w:rPr>
        <w:t>"</w:t>
      </w:r>
      <w:r w:rsidR="00067D70" w:rsidRPr="00067D70">
        <w:rPr>
          <w:lang w:val="fr-CA"/>
        </w:rPr>
        <w:t xml:space="preserve"> </w:t>
      </w:r>
    </w:p>
    <w:p w14:paraId="298EED23" w14:textId="0999FF97" w:rsidR="00896AB4" w:rsidRDefault="00067D70" w:rsidP="00896AB4">
      <w:pPr>
        <w:jc w:val="both"/>
      </w:pPr>
      <w:r>
        <w:t xml:space="preserve"> </w:t>
      </w:r>
    </w:p>
    <w:p w14:paraId="5405EAD5" w14:textId="57C268B0" w:rsidR="00D71081" w:rsidRDefault="00454D1E" w:rsidP="00896AB4">
      <w:pPr>
        <w:jc w:val="both"/>
      </w:pPr>
      <w:r>
        <w:t>Les différents auteurs répertorient plusieurs types de risques</w:t>
      </w:r>
      <w:r w:rsidR="00FE5FA7">
        <w:t>. P</w:t>
      </w:r>
      <w:r>
        <w:t>ar exemple, le risque de liquidité, le risque de volatilité, le risque opérationnel, le risque de change, le risque souverain</w:t>
      </w:r>
      <w:r w:rsidR="00FE5FA7">
        <w:t>, le risque environnemental</w:t>
      </w:r>
      <w:r>
        <w:t xml:space="preserve"> et bien d'autres. Tous ces facteurs de  risque peuvent influencer </w:t>
      </w:r>
      <w:r w:rsidR="00FE5FA7">
        <w:t xml:space="preserve">sur </w:t>
      </w:r>
      <w:r>
        <w:t xml:space="preserve">la valeur et la stabilité d'un placement. Nous souhaitons scinder la notion de risque en deux composantes distinctes, l'une de proximité (le risque </w:t>
      </w:r>
      <w:r w:rsidR="00067D70">
        <w:t>relié à l'émetteur du titre</w:t>
      </w:r>
      <w:r>
        <w:t>) et l'autre</w:t>
      </w:r>
      <w:r w:rsidR="00D71081">
        <w:t xml:space="preserve"> de globalité (le risque du marché).</w:t>
      </w:r>
    </w:p>
    <w:p w14:paraId="190D6473" w14:textId="77777777" w:rsidR="00EE3319" w:rsidRDefault="00EE3319" w:rsidP="00EE3319">
      <w:pPr>
        <w:rPr>
          <w:color w:val="FF6700" w:themeColor="accent3"/>
        </w:rPr>
      </w:pPr>
    </w:p>
    <w:p w14:paraId="3A19EB67" w14:textId="77777777" w:rsidR="00EE3319" w:rsidRDefault="00EE3319" w:rsidP="00EE3319">
      <w:pPr>
        <w:rPr>
          <w:color w:val="FF6700" w:themeColor="accent3"/>
        </w:rPr>
      </w:pPr>
    </w:p>
    <w:p w14:paraId="0F68AC9B" w14:textId="77777777" w:rsidR="00EE3319" w:rsidRDefault="00EE3319" w:rsidP="00EE3319">
      <w:pPr>
        <w:rPr>
          <w:color w:val="FF6700" w:themeColor="accent3"/>
        </w:rPr>
      </w:pPr>
    </w:p>
    <w:p w14:paraId="3DB27626" w14:textId="77777777" w:rsidR="00EE3319" w:rsidRDefault="00EE3319" w:rsidP="00EE3319">
      <w:pPr>
        <w:rPr>
          <w:color w:val="FF6700" w:themeColor="accent3"/>
        </w:rPr>
      </w:pPr>
    </w:p>
    <w:p w14:paraId="026B605B" w14:textId="77777777" w:rsidR="00EE3319" w:rsidRPr="00EE3319" w:rsidRDefault="00EE3319" w:rsidP="00EE3319">
      <w:pPr>
        <w:rPr>
          <w:color w:val="FF6700" w:themeColor="accent3"/>
        </w:rPr>
      </w:pPr>
    </w:p>
    <w:p w14:paraId="6B2C1887" w14:textId="6525C125" w:rsidR="00896AB4" w:rsidRDefault="00D71081" w:rsidP="006C34CF">
      <w:pPr>
        <w:pStyle w:val="Paragraphedeliste"/>
        <w:numPr>
          <w:ilvl w:val="0"/>
          <w:numId w:val="124"/>
        </w:numPr>
        <w:rPr>
          <w:color w:val="FF6700" w:themeColor="accent3"/>
        </w:rPr>
      </w:pPr>
      <w:r w:rsidRPr="00D71081">
        <w:rPr>
          <w:color w:val="FF6700" w:themeColor="accent3"/>
        </w:rPr>
        <w:lastRenderedPageBreak/>
        <w:t xml:space="preserve">Le risque </w:t>
      </w:r>
      <w:r w:rsidR="00067D70">
        <w:rPr>
          <w:color w:val="FF6700" w:themeColor="accent3"/>
        </w:rPr>
        <w:t>relié à l'émetteur du titre</w:t>
      </w:r>
    </w:p>
    <w:p w14:paraId="746FA844" w14:textId="77777777" w:rsidR="00067D70" w:rsidRPr="00067D70" w:rsidRDefault="00067D70" w:rsidP="00067D70">
      <w:pPr>
        <w:rPr>
          <w:color w:val="FF6700" w:themeColor="accent3"/>
        </w:rPr>
      </w:pPr>
    </w:p>
    <w:p w14:paraId="410D5D9A" w14:textId="60BC7F90" w:rsidR="00FB43EA" w:rsidRDefault="00EE3319" w:rsidP="00EE3319">
      <w:pPr>
        <w:jc w:val="both"/>
      </w:pPr>
      <w:r>
        <w:t xml:space="preserve">Le risque relié à l'émetteur du titre (le placement pour l'investisseur) fait référence à l'ensemble des circonstances qui pourraient affecter la capacité de l'entreprise ou de l'organisation à remettre, dans  le futur,  le capital </w:t>
      </w:r>
      <w:proofErr w:type="gramStart"/>
      <w:r>
        <w:t>engagé</w:t>
      </w:r>
      <w:proofErr w:type="gramEnd"/>
      <w:r>
        <w:t xml:space="preserve"> et </w:t>
      </w:r>
      <w:r w:rsidR="00931A90">
        <w:t>une portion de</w:t>
      </w:r>
      <w:r>
        <w:t xml:space="preserve"> rendement</w:t>
      </w:r>
      <w:r w:rsidR="00931A90">
        <w:t xml:space="preserve"> </w:t>
      </w:r>
      <w:r>
        <w:t xml:space="preserve">à l'investisseur. À titre d'exemple, citons </w:t>
      </w:r>
      <w:r w:rsidR="00FB43EA">
        <w:t>différents contextes qui aurai</w:t>
      </w:r>
      <w:r w:rsidR="004E20DA">
        <w:t>en</w:t>
      </w:r>
      <w:r w:rsidR="00FB43EA">
        <w:t>t pour effet d'augmenter le risque:</w:t>
      </w:r>
    </w:p>
    <w:p w14:paraId="03058759" w14:textId="77777777" w:rsidR="00FB43EA" w:rsidRDefault="00FB43EA" w:rsidP="00EE3319">
      <w:pPr>
        <w:jc w:val="both"/>
      </w:pPr>
    </w:p>
    <w:p w14:paraId="06261736" w14:textId="701C16FD" w:rsidR="00FB43EA" w:rsidRDefault="00FB43EA" w:rsidP="006C34CF">
      <w:pPr>
        <w:pStyle w:val="Paragraphedeliste"/>
        <w:numPr>
          <w:ilvl w:val="1"/>
          <w:numId w:val="124"/>
        </w:numPr>
        <w:jc w:val="both"/>
      </w:pPr>
      <w:r>
        <w:t>Une technologie dépassée</w:t>
      </w:r>
    </w:p>
    <w:p w14:paraId="26464043" w14:textId="77777777" w:rsidR="00FB43EA" w:rsidRDefault="00FB43EA" w:rsidP="00FB43EA">
      <w:pPr>
        <w:ind w:left="720"/>
        <w:jc w:val="both"/>
      </w:pPr>
    </w:p>
    <w:p w14:paraId="00AAE126" w14:textId="00AE90B5" w:rsidR="00FB43EA" w:rsidRDefault="00FB43EA" w:rsidP="006C34CF">
      <w:pPr>
        <w:pStyle w:val="Paragraphedeliste"/>
        <w:numPr>
          <w:ilvl w:val="1"/>
          <w:numId w:val="124"/>
        </w:numPr>
        <w:jc w:val="both"/>
      </w:pPr>
      <w:r>
        <w:t>Un avantage concurrentiel qui s'estompe</w:t>
      </w:r>
    </w:p>
    <w:p w14:paraId="1F0AE98D" w14:textId="77777777" w:rsidR="00FB43EA" w:rsidRDefault="00FB43EA" w:rsidP="00FB43EA">
      <w:pPr>
        <w:ind w:left="720"/>
        <w:jc w:val="both"/>
      </w:pPr>
    </w:p>
    <w:p w14:paraId="43F211FF" w14:textId="132F20D5" w:rsidR="00FB43EA" w:rsidRDefault="00FB43EA" w:rsidP="006C34CF">
      <w:pPr>
        <w:pStyle w:val="Paragraphedeliste"/>
        <w:numPr>
          <w:ilvl w:val="1"/>
          <w:numId w:val="124"/>
        </w:numPr>
        <w:jc w:val="both"/>
      </w:pPr>
      <w:r>
        <w:t xml:space="preserve">La fragilité et l'absence de vision de la haute direction </w:t>
      </w:r>
    </w:p>
    <w:p w14:paraId="6D0A2060" w14:textId="77777777" w:rsidR="00D71081" w:rsidRDefault="00D71081" w:rsidP="00EE3319">
      <w:pPr>
        <w:jc w:val="both"/>
      </w:pPr>
    </w:p>
    <w:p w14:paraId="2BF58B8A" w14:textId="546E899E" w:rsidR="00D71081" w:rsidRDefault="00FB43EA" w:rsidP="006C34CF">
      <w:pPr>
        <w:pStyle w:val="Paragraphedeliste"/>
        <w:numPr>
          <w:ilvl w:val="1"/>
          <w:numId w:val="124"/>
        </w:numPr>
      </w:pPr>
      <w:r>
        <w:t>La possibilité de fraudes</w:t>
      </w:r>
    </w:p>
    <w:p w14:paraId="120B3EA2" w14:textId="77777777" w:rsidR="00FB43EA" w:rsidRDefault="00FB43EA" w:rsidP="00FB43EA">
      <w:pPr>
        <w:ind w:left="720"/>
      </w:pPr>
    </w:p>
    <w:p w14:paraId="2FA25827" w14:textId="4E87D682" w:rsidR="00FB43EA" w:rsidRDefault="00FB43EA" w:rsidP="006C34CF">
      <w:pPr>
        <w:pStyle w:val="Paragraphedeliste"/>
        <w:numPr>
          <w:ilvl w:val="1"/>
          <w:numId w:val="124"/>
        </w:numPr>
      </w:pPr>
      <w:r>
        <w:t>Les difficultés de l'organisation à obtenir du financement</w:t>
      </w:r>
    </w:p>
    <w:p w14:paraId="18A35F33" w14:textId="77777777" w:rsidR="00FB43EA" w:rsidRDefault="00FB43EA" w:rsidP="00FB43EA">
      <w:pPr>
        <w:ind w:left="720"/>
      </w:pPr>
    </w:p>
    <w:p w14:paraId="4C3D0ECB" w14:textId="5D6D6C38" w:rsidR="00FB43EA" w:rsidRDefault="00FB43EA" w:rsidP="006C34CF">
      <w:pPr>
        <w:pStyle w:val="Paragraphedeliste"/>
        <w:numPr>
          <w:ilvl w:val="1"/>
          <w:numId w:val="124"/>
        </w:numPr>
      </w:pPr>
      <w:r>
        <w:t>Les problèmes de liquidité de l'entreprise</w:t>
      </w:r>
    </w:p>
    <w:p w14:paraId="05F6F2D2" w14:textId="77777777" w:rsidR="00D71081" w:rsidRDefault="00D71081" w:rsidP="00D71081"/>
    <w:p w14:paraId="6DCE12EA" w14:textId="71FDF860" w:rsidR="00D71081" w:rsidRDefault="00FB43EA" w:rsidP="000D085F">
      <w:pPr>
        <w:jc w:val="both"/>
      </w:pPr>
      <w:r>
        <w:t xml:space="preserve">Ce type de risque est donc relié à la solidité, la réputation et aux qualités intrinsèques de l'organisation qui souhaite émettre des titres pour financer </w:t>
      </w:r>
      <w:r w:rsidR="000D085F">
        <w:t>ses activités. D'une certaine façon, c'est le risque le plus important puisque, advenant le déclin de l'organisation jusqu'à sa faillite, l'impact pourrait</w:t>
      </w:r>
      <w:r w:rsidR="00411DC9">
        <w:t xml:space="preserve"> être irréversible et</w:t>
      </w:r>
      <w:r w:rsidR="000D085F">
        <w:t xml:space="preserve"> se solder par une perte totale pour les investisseurs.</w:t>
      </w:r>
    </w:p>
    <w:p w14:paraId="1F6CE0BA" w14:textId="77777777" w:rsidR="00D71081" w:rsidRDefault="00D71081" w:rsidP="00D71081"/>
    <w:p w14:paraId="78E6836D" w14:textId="6C8CC181" w:rsidR="00D71081" w:rsidRPr="00D71081" w:rsidRDefault="00D71081" w:rsidP="006C34CF">
      <w:pPr>
        <w:pStyle w:val="Paragraphedeliste"/>
        <w:numPr>
          <w:ilvl w:val="0"/>
          <w:numId w:val="124"/>
        </w:numPr>
        <w:rPr>
          <w:color w:val="FF6700" w:themeColor="accent3"/>
        </w:rPr>
      </w:pPr>
      <w:r w:rsidRPr="00D71081">
        <w:rPr>
          <w:color w:val="FF6700" w:themeColor="accent3"/>
        </w:rPr>
        <w:t>Le risque du marché</w:t>
      </w:r>
    </w:p>
    <w:p w14:paraId="3E4CEAA1" w14:textId="77777777" w:rsidR="00D71081" w:rsidRDefault="00D71081" w:rsidP="00D71081"/>
    <w:p w14:paraId="333D1D36" w14:textId="24355C16" w:rsidR="00411DC9" w:rsidRDefault="00411DC9" w:rsidP="00411DC9">
      <w:pPr>
        <w:jc w:val="both"/>
      </w:pPr>
      <w:r>
        <w:t xml:space="preserve">Le risque </w:t>
      </w:r>
      <w:r w:rsidR="00794219">
        <w:t xml:space="preserve">du marché </w:t>
      </w:r>
      <w:r w:rsidR="00FD47D6">
        <w:t>est relié à des facteurs qui sont extérieurs à l'organisation. Il regroupe plusieurs composantes de nature macro</w:t>
      </w:r>
      <w:r w:rsidR="004E20DA">
        <w:t>-</w:t>
      </w:r>
      <w:r w:rsidR="00FD47D6">
        <w:t xml:space="preserve">économique qui peuvent influencer sur la volatilité des titres émis. Ce risque est également appelé systémique, ce qui veut dire que les forces du marché peuvent se mobiliser pour articuler un effet domino qui pourra influencer </w:t>
      </w:r>
      <w:r w:rsidR="00F83BF5">
        <w:t>la valorisation à la baisse d'un titre.</w:t>
      </w:r>
      <w:r>
        <w:t xml:space="preserve"> À titre d'exemple, citons différent</w:t>
      </w:r>
      <w:r w:rsidR="00F83BF5">
        <w:t>e</w:t>
      </w:r>
      <w:r>
        <w:t xml:space="preserve">s </w:t>
      </w:r>
      <w:r w:rsidR="00F83BF5">
        <w:t>informations</w:t>
      </w:r>
      <w:r>
        <w:t xml:space="preserve"> qui aurai</w:t>
      </w:r>
      <w:r w:rsidR="00F83BF5">
        <w:t>en</w:t>
      </w:r>
      <w:r>
        <w:t>t pour effet d</w:t>
      </w:r>
      <w:r w:rsidR="00F83BF5">
        <w:t xml:space="preserve">e moduler le </w:t>
      </w:r>
      <w:r>
        <w:t>risque</w:t>
      </w:r>
      <w:r w:rsidR="00F83BF5">
        <w:t xml:space="preserve"> du marché</w:t>
      </w:r>
      <w:r>
        <w:t>:</w:t>
      </w:r>
    </w:p>
    <w:p w14:paraId="4A9664E0" w14:textId="77777777" w:rsidR="00411DC9" w:rsidRDefault="00411DC9" w:rsidP="00411DC9">
      <w:pPr>
        <w:jc w:val="both"/>
      </w:pPr>
    </w:p>
    <w:p w14:paraId="06A8D16D" w14:textId="63595DD2" w:rsidR="00411DC9" w:rsidRDefault="00F83BF5" w:rsidP="006C34CF">
      <w:pPr>
        <w:pStyle w:val="Paragraphedeliste"/>
        <w:numPr>
          <w:ilvl w:val="1"/>
          <w:numId w:val="124"/>
        </w:numPr>
        <w:jc w:val="both"/>
      </w:pPr>
      <w:r>
        <w:t>La hausse du taux directeur de la Banque du Canada</w:t>
      </w:r>
    </w:p>
    <w:p w14:paraId="1576F33B" w14:textId="77777777" w:rsidR="00411DC9" w:rsidRDefault="00411DC9" w:rsidP="00411DC9">
      <w:pPr>
        <w:ind w:left="720"/>
        <w:jc w:val="both"/>
      </w:pPr>
    </w:p>
    <w:p w14:paraId="0F5DCD7E" w14:textId="3793CF94" w:rsidR="00411DC9" w:rsidRDefault="00F83BF5" w:rsidP="006C34CF">
      <w:pPr>
        <w:pStyle w:val="Paragraphedeliste"/>
        <w:numPr>
          <w:ilvl w:val="1"/>
          <w:numId w:val="124"/>
        </w:numPr>
        <w:jc w:val="both"/>
      </w:pPr>
      <w:r>
        <w:t>Une croissance du PIB à la baisse</w:t>
      </w:r>
    </w:p>
    <w:p w14:paraId="1CA110F3" w14:textId="77777777" w:rsidR="00411DC9" w:rsidRDefault="00411DC9" w:rsidP="00411DC9">
      <w:pPr>
        <w:ind w:left="720"/>
        <w:jc w:val="both"/>
      </w:pPr>
    </w:p>
    <w:p w14:paraId="6A13FA44" w14:textId="4B7D5B8D" w:rsidR="00411DC9" w:rsidRDefault="00F83BF5" w:rsidP="006C34CF">
      <w:pPr>
        <w:pStyle w:val="Paragraphedeliste"/>
        <w:numPr>
          <w:ilvl w:val="1"/>
          <w:numId w:val="124"/>
        </w:numPr>
        <w:jc w:val="both"/>
      </w:pPr>
      <w:r>
        <w:t>Une période de récession</w:t>
      </w:r>
      <w:r w:rsidR="00411DC9">
        <w:t xml:space="preserve"> </w:t>
      </w:r>
    </w:p>
    <w:p w14:paraId="1B74E131" w14:textId="77777777" w:rsidR="00411DC9" w:rsidRDefault="00411DC9" w:rsidP="00411DC9">
      <w:pPr>
        <w:jc w:val="both"/>
      </w:pPr>
    </w:p>
    <w:p w14:paraId="6DEFCA26" w14:textId="1CF53CFA" w:rsidR="00411DC9" w:rsidRDefault="00F83BF5" w:rsidP="006C34CF">
      <w:pPr>
        <w:pStyle w:val="Paragraphedeliste"/>
        <w:numPr>
          <w:ilvl w:val="1"/>
          <w:numId w:val="124"/>
        </w:numPr>
      </w:pPr>
      <w:r>
        <w:t>Une  crise financière mondiale</w:t>
      </w:r>
    </w:p>
    <w:p w14:paraId="232AFA3C" w14:textId="77777777" w:rsidR="00411DC9" w:rsidRDefault="00411DC9" w:rsidP="00411DC9">
      <w:pPr>
        <w:ind w:left="720"/>
      </w:pPr>
    </w:p>
    <w:p w14:paraId="42CE8EF6" w14:textId="1872E6A8" w:rsidR="00411DC9" w:rsidRDefault="00F83BF5" w:rsidP="006C34CF">
      <w:pPr>
        <w:pStyle w:val="Paragraphedeliste"/>
        <w:numPr>
          <w:ilvl w:val="1"/>
          <w:numId w:val="124"/>
        </w:numPr>
      </w:pPr>
      <w:r>
        <w:t>L'instabilité géopolitique</w:t>
      </w:r>
    </w:p>
    <w:p w14:paraId="094F51EE" w14:textId="77777777" w:rsidR="00411DC9" w:rsidRDefault="00411DC9" w:rsidP="00411DC9">
      <w:pPr>
        <w:ind w:left="720"/>
      </w:pPr>
    </w:p>
    <w:p w14:paraId="4306D3C7" w14:textId="4D0D3272" w:rsidR="00411DC9" w:rsidRDefault="00F83BF5" w:rsidP="006C34CF">
      <w:pPr>
        <w:pStyle w:val="Paragraphedeliste"/>
        <w:numPr>
          <w:ilvl w:val="1"/>
          <w:numId w:val="124"/>
        </w:numPr>
      </w:pPr>
      <w:r>
        <w:t xml:space="preserve">Une mauvaise nouvelle du secteur économique relié </w:t>
      </w:r>
      <w:r w:rsidR="00CB04B3">
        <w:t>au titre</w:t>
      </w:r>
    </w:p>
    <w:p w14:paraId="77F75B99" w14:textId="77777777" w:rsidR="00411DC9" w:rsidRDefault="00411DC9" w:rsidP="00411DC9"/>
    <w:p w14:paraId="316E0F91" w14:textId="286E5BF8" w:rsidR="0012613A" w:rsidRDefault="0012613A" w:rsidP="0012613A">
      <w:pPr>
        <w:jc w:val="both"/>
      </w:pPr>
      <w:r>
        <w:t>Ce type de risque est normalement de nature cyclique. Cela veut dire que pour les investisseurs qui ne tentent pas de prédire ou synchroniser ses entrées et ses sorties du marché, ce risque est moins important puisque sur une longue période il devrait se résorber.</w:t>
      </w:r>
    </w:p>
    <w:p w14:paraId="44F29187" w14:textId="77777777" w:rsidR="00067D70" w:rsidRDefault="00067D70" w:rsidP="00D71081"/>
    <w:p w14:paraId="28C5AEA1" w14:textId="3F11AD9B" w:rsidR="00067D70" w:rsidRDefault="00067D70" w:rsidP="0012613A">
      <w:pPr>
        <w:jc w:val="both"/>
      </w:pPr>
      <w:r>
        <w:t>D</w:t>
      </w:r>
      <w:r w:rsidR="0012613A">
        <w:t xml:space="preserve">e manière générale, une bonne stratégie de </w:t>
      </w:r>
      <w:r w:rsidR="0012613A" w:rsidRPr="0012613A">
        <w:rPr>
          <w:color w:val="FF6700" w:themeColor="accent3"/>
        </w:rPr>
        <w:t>DIVERSIFICATION</w:t>
      </w:r>
      <w:r w:rsidR="0012613A">
        <w:t xml:space="preserve"> des titres inclus dans un portefeuille de placement réduira le niveau du </w:t>
      </w:r>
      <w:r w:rsidR="0012613A" w:rsidRPr="0012613A">
        <w:rPr>
          <w:u w:val="single"/>
        </w:rPr>
        <w:t>risque relié à l'émetteur du titre</w:t>
      </w:r>
      <w:r w:rsidR="0012613A">
        <w:t xml:space="preserve"> et une approche sans précipitation, en </w:t>
      </w:r>
      <w:r w:rsidR="0012613A" w:rsidRPr="0012613A">
        <w:rPr>
          <w:color w:val="FF6700" w:themeColor="accent3"/>
        </w:rPr>
        <w:t>ATTENTE</w:t>
      </w:r>
      <w:r w:rsidR="0012613A">
        <w:t xml:space="preserve"> du redressement des cycles financiers et économiques, réduira le </w:t>
      </w:r>
      <w:r w:rsidR="0012613A" w:rsidRPr="0012613A">
        <w:rPr>
          <w:u w:val="single"/>
        </w:rPr>
        <w:t>risque du marché</w:t>
      </w:r>
      <w:r w:rsidR="0012613A">
        <w:t>.</w:t>
      </w:r>
    </w:p>
    <w:p w14:paraId="66C43EFA" w14:textId="243DE761" w:rsidR="00297B58" w:rsidRDefault="00297B58" w:rsidP="00E40979">
      <w:pPr>
        <w:tabs>
          <w:tab w:val="left" w:pos="3314"/>
        </w:tabs>
      </w:pPr>
    </w:p>
    <w:p w14:paraId="7E59807C" w14:textId="110C7E25" w:rsidR="00E40979" w:rsidRDefault="00E40979" w:rsidP="006C34CF">
      <w:pPr>
        <w:pStyle w:val="Titre3"/>
        <w:numPr>
          <w:ilvl w:val="2"/>
          <w:numId w:val="130"/>
        </w:numPr>
      </w:pPr>
      <w:bookmarkStart w:id="179" w:name="_Toc314397896"/>
      <w:bookmarkStart w:id="180" w:name="_Toc443569440"/>
      <w:r>
        <w:t>La catégorisation des placements</w:t>
      </w:r>
      <w:bookmarkEnd w:id="179"/>
      <w:bookmarkEnd w:id="180"/>
      <w:r>
        <w:t xml:space="preserve"> </w:t>
      </w:r>
    </w:p>
    <w:p w14:paraId="390E8D8F" w14:textId="77777777" w:rsidR="00E40979" w:rsidRDefault="00E40979" w:rsidP="00E40979">
      <w:pPr>
        <w:tabs>
          <w:tab w:val="left" w:pos="3314"/>
        </w:tabs>
      </w:pPr>
    </w:p>
    <w:p w14:paraId="36FE5877" w14:textId="2E1A90A2" w:rsidR="009C3EBF" w:rsidRDefault="00662B82" w:rsidP="00C73C0B">
      <w:pPr>
        <w:jc w:val="both"/>
      </w:pPr>
      <w:r>
        <w:t>La façon de classifier les placements peut être perçu</w:t>
      </w:r>
      <w:r w:rsidR="00C73C0B">
        <w:t>e</w:t>
      </w:r>
      <w:r>
        <w:t xml:space="preserve"> </w:t>
      </w:r>
      <w:r w:rsidR="00C73C0B">
        <w:t xml:space="preserve">selon </w:t>
      </w:r>
      <w:r>
        <w:t xml:space="preserve">différents </w:t>
      </w:r>
      <w:r w:rsidR="00C73C0B">
        <w:t xml:space="preserve">angles. Une des approches de catégorisation </w:t>
      </w:r>
      <w:r w:rsidR="007414BB">
        <w:t>vise à</w:t>
      </w:r>
      <w:r w:rsidR="00C73C0B">
        <w:t xml:space="preserve"> déterminer les types de revenus qui y sont générés. On parle alors, de revenus fixes (intérêts) et de revenus de croissance (gain en capital et dividende). Le niveau de risque</w:t>
      </w:r>
      <w:r w:rsidR="007414BB">
        <w:t xml:space="preserve"> (faible, modéré et élevé) q</w:t>
      </w:r>
      <w:r w:rsidR="00C73C0B">
        <w:t>ui découle des différents placements peut également servir d'ancrage à une classification.</w:t>
      </w:r>
      <w:r w:rsidR="007414BB">
        <w:t xml:space="preserve"> </w:t>
      </w:r>
      <w:r w:rsidR="00C73C0B">
        <w:t xml:space="preserve">Dans notre cas, nous avons choisi d'axer, dans un </w:t>
      </w:r>
      <w:r w:rsidR="00536B45" w:rsidRPr="00536B45">
        <w:rPr>
          <w:color w:val="FF6700" w:themeColor="accent3"/>
        </w:rPr>
        <w:t>PREMIER TEMPS</w:t>
      </w:r>
      <w:r w:rsidR="00C73C0B">
        <w:t>, les distinctions</w:t>
      </w:r>
      <w:r w:rsidR="007414BB">
        <w:t xml:space="preserve"> de répartition, </w:t>
      </w:r>
      <w:r w:rsidR="00C73C0B">
        <w:t>selon la nature contractuelle du placement. Les placements sont</w:t>
      </w:r>
      <w:r w:rsidR="009C3EBF">
        <w:t>,</w:t>
      </w:r>
      <w:r w:rsidR="00C73C0B">
        <w:t xml:space="preserve"> </w:t>
      </w:r>
      <w:r w:rsidR="009C3EBF">
        <w:t>avant tout, des ententes entre une partie que l'on nomme "l'émetteur" et une autre partie appelée "le porteur". Cela veut dire que selon cette distinction juridique, l'investisseur possède soit un titre de créance (</w:t>
      </w:r>
      <w:r w:rsidR="009C3EBF" w:rsidRPr="009C3EBF">
        <w:rPr>
          <w:color w:val="FF6700" w:themeColor="accent3"/>
        </w:rPr>
        <w:t>LIQUIDITÉS ET OBLIG</w:t>
      </w:r>
      <w:r w:rsidR="009C3EBF">
        <w:rPr>
          <w:color w:val="FF6700" w:themeColor="accent3"/>
        </w:rPr>
        <w:t>A</w:t>
      </w:r>
      <w:r w:rsidR="009C3EBF" w:rsidRPr="009C3EBF">
        <w:rPr>
          <w:color w:val="FF6700" w:themeColor="accent3"/>
        </w:rPr>
        <w:t>TIONS</w:t>
      </w:r>
      <w:r w:rsidR="009C3EBF">
        <w:t>), soit un titre de propriété (</w:t>
      </w:r>
      <w:r w:rsidR="009C3EBF" w:rsidRPr="009C3EBF">
        <w:rPr>
          <w:color w:val="FF6700" w:themeColor="accent3"/>
        </w:rPr>
        <w:t>ACT</w:t>
      </w:r>
      <w:r w:rsidR="009C3EBF">
        <w:rPr>
          <w:color w:val="FF6700" w:themeColor="accent3"/>
        </w:rPr>
        <w:t>I</w:t>
      </w:r>
      <w:r w:rsidR="009C3EBF" w:rsidRPr="009C3EBF">
        <w:rPr>
          <w:color w:val="FF6700" w:themeColor="accent3"/>
        </w:rPr>
        <w:t>ONS</w:t>
      </w:r>
      <w:r w:rsidR="009C3EBF">
        <w:t xml:space="preserve">). Il </w:t>
      </w:r>
      <w:r w:rsidR="009C3EBF">
        <w:lastRenderedPageBreak/>
        <w:t>est alors créancier ou propriétaire de l'organisation émettrice du titre. Cette distinction fondamentale dictera dès le départ deux attributs importants du placement, la protection</w:t>
      </w:r>
      <w:r w:rsidR="00536B45">
        <w:t xml:space="preserve"> (la notion de placement garanti)</w:t>
      </w:r>
      <w:r w:rsidR="00D825A6">
        <w:t xml:space="preserve"> </w:t>
      </w:r>
      <w:r w:rsidR="009C3EBF">
        <w:t xml:space="preserve">sera </w:t>
      </w:r>
      <w:r w:rsidR="00D825A6">
        <w:t xml:space="preserve">alors </w:t>
      </w:r>
      <w:r w:rsidR="009C3EBF">
        <w:t>plus grande dans le cas de créances</w:t>
      </w:r>
      <w:r w:rsidR="00536B45">
        <w:t xml:space="preserve"> (</w:t>
      </w:r>
      <w:r w:rsidR="00536B45" w:rsidRPr="009C3EBF">
        <w:rPr>
          <w:color w:val="FF6700" w:themeColor="accent3"/>
        </w:rPr>
        <w:t>LIQUIDITÉS ET OBLIG</w:t>
      </w:r>
      <w:r w:rsidR="00536B45">
        <w:rPr>
          <w:color w:val="FF6700" w:themeColor="accent3"/>
        </w:rPr>
        <w:t>A</w:t>
      </w:r>
      <w:r w:rsidR="00536B45" w:rsidRPr="009C3EBF">
        <w:rPr>
          <w:color w:val="FF6700" w:themeColor="accent3"/>
        </w:rPr>
        <w:t>TIONS</w:t>
      </w:r>
      <w:r w:rsidR="00536B45">
        <w:t>)</w:t>
      </w:r>
      <w:r w:rsidR="009C3EBF">
        <w:t xml:space="preserve"> et le</w:t>
      </w:r>
      <w:r w:rsidR="00D825A6">
        <w:t xml:space="preserve"> </w:t>
      </w:r>
      <w:r w:rsidR="009C3EBF">
        <w:t>rendement</w:t>
      </w:r>
      <w:r w:rsidR="00D825A6">
        <w:t xml:space="preserve"> espéré</w:t>
      </w:r>
      <w:r w:rsidR="009C3EBF">
        <w:t xml:space="preserve"> sera plus élevé dans le cas de propriété (</w:t>
      </w:r>
      <w:r w:rsidR="009C3EBF" w:rsidRPr="009C3EBF">
        <w:rPr>
          <w:color w:val="FF6700" w:themeColor="accent3"/>
        </w:rPr>
        <w:t>ACT</w:t>
      </w:r>
      <w:r w:rsidR="009C3EBF">
        <w:rPr>
          <w:color w:val="FF6700" w:themeColor="accent3"/>
        </w:rPr>
        <w:t>I</w:t>
      </w:r>
      <w:r w:rsidR="009C3EBF" w:rsidRPr="009C3EBF">
        <w:rPr>
          <w:color w:val="FF6700" w:themeColor="accent3"/>
        </w:rPr>
        <w:t>ONS</w:t>
      </w:r>
      <w:r w:rsidR="009C3EBF">
        <w:t xml:space="preserve">). </w:t>
      </w:r>
      <w:r w:rsidR="00536B45">
        <w:t xml:space="preserve">Quant au niveau de risque, il empruntera un comportement opposé à celui du rendement espéré. Dans un </w:t>
      </w:r>
      <w:r w:rsidR="00536B45" w:rsidRPr="00536B45">
        <w:rPr>
          <w:color w:val="FF6700" w:themeColor="accent3"/>
        </w:rPr>
        <w:t>DEUXIÈME TEMPS</w:t>
      </w:r>
      <w:r w:rsidR="00536B45">
        <w:t xml:space="preserve">, nous avons opté </w:t>
      </w:r>
      <w:r w:rsidR="00687E2A">
        <w:t xml:space="preserve">pour l'ajout de deux autres catégories de placements afin de couvrir l'ensemble </w:t>
      </w:r>
      <w:r w:rsidR="00423CB2">
        <w:t xml:space="preserve">de l'éventail </w:t>
      </w:r>
      <w:r w:rsidR="00D825A6">
        <w:t xml:space="preserve">de titres </w:t>
      </w:r>
      <w:r w:rsidR="00423CB2">
        <w:t xml:space="preserve">qui s'offre à l'investisseur. Une de ces catégories </w:t>
      </w:r>
      <w:r w:rsidR="00D825A6">
        <w:t>vise</w:t>
      </w:r>
      <w:r w:rsidR="00423CB2">
        <w:t xml:space="preserve"> </w:t>
      </w:r>
      <w:r w:rsidR="00D825A6">
        <w:t>les</w:t>
      </w:r>
      <w:r w:rsidR="00423CB2">
        <w:t xml:space="preserve"> différents titres qui permettent une forme de regroupement de plusieurs investisseurs (</w:t>
      </w:r>
      <w:r w:rsidR="00423CB2" w:rsidRPr="00423CB2">
        <w:rPr>
          <w:color w:val="FF6700" w:themeColor="accent3"/>
        </w:rPr>
        <w:t>FONDS COMMUNS DE PLACEMENTS</w:t>
      </w:r>
      <w:r w:rsidR="00423CB2">
        <w:t>) au sein d'un</w:t>
      </w:r>
      <w:r w:rsidR="00D825A6">
        <w:t>e</w:t>
      </w:r>
      <w:r w:rsidR="00423CB2">
        <w:t xml:space="preserve"> même </w:t>
      </w:r>
      <w:r w:rsidR="00D825A6">
        <w:t xml:space="preserve">unité de </w:t>
      </w:r>
      <w:r w:rsidR="00423CB2">
        <w:t>placement afin de profiter de l'expertise d'un gestionnaire de fonds et de favoriser une approche de diversification.</w:t>
      </w:r>
      <w:r w:rsidR="001F6B78">
        <w:t xml:space="preserve"> Il faut noter que dans la répartition des actifs financiers, telle qu'incluse dans la politique de placement, nous ne réservons pas une allocation spécifique pour les fonds communs de placements. </w:t>
      </w:r>
      <w:r w:rsidR="00116E1B">
        <w:t>Puisque le fonds commun de placements peut prendre autant de formes qu'il existe de produits financiers, il faut creuser davantage pour arriver à déterminer le niveau de risque qu'il porte. Il faudra donc ultimement savoir si le fonds commun est de nature obligataire ou en actions pour arriver à l</w:t>
      </w:r>
      <w:r w:rsidR="00D825A6">
        <w:t>e</w:t>
      </w:r>
      <w:r w:rsidR="00116E1B">
        <w:t xml:space="preserve"> consigner à la répartition des actifs. </w:t>
      </w:r>
      <w:r w:rsidR="00423CB2">
        <w:t>Finalement, nous avons dû regroup</w:t>
      </w:r>
      <w:r w:rsidR="001F6B78">
        <w:t>er</w:t>
      </w:r>
      <w:r w:rsidR="00423CB2">
        <w:t xml:space="preserve"> le résidu des autres types de placement</w:t>
      </w:r>
      <w:r w:rsidR="001F6B78">
        <w:t>s</w:t>
      </w:r>
      <w:r w:rsidR="00423CB2">
        <w:t xml:space="preserve"> dans une quatrième zone (</w:t>
      </w:r>
      <w:r w:rsidR="00423CB2" w:rsidRPr="001F6B78">
        <w:rPr>
          <w:color w:val="FF6700" w:themeColor="accent3"/>
        </w:rPr>
        <w:t>PRODUITS DÉRIVÉS ET ALTERNATIFS</w:t>
      </w:r>
      <w:r w:rsidR="00423CB2">
        <w:t>).</w:t>
      </w:r>
      <w:r w:rsidR="001F6B78">
        <w:t xml:space="preserve"> Normalement, ces placements sont moins homogènes et comportent des complexités plus grandes qui devraient restreindre l'élan des investisseurs moins expérimentés.</w:t>
      </w:r>
    </w:p>
    <w:p w14:paraId="08DE372A" w14:textId="77777777" w:rsidR="00116E1B" w:rsidRDefault="00116E1B" w:rsidP="00C73C0B">
      <w:pPr>
        <w:jc w:val="both"/>
      </w:pPr>
    </w:p>
    <w:p w14:paraId="4C4CFBB6" w14:textId="3349630E" w:rsidR="00802493" w:rsidRDefault="00802493" w:rsidP="006C34CF">
      <w:pPr>
        <w:pStyle w:val="Titre3"/>
        <w:numPr>
          <w:ilvl w:val="2"/>
          <w:numId w:val="130"/>
        </w:numPr>
      </w:pPr>
      <w:bookmarkStart w:id="181" w:name="_Toc314397897"/>
      <w:bookmarkStart w:id="182" w:name="_Toc443569441"/>
      <w:r>
        <w:t>Les placements</w:t>
      </w:r>
      <w:bookmarkEnd w:id="181"/>
      <w:bookmarkEnd w:id="182"/>
      <w:r>
        <w:t xml:space="preserve"> </w:t>
      </w:r>
    </w:p>
    <w:p w14:paraId="16633CC3" w14:textId="77777777" w:rsidR="00802493" w:rsidRDefault="00802493" w:rsidP="00E40979">
      <w:pPr>
        <w:tabs>
          <w:tab w:val="left" w:pos="3314"/>
        </w:tabs>
      </w:pPr>
    </w:p>
    <w:p w14:paraId="23A43D26" w14:textId="4C2B6C1F" w:rsidR="00AA7959" w:rsidRDefault="00AA7959" w:rsidP="002450B6">
      <w:pPr>
        <w:tabs>
          <w:tab w:val="left" w:pos="3314"/>
        </w:tabs>
        <w:jc w:val="both"/>
      </w:pPr>
      <w:r>
        <w:t xml:space="preserve">Afin de présenter les principales caractéristiques des placements les plus usuels, nous avons utilisé </w:t>
      </w:r>
      <w:r w:rsidR="002450B6">
        <w:t>"</w:t>
      </w:r>
      <w:r w:rsidRPr="00AA7959">
        <w:rPr>
          <w:i/>
        </w:rPr>
        <w:t>Le petit lexique des investissements</w:t>
      </w:r>
      <w:r w:rsidR="002450B6">
        <w:rPr>
          <w:i/>
        </w:rPr>
        <w:t>"</w:t>
      </w:r>
      <w:r>
        <w:t xml:space="preserve"> de l'Autorité des marchés financiers</w:t>
      </w:r>
      <w:r w:rsidR="002450B6">
        <w:t xml:space="preserve"> (2006)</w:t>
      </w:r>
      <w:r>
        <w:t>.</w:t>
      </w:r>
      <w:r w:rsidR="002450B6">
        <w:t xml:space="preserve"> Ce coup d'oeil offre une bonne vue d'ensemble des produits qui sont accessibles aux investisseurs. </w:t>
      </w:r>
      <w:r w:rsidR="004111FA">
        <w:t xml:space="preserve">Nous y retrouverons les définitions, le rendement espéré, la souplesse quant à l'encaissement des produits (liquidité) et une appréciation générale du risque selon les différents placements. </w:t>
      </w:r>
      <w:r w:rsidR="004111FA" w:rsidRPr="00705D2E">
        <w:rPr>
          <w:u w:val="single"/>
        </w:rPr>
        <w:t>L'information sur le risque n'est donnée qu'à titre indicatif</w:t>
      </w:r>
      <w:r w:rsidR="00705D2E">
        <w:t xml:space="preserve">, dans les faits, l'étude du </w:t>
      </w:r>
      <w:r w:rsidR="004111FA">
        <w:t>niveau de risque est soumis</w:t>
      </w:r>
      <w:r w:rsidR="004E20DA">
        <w:t>e</w:t>
      </w:r>
      <w:r w:rsidR="004111FA">
        <w:t xml:space="preserve"> à plusieurs variables et doit s'interpréter de manière détaillée et nuancé</w:t>
      </w:r>
      <w:r w:rsidR="00705D2E">
        <w:t>e</w:t>
      </w:r>
      <w:r w:rsidR="004111FA">
        <w:t xml:space="preserve">.  </w:t>
      </w:r>
      <w:r w:rsidR="002450B6">
        <w:t xml:space="preserve">Plusieurs ouvrages, plus dédiés et spécialisés sont disponibles pour ceux qui souhaitent approfondir davantage le sujet des placements et de l'investissement. </w:t>
      </w:r>
      <w:r>
        <w:t xml:space="preserve">  </w:t>
      </w:r>
    </w:p>
    <w:p w14:paraId="4F491D61" w14:textId="77777777" w:rsidR="00755E88" w:rsidRDefault="00755E88"/>
    <w:p w14:paraId="479FE0BB" w14:textId="5B694DF2" w:rsidR="007C6E9A" w:rsidRDefault="007C6E9A">
      <w:r>
        <w:br w:type="page"/>
      </w:r>
    </w:p>
    <w:p w14:paraId="781EAFD8" w14:textId="5E466B1D" w:rsidR="00802493" w:rsidRDefault="007934E2" w:rsidP="006C34CF">
      <w:pPr>
        <w:pStyle w:val="Titre4"/>
        <w:numPr>
          <w:ilvl w:val="3"/>
          <w:numId w:val="123"/>
        </w:numPr>
      </w:pPr>
      <w:bookmarkStart w:id="183" w:name="_Toc314397898"/>
      <w:bookmarkStart w:id="184" w:name="_Toc443569442"/>
      <w:r>
        <w:lastRenderedPageBreak/>
        <w:t>Les liquidités et les obligations</w:t>
      </w:r>
      <w:bookmarkEnd w:id="183"/>
      <w:bookmarkEnd w:id="184"/>
    </w:p>
    <w:p w14:paraId="44CF486E" w14:textId="77777777" w:rsidR="007C6E9A" w:rsidRPr="007C6E9A" w:rsidRDefault="007C6E9A" w:rsidP="007C6E9A"/>
    <w:tbl>
      <w:tblPr>
        <w:tblStyle w:val="Grille"/>
        <w:tblW w:w="14885" w:type="dxa"/>
        <w:tblInd w:w="-885" w:type="dxa"/>
        <w:tblLook w:val="04A0" w:firstRow="1" w:lastRow="0" w:firstColumn="1" w:lastColumn="0" w:noHBand="0" w:noVBand="1"/>
      </w:tblPr>
      <w:tblGrid>
        <w:gridCol w:w="5246"/>
        <w:gridCol w:w="3827"/>
        <w:gridCol w:w="1985"/>
        <w:gridCol w:w="3827"/>
      </w:tblGrid>
      <w:tr w:rsidR="007C6E9A" w14:paraId="1F7E2146" w14:textId="77777777" w:rsidTr="001E5467">
        <w:tc>
          <w:tcPr>
            <w:tcW w:w="5246" w:type="dxa"/>
            <w:shd w:val="clear" w:color="auto" w:fill="94AD9C"/>
          </w:tcPr>
          <w:p w14:paraId="0EE87DEC" w14:textId="2E344075" w:rsidR="007C6E9A" w:rsidRDefault="007C6E9A" w:rsidP="000D0EBA">
            <w:pPr>
              <w:jc w:val="center"/>
            </w:pPr>
            <w:r>
              <w:t>Type et définition</w:t>
            </w:r>
          </w:p>
        </w:tc>
        <w:tc>
          <w:tcPr>
            <w:tcW w:w="3827" w:type="dxa"/>
            <w:shd w:val="clear" w:color="auto" w:fill="AD6469"/>
          </w:tcPr>
          <w:p w14:paraId="08337545" w14:textId="315502CE" w:rsidR="007C6E9A" w:rsidRDefault="000D0EBA" w:rsidP="000D0EBA">
            <w:pPr>
              <w:jc w:val="center"/>
            </w:pPr>
            <w:r>
              <w:t>Rendement espéré</w:t>
            </w:r>
          </w:p>
        </w:tc>
        <w:tc>
          <w:tcPr>
            <w:tcW w:w="1985" w:type="dxa"/>
            <w:shd w:val="clear" w:color="auto" w:fill="000000" w:themeFill="text1"/>
          </w:tcPr>
          <w:p w14:paraId="392683D3" w14:textId="25595BF9" w:rsidR="007C6E9A" w:rsidRDefault="000D0EBA" w:rsidP="000D0EBA">
            <w:pPr>
              <w:jc w:val="center"/>
            </w:pPr>
            <w:r>
              <w:t>Liquidité</w:t>
            </w:r>
          </w:p>
        </w:tc>
        <w:tc>
          <w:tcPr>
            <w:tcW w:w="3827" w:type="dxa"/>
            <w:shd w:val="clear" w:color="auto" w:fill="A09B55"/>
          </w:tcPr>
          <w:p w14:paraId="159C127E" w14:textId="702A2FB4" w:rsidR="007C6E9A" w:rsidRDefault="000D0EBA" w:rsidP="000D0EBA">
            <w:pPr>
              <w:jc w:val="center"/>
            </w:pPr>
            <w:r>
              <w:t>Risque</w:t>
            </w:r>
          </w:p>
        </w:tc>
      </w:tr>
    </w:tbl>
    <w:p w14:paraId="0BD3FABA" w14:textId="7F305827" w:rsidR="002450B6" w:rsidRDefault="007C6E9A">
      <w:r>
        <w:rPr>
          <w:noProof/>
          <w:lang w:eastAsia="fr-FR"/>
        </w:rPr>
        <w:drawing>
          <wp:anchor distT="0" distB="0" distL="114300" distR="114300" simplePos="0" relativeHeight="253220864" behindDoc="0" locked="0" layoutInCell="1" allowOverlap="1" wp14:anchorId="29AD0789" wp14:editId="32C8666C">
            <wp:simplePos x="0" y="0"/>
            <wp:positionH relativeFrom="column">
              <wp:posOffset>-685800</wp:posOffset>
            </wp:positionH>
            <wp:positionV relativeFrom="paragraph">
              <wp:posOffset>-1270</wp:posOffset>
            </wp:positionV>
            <wp:extent cx="9484995" cy="5028565"/>
            <wp:effectExtent l="0" t="0" r="0" b="635"/>
            <wp:wrapNone/>
            <wp:docPr id="824" name="Image 824" descr="Macintosh HD:Users:marcbachand:Desktop:Capture d’écran 2015-12-21 à 10.0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2-21 à 10.02.09.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9486265" cy="5029238"/>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6DA4D54" w14:textId="77777777" w:rsidR="007C6E9A" w:rsidRDefault="007C6E9A"/>
    <w:p w14:paraId="445AF1BB" w14:textId="77777777" w:rsidR="007C6E9A" w:rsidRDefault="007C6E9A"/>
    <w:p w14:paraId="4522010D" w14:textId="77777777" w:rsidR="007C6E9A" w:rsidRDefault="007C6E9A"/>
    <w:p w14:paraId="448F1747" w14:textId="77777777" w:rsidR="007C6E9A" w:rsidRDefault="007C6E9A"/>
    <w:p w14:paraId="407CEA8A" w14:textId="77777777" w:rsidR="007C6E9A" w:rsidRDefault="007C6E9A"/>
    <w:p w14:paraId="133E919E" w14:textId="77777777" w:rsidR="007C6E9A" w:rsidRDefault="007C6E9A"/>
    <w:p w14:paraId="626519F0" w14:textId="77777777" w:rsidR="007C6E9A" w:rsidRDefault="007C6E9A"/>
    <w:p w14:paraId="5BA0E739" w14:textId="77777777" w:rsidR="007C6E9A" w:rsidRDefault="007C6E9A"/>
    <w:p w14:paraId="46D36A25" w14:textId="77777777" w:rsidR="007C6E9A" w:rsidRDefault="007C6E9A"/>
    <w:p w14:paraId="379BF19F" w14:textId="77777777" w:rsidR="007C6E9A" w:rsidRDefault="007C6E9A"/>
    <w:p w14:paraId="749134FA" w14:textId="77777777" w:rsidR="007C6E9A" w:rsidRDefault="007C6E9A"/>
    <w:p w14:paraId="01AA6152" w14:textId="77777777" w:rsidR="007C6E9A" w:rsidRDefault="007C6E9A"/>
    <w:p w14:paraId="00643C11" w14:textId="77777777" w:rsidR="007C6E9A" w:rsidRDefault="007C6E9A"/>
    <w:p w14:paraId="20611147" w14:textId="77777777" w:rsidR="007C6E9A" w:rsidRDefault="007C6E9A"/>
    <w:p w14:paraId="46E084A3" w14:textId="77777777" w:rsidR="007C6E9A" w:rsidRDefault="007C6E9A"/>
    <w:p w14:paraId="2E4D4578" w14:textId="77777777" w:rsidR="007C6E9A" w:rsidRDefault="007C6E9A"/>
    <w:p w14:paraId="656EE7C8" w14:textId="77777777" w:rsidR="007C6E9A" w:rsidRDefault="007C6E9A"/>
    <w:p w14:paraId="6ABEBFAA" w14:textId="77777777" w:rsidR="007C6E9A" w:rsidRDefault="007C6E9A"/>
    <w:p w14:paraId="32CBDF0F" w14:textId="77777777" w:rsidR="007C6E9A" w:rsidRDefault="007C6E9A"/>
    <w:p w14:paraId="5239176B" w14:textId="77777777" w:rsidR="007C6E9A" w:rsidRDefault="007C6E9A"/>
    <w:p w14:paraId="73443CF5" w14:textId="77777777" w:rsidR="007C6E9A" w:rsidRDefault="007C6E9A"/>
    <w:p w14:paraId="1BE38216" w14:textId="77777777" w:rsidR="007C6E9A" w:rsidRDefault="007C6E9A"/>
    <w:p w14:paraId="02023BDF" w14:textId="77777777" w:rsidR="007C6E9A" w:rsidRDefault="007C6E9A"/>
    <w:p w14:paraId="2ABF7E21" w14:textId="77777777" w:rsidR="007C6E9A" w:rsidRDefault="007C6E9A"/>
    <w:p w14:paraId="0F568099" w14:textId="77777777" w:rsidR="007C6E9A" w:rsidRDefault="007C6E9A"/>
    <w:p w14:paraId="4FD548E9" w14:textId="77777777" w:rsidR="007C6E9A" w:rsidRDefault="007C6E9A"/>
    <w:p w14:paraId="4AD8C662" w14:textId="3B49ECCD" w:rsidR="007934E2" w:rsidRDefault="007934E2" w:rsidP="006C34CF">
      <w:pPr>
        <w:pStyle w:val="Titre4"/>
        <w:numPr>
          <w:ilvl w:val="3"/>
          <w:numId w:val="123"/>
        </w:numPr>
      </w:pPr>
      <w:bookmarkStart w:id="185" w:name="_Toc314397899"/>
      <w:bookmarkStart w:id="186" w:name="_Toc443569443"/>
      <w:r>
        <w:lastRenderedPageBreak/>
        <w:t>Les actions</w:t>
      </w:r>
      <w:bookmarkEnd w:id="185"/>
      <w:bookmarkEnd w:id="186"/>
    </w:p>
    <w:p w14:paraId="659018A6" w14:textId="77777777" w:rsidR="000D0EBA" w:rsidRDefault="000D0EBA"/>
    <w:tbl>
      <w:tblPr>
        <w:tblStyle w:val="Grille"/>
        <w:tblpPr w:leftFromText="141" w:rightFromText="141" w:vertAnchor="page" w:horzAnchor="page" w:tblpX="626" w:tblpY="2138"/>
        <w:tblW w:w="14885" w:type="dxa"/>
        <w:tblLook w:val="04A0" w:firstRow="1" w:lastRow="0" w:firstColumn="1" w:lastColumn="0" w:noHBand="0" w:noVBand="1"/>
      </w:tblPr>
      <w:tblGrid>
        <w:gridCol w:w="5246"/>
        <w:gridCol w:w="3827"/>
        <w:gridCol w:w="1985"/>
        <w:gridCol w:w="3827"/>
      </w:tblGrid>
      <w:tr w:rsidR="000D0EBA" w14:paraId="06502233" w14:textId="77777777" w:rsidTr="001E5467">
        <w:tc>
          <w:tcPr>
            <w:tcW w:w="5246" w:type="dxa"/>
            <w:shd w:val="clear" w:color="auto" w:fill="94AD9C"/>
          </w:tcPr>
          <w:p w14:paraId="1E36493E" w14:textId="77777777" w:rsidR="000D0EBA" w:rsidRDefault="000D0EBA" w:rsidP="000D0EBA">
            <w:pPr>
              <w:jc w:val="center"/>
            </w:pPr>
            <w:r>
              <w:t>Type et définition</w:t>
            </w:r>
          </w:p>
        </w:tc>
        <w:tc>
          <w:tcPr>
            <w:tcW w:w="3827" w:type="dxa"/>
            <w:shd w:val="clear" w:color="auto" w:fill="AD6469"/>
          </w:tcPr>
          <w:p w14:paraId="23A48BB1" w14:textId="77777777" w:rsidR="000D0EBA" w:rsidRDefault="000D0EBA" w:rsidP="000D0EBA">
            <w:pPr>
              <w:jc w:val="center"/>
            </w:pPr>
            <w:r>
              <w:t>Rendement espéré</w:t>
            </w:r>
          </w:p>
        </w:tc>
        <w:tc>
          <w:tcPr>
            <w:tcW w:w="1985" w:type="dxa"/>
            <w:shd w:val="clear" w:color="auto" w:fill="000000" w:themeFill="text1"/>
          </w:tcPr>
          <w:p w14:paraId="7A8FD9AB" w14:textId="77777777" w:rsidR="000D0EBA" w:rsidRDefault="000D0EBA" w:rsidP="000D0EBA">
            <w:pPr>
              <w:jc w:val="center"/>
            </w:pPr>
            <w:r>
              <w:t>Liquidité</w:t>
            </w:r>
          </w:p>
        </w:tc>
        <w:tc>
          <w:tcPr>
            <w:tcW w:w="3827" w:type="dxa"/>
            <w:shd w:val="clear" w:color="auto" w:fill="A09B55"/>
          </w:tcPr>
          <w:p w14:paraId="7B9E6330" w14:textId="77777777" w:rsidR="000D0EBA" w:rsidRDefault="000D0EBA" w:rsidP="000D0EBA">
            <w:pPr>
              <w:jc w:val="center"/>
            </w:pPr>
            <w:r>
              <w:t>Risque</w:t>
            </w:r>
          </w:p>
        </w:tc>
      </w:tr>
    </w:tbl>
    <w:p w14:paraId="3A1605E1" w14:textId="41D62AD5" w:rsidR="000D0EBA" w:rsidRDefault="000D0EBA">
      <w:r>
        <w:rPr>
          <w:noProof/>
          <w:lang w:eastAsia="fr-FR"/>
        </w:rPr>
        <w:drawing>
          <wp:anchor distT="0" distB="0" distL="114300" distR="114300" simplePos="0" relativeHeight="253221888" behindDoc="0" locked="0" layoutInCell="1" allowOverlap="1" wp14:anchorId="3FD67ACA" wp14:editId="2EE1CD36">
            <wp:simplePos x="0" y="0"/>
            <wp:positionH relativeFrom="column">
              <wp:posOffset>-571500</wp:posOffset>
            </wp:positionH>
            <wp:positionV relativeFrom="paragraph">
              <wp:posOffset>311785</wp:posOffset>
            </wp:positionV>
            <wp:extent cx="9486900" cy="4457700"/>
            <wp:effectExtent l="0" t="0" r="12700" b="12700"/>
            <wp:wrapNone/>
            <wp:docPr id="831" name="Image 831" descr="Macintosh HD:Users:marcbachand:Desktop:Capture d’écran 2015-12-21 à 10.0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12-21 à 10.02.52.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9486900" cy="4457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450B6">
        <w:br w:type="page"/>
      </w:r>
    </w:p>
    <w:tbl>
      <w:tblPr>
        <w:tblStyle w:val="Grille"/>
        <w:tblpPr w:leftFromText="141" w:rightFromText="141" w:vertAnchor="page" w:horzAnchor="page" w:tblpX="446" w:tblpY="2138"/>
        <w:tblW w:w="14885" w:type="dxa"/>
        <w:tblLook w:val="04A0" w:firstRow="1" w:lastRow="0" w:firstColumn="1" w:lastColumn="0" w:noHBand="0" w:noVBand="1"/>
      </w:tblPr>
      <w:tblGrid>
        <w:gridCol w:w="5246"/>
        <w:gridCol w:w="3827"/>
        <w:gridCol w:w="1985"/>
        <w:gridCol w:w="3827"/>
      </w:tblGrid>
      <w:tr w:rsidR="0056212E" w14:paraId="317D576A" w14:textId="77777777" w:rsidTr="001E5467">
        <w:tc>
          <w:tcPr>
            <w:tcW w:w="5246" w:type="dxa"/>
            <w:shd w:val="clear" w:color="auto" w:fill="94AD9C"/>
          </w:tcPr>
          <w:p w14:paraId="6EC29557" w14:textId="77777777" w:rsidR="0056212E" w:rsidRDefault="0056212E" w:rsidP="0056212E">
            <w:pPr>
              <w:jc w:val="center"/>
            </w:pPr>
            <w:r>
              <w:lastRenderedPageBreak/>
              <w:t>Type et définition</w:t>
            </w:r>
          </w:p>
        </w:tc>
        <w:tc>
          <w:tcPr>
            <w:tcW w:w="3827" w:type="dxa"/>
            <w:shd w:val="clear" w:color="auto" w:fill="AD6469"/>
          </w:tcPr>
          <w:p w14:paraId="39E829FC" w14:textId="77777777" w:rsidR="0056212E" w:rsidRDefault="0056212E" w:rsidP="0056212E">
            <w:pPr>
              <w:jc w:val="center"/>
            </w:pPr>
            <w:r>
              <w:t>Rendement espéré</w:t>
            </w:r>
          </w:p>
        </w:tc>
        <w:tc>
          <w:tcPr>
            <w:tcW w:w="1985" w:type="dxa"/>
            <w:shd w:val="clear" w:color="auto" w:fill="000000" w:themeFill="text1"/>
          </w:tcPr>
          <w:p w14:paraId="1A9F7A4C" w14:textId="77777777" w:rsidR="0056212E" w:rsidRDefault="0056212E" w:rsidP="0056212E">
            <w:pPr>
              <w:jc w:val="center"/>
            </w:pPr>
            <w:r>
              <w:t>Liquidité</w:t>
            </w:r>
          </w:p>
        </w:tc>
        <w:tc>
          <w:tcPr>
            <w:tcW w:w="3827" w:type="dxa"/>
            <w:shd w:val="clear" w:color="auto" w:fill="A09B55"/>
          </w:tcPr>
          <w:p w14:paraId="73236F9A" w14:textId="77777777" w:rsidR="0056212E" w:rsidRDefault="0056212E" w:rsidP="0056212E">
            <w:pPr>
              <w:jc w:val="center"/>
            </w:pPr>
            <w:r>
              <w:t>Risque</w:t>
            </w:r>
          </w:p>
        </w:tc>
      </w:tr>
    </w:tbl>
    <w:p w14:paraId="3BDEE066" w14:textId="77777777" w:rsidR="0056212E" w:rsidRDefault="0056212E" w:rsidP="006C34CF">
      <w:pPr>
        <w:pStyle w:val="Titre4"/>
        <w:numPr>
          <w:ilvl w:val="3"/>
          <w:numId w:val="123"/>
        </w:numPr>
      </w:pPr>
      <w:bookmarkStart w:id="187" w:name="_Toc314397900"/>
      <w:bookmarkStart w:id="188" w:name="_Toc443569444"/>
      <w:r>
        <w:t>Les fonds communs de placements</w:t>
      </w:r>
      <w:bookmarkEnd w:id="187"/>
      <w:bookmarkEnd w:id="188"/>
    </w:p>
    <w:p w14:paraId="757BA906" w14:textId="77777777" w:rsidR="0056212E" w:rsidRDefault="0056212E"/>
    <w:p w14:paraId="2422DEDE" w14:textId="2D4743D4" w:rsidR="0056212E" w:rsidRDefault="0056212E">
      <w:r>
        <w:rPr>
          <w:noProof/>
          <w:lang w:eastAsia="fr-FR"/>
        </w:rPr>
        <w:drawing>
          <wp:anchor distT="0" distB="0" distL="114300" distR="114300" simplePos="0" relativeHeight="253228032" behindDoc="0" locked="0" layoutInCell="1" allowOverlap="1" wp14:anchorId="0F1A0070" wp14:editId="695C217B">
            <wp:simplePos x="0" y="0"/>
            <wp:positionH relativeFrom="column">
              <wp:posOffset>-685800</wp:posOffset>
            </wp:positionH>
            <wp:positionV relativeFrom="paragraph">
              <wp:posOffset>311785</wp:posOffset>
            </wp:positionV>
            <wp:extent cx="9492615" cy="2400300"/>
            <wp:effectExtent l="0" t="0" r="6985" b="12700"/>
            <wp:wrapNone/>
            <wp:docPr id="845" name="Image 845" descr="Macintosh HD:Users:marcbachand:Desktop:Capture d’écran 2015-12-21 à 10.3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Capture d’écran 2015-12-21 à 10.32.29.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9492615" cy="2400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66ACE15" w14:textId="4498E01C" w:rsidR="0056212E" w:rsidRDefault="0056212E">
      <w:r>
        <w:rPr>
          <w:noProof/>
          <w:lang w:eastAsia="fr-FR"/>
        </w:rPr>
        <w:drawing>
          <wp:anchor distT="0" distB="0" distL="114300" distR="114300" simplePos="0" relativeHeight="253230080" behindDoc="0" locked="0" layoutInCell="1" allowOverlap="1" wp14:anchorId="28B1850D" wp14:editId="79CC55B9">
            <wp:simplePos x="0" y="0"/>
            <wp:positionH relativeFrom="column">
              <wp:posOffset>-685800</wp:posOffset>
            </wp:positionH>
            <wp:positionV relativeFrom="paragraph">
              <wp:posOffset>2242185</wp:posOffset>
            </wp:positionV>
            <wp:extent cx="9486900" cy="685800"/>
            <wp:effectExtent l="0" t="0" r="12700" b="0"/>
            <wp:wrapNone/>
            <wp:docPr id="848" name="Image 848" descr="Macintosh HD:Users:marcbachand:Desktop:Capture d’écran 2015-12-21 à 10.3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cbachand:Desktop:Capture d’écran 2015-12-21 à 10.32.54.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4869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br w:type="page"/>
      </w:r>
    </w:p>
    <w:p w14:paraId="495019D1" w14:textId="170BAFFA" w:rsidR="007934E2" w:rsidRDefault="007934E2" w:rsidP="006C34CF">
      <w:pPr>
        <w:pStyle w:val="Titre4"/>
        <w:numPr>
          <w:ilvl w:val="3"/>
          <w:numId w:val="123"/>
        </w:numPr>
      </w:pPr>
      <w:bookmarkStart w:id="189" w:name="_Toc314397901"/>
      <w:bookmarkStart w:id="190" w:name="_Toc443569445"/>
      <w:r>
        <w:lastRenderedPageBreak/>
        <w:t>Les produits dérivés et alternatifs</w:t>
      </w:r>
      <w:bookmarkEnd w:id="189"/>
      <w:bookmarkEnd w:id="190"/>
    </w:p>
    <w:p w14:paraId="7748158E" w14:textId="77777777" w:rsidR="000A25D9" w:rsidRDefault="000A25D9"/>
    <w:tbl>
      <w:tblPr>
        <w:tblStyle w:val="Grille"/>
        <w:tblpPr w:leftFromText="141" w:rightFromText="141" w:vertAnchor="page" w:horzAnchor="page" w:tblpX="626" w:tblpY="2138"/>
        <w:tblW w:w="14885" w:type="dxa"/>
        <w:tblLook w:val="04A0" w:firstRow="1" w:lastRow="0" w:firstColumn="1" w:lastColumn="0" w:noHBand="0" w:noVBand="1"/>
      </w:tblPr>
      <w:tblGrid>
        <w:gridCol w:w="5246"/>
        <w:gridCol w:w="3827"/>
        <w:gridCol w:w="1985"/>
        <w:gridCol w:w="3827"/>
      </w:tblGrid>
      <w:tr w:rsidR="000A25D9" w14:paraId="617EBFF8" w14:textId="77777777" w:rsidTr="001E5467">
        <w:tc>
          <w:tcPr>
            <w:tcW w:w="5246" w:type="dxa"/>
            <w:shd w:val="clear" w:color="auto" w:fill="94AD9C"/>
          </w:tcPr>
          <w:p w14:paraId="236FD41C" w14:textId="77777777" w:rsidR="000A25D9" w:rsidRDefault="000A25D9" w:rsidP="00653B65">
            <w:pPr>
              <w:jc w:val="center"/>
            </w:pPr>
            <w:r>
              <w:t>Type et définition</w:t>
            </w:r>
          </w:p>
        </w:tc>
        <w:tc>
          <w:tcPr>
            <w:tcW w:w="3827" w:type="dxa"/>
            <w:shd w:val="clear" w:color="auto" w:fill="AD6469"/>
          </w:tcPr>
          <w:p w14:paraId="142902D4" w14:textId="77777777" w:rsidR="000A25D9" w:rsidRDefault="000A25D9" w:rsidP="00653B65">
            <w:pPr>
              <w:jc w:val="center"/>
            </w:pPr>
            <w:r>
              <w:t>Rendement espéré</w:t>
            </w:r>
          </w:p>
        </w:tc>
        <w:tc>
          <w:tcPr>
            <w:tcW w:w="1985" w:type="dxa"/>
            <w:shd w:val="clear" w:color="auto" w:fill="000000" w:themeFill="text1"/>
          </w:tcPr>
          <w:p w14:paraId="045E2B87" w14:textId="77777777" w:rsidR="000A25D9" w:rsidRDefault="000A25D9" w:rsidP="00653B65">
            <w:pPr>
              <w:jc w:val="center"/>
            </w:pPr>
            <w:r>
              <w:t>Liquidité</w:t>
            </w:r>
          </w:p>
        </w:tc>
        <w:tc>
          <w:tcPr>
            <w:tcW w:w="3827" w:type="dxa"/>
            <w:shd w:val="clear" w:color="auto" w:fill="A09B55"/>
          </w:tcPr>
          <w:p w14:paraId="2BB88979" w14:textId="77777777" w:rsidR="000A25D9" w:rsidRDefault="000A25D9" w:rsidP="00653B65">
            <w:pPr>
              <w:jc w:val="center"/>
            </w:pPr>
            <w:r>
              <w:t>Risque</w:t>
            </w:r>
          </w:p>
        </w:tc>
      </w:tr>
    </w:tbl>
    <w:p w14:paraId="2477D4E7" w14:textId="3D539354" w:rsidR="002450B6" w:rsidRDefault="000A25D9">
      <w:r>
        <w:rPr>
          <w:noProof/>
          <w:lang w:eastAsia="fr-FR"/>
        </w:rPr>
        <w:drawing>
          <wp:anchor distT="0" distB="0" distL="114300" distR="114300" simplePos="0" relativeHeight="253222912" behindDoc="0" locked="0" layoutInCell="1" allowOverlap="1" wp14:anchorId="38139FB5" wp14:editId="039A17A1">
            <wp:simplePos x="0" y="0"/>
            <wp:positionH relativeFrom="column">
              <wp:posOffset>-571500</wp:posOffset>
            </wp:positionH>
            <wp:positionV relativeFrom="paragraph">
              <wp:posOffset>311786</wp:posOffset>
            </wp:positionV>
            <wp:extent cx="9483725" cy="3886200"/>
            <wp:effectExtent l="0" t="0" r="0" b="0"/>
            <wp:wrapNone/>
            <wp:docPr id="844" name="Image 844" descr="Macintosh HD:Users:marcbachand:Desktop:Capture d’écran 2015-12-21 à 10.0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12-21 à 10.03.55.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9487386" cy="3887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450B6">
        <w:br w:type="page"/>
      </w:r>
    </w:p>
    <w:tbl>
      <w:tblPr>
        <w:tblStyle w:val="Grille"/>
        <w:tblpPr w:leftFromText="141" w:rightFromText="141" w:vertAnchor="page" w:horzAnchor="page" w:tblpX="626" w:tblpY="1958"/>
        <w:tblW w:w="14885" w:type="dxa"/>
        <w:tblLook w:val="04A0" w:firstRow="1" w:lastRow="0" w:firstColumn="1" w:lastColumn="0" w:noHBand="0" w:noVBand="1"/>
      </w:tblPr>
      <w:tblGrid>
        <w:gridCol w:w="5246"/>
        <w:gridCol w:w="3827"/>
        <w:gridCol w:w="1985"/>
        <w:gridCol w:w="3827"/>
      </w:tblGrid>
      <w:tr w:rsidR="000C1648" w14:paraId="490E3D17" w14:textId="77777777" w:rsidTr="000C1648">
        <w:tc>
          <w:tcPr>
            <w:tcW w:w="5246" w:type="dxa"/>
            <w:shd w:val="clear" w:color="auto" w:fill="94AD9C"/>
          </w:tcPr>
          <w:p w14:paraId="4E47916F" w14:textId="77777777" w:rsidR="000C1648" w:rsidRDefault="000C1648" w:rsidP="000C1648">
            <w:pPr>
              <w:jc w:val="center"/>
            </w:pPr>
            <w:r>
              <w:lastRenderedPageBreak/>
              <w:t>Type et définition</w:t>
            </w:r>
          </w:p>
        </w:tc>
        <w:tc>
          <w:tcPr>
            <w:tcW w:w="3827" w:type="dxa"/>
            <w:shd w:val="clear" w:color="auto" w:fill="AD6469"/>
          </w:tcPr>
          <w:p w14:paraId="2AA3306F" w14:textId="77777777" w:rsidR="000C1648" w:rsidRDefault="000C1648" w:rsidP="000C1648">
            <w:pPr>
              <w:jc w:val="center"/>
            </w:pPr>
            <w:r>
              <w:t>Rendement espéré</w:t>
            </w:r>
          </w:p>
        </w:tc>
        <w:tc>
          <w:tcPr>
            <w:tcW w:w="1985" w:type="dxa"/>
            <w:shd w:val="clear" w:color="auto" w:fill="000000" w:themeFill="text1"/>
          </w:tcPr>
          <w:p w14:paraId="5185D562" w14:textId="77777777" w:rsidR="000C1648" w:rsidRDefault="000C1648" w:rsidP="000C1648">
            <w:pPr>
              <w:jc w:val="center"/>
            </w:pPr>
            <w:r>
              <w:t>Liquidité</w:t>
            </w:r>
          </w:p>
        </w:tc>
        <w:tc>
          <w:tcPr>
            <w:tcW w:w="3827" w:type="dxa"/>
            <w:shd w:val="clear" w:color="auto" w:fill="A09B55"/>
          </w:tcPr>
          <w:p w14:paraId="1658003F" w14:textId="77777777" w:rsidR="000C1648" w:rsidRDefault="000C1648" w:rsidP="000C1648">
            <w:pPr>
              <w:jc w:val="center"/>
            </w:pPr>
            <w:r>
              <w:t>Risque</w:t>
            </w:r>
          </w:p>
        </w:tc>
      </w:tr>
    </w:tbl>
    <w:p w14:paraId="2BBC52AF" w14:textId="0F6D59A2" w:rsidR="000F04DC" w:rsidRDefault="000F04DC">
      <w:pPr>
        <w:rPr>
          <w:rFonts w:asciiTheme="majorHAnsi" w:eastAsiaTheme="majorEastAsia" w:hAnsiTheme="majorHAnsi" w:cstheme="majorBidi"/>
          <w:b/>
          <w:bCs/>
          <w:i/>
          <w:iCs/>
          <w:color w:val="94C600" w:themeColor="accent1"/>
        </w:rPr>
      </w:pPr>
    </w:p>
    <w:p w14:paraId="4524D79E" w14:textId="1DB35459" w:rsidR="00C11C53" w:rsidRDefault="000C1648">
      <w:pPr>
        <w:rPr>
          <w:rFonts w:asciiTheme="majorHAnsi" w:eastAsiaTheme="majorEastAsia" w:hAnsiTheme="majorHAnsi" w:cstheme="majorBidi"/>
          <w:b/>
          <w:bCs/>
          <w:i/>
          <w:iCs/>
          <w:color w:val="94C600" w:themeColor="accent1"/>
        </w:rPr>
      </w:pPr>
      <w:r>
        <w:rPr>
          <w:rFonts w:asciiTheme="majorHAnsi" w:eastAsiaTheme="majorEastAsia" w:hAnsiTheme="majorHAnsi" w:cstheme="majorBidi"/>
          <w:b/>
          <w:bCs/>
          <w:i/>
          <w:iCs/>
          <w:noProof/>
          <w:color w:val="94C600" w:themeColor="accent1"/>
          <w:lang w:eastAsia="fr-FR"/>
        </w:rPr>
        <w:drawing>
          <wp:anchor distT="0" distB="0" distL="114300" distR="114300" simplePos="0" relativeHeight="253233152" behindDoc="0" locked="0" layoutInCell="1" allowOverlap="1" wp14:anchorId="113E72E3" wp14:editId="03B7A2B7">
            <wp:simplePos x="0" y="0"/>
            <wp:positionH relativeFrom="column">
              <wp:posOffset>-571500</wp:posOffset>
            </wp:positionH>
            <wp:positionV relativeFrom="paragraph">
              <wp:posOffset>384810</wp:posOffset>
            </wp:positionV>
            <wp:extent cx="9486900" cy="800100"/>
            <wp:effectExtent l="0" t="0" r="12700" b="12700"/>
            <wp:wrapNone/>
            <wp:docPr id="855" name="Image 855" descr="Macintosh HD:Users:marcbachand:Desktop:Capture d’écran 2015-12-21 à 11.1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rcbachand:Desktop:Capture d’écran 2015-12-21 à 11.12.29.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486900" cy="800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170AED4" w14:textId="0B06C4AA" w:rsidR="00C11C53" w:rsidRDefault="00C11C53">
      <w:pPr>
        <w:rPr>
          <w:rFonts w:asciiTheme="majorHAnsi" w:eastAsiaTheme="majorEastAsia" w:hAnsiTheme="majorHAnsi" w:cstheme="majorBidi"/>
          <w:b/>
          <w:bCs/>
          <w:i/>
          <w:iCs/>
          <w:color w:val="94C600" w:themeColor="accent1"/>
        </w:rPr>
      </w:pPr>
    </w:p>
    <w:p w14:paraId="4AEFBA1B" w14:textId="6110E5D6" w:rsidR="00C11C53" w:rsidRDefault="00C11C53">
      <w:pPr>
        <w:rPr>
          <w:rFonts w:asciiTheme="majorHAnsi" w:eastAsiaTheme="majorEastAsia" w:hAnsiTheme="majorHAnsi" w:cstheme="majorBidi"/>
          <w:b/>
          <w:bCs/>
          <w:i/>
          <w:iCs/>
          <w:color w:val="94C600" w:themeColor="accent1"/>
        </w:rPr>
      </w:pPr>
    </w:p>
    <w:p w14:paraId="69C37566" w14:textId="70D7CA09" w:rsidR="00C11C53" w:rsidRDefault="00C11C53">
      <w:pPr>
        <w:rPr>
          <w:rFonts w:asciiTheme="majorHAnsi" w:eastAsiaTheme="majorEastAsia" w:hAnsiTheme="majorHAnsi" w:cstheme="majorBidi"/>
          <w:b/>
          <w:bCs/>
          <w:i/>
          <w:iCs/>
          <w:color w:val="94C600" w:themeColor="accent1"/>
        </w:rPr>
      </w:pPr>
    </w:p>
    <w:p w14:paraId="0A7BB0DC" w14:textId="15F56D6D" w:rsidR="00C11C53" w:rsidRDefault="000C1648">
      <w:pPr>
        <w:rPr>
          <w:rFonts w:asciiTheme="majorHAnsi" w:eastAsiaTheme="majorEastAsia" w:hAnsiTheme="majorHAnsi" w:cstheme="majorBidi"/>
          <w:b/>
          <w:bCs/>
          <w:i/>
          <w:iCs/>
          <w:color w:val="94C600" w:themeColor="accent1"/>
        </w:rPr>
      </w:pPr>
      <w:r>
        <w:rPr>
          <w:rFonts w:asciiTheme="majorHAnsi" w:eastAsiaTheme="majorEastAsia" w:hAnsiTheme="majorHAnsi" w:cstheme="majorBidi"/>
          <w:b/>
          <w:bCs/>
          <w:i/>
          <w:iCs/>
          <w:noProof/>
          <w:color w:val="94C600" w:themeColor="accent1"/>
          <w:lang w:eastAsia="fr-FR"/>
        </w:rPr>
        <w:drawing>
          <wp:anchor distT="0" distB="0" distL="114300" distR="114300" simplePos="0" relativeHeight="253234176" behindDoc="0" locked="0" layoutInCell="1" allowOverlap="1" wp14:anchorId="12EC714E" wp14:editId="0373B5C9">
            <wp:simplePos x="0" y="0"/>
            <wp:positionH relativeFrom="column">
              <wp:posOffset>-571500</wp:posOffset>
            </wp:positionH>
            <wp:positionV relativeFrom="paragraph">
              <wp:posOffset>81915</wp:posOffset>
            </wp:positionV>
            <wp:extent cx="9486900" cy="1371600"/>
            <wp:effectExtent l="0" t="0" r="12700" b="0"/>
            <wp:wrapNone/>
            <wp:docPr id="856" name="Image 856" descr="Macintosh HD:Users:marcbachand:Desktop:Capture d’écran 2015-12-21 à 11.1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rcbachand:Desktop:Capture d’écran 2015-12-21 à 11.12.58.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9486900" cy="13716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63CA37D" w14:textId="05E3F9DE" w:rsidR="00C11C53" w:rsidRDefault="00C11C53">
      <w:pPr>
        <w:rPr>
          <w:rFonts w:asciiTheme="majorHAnsi" w:eastAsiaTheme="majorEastAsia" w:hAnsiTheme="majorHAnsi" w:cstheme="majorBidi"/>
          <w:b/>
          <w:bCs/>
          <w:i/>
          <w:iCs/>
          <w:color w:val="94C600" w:themeColor="accent1"/>
        </w:rPr>
      </w:pPr>
    </w:p>
    <w:p w14:paraId="1F58DBC3" w14:textId="77777777" w:rsidR="00C11C53" w:rsidRDefault="00C11C53">
      <w:pPr>
        <w:rPr>
          <w:rFonts w:asciiTheme="majorHAnsi" w:eastAsiaTheme="majorEastAsia" w:hAnsiTheme="majorHAnsi" w:cstheme="majorBidi"/>
          <w:b/>
          <w:bCs/>
          <w:i/>
          <w:iCs/>
          <w:color w:val="94C600" w:themeColor="accent1"/>
        </w:rPr>
      </w:pPr>
    </w:p>
    <w:p w14:paraId="2EF38A27" w14:textId="77777777" w:rsidR="00C11C53" w:rsidRDefault="00C11C53">
      <w:pPr>
        <w:rPr>
          <w:rFonts w:asciiTheme="majorHAnsi" w:eastAsiaTheme="majorEastAsia" w:hAnsiTheme="majorHAnsi" w:cstheme="majorBidi"/>
          <w:b/>
          <w:bCs/>
          <w:i/>
          <w:iCs/>
          <w:color w:val="94C600" w:themeColor="accent1"/>
        </w:rPr>
      </w:pPr>
    </w:p>
    <w:p w14:paraId="5007CA7E" w14:textId="5590B9AF" w:rsidR="00C11C53" w:rsidRDefault="00C11C53">
      <w:pPr>
        <w:rPr>
          <w:rFonts w:asciiTheme="majorHAnsi" w:eastAsiaTheme="majorEastAsia" w:hAnsiTheme="majorHAnsi" w:cstheme="majorBidi"/>
          <w:b/>
          <w:bCs/>
          <w:i/>
          <w:iCs/>
          <w:color w:val="94C600" w:themeColor="accent1"/>
        </w:rPr>
      </w:pPr>
    </w:p>
    <w:p w14:paraId="55F012D2" w14:textId="77777777" w:rsidR="00C11C53" w:rsidRDefault="00C11C53">
      <w:pPr>
        <w:rPr>
          <w:rFonts w:asciiTheme="majorHAnsi" w:eastAsiaTheme="majorEastAsia" w:hAnsiTheme="majorHAnsi" w:cstheme="majorBidi"/>
          <w:b/>
          <w:bCs/>
          <w:i/>
          <w:iCs/>
          <w:color w:val="94C600" w:themeColor="accent1"/>
        </w:rPr>
      </w:pPr>
    </w:p>
    <w:p w14:paraId="760EF454" w14:textId="37B96989" w:rsidR="00C11C53" w:rsidRDefault="00C11C53">
      <w:pPr>
        <w:rPr>
          <w:rFonts w:asciiTheme="majorHAnsi" w:eastAsiaTheme="majorEastAsia" w:hAnsiTheme="majorHAnsi" w:cstheme="majorBidi"/>
          <w:b/>
          <w:bCs/>
          <w:i/>
          <w:iCs/>
          <w:color w:val="94C600" w:themeColor="accent1"/>
        </w:rPr>
      </w:pPr>
    </w:p>
    <w:p w14:paraId="4115A0E1" w14:textId="01E9360B" w:rsidR="00C11C53" w:rsidRDefault="00C11C53">
      <w:pPr>
        <w:rPr>
          <w:rFonts w:asciiTheme="majorHAnsi" w:eastAsiaTheme="majorEastAsia" w:hAnsiTheme="majorHAnsi" w:cstheme="majorBidi"/>
          <w:b/>
          <w:bCs/>
          <w:i/>
          <w:iCs/>
          <w:color w:val="94C600" w:themeColor="accent1"/>
        </w:rPr>
      </w:pPr>
    </w:p>
    <w:p w14:paraId="65493309" w14:textId="77777777" w:rsidR="000C1648" w:rsidRDefault="000C1648">
      <w:pPr>
        <w:rPr>
          <w:rFonts w:asciiTheme="majorHAnsi" w:eastAsiaTheme="majorEastAsia" w:hAnsiTheme="majorHAnsi" w:cstheme="majorBidi"/>
          <w:b/>
          <w:bCs/>
          <w:i/>
          <w:iCs/>
          <w:color w:val="94C600" w:themeColor="accent1"/>
        </w:rPr>
      </w:pPr>
    </w:p>
    <w:p w14:paraId="53BB65FB" w14:textId="77777777" w:rsidR="000C1648" w:rsidRDefault="000C1648">
      <w:pPr>
        <w:rPr>
          <w:rFonts w:asciiTheme="majorHAnsi" w:eastAsiaTheme="majorEastAsia" w:hAnsiTheme="majorHAnsi" w:cstheme="majorBidi"/>
          <w:b/>
          <w:bCs/>
          <w:i/>
          <w:iCs/>
          <w:color w:val="94C600" w:themeColor="accent1"/>
        </w:rPr>
      </w:pPr>
    </w:p>
    <w:p w14:paraId="574440E6" w14:textId="7FB3619A" w:rsidR="000C1648" w:rsidRDefault="00C91B1D">
      <w:pPr>
        <w:rPr>
          <w:rFonts w:asciiTheme="majorHAnsi" w:eastAsiaTheme="majorEastAsia" w:hAnsiTheme="majorHAnsi" w:cstheme="majorBidi"/>
          <w:b/>
          <w:bCs/>
          <w:i/>
          <w:iCs/>
          <w:color w:val="94C600" w:themeColor="accent1"/>
        </w:rPr>
      </w:pPr>
      <w:r>
        <w:rPr>
          <w:noProof/>
          <w:lang w:eastAsia="fr-FR"/>
        </w:rPr>
        <w:drawing>
          <wp:anchor distT="0" distB="0" distL="114300" distR="114300" simplePos="0" relativeHeight="253232128" behindDoc="1" locked="0" layoutInCell="1" allowOverlap="1" wp14:anchorId="61C119E0" wp14:editId="65E1765F">
            <wp:simplePos x="0" y="0"/>
            <wp:positionH relativeFrom="column">
              <wp:posOffset>4572000</wp:posOffset>
            </wp:positionH>
            <wp:positionV relativeFrom="paragraph">
              <wp:posOffset>156210</wp:posOffset>
            </wp:positionV>
            <wp:extent cx="685800" cy="681990"/>
            <wp:effectExtent l="0" t="0" r="0" b="3810"/>
            <wp:wrapNone/>
            <wp:docPr id="854" name="Image 854" descr="Macintosh HD:Users:marcbachand:Desktop:Capture d’écran 2015-06-08 à 17.04.54.png">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07A94EA" w14:textId="50F5C5D5" w:rsidR="000C1648" w:rsidRDefault="000C1648">
      <w:pPr>
        <w:rPr>
          <w:rFonts w:asciiTheme="majorHAnsi" w:eastAsiaTheme="majorEastAsia" w:hAnsiTheme="majorHAnsi" w:cstheme="majorBidi"/>
          <w:b/>
          <w:bCs/>
          <w:i/>
          <w:iCs/>
          <w:color w:val="94C600" w:themeColor="accent1"/>
        </w:rPr>
      </w:pPr>
    </w:p>
    <w:p w14:paraId="4437DB60" w14:textId="77777777" w:rsidR="000C1648" w:rsidRDefault="000C1648">
      <w:pPr>
        <w:rPr>
          <w:rFonts w:asciiTheme="majorHAnsi" w:eastAsiaTheme="majorEastAsia" w:hAnsiTheme="majorHAnsi" w:cstheme="majorBidi"/>
          <w:b/>
          <w:bCs/>
          <w:i/>
          <w:iCs/>
          <w:color w:val="94C600" w:themeColor="accent1"/>
        </w:rPr>
      </w:pPr>
    </w:p>
    <w:p w14:paraId="56A4DBF8" w14:textId="130C325C" w:rsidR="003E59F0" w:rsidRPr="00724CA4" w:rsidRDefault="00573C95">
      <w:pPr>
        <w:rPr>
          <w:rFonts w:asciiTheme="majorHAnsi" w:eastAsiaTheme="majorEastAsia" w:hAnsiTheme="majorHAnsi" w:cstheme="majorBidi"/>
          <w:b/>
          <w:i/>
          <w:color w:val="FF6700" w:themeColor="accent3"/>
        </w:rPr>
      </w:pPr>
      <w:hyperlink r:id="rId183" w:history="1">
        <w:r w:rsidR="00724CA4" w:rsidRPr="00724CA4">
          <w:rPr>
            <w:rStyle w:val="Lienhypertexte"/>
            <w:rFonts w:asciiTheme="majorHAnsi" w:eastAsiaTheme="majorEastAsia" w:hAnsiTheme="majorHAnsi" w:cstheme="majorBidi"/>
            <w:color w:val="FF6700" w:themeColor="accent3"/>
          </w:rPr>
          <w:t>Pour consulter LE PETIT LEXIQUE DES INVESTISSEMENTS de l'AMF</w:t>
        </w:r>
      </w:hyperlink>
      <w:r w:rsidR="00724CA4" w:rsidRPr="00724CA4">
        <w:rPr>
          <w:rFonts w:asciiTheme="majorHAnsi" w:eastAsiaTheme="majorEastAsia" w:hAnsiTheme="majorHAnsi" w:cstheme="majorBidi"/>
          <w:color w:val="FF6700" w:themeColor="accent3"/>
        </w:rPr>
        <w:t xml:space="preserve"> </w:t>
      </w:r>
    </w:p>
    <w:p w14:paraId="0D979D5A" w14:textId="77777777" w:rsidR="003E59F0" w:rsidRDefault="003E59F0">
      <w:pPr>
        <w:rPr>
          <w:rFonts w:asciiTheme="majorHAnsi" w:eastAsiaTheme="majorEastAsia" w:hAnsiTheme="majorHAnsi" w:cstheme="majorBidi"/>
          <w:b/>
          <w:bCs/>
          <w:i/>
          <w:iCs/>
          <w:color w:val="94C600" w:themeColor="accent1"/>
        </w:rPr>
      </w:pPr>
    </w:p>
    <w:p w14:paraId="679B3B7C" w14:textId="77777777" w:rsidR="00D610A7" w:rsidRDefault="00D610A7">
      <w:pPr>
        <w:rPr>
          <w:rFonts w:asciiTheme="majorHAnsi" w:eastAsiaTheme="majorEastAsia" w:hAnsiTheme="majorHAnsi" w:cstheme="majorBidi"/>
          <w:b/>
          <w:bCs/>
          <w:i/>
          <w:iCs/>
          <w:color w:val="94C600" w:themeColor="accent1"/>
        </w:rPr>
      </w:pPr>
    </w:p>
    <w:p w14:paraId="2218D82D" w14:textId="77777777" w:rsidR="000C1648" w:rsidRDefault="000C1648">
      <w:pPr>
        <w:rPr>
          <w:rFonts w:asciiTheme="majorHAnsi" w:eastAsiaTheme="majorEastAsia" w:hAnsiTheme="majorHAnsi" w:cstheme="majorBidi"/>
          <w:b/>
          <w:bCs/>
          <w:i/>
          <w:iCs/>
          <w:color w:val="94C600" w:themeColor="accent1"/>
        </w:rPr>
      </w:pPr>
    </w:p>
    <w:p w14:paraId="2E2A0B65" w14:textId="77777777" w:rsidR="000C1648" w:rsidRDefault="000C1648">
      <w:pPr>
        <w:rPr>
          <w:rFonts w:asciiTheme="majorHAnsi" w:eastAsiaTheme="majorEastAsia" w:hAnsiTheme="majorHAnsi" w:cstheme="majorBidi"/>
          <w:b/>
          <w:bCs/>
          <w:i/>
          <w:iCs/>
          <w:color w:val="94C600" w:themeColor="accent1"/>
        </w:rPr>
      </w:pPr>
    </w:p>
    <w:p w14:paraId="1E03DB63" w14:textId="77777777" w:rsidR="000C1648" w:rsidRDefault="000C1648">
      <w:pPr>
        <w:rPr>
          <w:rFonts w:asciiTheme="majorHAnsi" w:eastAsiaTheme="majorEastAsia" w:hAnsiTheme="majorHAnsi" w:cstheme="majorBidi"/>
          <w:b/>
          <w:bCs/>
          <w:i/>
          <w:iCs/>
          <w:color w:val="94C600" w:themeColor="accent1"/>
        </w:rPr>
      </w:pPr>
    </w:p>
    <w:p w14:paraId="15043990" w14:textId="77777777" w:rsidR="000C1648" w:rsidRDefault="000C1648">
      <w:pPr>
        <w:rPr>
          <w:rFonts w:asciiTheme="majorHAnsi" w:eastAsiaTheme="majorEastAsia" w:hAnsiTheme="majorHAnsi" w:cstheme="majorBidi"/>
          <w:b/>
          <w:bCs/>
          <w:i/>
          <w:iCs/>
          <w:color w:val="94C600" w:themeColor="accent1"/>
        </w:rPr>
      </w:pPr>
    </w:p>
    <w:p w14:paraId="5E20FF8F" w14:textId="77777777" w:rsidR="000C1648" w:rsidRDefault="000C1648">
      <w:pPr>
        <w:rPr>
          <w:rFonts w:asciiTheme="majorHAnsi" w:eastAsiaTheme="majorEastAsia" w:hAnsiTheme="majorHAnsi" w:cstheme="majorBidi"/>
          <w:b/>
          <w:bCs/>
          <w:i/>
          <w:iCs/>
          <w:color w:val="94C600" w:themeColor="accent1"/>
        </w:rPr>
      </w:pPr>
    </w:p>
    <w:p w14:paraId="32F8FE45" w14:textId="77777777" w:rsidR="000C1648" w:rsidRDefault="000C1648">
      <w:pPr>
        <w:rPr>
          <w:rFonts w:asciiTheme="majorHAnsi" w:eastAsiaTheme="majorEastAsia" w:hAnsiTheme="majorHAnsi" w:cstheme="majorBidi"/>
          <w:b/>
          <w:bCs/>
          <w:i/>
          <w:iCs/>
          <w:color w:val="94C600" w:themeColor="accent1"/>
        </w:rPr>
      </w:pPr>
    </w:p>
    <w:p w14:paraId="153F776F" w14:textId="77777777" w:rsidR="000C1648" w:rsidRDefault="000C1648">
      <w:pPr>
        <w:rPr>
          <w:rFonts w:asciiTheme="majorHAnsi" w:eastAsiaTheme="majorEastAsia" w:hAnsiTheme="majorHAnsi" w:cstheme="majorBidi"/>
          <w:b/>
          <w:bCs/>
          <w:i/>
          <w:iCs/>
          <w:color w:val="94C600" w:themeColor="accent1"/>
        </w:rPr>
      </w:pPr>
    </w:p>
    <w:p w14:paraId="3ED5930C" w14:textId="77777777" w:rsidR="000C1648" w:rsidRDefault="000C1648">
      <w:pPr>
        <w:rPr>
          <w:rFonts w:asciiTheme="majorHAnsi" w:eastAsiaTheme="majorEastAsia" w:hAnsiTheme="majorHAnsi" w:cstheme="majorBidi"/>
          <w:b/>
          <w:bCs/>
          <w:i/>
          <w:iCs/>
          <w:color w:val="94C600" w:themeColor="accent1"/>
        </w:rPr>
      </w:pPr>
    </w:p>
    <w:p w14:paraId="22771644" w14:textId="77777777" w:rsidR="000C1648" w:rsidRDefault="000C1648">
      <w:pPr>
        <w:rPr>
          <w:rFonts w:asciiTheme="majorHAnsi" w:eastAsiaTheme="majorEastAsia" w:hAnsiTheme="majorHAnsi" w:cstheme="majorBidi"/>
          <w:b/>
          <w:bCs/>
          <w:i/>
          <w:iCs/>
          <w:color w:val="94C600" w:themeColor="accent1"/>
        </w:rPr>
      </w:pPr>
    </w:p>
    <w:p w14:paraId="74DE8FA9" w14:textId="2715ABE2" w:rsidR="00B059A5" w:rsidRDefault="00B059A5" w:rsidP="006C34CF">
      <w:pPr>
        <w:pStyle w:val="Titre3"/>
        <w:numPr>
          <w:ilvl w:val="2"/>
          <w:numId w:val="130"/>
        </w:numPr>
      </w:pPr>
      <w:bookmarkStart w:id="191" w:name="_Toc314397902"/>
      <w:bookmarkStart w:id="192" w:name="_Toc443569446"/>
      <w:r>
        <w:lastRenderedPageBreak/>
        <w:t>Le coût et les frais de gestion</w:t>
      </w:r>
      <w:bookmarkEnd w:id="191"/>
      <w:bookmarkEnd w:id="192"/>
    </w:p>
    <w:p w14:paraId="4779ACA3" w14:textId="5A93AB9C" w:rsidR="00133DB3" w:rsidRDefault="00133DB3" w:rsidP="00565342"/>
    <w:p w14:paraId="6B0EAE08" w14:textId="2DE7DC6D" w:rsidR="00E16826" w:rsidRDefault="006D4046" w:rsidP="00464AE0">
      <w:pPr>
        <w:jc w:val="both"/>
      </w:pPr>
      <w:r>
        <w:t xml:space="preserve">L'un des aspects sous-estimé ou tout simplement oublié </w:t>
      </w:r>
      <w:r w:rsidR="00464AE0">
        <w:t xml:space="preserve">lorsque l'on discute de placements </w:t>
      </w:r>
      <w:r>
        <w:t>est l'étude et l'intégration de la notion du coût et de</w:t>
      </w:r>
      <w:r w:rsidR="00346BAE">
        <w:t>s</w:t>
      </w:r>
      <w:r>
        <w:t xml:space="preserve"> frais qui sont en</w:t>
      </w:r>
      <w:r w:rsidR="004E20DA">
        <w:t>gagés</w:t>
      </w:r>
      <w:r>
        <w:t xml:space="preserve"> </w:t>
      </w:r>
      <w:r w:rsidR="00346BAE">
        <w:t>à même le</w:t>
      </w:r>
      <w:r>
        <w:t xml:space="preserve"> parcours de l'investisseur. </w:t>
      </w:r>
      <w:r w:rsidR="00464AE0">
        <w:t>Les frais de transactions et de gestion qui sont exigés par le conseiller financier sont souvent des variables inconnues des investisseurs. Le résultat est encore plus béant lorsqu'il est question d'y inclure les frais du gestionnaire d'un fonds commun de placements.</w:t>
      </w:r>
      <w:r w:rsidR="00346BAE">
        <w:t xml:space="preserve"> Les gens les ignorent!</w:t>
      </w:r>
      <w:r w:rsidR="00464AE0">
        <w:t xml:space="preserve"> Pourtant, chacun des ces frais réduisent </w:t>
      </w:r>
      <w:r w:rsidR="00346BAE">
        <w:t>les</w:t>
      </w:r>
      <w:r w:rsidR="00464AE0">
        <w:t xml:space="preserve"> rendements</w:t>
      </w:r>
      <w:r w:rsidR="005C1BF6">
        <w:t xml:space="preserve"> </w:t>
      </w:r>
      <w:r w:rsidR="00464AE0">
        <w:t>(</w:t>
      </w:r>
      <w:r w:rsidR="005C1BF6">
        <w:t>peu importe l</w:t>
      </w:r>
      <w:r w:rsidR="00B205E9">
        <w:t>e niveau de</w:t>
      </w:r>
      <w:r w:rsidR="005C1BF6">
        <w:t xml:space="preserve"> performance d</w:t>
      </w:r>
      <w:r w:rsidR="00346BAE">
        <w:t>u</w:t>
      </w:r>
      <w:r w:rsidR="005C1BF6">
        <w:t xml:space="preserve"> placement)</w:t>
      </w:r>
      <w:r w:rsidR="00346BAE">
        <w:t>.</w:t>
      </w:r>
      <w:r w:rsidR="001B6EED">
        <w:t xml:space="preserve"> Il est alors important de s'assurer que les frais financiers sont</w:t>
      </w:r>
      <w:r w:rsidR="00EC3F16">
        <w:t xml:space="preserve"> raisonnables lorsqu'ils sont comparés à ce que les compétiteurs exigent, que la forme de facturation est avantageuse (honoraire</w:t>
      </w:r>
      <w:r w:rsidR="00B205E9">
        <w:t>s</w:t>
      </w:r>
      <w:r w:rsidR="00EC3F16">
        <w:t xml:space="preserve"> fixe</w:t>
      </w:r>
      <w:r w:rsidR="00B205E9">
        <w:t>s</w:t>
      </w:r>
      <w:r w:rsidR="00EC3F16">
        <w:t>, honoraire</w:t>
      </w:r>
      <w:r w:rsidR="00B205E9">
        <w:t>s</w:t>
      </w:r>
      <w:r w:rsidR="00EC3F16">
        <w:t xml:space="preserve"> selon un </w:t>
      </w:r>
      <w:r w:rsidR="00B205E9">
        <w:t xml:space="preserve">pourcentage </w:t>
      </w:r>
      <w:r w:rsidR="00EC3F16">
        <w:t>des actifs</w:t>
      </w:r>
      <w:r w:rsidR="00B205E9">
        <w:t xml:space="preserve"> sous gestion</w:t>
      </w:r>
      <w:r w:rsidR="00EC3F16">
        <w:t>, honoraire</w:t>
      </w:r>
      <w:r w:rsidR="00B205E9">
        <w:t>s</w:t>
      </w:r>
      <w:r w:rsidR="00EC3F16">
        <w:t xml:space="preserve"> selon le nombre de transactions) et que les honoraires exigés correspondent au niveau d'expertise nécessaire à la bonne gestion des placements en cause (s'agit-il d'un marché obligataire ou </w:t>
      </w:r>
      <w:r w:rsidR="00B205E9">
        <w:t>un portefeuille d'actions diversifiés</w:t>
      </w:r>
      <w:r w:rsidR="00B205E9" w:rsidRPr="00B205E9">
        <w:rPr>
          <w:rFonts w:ascii="Avenir Book" w:hAnsi="Avenir Book"/>
        </w:rPr>
        <w:t>?</w:t>
      </w:r>
      <w:r w:rsidR="00B205E9">
        <w:t xml:space="preserve">). </w:t>
      </w:r>
      <w:r w:rsidR="004D49A6">
        <w:t>À titre d'exemple, l'ensemble des coûts qui serait relié à la gestion d'un fonds commun de placements en obligations d'épargne pourrait être prohibitif lorsque l'on évalue la valeur ajoutée</w:t>
      </w:r>
      <w:r w:rsidR="00237FED">
        <w:t xml:space="preserve"> (gestion du risque et rendement espéré)</w:t>
      </w:r>
      <w:r w:rsidR="004D49A6">
        <w:t xml:space="preserve"> associée à la gestion d'un tel placement.</w:t>
      </w:r>
      <w:r w:rsidR="00346BAE">
        <w:t xml:space="preserve"> </w:t>
      </w:r>
    </w:p>
    <w:p w14:paraId="33000050" w14:textId="77777777" w:rsidR="000C1648" w:rsidRDefault="000C1648" w:rsidP="00464AE0">
      <w:pPr>
        <w:jc w:val="both"/>
      </w:pPr>
    </w:p>
    <w:p w14:paraId="45C6135A" w14:textId="0B48A782" w:rsidR="00565342" w:rsidRDefault="00FB5E1C" w:rsidP="006C34CF">
      <w:pPr>
        <w:pStyle w:val="Titre2"/>
        <w:numPr>
          <w:ilvl w:val="1"/>
          <w:numId w:val="117"/>
        </w:numPr>
      </w:pPr>
      <w:bookmarkStart w:id="193" w:name="_Toc314397903"/>
      <w:bookmarkStart w:id="194" w:name="_Toc443569447"/>
      <w:r>
        <w:t>Réflexions, h</w:t>
      </w:r>
      <w:r w:rsidR="00565342">
        <w:t>istorique</w:t>
      </w:r>
      <w:r>
        <w:t xml:space="preserve"> et</w:t>
      </w:r>
      <w:r w:rsidR="00565342">
        <w:t xml:space="preserve"> stratégies</w:t>
      </w:r>
      <w:bookmarkEnd w:id="193"/>
      <w:bookmarkEnd w:id="194"/>
    </w:p>
    <w:p w14:paraId="3E3A1356" w14:textId="77777777" w:rsidR="00565342" w:rsidRDefault="00565342" w:rsidP="00565342"/>
    <w:p w14:paraId="0E6B497F" w14:textId="7A716F59" w:rsidR="00931A90" w:rsidRDefault="00D71D90" w:rsidP="00D71D90">
      <w:pPr>
        <w:jc w:val="both"/>
      </w:pPr>
      <w:r>
        <w:t>Lorsque l'on y réfléchit bien l'appréciation de l'argent est un phénomène qui est tout</w:t>
      </w:r>
      <w:r w:rsidR="006848E5">
        <w:t>,</w:t>
      </w:r>
      <w:r>
        <w:t xml:space="preserve"> sauf naturel. Elle prend source dans la rareté, l'offre en biens essentiels et superflus, la demande pour ces mêmes biens et la capacité à </w:t>
      </w:r>
      <w:r w:rsidR="00987DA4">
        <w:t xml:space="preserve">les </w:t>
      </w:r>
      <w:r>
        <w:t>produire</w:t>
      </w:r>
      <w:r w:rsidR="00987DA4">
        <w:t xml:space="preserve"> </w:t>
      </w:r>
      <w:r>
        <w:t>par l'apport d</w:t>
      </w:r>
      <w:r w:rsidR="00987DA4">
        <w:t>e</w:t>
      </w:r>
      <w:r>
        <w:t xml:space="preserve"> capital humain, matériel et financier. La fluctuation</w:t>
      </w:r>
      <w:r w:rsidR="00B917E3">
        <w:t xml:space="preserve"> organisée</w:t>
      </w:r>
      <w:r>
        <w:t xml:space="preserve"> de l'argent est un petit miracle issu d'un système mercantile et capitaliste</w:t>
      </w:r>
      <w:r w:rsidR="00B917E3">
        <w:t xml:space="preserve"> qui est relativement nouveau dans l'histoire humaine</w:t>
      </w:r>
      <w:r>
        <w:t>.</w:t>
      </w:r>
      <w:r w:rsidR="00B917E3">
        <w:t xml:space="preserve"> En retirant nos oeillères, il est impossible de ne pas percevoir que cette société de valorisation financière, de marché et de consommation mène une existence où le progrès </w:t>
      </w:r>
      <w:r w:rsidR="006848E5">
        <w:t>côtoie les inégalités et l'appauvrissement de notre environnement. Par cette mise en contexte</w:t>
      </w:r>
      <w:r w:rsidR="00DC279B">
        <w:t>,</w:t>
      </w:r>
      <w:r w:rsidR="006848E5">
        <w:t xml:space="preserve"> nous souhaitons illustrer la fragilité de l'équilibre qui existe entre tous </w:t>
      </w:r>
      <w:r w:rsidR="00987DA4">
        <w:t>ces</w:t>
      </w:r>
      <w:r w:rsidR="006848E5">
        <w:t xml:space="preserve"> facteurs et ainsi </w:t>
      </w:r>
      <w:r w:rsidR="00DC279B">
        <w:t xml:space="preserve">faire valoir l'importance de s'appuyer sur </w:t>
      </w:r>
      <w:r w:rsidR="006848E5">
        <w:t xml:space="preserve">une étude des placements qui vise à reconnaître une valorisation </w:t>
      </w:r>
      <w:r w:rsidR="00DC279B">
        <w:t xml:space="preserve">soutenue par </w:t>
      </w:r>
      <w:r w:rsidR="00987DA4">
        <w:t xml:space="preserve">une véritable création de biens et </w:t>
      </w:r>
      <w:r w:rsidR="00DC279B">
        <w:t xml:space="preserve">de </w:t>
      </w:r>
      <w:r w:rsidR="00987DA4">
        <w:t xml:space="preserve">services </w:t>
      </w:r>
      <w:r w:rsidR="006848E5">
        <w:t>qui se bâti</w:t>
      </w:r>
      <w:r w:rsidR="00987DA4">
        <w:t>t</w:t>
      </w:r>
      <w:r w:rsidR="006848E5">
        <w:t xml:space="preserve"> à long terme</w:t>
      </w:r>
      <w:r w:rsidR="00987DA4">
        <w:t xml:space="preserve">. Par opposition, nous omettrons l'étude des phénomènes et des stratégies qui visent le gain rapide </w:t>
      </w:r>
      <w:r w:rsidR="006848E5">
        <w:t>spéculatif</w:t>
      </w:r>
      <w:r w:rsidR="00987DA4">
        <w:t xml:space="preserve"> et l'artifice des règles qui en découlent.</w:t>
      </w:r>
      <w:r w:rsidR="006848E5">
        <w:t xml:space="preserve">     </w:t>
      </w:r>
      <w:r w:rsidR="00B917E3">
        <w:t xml:space="preserve">  </w:t>
      </w:r>
      <w:r>
        <w:t xml:space="preserve">  </w:t>
      </w:r>
    </w:p>
    <w:p w14:paraId="3D57AD62" w14:textId="3A84D869" w:rsidR="000C1648" w:rsidRDefault="000C1648">
      <w:r>
        <w:br w:type="page"/>
      </w:r>
    </w:p>
    <w:p w14:paraId="156EF556" w14:textId="4BD7736A" w:rsidR="00663532" w:rsidRDefault="00663532" w:rsidP="00D71D90">
      <w:pPr>
        <w:jc w:val="both"/>
      </w:pPr>
    </w:p>
    <w:p w14:paraId="44EF3D3E" w14:textId="629954A1" w:rsidR="00931A90" w:rsidRDefault="00931A90" w:rsidP="006C34CF">
      <w:pPr>
        <w:pStyle w:val="Titre3"/>
        <w:numPr>
          <w:ilvl w:val="2"/>
          <w:numId w:val="125"/>
        </w:numPr>
      </w:pPr>
      <w:bookmarkStart w:id="195" w:name="_Toc314397904"/>
      <w:bookmarkStart w:id="196" w:name="_Toc443569448"/>
      <w:r>
        <w:t>Une approche réfléchie et à long terme</w:t>
      </w:r>
      <w:bookmarkEnd w:id="195"/>
      <w:bookmarkEnd w:id="196"/>
    </w:p>
    <w:p w14:paraId="058D3441" w14:textId="72983D23" w:rsidR="00931A90" w:rsidRDefault="00931A90" w:rsidP="00931A90"/>
    <w:p w14:paraId="081E3558" w14:textId="263C258E" w:rsidR="00FA5420" w:rsidRDefault="00657811" w:rsidP="00FB5E1C">
      <w:r>
        <w:rPr>
          <w:noProof/>
          <w:lang w:eastAsia="fr-FR"/>
        </w:rPr>
        <mc:AlternateContent>
          <mc:Choice Requires="wps">
            <w:drawing>
              <wp:anchor distT="0" distB="0" distL="114300" distR="114300" simplePos="0" relativeHeight="253235200" behindDoc="0" locked="0" layoutInCell="1" allowOverlap="1" wp14:anchorId="3BD28840" wp14:editId="28277D62">
                <wp:simplePos x="0" y="0"/>
                <wp:positionH relativeFrom="column">
                  <wp:posOffset>2171700</wp:posOffset>
                </wp:positionH>
                <wp:positionV relativeFrom="paragraph">
                  <wp:posOffset>36830</wp:posOffset>
                </wp:positionV>
                <wp:extent cx="2286000" cy="1143000"/>
                <wp:effectExtent l="863600" t="76200" r="50800" b="76200"/>
                <wp:wrapThrough wrapText="bothSides">
                  <wp:wrapPolygon edited="0">
                    <wp:start x="6480" y="-1440"/>
                    <wp:lineTo x="-480" y="-480"/>
                    <wp:lineTo x="-480" y="7200"/>
                    <wp:lineTo x="-8160" y="7200"/>
                    <wp:lineTo x="-8160" y="17280"/>
                    <wp:lineTo x="1200" y="21600"/>
                    <wp:lineTo x="6480" y="22560"/>
                    <wp:lineTo x="15120" y="22560"/>
                    <wp:lineTo x="15360" y="21600"/>
                    <wp:lineTo x="21600" y="14880"/>
                    <wp:lineTo x="21840" y="7680"/>
                    <wp:lineTo x="21840" y="7200"/>
                    <wp:lineTo x="15360" y="0"/>
                    <wp:lineTo x="15120" y="-1440"/>
                    <wp:lineTo x="6480" y="-1440"/>
                  </wp:wrapPolygon>
                </wp:wrapThrough>
                <wp:docPr id="828" name="Bulle ronde 828"/>
                <wp:cNvGraphicFramePr/>
                <a:graphic xmlns:a="http://schemas.openxmlformats.org/drawingml/2006/main">
                  <a:graphicData uri="http://schemas.microsoft.com/office/word/2010/wordprocessingShape">
                    <wps:wsp>
                      <wps:cNvSpPr/>
                      <wps:spPr>
                        <a:xfrm>
                          <a:off x="0" y="0"/>
                          <a:ext cx="2286000" cy="1143000"/>
                        </a:xfrm>
                        <a:prstGeom prst="wedgeEllipseCallout">
                          <a:avLst>
                            <a:gd name="adj1" fmla="val -84955"/>
                            <a:gd name="adj2" fmla="val 21331"/>
                          </a:avLst>
                        </a:prstGeom>
                        <a:solidFill>
                          <a:srgbClr val="5195C6"/>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F3233EB" w14:textId="07645FFF" w:rsidR="00573C95" w:rsidRPr="00657811" w:rsidRDefault="00573C95" w:rsidP="00FA5420">
                            <w:pPr>
                              <w:rPr>
                                <w:color w:val="000000" w:themeColor="text1"/>
                                <w:sz w:val="18"/>
                                <w:szCs w:val="18"/>
                              </w:rPr>
                            </w:pPr>
                            <w:r w:rsidRPr="00657811">
                              <w:rPr>
                                <w:color w:val="000000" w:themeColor="text1"/>
                                <w:sz w:val="18"/>
                                <w:szCs w:val="18"/>
                              </w:rPr>
                              <w:t>"Très bientôt, l'économie mondiale pourrait avoir besoin d'un taux d'intérêt  dans les deux chiffres pour contrôler l'inflation"</w:t>
                            </w:r>
                          </w:p>
                          <w:p w14:paraId="6FF504B3" w14:textId="77777777" w:rsidR="00573C95" w:rsidRDefault="00573C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0,,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ronde 828" o:spid="_x0000_s1585" type="#_x0000_t63" style="position:absolute;margin-left:171pt;margin-top:2.9pt;width:180pt;height:90pt;z-index:2532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" adj="-7550,15407" fillcolor="#5195c6" strokecolor="black [3213]">
                <v:textbox>
                  <w:txbxContent>
                    <w:p w14:paraId="7F3233EB" w14:textId="07645FFF" w:rsidR="001501D6" w:rsidRPr="00657811" w:rsidRDefault="001501D6" w:rsidP="00FA5420">
                      <w:pPr>
                        <w:rPr>
                          <w:color w:val="000000" w:themeColor="text1"/>
                          <w:sz w:val="18"/>
                          <w:szCs w:val="18"/>
                        </w:rPr>
                      </w:pPr>
                      <w:r w:rsidRPr="00657811">
                        <w:rPr>
                          <w:color w:val="000000" w:themeColor="text1"/>
                          <w:sz w:val="18"/>
                          <w:szCs w:val="18"/>
                        </w:rPr>
                        <w:t>"Très bientôt, l'économie mondiale pourrait avoir besoin d'un taux d'intérêt  dans les deux chiffres pour contrôler l'inflation"</w:t>
                      </w:r>
                    </w:p>
                    <w:p w14:paraId="6FF504B3" w14:textId="77777777" w:rsidR="001501D6" w:rsidRDefault="001501D6"/>
                  </w:txbxContent>
                </v:textbox>
                <w10:wrap type="through"/>
              </v:shape>
            </w:pict>
          </mc:Fallback>
        </mc:AlternateContent>
      </w:r>
    </w:p>
    <w:p w14:paraId="04604BF5" w14:textId="3FD80CCD" w:rsidR="00FA5420" w:rsidRDefault="00FA5420" w:rsidP="00FB5E1C"/>
    <w:p w14:paraId="7D4EB996" w14:textId="5E6FEB3D" w:rsidR="00FA5420" w:rsidRDefault="00540FD9" w:rsidP="00FB5E1C">
      <w:r>
        <w:rPr>
          <w:noProof/>
          <w:lang w:eastAsia="fr-FR"/>
        </w:rPr>
        <mc:AlternateContent>
          <mc:Choice Requires="wps">
            <w:drawing>
              <wp:anchor distT="0" distB="0" distL="114300" distR="114300" simplePos="0" relativeHeight="253244416" behindDoc="0" locked="0" layoutInCell="1" allowOverlap="1" wp14:anchorId="51E784F5" wp14:editId="06A06A0A">
                <wp:simplePos x="0" y="0"/>
                <wp:positionH relativeFrom="column">
                  <wp:posOffset>6286500</wp:posOffset>
                </wp:positionH>
                <wp:positionV relativeFrom="paragraph">
                  <wp:posOffset>180340</wp:posOffset>
                </wp:positionV>
                <wp:extent cx="2286000" cy="1143000"/>
                <wp:effectExtent l="279400" t="76200" r="50800" b="254000"/>
                <wp:wrapThrough wrapText="bothSides">
                  <wp:wrapPolygon edited="0">
                    <wp:start x="6240" y="-1440"/>
                    <wp:lineTo x="-480" y="-480"/>
                    <wp:lineTo x="-1680" y="22560"/>
                    <wp:lineTo x="-2640" y="22560"/>
                    <wp:lineTo x="-2640" y="25920"/>
                    <wp:lineTo x="-480" y="25920"/>
                    <wp:lineTo x="-240" y="24960"/>
                    <wp:lineTo x="2880" y="22560"/>
                    <wp:lineTo x="6720" y="22560"/>
                    <wp:lineTo x="21600" y="16320"/>
                    <wp:lineTo x="21600" y="14880"/>
                    <wp:lineTo x="21840" y="7680"/>
                    <wp:lineTo x="21840" y="7200"/>
                    <wp:lineTo x="16320" y="480"/>
                    <wp:lineTo x="15120" y="-1440"/>
                    <wp:lineTo x="6240" y="-1440"/>
                  </wp:wrapPolygon>
                </wp:wrapThrough>
                <wp:docPr id="858" name="Bulle ronde 858"/>
                <wp:cNvGraphicFramePr/>
                <a:graphic xmlns:a="http://schemas.openxmlformats.org/drawingml/2006/main">
                  <a:graphicData uri="http://schemas.microsoft.com/office/word/2010/wordprocessingShape">
                    <wps:wsp>
                      <wps:cNvSpPr/>
                      <wps:spPr>
                        <a:xfrm>
                          <a:off x="0" y="0"/>
                          <a:ext cx="2286000" cy="1143000"/>
                        </a:xfrm>
                        <a:prstGeom prst="wedgeEllipseCallout">
                          <a:avLst>
                            <a:gd name="adj1" fmla="val -58844"/>
                            <a:gd name="adj2" fmla="val 66332"/>
                          </a:avLst>
                        </a:prstGeom>
                        <a:solidFill>
                          <a:srgbClr val="C60176"/>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DAF1EFD" w14:textId="4CFE5D85" w:rsidR="00573C95" w:rsidRPr="00657811" w:rsidRDefault="00573C95" w:rsidP="00657811">
                            <w:pPr>
                              <w:rPr>
                                <w:color w:val="000000" w:themeColor="text1"/>
                                <w:sz w:val="18"/>
                                <w:szCs w:val="18"/>
                              </w:rPr>
                            </w:pPr>
                            <w:r w:rsidRPr="00657811">
                              <w:rPr>
                                <w:color w:val="000000" w:themeColor="text1"/>
                                <w:sz w:val="18"/>
                                <w:szCs w:val="18"/>
                              </w:rPr>
                              <w:t>"</w:t>
                            </w:r>
                            <w:r>
                              <w:rPr>
                                <w:color w:val="000000" w:themeColor="text1"/>
                                <w:sz w:val="18"/>
                                <w:szCs w:val="18"/>
                              </w:rPr>
                              <w:t>D'ici la fin de l'année 2008, l'indice S&amp;P 500 devrait atteindre la marque de 1 675</w:t>
                            </w:r>
                            <w:r w:rsidRPr="00657811">
                              <w:rPr>
                                <w:color w:val="000000" w:themeColor="text1"/>
                                <w:sz w:val="18"/>
                                <w:szCs w:val="18"/>
                              </w:rPr>
                              <w:t>"</w:t>
                            </w:r>
                          </w:p>
                          <w:p w14:paraId="32448975" w14:textId="77777777" w:rsidR="00573C95" w:rsidRDefault="00573C95" w:rsidP="0065781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ulle ronde 858" o:spid="_x0000_s1586" type="#_x0000_t63" style="position:absolute;margin-left:495pt;margin-top:14.2pt;width:180pt;height:90pt;z-index:2532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" adj="-1910,25128" fillcolor="#c60176" strokecolor="black [3213]">
                <v:textbox>
                  <w:txbxContent>
                    <w:p w14:paraId="2DAF1EFD" w14:textId="4CFE5D85" w:rsidR="001501D6" w:rsidRPr="00657811" w:rsidRDefault="001501D6" w:rsidP="00657811">
                      <w:pPr>
                        <w:rPr>
                          <w:color w:val="000000" w:themeColor="text1"/>
                          <w:sz w:val="18"/>
                          <w:szCs w:val="18"/>
                        </w:rPr>
                      </w:pPr>
                      <w:r w:rsidRPr="00657811">
                        <w:rPr>
                          <w:color w:val="000000" w:themeColor="text1"/>
                          <w:sz w:val="18"/>
                          <w:szCs w:val="18"/>
                        </w:rPr>
                        <w:t>"</w:t>
                      </w:r>
                      <w:r>
                        <w:rPr>
                          <w:color w:val="000000" w:themeColor="text1"/>
                          <w:sz w:val="18"/>
                          <w:szCs w:val="18"/>
                        </w:rPr>
                        <w:t>D'ici la fin de l'année 2008, l'indice S&amp;P 500 devrait atteindre la marque de 1 675</w:t>
                      </w:r>
                      <w:r w:rsidRPr="00657811">
                        <w:rPr>
                          <w:color w:val="000000" w:themeColor="text1"/>
                          <w:sz w:val="18"/>
                          <w:szCs w:val="18"/>
                        </w:rPr>
                        <w:t>"</w:t>
                      </w:r>
                    </w:p>
                    <w:p w14:paraId="32448975" w14:textId="77777777" w:rsidR="001501D6" w:rsidRDefault="001501D6" w:rsidP="00657811"/>
                  </w:txbxContent>
                </v:textbox>
                <w10:wrap type="through"/>
              </v:shape>
            </w:pict>
          </mc:Fallback>
        </mc:AlternateContent>
      </w:r>
    </w:p>
    <w:p w14:paraId="5032A98D" w14:textId="177D7F8A" w:rsidR="00FA5420" w:rsidRDefault="00657811" w:rsidP="00FB5E1C">
      <w:r>
        <w:rPr>
          <w:noProof/>
          <w:lang w:eastAsia="fr-FR"/>
        </w:rPr>
        <w:drawing>
          <wp:anchor distT="0" distB="0" distL="114300" distR="114300" simplePos="0" relativeHeight="253237248" behindDoc="0" locked="0" layoutInCell="1" allowOverlap="1" wp14:anchorId="1EDCC3F4" wp14:editId="15D9AF76">
            <wp:simplePos x="0" y="0"/>
            <wp:positionH relativeFrom="column">
              <wp:posOffset>914400</wp:posOffset>
            </wp:positionH>
            <wp:positionV relativeFrom="paragraph">
              <wp:posOffset>162560</wp:posOffset>
            </wp:positionV>
            <wp:extent cx="457200" cy="430530"/>
            <wp:effectExtent l="0" t="0" r="0" b="1270"/>
            <wp:wrapNone/>
            <wp:docPr id="850" name="Image 850" descr="Macintosh HD:Users:marcbachand:Desktop:Capture d’écran 2015-12-22 à 14.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2-22 à 14.36.20.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57200" cy="4305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29F5C04" w14:textId="1B05FE67" w:rsidR="00FA5420" w:rsidRDefault="00FA5420" w:rsidP="00FB5E1C"/>
    <w:p w14:paraId="7699DE77" w14:textId="16A579D3" w:rsidR="00FA5420" w:rsidRDefault="00FA5420" w:rsidP="00FB5E1C"/>
    <w:p w14:paraId="07F87358" w14:textId="66880A52" w:rsidR="00FA5420" w:rsidRDefault="00327598" w:rsidP="00FB5E1C">
      <w:r>
        <w:rPr>
          <w:noProof/>
          <w:lang w:eastAsia="fr-FR"/>
        </w:rPr>
        <mc:AlternateContent>
          <mc:Choice Requires="wps">
            <w:drawing>
              <wp:anchor distT="0" distB="0" distL="114300" distR="114300" simplePos="0" relativeHeight="253249536" behindDoc="0" locked="0" layoutInCell="1" allowOverlap="1" wp14:anchorId="2F66A736" wp14:editId="19B2493A">
                <wp:simplePos x="0" y="0"/>
                <wp:positionH relativeFrom="column">
                  <wp:posOffset>2171700</wp:posOffset>
                </wp:positionH>
                <wp:positionV relativeFrom="paragraph">
                  <wp:posOffset>118745</wp:posOffset>
                </wp:positionV>
                <wp:extent cx="2971800" cy="457200"/>
                <wp:effectExtent l="25400" t="76200" r="50800" b="76200"/>
                <wp:wrapThrough wrapText="bothSides">
                  <wp:wrapPolygon edited="0">
                    <wp:start x="-185" y="-3600"/>
                    <wp:lineTo x="-185" y="24000"/>
                    <wp:lineTo x="21785" y="24000"/>
                    <wp:lineTo x="21600" y="-3600"/>
                    <wp:lineTo x="-185" y="-3600"/>
                  </wp:wrapPolygon>
                </wp:wrapThrough>
                <wp:docPr id="861" name="Rectangle à coins arrondis 861"/>
                <wp:cNvGraphicFramePr/>
                <a:graphic xmlns:a="http://schemas.openxmlformats.org/drawingml/2006/main">
                  <a:graphicData uri="http://schemas.microsoft.com/office/word/2010/wordprocessingShape">
                    <wps:wsp>
                      <wps:cNvSpPr/>
                      <wps:spPr>
                        <a:xfrm>
                          <a:off x="0" y="0"/>
                          <a:ext cx="2971800" cy="457200"/>
                        </a:xfrm>
                        <a:prstGeom prst="round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8541DDB" w14:textId="4AD8B546" w:rsidR="00573C95" w:rsidRPr="00327598" w:rsidRDefault="00573C95" w:rsidP="00327598">
                            <w:pPr>
                              <w:rPr>
                                <w:sz w:val="18"/>
                                <w:szCs w:val="18"/>
                              </w:rPr>
                            </w:pPr>
                            <w:r w:rsidRPr="00327598">
                              <w:rPr>
                                <w:sz w:val="18"/>
                                <w:szCs w:val="18"/>
                              </w:rPr>
                              <w:t xml:space="preserve">Le taux </w:t>
                            </w:r>
                            <w:r>
                              <w:rPr>
                                <w:sz w:val="18"/>
                                <w:szCs w:val="18"/>
                              </w:rPr>
                              <w:t xml:space="preserve">d'intérêt </w:t>
                            </w:r>
                            <w:r w:rsidRPr="00327598">
                              <w:rPr>
                                <w:sz w:val="18"/>
                                <w:szCs w:val="18"/>
                              </w:rPr>
                              <w:t>est demeuré presque nul depuis</w:t>
                            </w:r>
                            <w:r>
                              <w:rPr>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861" o:spid="_x0000_s1587" style="position:absolute;margin-left:171pt;margin-top:9.35pt;width:234pt;height:36pt;z-index:2532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" fillcolor="black [3213]" stroked="f">
                <v:textbox>
                  <w:txbxContent>
                    <w:p w14:paraId="18541DDB" w14:textId="4AD8B546" w:rsidR="001501D6" w:rsidRPr="00327598" w:rsidRDefault="001501D6" w:rsidP="00327598">
                      <w:pPr>
                        <w:rPr>
                          <w:sz w:val="18"/>
                          <w:szCs w:val="18"/>
                        </w:rPr>
                      </w:pPr>
                      <w:r w:rsidRPr="00327598">
                        <w:rPr>
                          <w:sz w:val="18"/>
                          <w:szCs w:val="18"/>
                        </w:rPr>
                        <w:t xml:space="preserve">Le taux </w:t>
                      </w:r>
                      <w:r>
                        <w:rPr>
                          <w:sz w:val="18"/>
                          <w:szCs w:val="18"/>
                        </w:rPr>
                        <w:t xml:space="preserve">d'intérêt </w:t>
                      </w:r>
                      <w:r w:rsidRPr="00327598">
                        <w:rPr>
                          <w:sz w:val="18"/>
                          <w:szCs w:val="18"/>
                        </w:rPr>
                        <w:t>est demeuré presque nul depuis</w:t>
                      </w:r>
                      <w:r>
                        <w:rPr>
                          <w:sz w:val="18"/>
                          <w:szCs w:val="18"/>
                        </w:rPr>
                        <w:t>.</w:t>
                      </w:r>
                    </w:p>
                  </w:txbxContent>
                </v:textbox>
                <w10:wrap type="through"/>
              </v:roundrect>
            </w:pict>
          </mc:Fallback>
        </mc:AlternateContent>
      </w:r>
      <w:r w:rsidR="00657811">
        <w:rPr>
          <w:noProof/>
          <w:lang w:eastAsia="fr-FR"/>
        </w:rPr>
        <mc:AlternateContent>
          <mc:Choice Requires="wps">
            <w:drawing>
              <wp:anchor distT="0" distB="0" distL="114300" distR="114300" simplePos="0" relativeHeight="253242368" behindDoc="0" locked="0" layoutInCell="1" allowOverlap="1" wp14:anchorId="39DADBB8" wp14:editId="06DBCF67">
                <wp:simplePos x="0" y="0"/>
                <wp:positionH relativeFrom="column">
                  <wp:posOffset>228600</wp:posOffset>
                </wp:positionH>
                <wp:positionV relativeFrom="paragraph">
                  <wp:posOffset>173355</wp:posOffset>
                </wp:positionV>
                <wp:extent cx="2057400" cy="571500"/>
                <wp:effectExtent l="0" t="0" r="0" b="12700"/>
                <wp:wrapSquare wrapText="bothSides"/>
                <wp:docPr id="857" name="Zone de texte 857"/>
                <wp:cNvGraphicFramePr/>
                <a:graphic xmlns:a="http://schemas.openxmlformats.org/drawingml/2006/main">
                  <a:graphicData uri="http://schemas.microsoft.com/office/word/2010/wordprocessingShape">
                    <wps:wsp>
                      <wps:cNvSpPr txBox="1"/>
                      <wps:spPr>
                        <a:xfrm>
                          <a:off x="0" y="0"/>
                          <a:ext cx="20574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9C8509" w14:textId="4BD78448" w:rsidR="00573C95" w:rsidRPr="00657811" w:rsidRDefault="00573C95">
                            <w:pPr>
                              <w:rPr>
                                <w:sz w:val="18"/>
                                <w:szCs w:val="18"/>
                              </w:rPr>
                            </w:pPr>
                            <w:r>
                              <w:t xml:space="preserve">Alan Greenpan, </w:t>
                            </w:r>
                            <w:r w:rsidRPr="00657811">
                              <w:rPr>
                                <w:sz w:val="18"/>
                                <w:szCs w:val="18"/>
                              </w:rPr>
                              <w:t xml:space="preserve">ancien </w:t>
                            </w:r>
                            <w:r>
                              <w:rPr>
                                <w:sz w:val="18"/>
                                <w:szCs w:val="18"/>
                              </w:rPr>
                              <w:t>P</w:t>
                            </w:r>
                            <w:r w:rsidRPr="00657811">
                              <w:rPr>
                                <w:sz w:val="18"/>
                                <w:szCs w:val="18"/>
                              </w:rPr>
                              <w:t>résident de la réserve fédérale américaine, en 2007</w:t>
                            </w:r>
                            <w:r>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57" o:spid="_x0000_s1588" type="#_x0000_t202" style="position:absolute;margin-left:18pt;margin-top:13.65pt;width:162pt;height:45pt;z-index:2532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" filled="f" stroked="f">
                <v:textbox>
                  <w:txbxContent>
                    <w:p w14:paraId="789C8509" w14:textId="4BD78448" w:rsidR="001501D6" w:rsidRPr="00657811" w:rsidRDefault="001501D6">
                      <w:pPr>
                        <w:rPr>
                          <w:sz w:val="18"/>
                          <w:szCs w:val="18"/>
                        </w:rPr>
                      </w:pPr>
                      <w:r>
                        <w:t xml:space="preserve">Alan Greenpan, </w:t>
                      </w:r>
                      <w:r w:rsidRPr="00657811">
                        <w:rPr>
                          <w:sz w:val="18"/>
                          <w:szCs w:val="18"/>
                        </w:rPr>
                        <w:t xml:space="preserve">ancien </w:t>
                      </w:r>
                      <w:r>
                        <w:rPr>
                          <w:sz w:val="18"/>
                          <w:szCs w:val="18"/>
                        </w:rPr>
                        <w:t>P</w:t>
                      </w:r>
                      <w:r w:rsidRPr="00657811">
                        <w:rPr>
                          <w:sz w:val="18"/>
                          <w:szCs w:val="18"/>
                        </w:rPr>
                        <w:t>résident de la réserve fédérale américaine, en 2007</w:t>
                      </w:r>
                      <w:r>
                        <w:rPr>
                          <w:sz w:val="18"/>
                          <w:szCs w:val="18"/>
                        </w:rPr>
                        <w:t>.</w:t>
                      </w:r>
                    </w:p>
                  </w:txbxContent>
                </v:textbox>
                <w10:wrap type="square"/>
              </v:shape>
            </w:pict>
          </mc:Fallback>
        </mc:AlternateContent>
      </w:r>
    </w:p>
    <w:p w14:paraId="616DB109" w14:textId="667D5249" w:rsidR="00FA5420" w:rsidRDefault="00FA5420" w:rsidP="00FB5E1C"/>
    <w:p w14:paraId="482D9DB4" w14:textId="21C3FC62" w:rsidR="00FA5420" w:rsidRDefault="00804008" w:rsidP="00FB5E1C">
      <w:r>
        <w:rPr>
          <w:noProof/>
          <w:lang w:eastAsia="fr-FR"/>
        </w:rPr>
        <mc:AlternateContent>
          <mc:Choice Requires="wps">
            <w:drawing>
              <wp:anchor distT="0" distB="0" distL="114300" distR="114300" simplePos="0" relativeHeight="253251584" behindDoc="0" locked="0" layoutInCell="1" allowOverlap="1" wp14:anchorId="11F0ECDE" wp14:editId="3F1FC73A">
                <wp:simplePos x="0" y="0"/>
                <wp:positionH relativeFrom="column">
                  <wp:posOffset>4000500</wp:posOffset>
                </wp:positionH>
                <wp:positionV relativeFrom="paragraph">
                  <wp:posOffset>181610</wp:posOffset>
                </wp:positionV>
                <wp:extent cx="2665095" cy="457200"/>
                <wp:effectExtent l="25400" t="76200" r="52705" b="76200"/>
                <wp:wrapThrough wrapText="bothSides">
                  <wp:wrapPolygon edited="0">
                    <wp:start x="-206" y="-3600"/>
                    <wp:lineTo x="-206" y="24000"/>
                    <wp:lineTo x="21821" y="24000"/>
                    <wp:lineTo x="21615" y="-3600"/>
                    <wp:lineTo x="-206" y="-3600"/>
                  </wp:wrapPolygon>
                </wp:wrapThrough>
                <wp:docPr id="862" name="Rectangle à coins arrondis 862"/>
                <wp:cNvGraphicFramePr/>
                <a:graphic xmlns:a="http://schemas.openxmlformats.org/drawingml/2006/main">
                  <a:graphicData uri="http://schemas.microsoft.com/office/word/2010/wordprocessingShape">
                    <wps:wsp>
                      <wps:cNvSpPr/>
                      <wps:spPr>
                        <a:xfrm>
                          <a:off x="0" y="0"/>
                          <a:ext cx="2665095" cy="457200"/>
                        </a:xfrm>
                        <a:prstGeom prst="round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5E2B544" w14:textId="494E158E" w:rsidR="00573C95" w:rsidRPr="00327598" w:rsidRDefault="00573C95" w:rsidP="00327598">
                            <w:pPr>
                              <w:rPr>
                                <w:sz w:val="18"/>
                                <w:szCs w:val="18"/>
                              </w:rPr>
                            </w:pPr>
                            <w:r w:rsidRPr="00327598">
                              <w:rPr>
                                <w:sz w:val="18"/>
                                <w:szCs w:val="18"/>
                              </w:rPr>
                              <w:t>L</w:t>
                            </w:r>
                            <w:r>
                              <w:rPr>
                                <w:sz w:val="18"/>
                                <w:szCs w:val="18"/>
                              </w:rPr>
                              <w:t>'indice était sous le seuil de 900 au 31 décembre 2008.</w:t>
                            </w:r>
                            <w:r w:rsidRPr="00327598">
                              <w:rPr>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862" o:spid="_x0000_s1589" style="position:absolute;margin-left:315pt;margin-top:14.3pt;width:209.85pt;height:36pt;z-index:2532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" fillcolor="black [3213]" stroked="f">
                <v:textbox>
                  <w:txbxContent>
                    <w:p w14:paraId="55E2B544" w14:textId="494E158E" w:rsidR="001501D6" w:rsidRPr="00327598" w:rsidRDefault="001501D6" w:rsidP="00327598">
                      <w:pPr>
                        <w:rPr>
                          <w:sz w:val="18"/>
                          <w:szCs w:val="18"/>
                        </w:rPr>
                      </w:pPr>
                      <w:r w:rsidRPr="00327598">
                        <w:rPr>
                          <w:sz w:val="18"/>
                          <w:szCs w:val="18"/>
                        </w:rPr>
                        <w:t>L</w:t>
                      </w:r>
                      <w:r>
                        <w:rPr>
                          <w:sz w:val="18"/>
                          <w:szCs w:val="18"/>
                        </w:rPr>
                        <w:t>'indice était sous le seuil de 900 au 31 décembre 2008.</w:t>
                      </w:r>
                      <w:r w:rsidRPr="00327598">
                        <w:rPr>
                          <w:sz w:val="18"/>
                          <w:szCs w:val="18"/>
                        </w:rPr>
                        <w:t xml:space="preserve"> </w:t>
                      </w:r>
                    </w:p>
                  </w:txbxContent>
                </v:textbox>
                <w10:wrap type="through"/>
              </v:roundrect>
            </w:pict>
          </mc:Fallback>
        </mc:AlternateContent>
      </w:r>
    </w:p>
    <w:p w14:paraId="1907F0C3" w14:textId="1699B511" w:rsidR="00FA5420" w:rsidRDefault="00804008" w:rsidP="00FB5E1C">
      <w:r>
        <w:rPr>
          <w:noProof/>
          <w:lang w:eastAsia="fr-FR"/>
        </w:rPr>
        <w:drawing>
          <wp:anchor distT="0" distB="0" distL="114300" distR="114300" simplePos="0" relativeHeight="253239296" behindDoc="0" locked="0" layoutInCell="1" allowOverlap="1" wp14:anchorId="4D32AF23" wp14:editId="76B5FFB5">
            <wp:simplePos x="0" y="0"/>
            <wp:positionH relativeFrom="column">
              <wp:posOffset>5715000</wp:posOffset>
            </wp:positionH>
            <wp:positionV relativeFrom="paragraph">
              <wp:posOffset>109220</wp:posOffset>
            </wp:positionV>
            <wp:extent cx="361315" cy="432435"/>
            <wp:effectExtent l="0" t="0" r="0" b="0"/>
            <wp:wrapNone/>
            <wp:docPr id="851" name="Image 851" descr="Macintosh HD:Users:marcbachand:Desktop:Capture d’écran 2015-12-22 à 14.3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2-22 à 14.36.08.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61315" cy="4324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0AC31AB" w14:textId="517B1BEA" w:rsidR="00FA5420" w:rsidRDefault="00FA5420" w:rsidP="00FB5E1C"/>
    <w:p w14:paraId="48FA5C3D" w14:textId="0E235310" w:rsidR="00FA5420" w:rsidRDefault="00804008" w:rsidP="00FB5E1C">
      <w:r>
        <w:rPr>
          <w:noProof/>
          <w:lang w:eastAsia="fr-FR"/>
        </w:rPr>
        <mc:AlternateContent>
          <mc:Choice Requires="wps">
            <w:drawing>
              <wp:anchor distT="0" distB="0" distL="114300" distR="114300" simplePos="0" relativeHeight="253248512" behindDoc="0" locked="0" layoutInCell="1" allowOverlap="1" wp14:anchorId="50D3BBE4" wp14:editId="4B8EC30D">
                <wp:simplePos x="0" y="0"/>
                <wp:positionH relativeFrom="column">
                  <wp:posOffset>1028700</wp:posOffset>
                </wp:positionH>
                <wp:positionV relativeFrom="paragraph">
                  <wp:posOffset>286385</wp:posOffset>
                </wp:positionV>
                <wp:extent cx="2400300" cy="1143000"/>
                <wp:effectExtent l="355600" t="76200" r="38100" b="152400"/>
                <wp:wrapThrough wrapText="bothSides">
                  <wp:wrapPolygon edited="0">
                    <wp:start x="6400" y="-1440"/>
                    <wp:lineTo x="-457" y="-480"/>
                    <wp:lineTo x="-914" y="14880"/>
                    <wp:lineTo x="-3200" y="14880"/>
                    <wp:lineTo x="-3200" y="24000"/>
                    <wp:lineTo x="-914" y="24000"/>
                    <wp:lineTo x="5486" y="22560"/>
                    <wp:lineTo x="21714" y="16800"/>
                    <wp:lineTo x="21714" y="7200"/>
                    <wp:lineTo x="15086" y="0"/>
                    <wp:lineTo x="14857" y="-1440"/>
                    <wp:lineTo x="6400" y="-1440"/>
                  </wp:wrapPolygon>
                </wp:wrapThrough>
                <wp:docPr id="860" name="Bulle ronde 860"/>
                <wp:cNvGraphicFramePr/>
                <a:graphic xmlns:a="http://schemas.openxmlformats.org/drawingml/2006/main">
                  <a:graphicData uri="http://schemas.microsoft.com/office/word/2010/wordprocessingShape">
                    <wps:wsp>
                      <wps:cNvSpPr/>
                      <wps:spPr>
                        <a:xfrm>
                          <a:off x="0" y="0"/>
                          <a:ext cx="2400300" cy="1143000"/>
                        </a:xfrm>
                        <a:prstGeom prst="wedgeEllipseCallout">
                          <a:avLst>
                            <a:gd name="adj1" fmla="val -62045"/>
                            <a:gd name="adj2" fmla="val 56887"/>
                          </a:avLst>
                        </a:prstGeom>
                        <a:solidFill>
                          <a:srgbClr val="B852ED"/>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7618E1B" w14:textId="77061F20" w:rsidR="00573C95" w:rsidRDefault="00573C95" w:rsidP="000C1648">
                            <w:r w:rsidRPr="00657811">
                              <w:rPr>
                                <w:color w:val="000000" w:themeColor="text1"/>
                                <w:sz w:val="18"/>
                                <w:szCs w:val="18"/>
                              </w:rPr>
                              <w:t>"</w:t>
                            </w:r>
                            <w:r>
                              <w:rPr>
                                <w:color w:val="000000" w:themeColor="text1"/>
                                <w:sz w:val="18"/>
                                <w:szCs w:val="18"/>
                              </w:rPr>
                              <w:t>Au cours des prochaines années l'indice boursier Dow Jones devrait atteindre le seuil de 36 000"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ulle ronde 860" o:spid="_x0000_s1590" type="#_x0000_t63" style="position:absolute;margin-left:81pt;margin-top:22.55pt;width:189pt;height:90pt;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" adj="-2602,23088" fillcolor="#b852ed" strokecolor="black [3213]">
                <v:textbox>
                  <w:txbxContent>
                    <w:p w14:paraId="17618E1B" w14:textId="77061F20" w:rsidR="001501D6" w:rsidRDefault="001501D6" w:rsidP="000C1648">
                      <w:r w:rsidRPr="00657811">
                        <w:rPr>
                          <w:color w:val="000000" w:themeColor="text1"/>
                          <w:sz w:val="18"/>
                          <w:szCs w:val="18"/>
                        </w:rPr>
                        <w:t>"</w:t>
                      </w:r>
                      <w:r>
                        <w:rPr>
                          <w:color w:val="000000" w:themeColor="text1"/>
                          <w:sz w:val="18"/>
                          <w:szCs w:val="18"/>
                        </w:rPr>
                        <w:t>Au cours des prochaines années l'indice boursier Dow Jones devrait atteindre le seuil de 36 000"</w:t>
                      </w:r>
                    </w:p>
                  </w:txbxContent>
                </v:textbox>
                <w10:wrap type="through"/>
              </v:shape>
            </w:pict>
          </mc:Fallback>
        </mc:AlternateContent>
      </w:r>
    </w:p>
    <w:p w14:paraId="47B1784F" w14:textId="27EC4494" w:rsidR="00657811" w:rsidRDefault="00804008">
      <w:r>
        <w:rPr>
          <w:noProof/>
          <w:lang w:eastAsia="fr-FR"/>
        </w:rPr>
        <mc:AlternateContent>
          <mc:Choice Requires="wps">
            <w:drawing>
              <wp:anchor distT="0" distB="0" distL="114300" distR="114300" simplePos="0" relativeHeight="253265920" behindDoc="0" locked="0" layoutInCell="1" allowOverlap="1" wp14:anchorId="79B689C5" wp14:editId="1621B512">
                <wp:simplePos x="0" y="0"/>
                <wp:positionH relativeFrom="column">
                  <wp:posOffset>6286500</wp:posOffset>
                </wp:positionH>
                <wp:positionV relativeFrom="paragraph">
                  <wp:posOffset>2137410</wp:posOffset>
                </wp:positionV>
                <wp:extent cx="2057400" cy="457200"/>
                <wp:effectExtent l="25400" t="76200" r="50800" b="76200"/>
                <wp:wrapThrough wrapText="bothSides">
                  <wp:wrapPolygon edited="0">
                    <wp:start x="-267" y="-3600"/>
                    <wp:lineTo x="-267" y="24000"/>
                    <wp:lineTo x="21867" y="24000"/>
                    <wp:lineTo x="21600" y="-3600"/>
                    <wp:lineTo x="-267" y="-3600"/>
                  </wp:wrapPolygon>
                </wp:wrapThrough>
                <wp:docPr id="869" name="Rectangle à coins arrondis 869"/>
                <wp:cNvGraphicFramePr/>
                <a:graphic xmlns:a="http://schemas.openxmlformats.org/drawingml/2006/main">
                  <a:graphicData uri="http://schemas.microsoft.com/office/word/2010/wordprocessingShape">
                    <wps:wsp>
                      <wps:cNvSpPr/>
                      <wps:spPr>
                        <a:xfrm>
                          <a:off x="0" y="0"/>
                          <a:ext cx="2057400" cy="457200"/>
                        </a:xfrm>
                        <a:prstGeom prst="round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817B50E" w14:textId="04B1B675" w:rsidR="00573C95" w:rsidRPr="00327598" w:rsidRDefault="00573C95" w:rsidP="00804008">
                            <w:pPr>
                              <w:rPr>
                                <w:sz w:val="18"/>
                                <w:szCs w:val="18"/>
                              </w:rPr>
                            </w:pPr>
                            <w:r>
                              <w:rPr>
                                <w:sz w:val="18"/>
                                <w:szCs w:val="18"/>
                              </w:rPr>
                              <w:t>Prédiction de la mort de Henri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869" o:spid="_x0000_s1591" style="position:absolute;margin-left:495pt;margin-top:168.3pt;width:162pt;height:36pt;z-index:2532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" fillcolor="black [3213]" stroked="f">
                <v:textbox>
                  <w:txbxContent>
                    <w:p w14:paraId="3817B50E" w14:textId="04B1B675" w:rsidR="001501D6" w:rsidRPr="00327598" w:rsidRDefault="001501D6" w:rsidP="00804008">
                      <w:pPr>
                        <w:rPr>
                          <w:sz w:val="18"/>
                          <w:szCs w:val="18"/>
                        </w:rPr>
                      </w:pPr>
                      <w:r>
                        <w:rPr>
                          <w:sz w:val="18"/>
                          <w:szCs w:val="18"/>
                        </w:rPr>
                        <w:t>Prédiction de la mort de Henri II.</w:t>
                      </w:r>
                    </w:p>
                  </w:txbxContent>
                </v:textbox>
                <w10:wrap type="through"/>
              </v:roundrect>
            </w:pict>
          </mc:Fallback>
        </mc:AlternateContent>
      </w:r>
      <w:r>
        <w:rPr>
          <w:noProof/>
          <w:lang w:eastAsia="fr-FR"/>
        </w:rPr>
        <mc:AlternateContent>
          <mc:Choice Requires="wps">
            <w:drawing>
              <wp:anchor distT="0" distB="0" distL="114300" distR="114300" simplePos="0" relativeHeight="253261824" behindDoc="0" locked="0" layoutInCell="1" allowOverlap="1" wp14:anchorId="2BAA1F91" wp14:editId="6CC64395">
                <wp:simplePos x="0" y="0"/>
                <wp:positionH relativeFrom="column">
                  <wp:posOffset>3771900</wp:posOffset>
                </wp:positionH>
                <wp:positionV relativeFrom="paragraph">
                  <wp:posOffset>2708910</wp:posOffset>
                </wp:positionV>
                <wp:extent cx="3314700" cy="342900"/>
                <wp:effectExtent l="0" t="0" r="0" b="12700"/>
                <wp:wrapSquare wrapText="bothSides"/>
                <wp:docPr id="867" name="Zone de texte 867"/>
                <wp:cNvGraphicFramePr/>
                <a:graphic xmlns:a="http://schemas.openxmlformats.org/drawingml/2006/main">
                  <a:graphicData uri="http://schemas.microsoft.com/office/word/2010/wordprocessingShape">
                    <wps:wsp>
                      <wps:cNvSpPr txBox="1"/>
                      <wps:spPr>
                        <a:xfrm>
                          <a:off x="0" y="0"/>
                          <a:ext cx="3314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6B3F75" w14:textId="0F4EE48D" w:rsidR="00573C95" w:rsidRPr="00283017" w:rsidRDefault="00573C95" w:rsidP="00540FD9">
                            <w:pPr>
                              <w:rPr>
                                <w:sz w:val="18"/>
                                <w:szCs w:val="18"/>
                              </w:rPr>
                            </w:pPr>
                            <w:r>
                              <w:t xml:space="preserve">Nostradamus, </w:t>
                            </w:r>
                            <w:r w:rsidRPr="0048248B">
                              <w:rPr>
                                <w:sz w:val="18"/>
                                <w:szCs w:val="18"/>
                              </w:rPr>
                              <w:t>Au</w:t>
                            </w:r>
                            <w:r w:rsidRPr="00540FD9">
                              <w:rPr>
                                <w:sz w:val="18"/>
                                <w:szCs w:val="18"/>
                              </w:rPr>
                              <w:t>teur des Prophéties, en 1555.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67" o:spid="_x0000_s1592" type="#_x0000_t202" style="position:absolute;margin-left:297pt;margin-top:213.3pt;width:261pt;height:27pt;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" filled="f" stroked="f">
                <v:textbox>
                  <w:txbxContent>
                    <w:p w14:paraId="6E6B3F75" w14:textId="0F4EE48D" w:rsidR="001501D6" w:rsidRPr="00283017" w:rsidRDefault="001501D6" w:rsidP="00540FD9">
                      <w:pPr>
                        <w:rPr>
                          <w:sz w:val="18"/>
                          <w:szCs w:val="18"/>
                        </w:rPr>
                      </w:pPr>
                      <w:r>
                        <w:t xml:space="preserve">Nostradamus, </w:t>
                      </w:r>
                      <w:r w:rsidRPr="0048248B">
                        <w:rPr>
                          <w:sz w:val="18"/>
                          <w:szCs w:val="18"/>
                        </w:rPr>
                        <w:t>Au</w:t>
                      </w:r>
                      <w:r w:rsidRPr="00540FD9">
                        <w:rPr>
                          <w:sz w:val="18"/>
                          <w:szCs w:val="18"/>
                        </w:rPr>
                        <w:t>teur des Prophéties, en 1555.</w:t>
                      </w:r>
                    </w:p>
                  </w:txbxContent>
                </v:textbox>
                <w10:wrap type="square"/>
              </v:shape>
            </w:pict>
          </mc:Fallback>
        </mc:AlternateContent>
      </w:r>
      <w:r>
        <w:rPr>
          <w:noProof/>
          <w:lang w:eastAsia="fr-FR"/>
        </w:rPr>
        <w:drawing>
          <wp:anchor distT="0" distB="0" distL="114300" distR="114300" simplePos="0" relativeHeight="253241344" behindDoc="0" locked="0" layoutInCell="1" allowOverlap="1" wp14:anchorId="1E704EBF" wp14:editId="58560DCE">
            <wp:simplePos x="0" y="0"/>
            <wp:positionH relativeFrom="column">
              <wp:posOffset>5029200</wp:posOffset>
            </wp:positionH>
            <wp:positionV relativeFrom="paragraph">
              <wp:posOffset>2137410</wp:posOffset>
            </wp:positionV>
            <wp:extent cx="457200" cy="457200"/>
            <wp:effectExtent l="0" t="0" r="0" b="0"/>
            <wp:wrapNone/>
            <wp:docPr id="853" name="Image 853" descr="Macintosh HD:Users:marcbachand:Desktop:Unkno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Unknown.jpe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3263872" behindDoc="0" locked="0" layoutInCell="1" allowOverlap="1" wp14:anchorId="78859A0D" wp14:editId="68C2440A">
                <wp:simplePos x="0" y="0"/>
                <wp:positionH relativeFrom="column">
                  <wp:posOffset>5715000</wp:posOffset>
                </wp:positionH>
                <wp:positionV relativeFrom="paragraph">
                  <wp:posOffset>651510</wp:posOffset>
                </wp:positionV>
                <wp:extent cx="3429000" cy="1371600"/>
                <wp:effectExtent l="482600" t="76200" r="76200" b="152400"/>
                <wp:wrapThrough wrapText="bothSides">
                  <wp:wrapPolygon edited="0">
                    <wp:start x="6720" y="-1200"/>
                    <wp:lineTo x="160" y="-400"/>
                    <wp:lineTo x="160" y="6000"/>
                    <wp:lineTo x="-640" y="6000"/>
                    <wp:lineTo x="-800" y="18800"/>
                    <wp:lineTo x="-3040" y="18800"/>
                    <wp:lineTo x="-3040" y="23600"/>
                    <wp:lineTo x="-960" y="23600"/>
                    <wp:lineTo x="160" y="22800"/>
                    <wp:lineTo x="18880" y="19200"/>
                    <wp:lineTo x="19040" y="18800"/>
                    <wp:lineTo x="21920" y="12800"/>
                    <wp:lineTo x="21920" y="12400"/>
                    <wp:lineTo x="21280" y="6400"/>
                    <wp:lineTo x="21280" y="6000"/>
                    <wp:lineTo x="15040" y="-400"/>
                    <wp:lineTo x="14880" y="-1200"/>
                    <wp:lineTo x="6720" y="-1200"/>
                  </wp:wrapPolygon>
                </wp:wrapThrough>
                <wp:docPr id="868" name="Bulle ronde 868"/>
                <wp:cNvGraphicFramePr/>
                <a:graphic xmlns:a="http://schemas.openxmlformats.org/drawingml/2006/main">
                  <a:graphicData uri="http://schemas.microsoft.com/office/word/2010/wordprocessingShape">
                    <wps:wsp>
                      <wps:cNvSpPr/>
                      <wps:spPr>
                        <a:xfrm>
                          <a:off x="0" y="0"/>
                          <a:ext cx="3429000" cy="1371600"/>
                        </a:xfrm>
                        <a:prstGeom prst="wedgeEllipseCallout">
                          <a:avLst>
                            <a:gd name="adj1" fmla="val -62045"/>
                            <a:gd name="adj2" fmla="val 56887"/>
                          </a:avLst>
                        </a:prstGeom>
                        <a:solidFill>
                          <a:srgbClr val="87EDD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487DD70" w14:textId="7FB928BE" w:rsidR="00573C95" w:rsidRPr="00804008" w:rsidRDefault="00573C95" w:rsidP="00804008">
                            <w:pPr>
                              <w:widowControl w:val="0"/>
                              <w:autoSpaceDE w:val="0"/>
                              <w:autoSpaceDN w:val="0"/>
                              <w:adjustRightInd w:val="0"/>
                              <w:rPr>
                                <w:rFonts w:cs="Helvetica"/>
                                <w:color w:val="1C1C1C"/>
                                <w:sz w:val="18"/>
                                <w:szCs w:val="18"/>
                              </w:rPr>
                            </w:pPr>
                            <w:r>
                              <w:rPr>
                                <w:rFonts w:cs="Helvetica"/>
                                <w:i/>
                                <w:iCs/>
                                <w:color w:val="1C1C1C"/>
                                <w:sz w:val="18"/>
                                <w:szCs w:val="18"/>
                              </w:rPr>
                              <w:t>"</w:t>
                            </w:r>
                            <w:r w:rsidRPr="00804008">
                              <w:rPr>
                                <w:rFonts w:cs="Helvetica"/>
                                <w:i/>
                                <w:iCs/>
                                <w:color w:val="1C1C1C"/>
                                <w:sz w:val="18"/>
                                <w:szCs w:val="18"/>
                              </w:rPr>
                              <w:t>Le lyon ieune le vieux surmontera</w:t>
                            </w:r>
                            <w:r w:rsidRPr="00804008">
                              <w:rPr>
                                <w:rFonts w:cs="Helvetica"/>
                                <w:color w:val="1C1C1C"/>
                                <w:sz w:val="18"/>
                                <w:szCs w:val="18"/>
                              </w:rPr>
                              <w:t xml:space="preserve">, </w:t>
                            </w:r>
                          </w:p>
                          <w:p w14:paraId="5E845C21" w14:textId="6B46D6EB" w:rsidR="00573C95" w:rsidRPr="00804008" w:rsidRDefault="00573C95" w:rsidP="00804008">
                            <w:pPr>
                              <w:widowControl w:val="0"/>
                              <w:autoSpaceDE w:val="0"/>
                              <w:autoSpaceDN w:val="0"/>
                              <w:adjustRightInd w:val="0"/>
                              <w:rPr>
                                <w:rFonts w:cs="Helvetica"/>
                                <w:color w:val="1C1C1C"/>
                                <w:sz w:val="18"/>
                                <w:szCs w:val="18"/>
                              </w:rPr>
                            </w:pPr>
                            <w:r w:rsidRPr="00804008">
                              <w:rPr>
                                <w:rFonts w:cs="Helvetica"/>
                                <w:i/>
                                <w:iCs/>
                                <w:color w:val="1C1C1C"/>
                                <w:sz w:val="18"/>
                                <w:szCs w:val="18"/>
                              </w:rPr>
                              <w:t>En champ bellique par singulier duelle</w:t>
                            </w:r>
                            <w:r w:rsidRPr="00804008">
                              <w:rPr>
                                <w:rFonts w:cs="Helvetica"/>
                                <w:color w:val="1C1C1C"/>
                                <w:sz w:val="18"/>
                                <w:szCs w:val="18"/>
                              </w:rPr>
                              <w:t>,</w:t>
                            </w:r>
                          </w:p>
                          <w:p w14:paraId="16CF550D" w14:textId="77777777" w:rsidR="00573C95" w:rsidRPr="00804008" w:rsidRDefault="00573C95" w:rsidP="00804008">
                            <w:pPr>
                              <w:widowControl w:val="0"/>
                              <w:autoSpaceDE w:val="0"/>
                              <w:autoSpaceDN w:val="0"/>
                              <w:adjustRightInd w:val="0"/>
                              <w:rPr>
                                <w:rFonts w:cs="Helvetica"/>
                                <w:color w:val="1C1C1C"/>
                                <w:sz w:val="18"/>
                                <w:szCs w:val="18"/>
                              </w:rPr>
                            </w:pPr>
                            <w:r w:rsidRPr="00804008">
                              <w:rPr>
                                <w:rFonts w:cs="Helvetica"/>
                                <w:i/>
                                <w:iCs/>
                                <w:color w:val="1C1C1C"/>
                                <w:sz w:val="18"/>
                                <w:szCs w:val="18"/>
                              </w:rPr>
                              <w:t>Dans cage d'or les yeux luy creuera</w:t>
                            </w:r>
                            <w:r w:rsidRPr="00804008">
                              <w:rPr>
                                <w:rFonts w:cs="Helvetica"/>
                                <w:color w:val="1C1C1C"/>
                                <w:sz w:val="18"/>
                                <w:szCs w:val="18"/>
                              </w:rPr>
                              <w:t>,</w:t>
                            </w:r>
                          </w:p>
                          <w:p w14:paraId="3B5DF456" w14:textId="7378063A" w:rsidR="00573C95" w:rsidRPr="00804008" w:rsidRDefault="00573C95" w:rsidP="00804008">
                            <w:pPr>
                              <w:rPr>
                                <w:sz w:val="18"/>
                                <w:szCs w:val="18"/>
                              </w:rPr>
                            </w:pPr>
                            <w:r w:rsidRPr="00804008">
                              <w:rPr>
                                <w:rFonts w:cs="Helvetica"/>
                                <w:i/>
                                <w:iCs/>
                                <w:color w:val="1C1C1C"/>
                                <w:sz w:val="18"/>
                                <w:szCs w:val="18"/>
                              </w:rPr>
                              <w:t>Deux classes vne, puis mourir, mort cruelle</w:t>
                            </w:r>
                            <w:r>
                              <w:rPr>
                                <w:rFonts w:cs="Helvetica"/>
                                <w:i/>
                                <w:iCs/>
                                <w:color w:val="1C1C1C"/>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ulle ronde 868" o:spid="_x0000_s1593" type="#_x0000_t63" style="position:absolute;margin-left:450pt;margin-top:51.3pt;width:270pt;height:108pt;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" adj="-2602,23088" fillcolor="#87edd1" strokecolor="black [3213]">
                <v:textbox>
                  <w:txbxContent>
                    <w:p w14:paraId="0487DD70" w14:textId="7FB928BE" w:rsidR="001501D6" w:rsidRPr="00804008" w:rsidRDefault="001501D6" w:rsidP="00804008">
                      <w:pPr>
                        <w:widowControl w:val="0"/>
                        <w:autoSpaceDE w:val="0"/>
                        <w:autoSpaceDN w:val="0"/>
                        <w:adjustRightInd w:val="0"/>
                        <w:rPr>
                          <w:rFonts w:cs="Helvetica"/>
                          <w:color w:val="1C1C1C"/>
                          <w:sz w:val="18"/>
                          <w:szCs w:val="18"/>
                        </w:rPr>
                      </w:pPr>
                      <w:r>
                        <w:rPr>
                          <w:rFonts w:cs="Helvetica"/>
                          <w:i/>
                          <w:iCs/>
                          <w:color w:val="1C1C1C"/>
                          <w:sz w:val="18"/>
                          <w:szCs w:val="18"/>
                        </w:rPr>
                        <w:t>"</w:t>
                      </w:r>
                      <w:r w:rsidRPr="00804008">
                        <w:rPr>
                          <w:rFonts w:cs="Helvetica"/>
                          <w:i/>
                          <w:iCs/>
                          <w:color w:val="1C1C1C"/>
                          <w:sz w:val="18"/>
                          <w:szCs w:val="18"/>
                        </w:rPr>
                        <w:t>Le lyon ieune le vieux surmontera</w:t>
                      </w:r>
                      <w:r w:rsidRPr="00804008">
                        <w:rPr>
                          <w:rFonts w:cs="Helvetica"/>
                          <w:color w:val="1C1C1C"/>
                          <w:sz w:val="18"/>
                          <w:szCs w:val="18"/>
                        </w:rPr>
                        <w:t xml:space="preserve">, </w:t>
                      </w:r>
                    </w:p>
                    <w:p w14:paraId="5E845C21" w14:textId="6B46D6EB" w:rsidR="001501D6" w:rsidRPr="00804008" w:rsidRDefault="001501D6" w:rsidP="00804008">
                      <w:pPr>
                        <w:widowControl w:val="0"/>
                        <w:autoSpaceDE w:val="0"/>
                        <w:autoSpaceDN w:val="0"/>
                        <w:adjustRightInd w:val="0"/>
                        <w:rPr>
                          <w:rFonts w:cs="Helvetica"/>
                          <w:color w:val="1C1C1C"/>
                          <w:sz w:val="18"/>
                          <w:szCs w:val="18"/>
                        </w:rPr>
                      </w:pPr>
                      <w:r w:rsidRPr="00804008">
                        <w:rPr>
                          <w:rFonts w:cs="Helvetica"/>
                          <w:i/>
                          <w:iCs/>
                          <w:color w:val="1C1C1C"/>
                          <w:sz w:val="18"/>
                          <w:szCs w:val="18"/>
                        </w:rPr>
                        <w:t>En champ bellique par singulier duelle</w:t>
                      </w:r>
                      <w:r w:rsidRPr="00804008">
                        <w:rPr>
                          <w:rFonts w:cs="Helvetica"/>
                          <w:color w:val="1C1C1C"/>
                          <w:sz w:val="18"/>
                          <w:szCs w:val="18"/>
                        </w:rPr>
                        <w:t>,</w:t>
                      </w:r>
                    </w:p>
                    <w:p w14:paraId="16CF550D" w14:textId="77777777" w:rsidR="001501D6" w:rsidRPr="00804008" w:rsidRDefault="001501D6" w:rsidP="00804008">
                      <w:pPr>
                        <w:widowControl w:val="0"/>
                        <w:autoSpaceDE w:val="0"/>
                        <w:autoSpaceDN w:val="0"/>
                        <w:adjustRightInd w:val="0"/>
                        <w:rPr>
                          <w:rFonts w:cs="Helvetica"/>
                          <w:color w:val="1C1C1C"/>
                          <w:sz w:val="18"/>
                          <w:szCs w:val="18"/>
                        </w:rPr>
                      </w:pPr>
                      <w:r w:rsidRPr="00804008">
                        <w:rPr>
                          <w:rFonts w:cs="Helvetica"/>
                          <w:i/>
                          <w:iCs/>
                          <w:color w:val="1C1C1C"/>
                          <w:sz w:val="18"/>
                          <w:szCs w:val="18"/>
                        </w:rPr>
                        <w:t>Dans cage d'or les yeux luy creuera</w:t>
                      </w:r>
                      <w:r w:rsidRPr="00804008">
                        <w:rPr>
                          <w:rFonts w:cs="Helvetica"/>
                          <w:color w:val="1C1C1C"/>
                          <w:sz w:val="18"/>
                          <w:szCs w:val="18"/>
                        </w:rPr>
                        <w:t>,</w:t>
                      </w:r>
                    </w:p>
                    <w:p w14:paraId="3B5DF456" w14:textId="7378063A" w:rsidR="001501D6" w:rsidRPr="00804008" w:rsidRDefault="001501D6" w:rsidP="00804008">
                      <w:pPr>
                        <w:rPr>
                          <w:sz w:val="18"/>
                          <w:szCs w:val="18"/>
                        </w:rPr>
                      </w:pPr>
                      <w:r w:rsidRPr="00804008">
                        <w:rPr>
                          <w:rFonts w:cs="Helvetica"/>
                          <w:i/>
                          <w:iCs/>
                          <w:color w:val="1C1C1C"/>
                          <w:sz w:val="18"/>
                          <w:szCs w:val="18"/>
                        </w:rPr>
                        <w:t>Deux classes vne, puis mourir, mort cruelle</w:t>
                      </w:r>
                      <w:r>
                        <w:rPr>
                          <w:rFonts w:cs="Helvetica"/>
                          <w:i/>
                          <w:iCs/>
                          <w:color w:val="1C1C1C"/>
                          <w:sz w:val="18"/>
                          <w:szCs w:val="18"/>
                        </w:rPr>
                        <w:t>"</w:t>
                      </w:r>
                    </w:p>
                  </w:txbxContent>
                </v:textbox>
                <w10:wrap type="through"/>
              </v:shape>
            </w:pict>
          </mc:Fallback>
        </mc:AlternateContent>
      </w:r>
      <w:r>
        <w:rPr>
          <w:noProof/>
          <w:lang w:eastAsia="fr-FR"/>
        </w:rPr>
        <mc:AlternateContent>
          <mc:Choice Requires="wps">
            <w:drawing>
              <wp:anchor distT="0" distB="0" distL="114300" distR="114300" simplePos="0" relativeHeight="253246464" behindDoc="0" locked="0" layoutInCell="1" allowOverlap="1" wp14:anchorId="4783A629" wp14:editId="30D1F4C5">
                <wp:simplePos x="0" y="0"/>
                <wp:positionH relativeFrom="column">
                  <wp:posOffset>4914900</wp:posOffset>
                </wp:positionH>
                <wp:positionV relativeFrom="paragraph">
                  <wp:posOffset>80010</wp:posOffset>
                </wp:positionV>
                <wp:extent cx="2400300" cy="571500"/>
                <wp:effectExtent l="0" t="0" r="0" b="12700"/>
                <wp:wrapSquare wrapText="bothSides"/>
                <wp:docPr id="859" name="Zone de texte 859"/>
                <wp:cNvGraphicFramePr/>
                <a:graphic xmlns:a="http://schemas.openxmlformats.org/drawingml/2006/main">
                  <a:graphicData uri="http://schemas.microsoft.com/office/word/2010/wordprocessingShape">
                    <wps:wsp>
                      <wps:cNvSpPr txBox="1"/>
                      <wps:spPr>
                        <a:xfrm>
                          <a:off x="0" y="0"/>
                          <a:ext cx="24003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D81D09" w14:textId="1A9A3852" w:rsidR="00573C95" w:rsidRPr="00657811" w:rsidRDefault="00573C95" w:rsidP="00307CCC">
                            <w:pPr>
                              <w:rPr>
                                <w:sz w:val="18"/>
                                <w:szCs w:val="18"/>
                              </w:rPr>
                            </w:pPr>
                            <w:r>
                              <w:t xml:space="preserve">Abby Joseph Cohen, </w:t>
                            </w:r>
                            <w:r w:rsidRPr="00307CCC">
                              <w:rPr>
                                <w:sz w:val="18"/>
                                <w:szCs w:val="18"/>
                              </w:rPr>
                              <w:t>Principale analyste financière chez</w:t>
                            </w:r>
                            <w:r>
                              <w:t xml:space="preserve"> </w:t>
                            </w:r>
                            <w:r w:rsidRPr="00307CCC">
                              <w:rPr>
                                <w:sz w:val="18"/>
                                <w:szCs w:val="18"/>
                              </w:rPr>
                              <w:t>Goldman &amp;</w:t>
                            </w:r>
                            <w:r>
                              <w:t xml:space="preserve"> </w:t>
                            </w:r>
                            <w:r w:rsidRPr="00307CCC">
                              <w:rPr>
                                <w:sz w:val="18"/>
                                <w:szCs w:val="18"/>
                              </w:rPr>
                              <w:t>Sachs,</w:t>
                            </w:r>
                            <w:r w:rsidRPr="00657811">
                              <w:rPr>
                                <w:sz w:val="18"/>
                                <w:szCs w:val="18"/>
                              </w:rPr>
                              <w:t xml:space="preserve"> en </w:t>
                            </w:r>
                            <w:r>
                              <w:rPr>
                                <w:sz w:val="18"/>
                                <w:szCs w:val="18"/>
                              </w:rPr>
                              <w:t xml:space="preserve">décembre </w:t>
                            </w:r>
                            <w:r w:rsidRPr="00657811">
                              <w:rPr>
                                <w:sz w:val="18"/>
                                <w:szCs w:val="18"/>
                              </w:rPr>
                              <w:t>2007</w:t>
                            </w:r>
                            <w:r>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59" o:spid="_x0000_s1594" type="#_x0000_t202" style="position:absolute;margin-left:387pt;margin-top:6.3pt;width:189pt;height:45pt;z-index:2532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" filled="f" stroked="f">
                <v:textbox>
                  <w:txbxContent>
                    <w:p w14:paraId="53D81D09" w14:textId="1A9A3852" w:rsidR="001501D6" w:rsidRPr="00657811" w:rsidRDefault="001501D6" w:rsidP="00307CCC">
                      <w:pPr>
                        <w:rPr>
                          <w:sz w:val="18"/>
                          <w:szCs w:val="18"/>
                        </w:rPr>
                      </w:pPr>
                      <w:r>
                        <w:t xml:space="preserve">Abby Joseph Cohen, </w:t>
                      </w:r>
                      <w:r w:rsidRPr="00307CCC">
                        <w:rPr>
                          <w:sz w:val="18"/>
                          <w:szCs w:val="18"/>
                        </w:rPr>
                        <w:t>Principale analyste financière chez</w:t>
                      </w:r>
                      <w:r>
                        <w:t xml:space="preserve"> </w:t>
                      </w:r>
                      <w:r w:rsidRPr="00307CCC">
                        <w:rPr>
                          <w:sz w:val="18"/>
                          <w:szCs w:val="18"/>
                        </w:rPr>
                        <w:t>Goldman &amp;</w:t>
                      </w:r>
                      <w:r>
                        <w:t xml:space="preserve"> </w:t>
                      </w:r>
                      <w:r w:rsidRPr="00307CCC">
                        <w:rPr>
                          <w:sz w:val="18"/>
                          <w:szCs w:val="18"/>
                        </w:rPr>
                        <w:t>Sachs,</w:t>
                      </w:r>
                      <w:r w:rsidRPr="00657811">
                        <w:rPr>
                          <w:sz w:val="18"/>
                          <w:szCs w:val="18"/>
                        </w:rPr>
                        <w:t xml:space="preserve"> en </w:t>
                      </w:r>
                      <w:r>
                        <w:rPr>
                          <w:sz w:val="18"/>
                          <w:szCs w:val="18"/>
                        </w:rPr>
                        <w:t xml:space="preserve">décembre </w:t>
                      </w:r>
                      <w:r w:rsidRPr="00657811">
                        <w:rPr>
                          <w:sz w:val="18"/>
                          <w:szCs w:val="18"/>
                        </w:rPr>
                        <w:t>2007</w:t>
                      </w:r>
                      <w:r>
                        <w:rPr>
                          <w:sz w:val="18"/>
                          <w:szCs w:val="18"/>
                        </w:rPr>
                        <w:t>.</w:t>
                      </w:r>
                    </w:p>
                  </w:txbxContent>
                </v:textbox>
                <w10:wrap type="square"/>
              </v:shape>
            </w:pict>
          </mc:Fallback>
        </mc:AlternateContent>
      </w:r>
      <w:r>
        <w:rPr>
          <w:noProof/>
          <w:lang w:eastAsia="fr-FR"/>
        </w:rPr>
        <mc:AlternateContent>
          <mc:Choice Requires="wps">
            <w:drawing>
              <wp:anchor distT="0" distB="0" distL="114300" distR="114300" simplePos="0" relativeHeight="253259776" behindDoc="0" locked="0" layoutInCell="1" allowOverlap="1" wp14:anchorId="4816D74A" wp14:editId="3A078AE6">
                <wp:simplePos x="0" y="0"/>
                <wp:positionH relativeFrom="column">
                  <wp:posOffset>1371600</wp:posOffset>
                </wp:positionH>
                <wp:positionV relativeFrom="paragraph">
                  <wp:posOffset>1337310</wp:posOffset>
                </wp:positionV>
                <wp:extent cx="2971800" cy="457200"/>
                <wp:effectExtent l="25400" t="76200" r="50800" b="76200"/>
                <wp:wrapThrough wrapText="bothSides">
                  <wp:wrapPolygon edited="0">
                    <wp:start x="-185" y="-3600"/>
                    <wp:lineTo x="-185" y="24000"/>
                    <wp:lineTo x="21785" y="24000"/>
                    <wp:lineTo x="21600" y="-3600"/>
                    <wp:lineTo x="-185" y="-3600"/>
                  </wp:wrapPolygon>
                </wp:wrapThrough>
                <wp:docPr id="866" name="Rectangle à coins arrondis 866"/>
                <wp:cNvGraphicFramePr/>
                <a:graphic xmlns:a="http://schemas.openxmlformats.org/drawingml/2006/main">
                  <a:graphicData uri="http://schemas.microsoft.com/office/word/2010/wordprocessingShape">
                    <wps:wsp>
                      <wps:cNvSpPr/>
                      <wps:spPr>
                        <a:xfrm>
                          <a:off x="0" y="0"/>
                          <a:ext cx="2971800" cy="457200"/>
                        </a:xfrm>
                        <a:prstGeom prst="round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88E83A7" w14:textId="653469FD" w:rsidR="00573C95" w:rsidRPr="00327598" w:rsidRDefault="00573C95" w:rsidP="00283017">
                            <w:pPr>
                              <w:rPr>
                                <w:sz w:val="18"/>
                                <w:szCs w:val="18"/>
                              </w:rPr>
                            </w:pPr>
                            <w:r>
                              <w:rPr>
                                <w:sz w:val="18"/>
                                <w:szCs w:val="18"/>
                              </w:rPr>
                              <w:t>16 années plus tard, l'indice n'a pas encore surpassé la moitié de ce qui avait été annoncé.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866" o:spid="_x0000_s1595" style="position:absolute;margin-left:108pt;margin-top:105.3pt;width:234pt;height:36pt;z-index:2532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" fillcolor="black [3213]" stroked="f">
                <v:textbox>
                  <w:txbxContent>
                    <w:p w14:paraId="588E83A7" w14:textId="653469FD" w:rsidR="001501D6" w:rsidRPr="00327598" w:rsidRDefault="001501D6" w:rsidP="00283017">
                      <w:pPr>
                        <w:rPr>
                          <w:sz w:val="18"/>
                          <w:szCs w:val="18"/>
                        </w:rPr>
                      </w:pPr>
                      <w:r>
                        <w:rPr>
                          <w:sz w:val="18"/>
                          <w:szCs w:val="18"/>
                        </w:rPr>
                        <w:t>16 années plus tard, l'indice n'a pas encore surpassé la moitié de ce qui avait été annoncé.</w:t>
                      </w:r>
                    </w:p>
                  </w:txbxContent>
                </v:textbox>
                <w10:wrap type="through"/>
              </v:roundrect>
            </w:pict>
          </mc:Fallback>
        </mc:AlternateContent>
      </w:r>
      <w:r>
        <w:rPr>
          <w:noProof/>
          <w:lang w:eastAsia="fr-FR"/>
        </w:rPr>
        <mc:AlternateContent>
          <mc:Choice Requires="wps">
            <w:drawing>
              <wp:anchor distT="0" distB="0" distL="114300" distR="114300" simplePos="0" relativeHeight="253257728" behindDoc="0" locked="0" layoutInCell="1" allowOverlap="1" wp14:anchorId="7C51EBEF" wp14:editId="0F37F18B">
                <wp:simplePos x="0" y="0"/>
                <wp:positionH relativeFrom="column">
                  <wp:posOffset>-685800</wp:posOffset>
                </wp:positionH>
                <wp:positionV relativeFrom="paragraph">
                  <wp:posOffset>2023110</wp:posOffset>
                </wp:positionV>
                <wp:extent cx="4114800" cy="457200"/>
                <wp:effectExtent l="0" t="0" r="0" b="0"/>
                <wp:wrapSquare wrapText="bothSides"/>
                <wp:docPr id="865" name="Zone de texte 865"/>
                <wp:cNvGraphicFramePr/>
                <a:graphic xmlns:a="http://schemas.openxmlformats.org/drawingml/2006/main">
                  <a:graphicData uri="http://schemas.microsoft.com/office/word/2010/wordprocessingShape">
                    <wps:wsp>
                      <wps:cNvSpPr txBox="1"/>
                      <wps:spPr>
                        <a:xfrm>
                          <a:off x="0" y="0"/>
                          <a:ext cx="4114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D3383B" w14:textId="05D5CCCE" w:rsidR="00573C95" w:rsidRPr="00283017" w:rsidRDefault="00573C95" w:rsidP="00283017">
                            <w:pPr>
                              <w:rPr>
                                <w:sz w:val="18"/>
                                <w:szCs w:val="18"/>
                              </w:rPr>
                            </w:pPr>
                            <w:r>
                              <w:t xml:space="preserve">James Glassman et Kevin Hassett, </w:t>
                            </w:r>
                            <w:r w:rsidRPr="0048248B">
                              <w:rPr>
                                <w:sz w:val="18"/>
                                <w:szCs w:val="18"/>
                              </w:rPr>
                              <w:t>Éc</w:t>
                            </w:r>
                            <w:r w:rsidRPr="00283017">
                              <w:rPr>
                                <w:sz w:val="18"/>
                                <w:szCs w:val="18"/>
                              </w:rPr>
                              <w:t xml:space="preserve">onomistes influents </w:t>
                            </w:r>
                            <w:r>
                              <w:rPr>
                                <w:sz w:val="18"/>
                                <w:szCs w:val="18"/>
                              </w:rPr>
                              <w:t>et auteurs, en 1999.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65" o:spid="_x0000_s1596" type="#_x0000_t202" style="position:absolute;margin-left:-53.95pt;margin-top:159.3pt;width:324pt;height:36pt;z-index:2532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" filled="f" stroked="f">
                <v:textbox>
                  <w:txbxContent>
                    <w:p w14:paraId="6AD3383B" w14:textId="05D5CCCE" w:rsidR="001501D6" w:rsidRPr="00283017" w:rsidRDefault="001501D6" w:rsidP="00283017">
                      <w:pPr>
                        <w:rPr>
                          <w:sz w:val="18"/>
                          <w:szCs w:val="18"/>
                        </w:rPr>
                      </w:pPr>
                      <w:r>
                        <w:t xml:space="preserve">James Glassman et Kevin Hassett, </w:t>
                      </w:r>
                      <w:r w:rsidRPr="0048248B">
                        <w:rPr>
                          <w:sz w:val="18"/>
                          <w:szCs w:val="18"/>
                        </w:rPr>
                        <w:t>Éc</w:t>
                      </w:r>
                      <w:r w:rsidRPr="00283017">
                        <w:rPr>
                          <w:sz w:val="18"/>
                          <w:szCs w:val="18"/>
                        </w:rPr>
                        <w:t xml:space="preserve">onomistes influents </w:t>
                      </w:r>
                      <w:r>
                        <w:rPr>
                          <w:sz w:val="18"/>
                          <w:szCs w:val="18"/>
                        </w:rPr>
                        <w:t>et auteurs, en 1999.</w:t>
                      </w:r>
                    </w:p>
                  </w:txbxContent>
                </v:textbox>
                <w10:wrap type="square"/>
              </v:shape>
            </w:pict>
          </mc:Fallback>
        </mc:AlternateContent>
      </w:r>
      <w:r w:rsidR="00540FD9">
        <w:rPr>
          <w:noProof/>
          <w:lang w:eastAsia="fr-FR"/>
        </w:rPr>
        <w:drawing>
          <wp:anchor distT="0" distB="0" distL="114300" distR="114300" simplePos="0" relativeHeight="253255680" behindDoc="0" locked="0" layoutInCell="1" allowOverlap="1" wp14:anchorId="7114821C" wp14:editId="08408B32">
            <wp:simplePos x="0" y="0"/>
            <wp:positionH relativeFrom="column">
              <wp:posOffset>685800</wp:posOffset>
            </wp:positionH>
            <wp:positionV relativeFrom="paragraph">
              <wp:posOffset>1315085</wp:posOffset>
            </wp:positionV>
            <wp:extent cx="457200" cy="430530"/>
            <wp:effectExtent l="0" t="0" r="0" b="1270"/>
            <wp:wrapNone/>
            <wp:docPr id="864" name="Image 864" descr="Macintosh HD:Users:marcbachand:Desktop:Capture d’écran 2015-12-22 à 14.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2-22 à 14.36.20.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57200" cy="4305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40FD9">
        <w:rPr>
          <w:noProof/>
          <w:lang w:eastAsia="fr-FR"/>
        </w:rPr>
        <w:drawing>
          <wp:anchor distT="0" distB="0" distL="114300" distR="114300" simplePos="0" relativeHeight="253253632" behindDoc="0" locked="0" layoutInCell="1" allowOverlap="1" wp14:anchorId="4D4347F2" wp14:editId="1A7CB1B9">
            <wp:simplePos x="0" y="0"/>
            <wp:positionH relativeFrom="column">
              <wp:posOffset>0</wp:posOffset>
            </wp:positionH>
            <wp:positionV relativeFrom="paragraph">
              <wp:posOffset>1315085</wp:posOffset>
            </wp:positionV>
            <wp:extent cx="457200" cy="430530"/>
            <wp:effectExtent l="0" t="0" r="0" b="1270"/>
            <wp:wrapNone/>
            <wp:docPr id="863" name="Image 863" descr="Macintosh HD:Users:marcbachand:Desktop:Capture d’écran 2015-12-22 à 14.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2-22 à 14.36.20.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57200" cy="4305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57811">
        <w:br w:type="page"/>
      </w:r>
    </w:p>
    <w:p w14:paraId="50EE3FCB" w14:textId="442ED365" w:rsidR="00663088" w:rsidRDefault="000A4F38" w:rsidP="003E4EAC">
      <w:pPr>
        <w:jc w:val="both"/>
      </w:pPr>
      <w:r>
        <w:lastRenderedPageBreak/>
        <w:t xml:space="preserve">Lorsque </w:t>
      </w:r>
      <w:r w:rsidR="0035259C">
        <w:t>nous étudions</w:t>
      </w:r>
      <w:r>
        <w:t xml:space="preserve"> le parcours historique des sciences économiques,</w:t>
      </w:r>
      <w:r w:rsidR="0035259C">
        <w:t xml:space="preserve"> nous observons deux grands constats; si les économistes arrivent à expliquer de manière</w:t>
      </w:r>
      <w:r w:rsidR="003E4EAC">
        <w:t>s</w:t>
      </w:r>
      <w:r w:rsidR="0035259C">
        <w:t xml:space="preserve"> théoriques</w:t>
      </w:r>
      <w:r w:rsidR="001454A3">
        <w:t xml:space="preserve"> et adéquates </w:t>
      </w:r>
      <w:r w:rsidR="0035259C">
        <w:t>les phénomènes qui appartiennent au passé, leur</w:t>
      </w:r>
      <w:r w:rsidR="003E4EAC">
        <w:t>s</w:t>
      </w:r>
      <w:r w:rsidR="0035259C">
        <w:t xml:space="preserve"> aptitude</w:t>
      </w:r>
      <w:r w:rsidR="003E4EAC">
        <w:t>s</w:t>
      </w:r>
      <w:r w:rsidR="0035259C">
        <w:t xml:space="preserve"> à prévoir les événements futurs </w:t>
      </w:r>
      <w:r w:rsidR="003E4EAC">
        <w:t xml:space="preserve">font l'objet d'opinions très mitigées. En effet, récemment,  très peu d'économistes ont su prévoir la crise </w:t>
      </w:r>
      <w:r w:rsidR="00A15D8F">
        <w:t>financière</w:t>
      </w:r>
      <w:r w:rsidR="003E4EAC">
        <w:t xml:space="preserve"> de 2008. De plus, un </w:t>
      </w:r>
      <w:r w:rsidR="00CB1216">
        <w:t xml:space="preserve">article </w:t>
      </w:r>
      <w:r w:rsidR="003E4EAC">
        <w:t xml:space="preserve">récent de Andrew Chang et Philip Li </w:t>
      </w:r>
      <w:r w:rsidR="001454A3">
        <w:t xml:space="preserve">a </w:t>
      </w:r>
      <w:r w:rsidR="003E4EAC">
        <w:t>démontr</w:t>
      </w:r>
      <w:r w:rsidR="001454A3">
        <w:t>é</w:t>
      </w:r>
      <w:r w:rsidR="003E4EAC">
        <w:t xml:space="preserve"> que les études menées en économie ont un très faible taux de </w:t>
      </w:r>
      <w:r w:rsidR="00C939CA">
        <w:t>reproduction des résultats obtenus à partir d'expériences antérieures. "A</w:t>
      </w:r>
      <w:r w:rsidR="003E4EAC" w:rsidRPr="003E4EAC">
        <w:t>près avoir obtenu les données et le code de 67 articles publiés dans des revues à comité de lecture, les auteurs, Andrew Chang et Phi</w:t>
      </w:r>
      <w:r w:rsidR="004819C5">
        <w:t>ll</w:t>
      </w:r>
      <w:r w:rsidR="003E4EAC" w:rsidRPr="003E4EAC">
        <w:t xml:space="preserve">ip Li, ne sont parvenus à reproduire les </w:t>
      </w:r>
      <w:r w:rsidR="003E4EAC" w:rsidRPr="00C939CA">
        <w:t xml:space="preserve">résultats que de 22 (33 %) d’entre elles </w:t>
      </w:r>
      <w:r w:rsidR="003E4EAC" w:rsidRPr="003E4EAC">
        <w:t>sans l’aide des auteurs originaux, et de 49 % avec de l’aide</w:t>
      </w:r>
      <w:r w:rsidR="00C939CA">
        <w:rPr>
          <w:rStyle w:val="Marquenotebasdepage"/>
        </w:rPr>
        <w:footnoteReference w:customMarkFollows="1" w:id="84"/>
        <w:t>81</w:t>
      </w:r>
      <w:r w:rsidR="003E4EAC" w:rsidRPr="003E4EAC">
        <w:t>.</w:t>
      </w:r>
      <w:r w:rsidR="00C939CA">
        <w:t>"</w:t>
      </w:r>
    </w:p>
    <w:p w14:paraId="61972F36" w14:textId="26567817" w:rsidR="00663088" w:rsidRDefault="00663088" w:rsidP="003E4EAC">
      <w:pPr>
        <w:jc w:val="both"/>
      </w:pPr>
      <w:r>
        <w:rPr>
          <w:noProof/>
          <w:lang w:eastAsia="fr-FR"/>
        </w:rPr>
        <w:drawing>
          <wp:anchor distT="0" distB="0" distL="114300" distR="114300" simplePos="0" relativeHeight="253267968" behindDoc="1" locked="0" layoutInCell="1" allowOverlap="1" wp14:anchorId="7DA3B446" wp14:editId="6B7AE732">
            <wp:simplePos x="0" y="0"/>
            <wp:positionH relativeFrom="column">
              <wp:posOffset>5943600</wp:posOffset>
            </wp:positionH>
            <wp:positionV relativeFrom="paragraph">
              <wp:posOffset>33020</wp:posOffset>
            </wp:positionV>
            <wp:extent cx="685800" cy="681990"/>
            <wp:effectExtent l="0" t="0" r="0" b="3810"/>
            <wp:wrapNone/>
            <wp:docPr id="871" name="Image 871" descr="Macintosh HD:Users:marcbachand:Desktop:Capture d’écran 2015-06-08 à 17.04.54.pn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E489F38" w14:textId="6F262B42" w:rsidR="00663088" w:rsidRDefault="00663088" w:rsidP="003E4EAC">
      <w:pPr>
        <w:jc w:val="both"/>
      </w:pPr>
    </w:p>
    <w:p w14:paraId="553C2E06" w14:textId="77777777" w:rsidR="00663088" w:rsidRDefault="00573C95" w:rsidP="00663088">
      <w:pPr>
        <w:jc w:val="both"/>
        <w:rPr>
          <w:color w:val="FF6700" w:themeColor="accent3"/>
        </w:rPr>
      </w:pPr>
      <w:hyperlink r:id="rId188" w:history="1">
        <w:r w:rsidR="00663088">
          <w:rPr>
            <w:rStyle w:val="Lienhypertexte"/>
            <w:color w:val="FF6700" w:themeColor="accent3"/>
          </w:rPr>
          <w:t>Pour consulter l'étude de Andrew Chang et de Phillip Li (Federal Reserve Board)</w:t>
        </w:r>
      </w:hyperlink>
    </w:p>
    <w:p w14:paraId="092E8D36" w14:textId="77777777" w:rsidR="00663088" w:rsidRDefault="00663088" w:rsidP="003E4EAC">
      <w:pPr>
        <w:jc w:val="both"/>
      </w:pPr>
    </w:p>
    <w:p w14:paraId="231112DE" w14:textId="77777777" w:rsidR="00663088" w:rsidRDefault="00663088" w:rsidP="003E4EAC">
      <w:pPr>
        <w:jc w:val="both"/>
      </w:pPr>
    </w:p>
    <w:p w14:paraId="1D44B8BB" w14:textId="0F3960B4" w:rsidR="0046360A" w:rsidRDefault="00D30194" w:rsidP="003E4EAC">
      <w:pPr>
        <w:jc w:val="both"/>
      </w:pPr>
      <w:r>
        <w:t xml:space="preserve">Cette évidente limitation quant à la capacité des sciences économiques et des sommités qui en font partie à prévoir des événements futurs devrait laisser </w:t>
      </w:r>
      <w:r w:rsidRPr="00D30194">
        <w:rPr>
          <w:color w:val="FF6700" w:themeColor="accent3"/>
        </w:rPr>
        <w:t>PERPLEXE</w:t>
      </w:r>
      <w:r w:rsidR="00BF4F8F">
        <w:rPr>
          <w:color w:val="FF6700" w:themeColor="accent3"/>
        </w:rPr>
        <w:t>S</w:t>
      </w:r>
      <w:r>
        <w:t xml:space="preserve"> tou</w:t>
      </w:r>
      <w:r w:rsidR="00BF4F8F">
        <w:t>s</w:t>
      </w:r>
      <w:r>
        <w:t xml:space="preserve"> ceux et celles qui espèrent adopter une stratégie de placements où les conseillers financiers réussissent à déjouer les force</w:t>
      </w:r>
      <w:r w:rsidR="00BF4F8F">
        <w:t>s</w:t>
      </w:r>
      <w:r>
        <w:t xml:space="preserve"> du marché</w:t>
      </w:r>
      <w:r w:rsidR="001454A3">
        <w:t>, à tout coup</w:t>
      </w:r>
      <w:r>
        <w:t>.</w:t>
      </w:r>
      <w:r w:rsidR="00A67359">
        <w:t xml:space="preserve"> Imaginons le nombre impressionnant de variables qui devrait faire l'objet d'anticipation par les conseillers financiers qui souhaiteraient épargner </w:t>
      </w:r>
      <w:r w:rsidR="00627C7E">
        <w:t>les mouvements de repli des marchés à leurs client</w:t>
      </w:r>
      <w:r w:rsidR="00BF4F8F">
        <w:t>s</w:t>
      </w:r>
      <w:r w:rsidR="00627C7E">
        <w:t xml:space="preserve"> tout en répondant présent lors des envolées boursières. Pour arriver à un tel résultat, le conseiller devrait</w:t>
      </w:r>
      <w:r w:rsidR="00663088">
        <w:t>, notamment,</w:t>
      </w:r>
      <w:r w:rsidR="00627C7E">
        <w:t xml:space="preserve"> être capable d'apercevoir dans sa boule de cristal</w:t>
      </w:r>
      <w:r w:rsidR="0046360A">
        <w:t>:</w:t>
      </w:r>
    </w:p>
    <w:p w14:paraId="11A7B2E2" w14:textId="77777777" w:rsidR="0046360A" w:rsidRDefault="0046360A" w:rsidP="003E4EAC">
      <w:pPr>
        <w:jc w:val="both"/>
      </w:pPr>
    </w:p>
    <w:p w14:paraId="69864923" w14:textId="6FD458A1" w:rsidR="0046360A" w:rsidRDefault="0046360A" w:rsidP="006C34CF">
      <w:pPr>
        <w:pStyle w:val="Paragraphedeliste"/>
        <w:numPr>
          <w:ilvl w:val="0"/>
          <w:numId w:val="124"/>
        </w:numPr>
        <w:ind w:firstLine="273"/>
        <w:jc w:val="both"/>
      </w:pPr>
      <w:r>
        <w:t>L</w:t>
      </w:r>
      <w:r w:rsidR="00627C7E">
        <w:t>'évolution des taux d'intérêt</w:t>
      </w:r>
    </w:p>
    <w:p w14:paraId="151BC451" w14:textId="352875D8" w:rsidR="0046360A" w:rsidRDefault="0046360A" w:rsidP="006C34CF">
      <w:pPr>
        <w:pStyle w:val="Paragraphedeliste"/>
        <w:numPr>
          <w:ilvl w:val="0"/>
          <w:numId w:val="124"/>
        </w:numPr>
        <w:ind w:firstLine="273"/>
        <w:jc w:val="both"/>
      </w:pPr>
      <w:r>
        <w:t>L'</w:t>
      </w:r>
      <w:r w:rsidR="00627C7E">
        <w:t>anticip</w:t>
      </w:r>
      <w:r>
        <w:t>ation</w:t>
      </w:r>
      <w:r w:rsidR="00627C7E">
        <w:t xml:space="preserve"> </w:t>
      </w:r>
      <w:r>
        <w:t>du</w:t>
      </w:r>
      <w:r w:rsidR="00627C7E">
        <w:t xml:space="preserve"> prix du baril de pétrole</w:t>
      </w:r>
    </w:p>
    <w:p w14:paraId="74CFBDEF" w14:textId="3900826D" w:rsidR="0046360A" w:rsidRDefault="0046360A" w:rsidP="006C34CF">
      <w:pPr>
        <w:pStyle w:val="Paragraphedeliste"/>
        <w:numPr>
          <w:ilvl w:val="0"/>
          <w:numId w:val="124"/>
        </w:numPr>
        <w:ind w:firstLine="273"/>
        <w:jc w:val="both"/>
      </w:pPr>
      <w:r>
        <w:t>La prévision</w:t>
      </w:r>
      <w:r w:rsidR="00627C7E">
        <w:t xml:space="preserve"> </w:t>
      </w:r>
      <w:r>
        <w:t>d</w:t>
      </w:r>
      <w:r w:rsidR="00627C7E">
        <w:t>es périodes de récession</w:t>
      </w:r>
    </w:p>
    <w:p w14:paraId="66C86A51" w14:textId="6650EFC5" w:rsidR="0046360A" w:rsidRDefault="0046360A" w:rsidP="006C34CF">
      <w:pPr>
        <w:pStyle w:val="Paragraphedeliste"/>
        <w:numPr>
          <w:ilvl w:val="0"/>
          <w:numId w:val="124"/>
        </w:numPr>
        <w:ind w:firstLine="273"/>
        <w:jc w:val="both"/>
      </w:pPr>
      <w:r>
        <w:t>La prédiction d</w:t>
      </w:r>
      <w:r w:rsidR="00627C7E">
        <w:t xml:space="preserve">es chocs ou </w:t>
      </w:r>
      <w:r>
        <w:t xml:space="preserve">des flambés </w:t>
      </w:r>
      <w:r w:rsidR="00627C7E">
        <w:t>immobilier</w:t>
      </w:r>
      <w:r>
        <w:t>s</w:t>
      </w:r>
    </w:p>
    <w:p w14:paraId="54DD4AFD" w14:textId="79B88F66" w:rsidR="0046360A" w:rsidRDefault="0046360A" w:rsidP="006C34CF">
      <w:pPr>
        <w:pStyle w:val="Paragraphedeliste"/>
        <w:numPr>
          <w:ilvl w:val="0"/>
          <w:numId w:val="124"/>
        </w:numPr>
        <w:ind w:firstLine="273"/>
        <w:jc w:val="both"/>
      </w:pPr>
      <w:r>
        <w:t>La connaissance d'avance de la progression des taux de change</w:t>
      </w:r>
    </w:p>
    <w:p w14:paraId="766118C1" w14:textId="0ED1284A" w:rsidR="0046360A" w:rsidRDefault="0046360A" w:rsidP="006C34CF">
      <w:pPr>
        <w:pStyle w:val="Paragraphedeliste"/>
        <w:numPr>
          <w:ilvl w:val="0"/>
          <w:numId w:val="124"/>
        </w:numPr>
        <w:ind w:firstLine="273"/>
        <w:jc w:val="both"/>
      </w:pPr>
      <w:r>
        <w:t>Le pressentiment de la venue de</w:t>
      </w:r>
      <w:r w:rsidR="00627C7E">
        <w:t xml:space="preserve"> conflits mondiaux</w:t>
      </w:r>
    </w:p>
    <w:p w14:paraId="3383C9E5" w14:textId="6E6E9360" w:rsidR="0046360A" w:rsidRDefault="0046360A" w:rsidP="006C34CF">
      <w:pPr>
        <w:pStyle w:val="Paragraphedeliste"/>
        <w:numPr>
          <w:ilvl w:val="0"/>
          <w:numId w:val="124"/>
        </w:numPr>
        <w:ind w:firstLine="273"/>
        <w:jc w:val="both"/>
      </w:pPr>
      <w:r>
        <w:t>L</w:t>
      </w:r>
      <w:r w:rsidR="00A15D8F">
        <w:t>e</w:t>
      </w:r>
      <w:r>
        <w:t xml:space="preserve"> disc</w:t>
      </w:r>
      <w:r w:rsidR="00A15D8F">
        <w:t>ernement</w:t>
      </w:r>
      <w:r>
        <w:t xml:space="preserve"> des secteurs économique qui seront à la hausse de ceux qui seront à la baisse</w:t>
      </w:r>
    </w:p>
    <w:p w14:paraId="53FD33E9" w14:textId="2BE8EFFD" w:rsidR="003E4EAC" w:rsidRDefault="00663088" w:rsidP="003E4EAC">
      <w:pPr>
        <w:jc w:val="both"/>
      </w:pPr>
      <w:r>
        <w:lastRenderedPageBreak/>
        <w:t xml:space="preserve">En réalité, l'exercice de </w:t>
      </w:r>
      <w:r w:rsidRPr="00663088">
        <w:rPr>
          <w:color w:val="FF6700" w:themeColor="accent3"/>
        </w:rPr>
        <w:t>PRÉDICTION</w:t>
      </w:r>
      <w:r>
        <w:t xml:space="preserve"> sur la fluctuation des marchés donne la plupart du temps des résultats équivalent</w:t>
      </w:r>
      <w:r w:rsidR="0047342F">
        <w:t>s</w:t>
      </w:r>
      <w:r>
        <w:t xml:space="preserve"> </w:t>
      </w:r>
      <w:r w:rsidR="0001706E">
        <w:t xml:space="preserve">ou inférieurs </w:t>
      </w:r>
      <w:r>
        <w:t>à ceux qui seraient obtenus par des chimpanzés lançant des fléchettes dans un jeu de dards.</w:t>
      </w:r>
    </w:p>
    <w:p w14:paraId="2DE1185D" w14:textId="77777777" w:rsidR="0046360A" w:rsidRDefault="0046360A" w:rsidP="003E4EAC">
      <w:pPr>
        <w:jc w:val="both"/>
      </w:pPr>
    </w:p>
    <w:p w14:paraId="4297002C" w14:textId="6677EBE9" w:rsidR="00A15D8F" w:rsidRDefault="003E7C4A" w:rsidP="00A15D8F">
      <w:pPr>
        <w:jc w:val="both"/>
      </w:pPr>
      <w:r>
        <w:t>L'</w:t>
      </w:r>
      <w:r w:rsidR="00A15D8F">
        <w:t>approche</w:t>
      </w:r>
      <w:r>
        <w:t xml:space="preserve"> à préconiser</w:t>
      </w:r>
      <w:r w:rsidR="00A15D8F">
        <w:t xml:space="preserve"> se veut donc à l'opposé de celle qui exigerait une synchronisation des marchés. C'est-à-dire </w:t>
      </w:r>
      <w:r w:rsidR="004D2093">
        <w:t xml:space="preserve">de </w:t>
      </w:r>
      <w:r w:rsidR="00A15D8F">
        <w:t xml:space="preserve">faire l'achat d'un titre lorsqu'il atteint son prix plancher pour arriver à le vendre lorsqu'il atteint le prix sommet. </w:t>
      </w:r>
      <w:r w:rsidR="004D2093">
        <w:t xml:space="preserve">Ce genre de prédiction, à court terme, bien qu'elle corresponde théoriquement au meilleur scénario possible, ne constitue pas à notre avis une assise solide à une stratégie de placement adéquate pour la plupart des gens. </w:t>
      </w:r>
      <w:r w:rsidR="000A6772">
        <w:t xml:space="preserve">De </w:t>
      </w:r>
      <w:r w:rsidR="004D2093">
        <w:t>manière isolée</w:t>
      </w:r>
      <w:r w:rsidR="000A6772">
        <w:t xml:space="preserve"> et sporadique</w:t>
      </w:r>
      <w:r w:rsidR="004D2093">
        <w:t>, le rendement d'une telle opération, qui vise à être plus futé</w:t>
      </w:r>
      <w:r w:rsidR="00D45945">
        <w:t>e</w:t>
      </w:r>
      <w:r w:rsidR="004D2093">
        <w:t xml:space="preserve"> que le marché, peut être spectaculaire</w:t>
      </w:r>
      <w:r w:rsidR="000A6772">
        <w:t xml:space="preserve">. Dans l'exubérance d'un tel gain facile et rapide, </w:t>
      </w:r>
      <w:r w:rsidR="00D45945">
        <w:t>i</w:t>
      </w:r>
      <w:r w:rsidR="000A6772">
        <w:t>l ne faut pas oublier qu'un niveau de</w:t>
      </w:r>
      <w:r w:rsidR="004D2093">
        <w:t xml:space="preserve"> risque </w:t>
      </w:r>
      <w:r w:rsidR="000A6772">
        <w:t xml:space="preserve">très élevé a été également </w:t>
      </w:r>
      <w:r w:rsidR="00D45945">
        <w:t>présumé</w:t>
      </w:r>
      <w:r w:rsidR="000A6772">
        <w:t xml:space="preserve"> par l'investisseur. La relation rendement-risque est toujours présente dans l'écosystème des investissements.</w:t>
      </w:r>
    </w:p>
    <w:p w14:paraId="14D9DCA0" w14:textId="77777777" w:rsidR="00A15D8F" w:rsidRDefault="00A15D8F" w:rsidP="00F32984"/>
    <w:p w14:paraId="79C56A0F" w14:textId="3021CAA4" w:rsidR="000A6772" w:rsidRDefault="003E7C4A" w:rsidP="00F32984">
      <w:r>
        <w:t>La démarche à prôner</w:t>
      </w:r>
      <w:r w:rsidR="000A6772">
        <w:t xml:space="preserve"> vise à maximiser le rendement d'un investisseur</w:t>
      </w:r>
      <w:r w:rsidR="00851544">
        <w:t>, sur une période à long terme,</w:t>
      </w:r>
      <w:r w:rsidR="000A6772">
        <w:t xml:space="preserve"> en tenant compte </w:t>
      </w:r>
      <w:r w:rsidR="00851544">
        <w:t xml:space="preserve">du niveau de risque qu'il est prêt à assumer. De manière plus concrète, </w:t>
      </w:r>
      <w:r w:rsidR="009735FC">
        <w:t>cette stratégie s'appuie sur</w:t>
      </w:r>
      <w:r w:rsidR="00851544">
        <w:t xml:space="preserve"> les principes de placement suivants:</w:t>
      </w:r>
    </w:p>
    <w:p w14:paraId="7587FFCF" w14:textId="77777777" w:rsidR="008F5DFA" w:rsidRDefault="008F5DFA" w:rsidP="00F32984"/>
    <w:p w14:paraId="72864D4D" w14:textId="4654E28A" w:rsidR="008F5DFA" w:rsidRPr="00A4279E" w:rsidRDefault="00701E37" w:rsidP="006C34CF">
      <w:pPr>
        <w:pStyle w:val="Paragraphedeliste"/>
        <w:numPr>
          <w:ilvl w:val="0"/>
          <w:numId w:val="126"/>
        </w:numPr>
        <w:ind w:left="709" w:hanging="425"/>
        <w:rPr>
          <w:color w:val="FF6700" w:themeColor="accent3"/>
        </w:rPr>
      </w:pPr>
      <w:r>
        <w:rPr>
          <w:color w:val="FF6700" w:themeColor="accent3"/>
        </w:rPr>
        <w:t>Le maintient de l'économie de marché et du système capitaliste</w:t>
      </w:r>
    </w:p>
    <w:p w14:paraId="713840F8" w14:textId="77777777" w:rsidR="00A4279E" w:rsidRDefault="00A4279E" w:rsidP="00F32984"/>
    <w:p w14:paraId="3B1AE2EE" w14:textId="16497DAE" w:rsidR="00A97CC4" w:rsidRDefault="00A97CC4" w:rsidP="00A97CC4">
      <w:pPr>
        <w:jc w:val="both"/>
      </w:pPr>
      <w:r>
        <w:t xml:space="preserve">Il va de soi, pourtant il est bon de rappeler qu'il n'existe aucune stratégie d'investissement qui résisterait à la chute de tout un système économique. Ce principe de grande évidence pourra être utile lorsqu'il sera nécessaire de relativiser la stratégie de placement et d'aborder la notion du risque zéro et de son impact sur les rendements. Le principe du maintient de l'économie de marché et du système capitaliste permet </w:t>
      </w:r>
      <w:r w:rsidR="00CB4A32">
        <w:t xml:space="preserve">également </w:t>
      </w:r>
      <w:r>
        <w:t xml:space="preserve">d'utiliser les données et les comportements historiques des cycles boursiers dans l'atteinte des objectifs de rendement </w:t>
      </w:r>
      <w:r w:rsidR="00547069">
        <w:t>à long terme.</w:t>
      </w:r>
    </w:p>
    <w:p w14:paraId="41839024" w14:textId="77777777" w:rsidR="00701E37" w:rsidRDefault="00701E37" w:rsidP="00F32984"/>
    <w:p w14:paraId="1AB003DA" w14:textId="16B70F12" w:rsidR="00A4279E" w:rsidRPr="00A4279E" w:rsidRDefault="00701E37" w:rsidP="006C34CF">
      <w:pPr>
        <w:pStyle w:val="Paragraphedeliste"/>
        <w:numPr>
          <w:ilvl w:val="0"/>
          <w:numId w:val="126"/>
        </w:numPr>
        <w:ind w:left="709" w:hanging="425"/>
        <w:rPr>
          <w:color w:val="FF6700" w:themeColor="accent3"/>
        </w:rPr>
      </w:pPr>
      <w:r>
        <w:rPr>
          <w:color w:val="FF6700" w:themeColor="accent3"/>
        </w:rPr>
        <w:t>La prise en compte du</w:t>
      </w:r>
      <w:r w:rsidR="00A4279E" w:rsidRPr="00A4279E">
        <w:rPr>
          <w:color w:val="FF6700" w:themeColor="accent3"/>
        </w:rPr>
        <w:t xml:space="preserve"> risque</w:t>
      </w:r>
      <w:r>
        <w:rPr>
          <w:color w:val="FF6700" w:themeColor="accent3"/>
        </w:rPr>
        <w:t xml:space="preserve"> et de ses conséquences</w:t>
      </w:r>
    </w:p>
    <w:p w14:paraId="162156AB" w14:textId="77777777" w:rsidR="00A4279E" w:rsidRDefault="00A4279E" w:rsidP="00F32984"/>
    <w:p w14:paraId="1C673E3A" w14:textId="662F2716" w:rsidR="00CB4A32" w:rsidRDefault="0063001E" w:rsidP="00FC196B">
      <w:pPr>
        <w:jc w:val="both"/>
      </w:pPr>
      <w:r>
        <w:t>Ce principe vise à reconnaître qu'il faut tout d'abord fixer le niveau de risque que l'investisseur est prêt à assumer et que celui-ci dictera le potentiel de rendement (il peut être positif ou négatif) et non le contraire.</w:t>
      </w:r>
      <w:r w:rsidR="00FC196B">
        <w:t xml:space="preserve"> Si l'on considère le premier principe du maintient de l'économie du marché, le risque zéro ne correspondrait pas </w:t>
      </w:r>
      <w:r w:rsidR="00FC196B">
        <w:lastRenderedPageBreak/>
        <w:t>à garder son argent dans un bas de laine</w:t>
      </w:r>
      <w:r w:rsidR="00543395">
        <w:t>, mais</w:t>
      </w:r>
      <w:r w:rsidR="00FC196B">
        <w:t xml:space="preserve"> plutôt </w:t>
      </w:r>
      <w:r w:rsidR="00DD3A10">
        <w:t xml:space="preserve">à </w:t>
      </w:r>
      <w:r w:rsidR="00543395">
        <w:t>investi</w:t>
      </w:r>
      <w:r w:rsidR="00DD3A10">
        <w:t>r</w:t>
      </w:r>
      <w:r w:rsidR="00543395">
        <w:t xml:space="preserve"> dans l</w:t>
      </w:r>
      <w:r w:rsidR="00FC196B">
        <w:t>e</w:t>
      </w:r>
      <w:r w:rsidR="00543395">
        <w:t xml:space="preserve">s obligations du trésor </w:t>
      </w:r>
      <w:r w:rsidR="002A700A">
        <w:t>émis par le gouvernement</w:t>
      </w:r>
      <w:r w:rsidR="00543395">
        <w:t xml:space="preserve"> </w:t>
      </w:r>
      <w:r w:rsidR="002A700A">
        <w:t xml:space="preserve">d'un État </w:t>
      </w:r>
      <w:r w:rsidR="00543395">
        <w:t xml:space="preserve">de droit, où l'on retrouve une stabilité politique et un pourvoir de taxation (en cas de problème de solvabilité) permettant </w:t>
      </w:r>
      <w:r w:rsidR="00606B0E">
        <w:t xml:space="preserve">ainsi </w:t>
      </w:r>
      <w:r w:rsidR="00543395">
        <w:t>le remboursement des obligations à échéance.</w:t>
      </w:r>
      <w:r w:rsidR="002A700A">
        <w:t xml:space="preserve"> Il faut noter que si l'investissement est effectué dans les bons du </w:t>
      </w:r>
      <w:r w:rsidR="00D45945">
        <w:t>T</w:t>
      </w:r>
      <w:r w:rsidR="002A700A">
        <w:t>résor d'un pays étranger, le risque de taux de change devient alors un facteur à considérer.</w:t>
      </w:r>
      <w:r w:rsidR="00606B0E">
        <w:t xml:space="preserve"> La relation rendement-risque se doit d'être </w:t>
      </w:r>
      <w:r w:rsidR="002A700A">
        <w:t>évaluée</w:t>
      </w:r>
      <w:r w:rsidR="00606B0E">
        <w:t xml:space="preserve"> à partir de ce point de départ</w:t>
      </w:r>
      <w:r w:rsidR="002A700A">
        <w:t xml:space="preserve"> pour tendre vers sa limite acceptable par l'investisseur avisé et conscient des enjeux</w:t>
      </w:r>
      <w:r w:rsidR="00606B0E">
        <w:t>.</w:t>
      </w:r>
      <w:r w:rsidR="00FC196B">
        <w:t xml:space="preserve"> </w:t>
      </w:r>
      <w:r>
        <w:t xml:space="preserve"> </w:t>
      </w:r>
    </w:p>
    <w:p w14:paraId="5435170F" w14:textId="77777777" w:rsidR="00851544" w:rsidRDefault="00851544" w:rsidP="00F32984"/>
    <w:p w14:paraId="7F0A8232" w14:textId="3A212358" w:rsidR="009735FC" w:rsidRPr="00A4279E" w:rsidRDefault="00701E37" w:rsidP="006C34CF">
      <w:pPr>
        <w:pStyle w:val="Paragraphedeliste"/>
        <w:numPr>
          <w:ilvl w:val="0"/>
          <w:numId w:val="126"/>
        </w:numPr>
        <w:ind w:left="709" w:hanging="425"/>
        <w:rPr>
          <w:color w:val="FF6700" w:themeColor="accent3"/>
        </w:rPr>
      </w:pPr>
      <w:r>
        <w:rPr>
          <w:color w:val="FF6700" w:themeColor="accent3"/>
        </w:rPr>
        <w:t xml:space="preserve">Des attentes cohérentes </w:t>
      </w:r>
      <w:r w:rsidR="009735FC" w:rsidRPr="00A4279E">
        <w:rPr>
          <w:color w:val="FF6700" w:themeColor="accent3"/>
        </w:rPr>
        <w:t>en matière de rendement</w:t>
      </w:r>
    </w:p>
    <w:p w14:paraId="45BC13BD" w14:textId="77777777" w:rsidR="00A4279E" w:rsidRDefault="00A4279E" w:rsidP="00A4279E">
      <w:pPr>
        <w:ind w:left="633"/>
      </w:pPr>
    </w:p>
    <w:p w14:paraId="038A21D4" w14:textId="48D42CB6" w:rsidR="00DD5C52" w:rsidRDefault="00A4279E" w:rsidP="009A1C31">
      <w:pPr>
        <w:jc w:val="both"/>
      </w:pPr>
      <w:r>
        <w:t>L</w:t>
      </w:r>
      <w:r w:rsidR="00315E83">
        <w:t xml:space="preserve">'expression "trop beau pour être vrai" prend tout son sens lorsque nous en sommes à </w:t>
      </w:r>
      <w:r w:rsidR="00D45945">
        <w:t>reconnaître</w:t>
      </w:r>
      <w:r w:rsidR="00315E83">
        <w:t xml:space="preserve"> l'espérance de rendement qui peut être associée aux placements privilégiés par l'investisseur. Les grands gains</w:t>
      </w:r>
      <w:r w:rsidR="00DD5C52">
        <w:t xml:space="preserve"> à court terme</w:t>
      </w:r>
      <w:r w:rsidR="00315E83">
        <w:t xml:space="preserve">  et les rendements mirobolants ne peuvent être que le témoignage </w:t>
      </w:r>
      <w:r w:rsidR="00DD5C52">
        <w:t xml:space="preserve">d'une prise en charge de risque démesurée ou </w:t>
      </w:r>
      <w:r w:rsidR="00315E83">
        <w:t>qui sont</w:t>
      </w:r>
      <w:r w:rsidR="00DD5C52">
        <w:t xml:space="preserve"> tout simplement le fruit de l'escroquerie. L'investisseur se doit d'être prudent et sceptique à l'égard de telles propositions de placement. À titre indicatif, nous souhaitons présenter les diverses hypothèses</w:t>
      </w:r>
      <w:r w:rsidR="0066535C">
        <w:t xml:space="preserve"> </w:t>
      </w:r>
      <w:r w:rsidR="00DD5C52">
        <w:t>de l'IQPF</w:t>
      </w:r>
      <w:r w:rsidR="0066535C">
        <w:rPr>
          <w:rStyle w:val="Marquenotebasdepage"/>
        </w:rPr>
        <w:footnoteReference w:customMarkFollows="1" w:id="85"/>
        <w:t>82</w:t>
      </w:r>
      <w:r w:rsidR="00DD5C52">
        <w:t xml:space="preserve"> quant aux rendements associés aux placements:</w:t>
      </w:r>
    </w:p>
    <w:p w14:paraId="23C45FD6" w14:textId="149AD918" w:rsidR="00155B8A" w:rsidRDefault="00155B8A" w:rsidP="009A1C31">
      <w:pPr>
        <w:jc w:val="both"/>
      </w:pPr>
      <w:r>
        <w:rPr>
          <w:noProof/>
          <w:lang w:eastAsia="fr-FR"/>
        </w:rPr>
        <w:drawing>
          <wp:anchor distT="0" distB="0" distL="114300" distR="114300" simplePos="0" relativeHeight="253268992" behindDoc="0" locked="0" layoutInCell="1" allowOverlap="1" wp14:anchorId="0D9969CE" wp14:editId="60BC1EFF">
            <wp:simplePos x="0" y="0"/>
            <wp:positionH relativeFrom="column">
              <wp:posOffset>342900</wp:posOffset>
            </wp:positionH>
            <wp:positionV relativeFrom="paragraph">
              <wp:posOffset>127000</wp:posOffset>
            </wp:positionV>
            <wp:extent cx="6972300" cy="2788920"/>
            <wp:effectExtent l="0" t="0" r="12700" b="5080"/>
            <wp:wrapNone/>
            <wp:docPr id="849" name="Image 849" descr="Macintosh HD:Users:marcbachand:Desktop:Capture d’écran 2016-01-06 à 08.5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6-01-06 à 08.54.46.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972300" cy="27889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FEB5AA5" w14:textId="3AFCF048" w:rsidR="004476F1" w:rsidRDefault="004476F1" w:rsidP="009A1C31">
      <w:pPr>
        <w:jc w:val="both"/>
      </w:pPr>
    </w:p>
    <w:p w14:paraId="43013B4A" w14:textId="496ABB6D" w:rsidR="004476F1" w:rsidRDefault="004476F1" w:rsidP="009A1C31">
      <w:pPr>
        <w:jc w:val="both"/>
      </w:pPr>
    </w:p>
    <w:p w14:paraId="74193DC1" w14:textId="77777777" w:rsidR="00DD5C52" w:rsidRDefault="00DD5C52" w:rsidP="009A1C31">
      <w:pPr>
        <w:jc w:val="both"/>
      </w:pPr>
    </w:p>
    <w:p w14:paraId="07630AAE" w14:textId="696F2E73" w:rsidR="00DD5C52" w:rsidRDefault="00155B8A" w:rsidP="009A1C31">
      <w:pPr>
        <w:jc w:val="both"/>
      </w:pPr>
      <w:r>
        <w:rPr>
          <w:noProof/>
          <w:lang w:eastAsia="fr-FR"/>
        </w:rPr>
        <mc:AlternateContent>
          <mc:Choice Requires="wps">
            <w:drawing>
              <wp:anchor distT="0" distB="0" distL="114300" distR="114300" simplePos="0" relativeHeight="253271040" behindDoc="0" locked="0" layoutInCell="1" allowOverlap="1" wp14:anchorId="50F3C899" wp14:editId="6955CFA9">
                <wp:simplePos x="0" y="0"/>
                <wp:positionH relativeFrom="column">
                  <wp:posOffset>3543300</wp:posOffset>
                </wp:positionH>
                <wp:positionV relativeFrom="paragraph">
                  <wp:posOffset>179705</wp:posOffset>
                </wp:positionV>
                <wp:extent cx="2743200" cy="1943100"/>
                <wp:effectExtent l="76200" t="76200" r="76200" b="63500"/>
                <wp:wrapThrough wrapText="bothSides">
                  <wp:wrapPolygon edited="0">
                    <wp:start x="-600" y="-847"/>
                    <wp:lineTo x="-600" y="22024"/>
                    <wp:lineTo x="22000" y="22024"/>
                    <wp:lineTo x="22000" y="-847"/>
                    <wp:lineTo x="-600" y="-847"/>
                  </wp:wrapPolygon>
                </wp:wrapThrough>
                <wp:docPr id="852" name="Cadre 852"/>
                <wp:cNvGraphicFramePr/>
                <a:graphic xmlns:a="http://schemas.openxmlformats.org/drawingml/2006/main">
                  <a:graphicData uri="http://schemas.microsoft.com/office/word/2010/wordprocessingShape">
                    <wps:wsp>
                      <wps:cNvSpPr/>
                      <wps:spPr>
                        <a:xfrm>
                          <a:off x="0" y="0"/>
                          <a:ext cx="2743200" cy="1943100"/>
                        </a:xfrm>
                        <a:prstGeom prst="frame">
                          <a:avLst>
                            <a:gd name="adj1" fmla="val 2083"/>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Cadre 852" o:spid="_x0000_s1026" style="position:absolute;margin-left:279pt;margin-top:14.15pt;width:3in;height:153pt;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743200,1943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" path="m0,0l2743200,,2743200,1943100,,1943100,,0xm40475,40475l40475,1902625,2702725,1902625,2702725,40475,40475,40475xe" fillcolor="#94c600 [3204]" strokecolor="#94c600 [3204]">
                <v:fill color2="#84b100 [2884]" rotate="t" focus="100%" type="gradient">
                  <o:fill v:ext="view" type="gradientUnscaled"/>
                </v:fill>
                <v:path arrowok="t" o:connecttype="custom" o:connectlocs="0,0;2743200,0;2743200,1943100;0,1943100;0,0;40475,40475;40475,1902625;2702725,1902625;2702725,40475;40475,40475" o:connectangles="0,0,0,0,0,0,0,0,0,0"/>
                <w10:wrap type="through"/>
              </v:shape>
            </w:pict>
          </mc:Fallback>
        </mc:AlternateContent>
      </w:r>
      <w:r>
        <w:rPr>
          <w:noProof/>
          <w:lang w:eastAsia="fr-FR"/>
        </w:rPr>
        <mc:AlternateContent>
          <mc:Choice Requires="wps">
            <w:drawing>
              <wp:anchor distT="0" distB="0" distL="114300" distR="114300" simplePos="0" relativeHeight="253273088" behindDoc="0" locked="0" layoutInCell="1" allowOverlap="1" wp14:anchorId="70C9CFE1" wp14:editId="47805813">
                <wp:simplePos x="0" y="0"/>
                <wp:positionH relativeFrom="column">
                  <wp:posOffset>1714500</wp:posOffset>
                </wp:positionH>
                <wp:positionV relativeFrom="paragraph">
                  <wp:posOffset>179705</wp:posOffset>
                </wp:positionV>
                <wp:extent cx="800100" cy="1943100"/>
                <wp:effectExtent l="76200" t="50800" r="63500" b="63500"/>
                <wp:wrapThrough wrapText="bothSides">
                  <wp:wrapPolygon edited="0">
                    <wp:start x="-2057" y="-565"/>
                    <wp:lineTo x="-2057" y="22024"/>
                    <wp:lineTo x="22629" y="22024"/>
                    <wp:lineTo x="22629" y="-565"/>
                    <wp:lineTo x="-2057" y="-565"/>
                  </wp:wrapPolygon>
                </wp:wrapThrough>
                <wp:docPr id="870" name="Cadre 870"/>
                <wp:cNvGraphicFramePr/>
                <a:graphic xmlns:a="http://schemas.openxmlformats.org/drawingml/2006/main">
                  <a:graphicData uri="http://schemas.microsoft.com/office/word/2010/wordprocessingShape">
                    <wps:wsp>
                      <wps:cNvSpPr/>
                      <wps:spPr>
                        <a:xfrm>
                          <a:off x="0" y="0"/>
                          <a:ext cx="800100" cy="1943100"/>
                        </a:xfrm>
                        <a:prstGeom prst="frame">
                          <a:avLst>
                            <a:gd name="adj1" fmla="val 5258"/>
                          </a:avLst>
                        </a:prstGeom>
                        <a:solidFill>
                          <a:srgbClr val="800000"/>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Cadre 870" o:spid="_x0000_s1026" style="position:absolute;margin-left:135pt;margin-top:14.15pt;width:63pt;height:153pt;z-index:2532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00100,1943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" path="m0,0l800100,,800100,1943100,,1943100,,0xm42069,42069l42069,1901031,758031,1901031,758031,42069,42069,42069xe" fillcolor="maroon" stroked="f">
                <v:path arrowok="t" o:connecttype="custom" o:connectlocs="0,0;800100,0;800100,1943100;0,1943100;0,0;42069,42069;42069,1901031;758031,1901031;758031,42069;42069,42069" o:connectangles="0,0,0,0,0,0,0,0,0,0"/>
                <w10:wrap type="through"/>
              </v:shape>
            </w:pict>
          </mc:Fallback>
        </mc:AlternateContent>
      </w:r>
    </w:p>
    <w:p w14:paraId="658C9192" w14:textId="3BF60D76" w:rsidR="004C0C0E" w:rsidRDefault="00DD5C52" w:rsidP="009A1C31">
      <w:pPr>
        <w:jc w:val="both"/>
      </w:pPr>
      <w:r>
        <w:t xml:space="preserve">  </w:t>
      </w:r>
    </w:p>
    <w:p w14:paraId="50C189AD" w14:textId="77777777" w:rsidR="004C0C0E" w:rsidRDefault="004C0C0E" w:rsidP="009A1C31">
      <w:pPr>
        <w:jc w:val="both"/>
      </w:pPr>
    </w:p>
    <w:p w14:paraId="2BCB8E76" w14:textId="77777777" w:rsidR="004C0C0E" w:rsidRDefault="004C0C0E" w:rsidP="009A1C31">
      <w:pPr>
        <w:jc w:val="both"/>
      </w:pPr>
    </w:p>
    <w:p w14:paraId="3B250BD3" w14:textId="77777777" w:rsidR="004C0C0E" w:rsidRDefault="004C0C0E" w:rsidP="009A1C31">
      <w:pPr>
        <w:jc w:val="both"/>
      </w:pPr>
    </w:p>
    <w:p w14:paraId="17437805" w14:textId="77777777" w:rsidR="004C0C0E" w:rsidRDefault="004C0C0E" w:rsidP="009A1C31">
      <w:pPr>
        <w:jc w:val="both"/>
      </w:pPr>
    </w:p>
    <w:p w14:paraId="12600D8B" w14:textId="5B093E7D" w:rsidR="004C0C0E" w:rsidRDefault="004C0C0E" w:rsidP="009A1C31">
      <w:pPr>
        <w:jc w:val="both"/>
      </w:pPr>
    </w:p>
    <w:p w14:paraId="09F44A0B" w14:textId="77777777" w:rsidR="004C0C0E" w:rsidRDefault="004C0C0E" w:rsidP="009A1C31">
      <w:pPr>
        <w:jc w:val="both"/>
      </w:pPr>
    </w:p>
    <w:p w14:paraId="7BC9327A" w14:textId="77777777" w:rsidR="004C0C0E" w:rsidRDefault="004C0C0E" w:rsidP="009A1C31">
      <w:pPr>
        <w:jc w:val="both"/>
      </w:pPr>
    </w:p>
    <w:p w14:paraId="70A27225" w14:textId="77777777" w:rsidR="004C0C0E" w:rsidRDefault="004C0C0E" w:rsidP="009A1C31">
      <w:pPr>
        <w:jc w:val="both"/>
      </w:pPr>
    </w:p>
    <w:p w14:paraId="350293FC" w14:textId="77777777" w:rsidR="00807033" w:rsidRDefault="00807033" w:rsidP="009A1C31">
      <w:pPr>
        <w:jc w:val="both"/>
      </w:pPr>
    </w:p>
    <w:p w14:paraId="1C3D7175" w14:textId="14648397" w:rsidR="00753703" w:rsidRDefault="00CD5D61" w:rsidP="009A1C31">
      <w:pPr>
        <w:jc w:val="both"/>
      </w:pPr>
      <w:r>
        <w:t xml:space="preserve">Ce tableau </w:t>
      </w:r>
      <w:r w:rsidR="002375B1">
        <w:t>récapitulatif nous permet de mettre à l'avant</w:t>
      </w:r>
      <w:r w:rsidR="00D45945">
        <w:t>-</w:t>
      </w:r>
      <w:r w:rsidR="002375B1">
        <w:t>scène trois idées fort</w:t>
      </w:r>
      <w:r w:rsidR="00D45945">
        <w:t>e</w:t>
      </w:r>
      <w:r w:rsidR="002375B1">
        <w:t xml:space="preserve">s </w:t>
      </w:r>
      <w:r w:rsidR="00D45945">
        <w:t xml:space="preserve">et </w:t>
      </w:r>
      <w:r w:rsidR="002375B1">
        <w:t xml:space="preserve">importantes en matière de principe d'investissement. Le </w:t>
      </w:r>
      <w:r w:rsidR="002375B1" w:rsidRPr="002375B1">
        <w:rPr>
          <w:color w:val="FF6700" w:themeColor="accent3"/>
        </w:rPr>
        <w:t>PREMIER</w:t>
      </w:r>
      <w:r w:rsidR="002375B1">
        <w:t xml:space="preserve"> </w:t>
      </w:r>
      <w:r w:rsidR="00753703">
        <w:t xml:space="preserve">principe </w:t>
      </w:r>
      <w:r w:rsidR="002375B1">
        <w:t>consiste à reconnaître la fourchette supérieure de l'espérance de rendement des placements, elle oscille autour de 7 %. C'est donc dire que les attentes en matière de rendement pour un investisseur ne devraient pas se situer au-dessus de ce paramètre. Toute proposition d'investissement se situant significativement au-delà de ce rendement devrait agiter des signaux d'alarme du type "trop beau pour être vrai".</w:t>
      </w:r>
    </w:p>
    <w:p w14:paraId="4BED9C16" w14:textId="77777777" w:rsidR="00753703" w:rsidRDefault="00753703" w:rsidP="009A1C31">
      <w:pPr>
        <w:jc w:val="both"/>
      </w:pPr>
    </w:p>
    <w:p w14:paraId="53CF3CB3" w14:textId="2CCB081B" w:rsidR="00491651" w:rsidRDefault="002375B1" w:rsidP="009A1C31">
      <w:pPr>
        <w:jc w:val="both"/>
      </w:pPr>
      <w:r>
        <w:t xml:space="preserve">Le </w:t>
      </w:r>
      <w:r w:rsidRPr="002375B1">
        <w:rPr>
          <w:color w:val="FF6700" w:themeColor="accent3"/>
        </w:rPr>
        <w:t>DEUXIÈME</w:t>
      </w:r>
      <w:r w:rsidR="00753703">
        <w:rPr>
          <w:color w:val="FF6700" w:themeColor="accent3"/>
        </w:rPr>
        <w:t xml:space="preserve"> </w:t>
      </w:r>
      <w:r w:rsidR="00753703" w:rsidRPr="00753703">
        <w:t>principe</w:t>
      </w:r>
      <w:r w:rsidR="00D45945">
        <w:t xml:space="preserve"> </w:t>
      </w:r>
      <w:r>
        <w:t>n'a pas encore été abordé dans l'ouvrage, il vise à faire un lien entre le taux de rendement espéré des placements et le taux d'inflation. Dans le cas où ces deux taux seraient identique</w:t>
      </w:r>
      <w:r w:rsidR="00753703">
        <w:t>s, l'investisseur n'obtiendrait aucun enrichissement puisque le rendement du placement ne permettrait qu</w:t>
      </w:r>
      <w:r w:rsidR="00E2350F">
        <w:t xml:space="preserve">e la </w:t>
      </w:r>
      <w:r w:rsidR="00753703">
        <w:t>neutralis</w:t>
      </w:r>
      <w:r w:rsidR="00E2350F">
        <w:t>ation de</w:t>
      </w:r>
      <w:r w:rsidR="00753703">
        <w:t xml:space="preserve"> l'effet de l'inflation sur le</w:t>
      </w:r>
      <w:r w:rsidR="00E2350F">
        <w:t xml:space="preserve"> coût de</w:t>
      </w:r>
      <w:r w:rsidR="00753703">
        <w:t>s biens et services. C'est donc dire qu'une stratégie excessivement conservatrice, sans aucun investissement autre que des CPG à court terme, risquerait d'engendrer un rendement inférieur au taux d'inflation et créer ainsi un appauvrissement de l'épargnant. Il faut éviter un tel scénario</w:t>
      </w:r>
      <w:r w:rsidR="008146C8">
        <w:t xml:space="preserve"> et ne pas hésiter à raffiner minimalement l'étendu</w:t>
      </w:r>
      <w:r w:rsidR="007676F1">
        <w:t>e</w:t>
      </w:r>
      <w:r w:rsidR="008146C8">
        <w:t xml:space="preserve"> du portefeuille de placement. Il est possible d'y arriver, sans pour autant dénaturer le rap</w:t>
      </w:r>
      <w:r w:rsidR="00DD3B1B">
        <w:t>p</w:t>
      </w:r>
      <w:r w:rsidR="008146C8">
        <w:t>ort au risque de l'ép</w:t>
      </w:r>
      <w:r w:rsidR="00DD3B1B">
        <w:t>a</w:t>
      </w:r>
      <w:r w:rsidR="008146C8">
        <w:t>rgnant</w:t>
      </w:r>
      <w:r w:rsidR="00DD3B1B">
        <w:t>, en privilégiant des placements qui seront immobilisés sur une plus longue période dans des titre</w:t>
      </w:r>
      <w:r w:rsidR="00F46E98">
        <w:t>s</w:t>
      </w:r>
      <w:r w:rsidR="00DD3B1B">
        <w:t xml:space="preserve"> obligataires d'État</w:t>
      </w:r>
      <w:r w:rsidR="00F46E98">
        <w:t xml:space="preserve"> ou d'organisations qui sont sous la gouverne de l'État</w:t>
      </w:r>
      <w:r w:rsidR="00DD3B1B">
        <w:t>.</w:t>
      </w:r>
      <w:r w:rsidR="00F46E98">
        <w:t xml:space="preserve"> L'investissement systématique dans le CPG, à court terme, encaissable en tout temps, condamnera l'investisseur à des rendements n'atteignant même pas 1 %.</w:t>
      </w:r>
      <w:r w:rsidR="00491651">
        <w:t xml:space="preserve"> Il est fondamental de saisir que les taux projetés dans le tableau fourni par l'IQPF ne vise</w:t>
      </w:r>
      <w:r w:rsidR="007676F1">
        <w:t>nt</w:t>
      </w:r>
      <w:r w:rsidR="00491651">
        <w:t xml:space="preserve"> pas à </w:t>
      </w:r>
      <w:r w:rsidR="007676F1">
        <w:t>reconnaître</w:t>
      </w:r>
      <w:r w:rsidR="00491651">
        <w:t xml:space="preserve"> le rendement espéré </w:t>
      </w:r>
      <w:r w:rsidR="00491651" w:rsidRPr="00E2350F">
        <w:rPr>
          <w:u w:val="single"/>
        </w:rPr>
        <w:t>de la prochaine année</w:t>
      </w:r>
      <w:r w:rsidR="007676F1">
        <w:rPr>
          <w:u w:val="single"/>
        </w:rPr>
        <w:t>,</w:t>
      </w:r>
      <w:r w:rsidR="00491651">
        <w:t xml:space="preserve"> mais plutôt à fixer les hypothèses de travail dans le cadre de simulations de planification financière</w:t>
      </w:r>
      <w:r w:rsidR="00070442">
        <w:t xml:space="preserve"> qui s'étalent sur plusieurs années,</w:t>
      </w:r>
      <w:r w:rsidR="00491651">
        <w:t xml:space="preserve"> selon le profil d'investisseur de l'individu. Cela veut dire que les hypothèses intègre</w:t>
      </w:r>
      <w:r w:rsidR="00070442">
        <w:t>nt</w:t>
      </w:r>
      <w:r w:rsidR="00491651">
        <w:t>, en partie, l'anticipation de l'évolution des marchés financiers pour les années à venir</w:t>
      </w:r>
      <w:r w:rsidR="00070442">
        <w:t xml:space="preserve"> (ainsi qu'un regard sur les données historiques)</w:t>
      </w:r>
      <w:r w:rsidR="00491651">
        <w:t xml:space="preserve">. C'est </w:t>
      </w:r>
      <w:r w:rsidR="00070442">
        <w:t xml:space="preserve">une </w:t>
      </w:r>
      <w:r w:rsidR="00491651">
        <w:t>science inexacte qui s'introduit dans les événements futurs, ce qui implique</w:t>
      </w:r>
      <w:r w:rsidR="00070442">
        <w:t>, de la part des individus,</w:t>
      </w:r>
      <w:r w:rsidR="00491651">
        <w:t xml:space="preserve"> une approche prudente et une volonté à mettre à jour périodiquement l'appréciation des diverses hypothèses incluses dans les calculs financiers.</w:t>
      </w:r>
    </w:p>
    <w:p w14:paraId="6F15D7D1" w14:textId="77777777" w:rsidR="00491651" w:rsidRDefault="00491651" w:rsidP="009A1C31">
      <w:pPr>
        <w:jc w:val="both"/>
      </w:pPr>
    </w:p>
    <w:p w14:paraId="41D97A59" w14:textId="66535C09" w:rsidR="00753703" w:rsidRDefault="00491651" w:rsidP="009A1C31">
      <w:pPr>
        <w:jc w:val="both"/>
      </w:pPr>
      <w:r>
        <w:t xml:space="preserve">Le </w:t>
      </w:r>
      <w:r>
        <w:rPr>
          <w:color w:val="FF6700" w:themeColor="accent3"/>
        </w:rPr>
        <w:t xml:space="preserve">TROISIÈME </w:t>
      </w:r>
      <w:r w:rsidRPr="00753703">
        <w:t>principe</w:t>
      </w:r>
      <w:r w:rsidR="007676F1">
        <w:t xml:space="preserve"> </w:t>
      </w:r>
      <w:r w:rsidR="008814C1">
        <w:t xml:space="preserve">vise à reconnaître la cohérence de l'espérance des rendements et la répartition des actifs financiers qui sont utilisés pour générer de tels rendements.  Le classement des types de placements s'effectue selon les appellations  Court terme (CPG), Revenus fixes (obligations) et Actions canadiennes. </w:t>
      </w:r>
      <w:r w:rsidR="008814C1">
        <w:lastRenderedPageBreak/>
        <w:t xml:space="preserve">Globalement l'espérance de rendement des investisseurs sera entièrement liée à la répartition des actifs financiers dans son portefeuille de placement, qui elle-même </w:t>
      </w:r>
      <w:r w:rsidR="00E8075A">
        <w:t xml:space="preserve">est </w:t>
      </w:r>
      <w:r w:rsidR="008814C1">
        <w:t>dict</w:t>
      </w:r>
      <w:r w:rsidR="00E8075A">
        <w:t>é</w:t>
      </w:r>
      <w:r w:rsidR="008814C1">
        <w:t xml:space="preserve"> par son aversion au risque. </w:t>
      </w:r>
    </w:p>
    <w:p w14:paraId="5435C2B8" w14:textId="77777777" w:rsidR="00D1428E" w:rsidRDefault="00D1428E" w:rsidP="009A1C31">
      <w:pPr>
        <w:jc w:val="both"/>
      </w:pPr>
    </w:p>
    <w:p w14:paraId="5E82C20B" w14:textId="137B94F4" w:rsidR="009735FC" w:rsidRDefault="009735FC" w:rsidP="006C34CF">
      <w:pPr>
        <w:pStyle w:val="Paragraphedeliste"/>
        <w:numPr>
          <w:ilvl w:val="0"/>
          <w:numId w:val="126"/>
        </w:numPr>
        <w:ind w:left="709" w:hanging="425"/>
        <w:rPr>
          <w:color w:val="FF6700" w:themeColor="accent3"/>
        </w:rPr>
      </w:pPr>
      <w:r w:rsidRPr="00A4279E">
        <w:rPr>
          <w:color w:val="FF6700" w:themeColor="accent3"/>
        </w:rPr>
        <w:t xml:space="preserve">Un horizon </w:t>
      </w:r>
      <w:r w:rsidR="003F225E">
        <w:rPr>
          <w:color w:val="FF6700" w:themeColor="accent3"/>
        </w:rPr>
        <w:t xml:space="preserve">de placements </w:t>
      </w:r>
      <w:r w:rsidRPr="00A4279E">
        <w:rPr>
          <w:color w:val="FF6700" w:themeColor="accent3"/>
        </w:rPr>
        <w:t>à long terme</w:t>
      </w:r>
    </w:p>
    <w:p w14:paraId="2C0E86BD" w14:textId="77777777" w:rsidR="003F225E" w:rsidRDefault="003F225E" w:rsidP="003F225E">
      <w:pPr>
        <w:rPr>
          <w:color w:val="FF6700" w:themeColor="accent3"/>
        </w:rPr>
      </w:pPr>
    </w:p>
    <w:p w14:paraId="42B9B104" w14:textId="2A1C041A" w:rsidR="0045215E" w:rsidRDefault="00892A2F" w:rsidP="005C6796">
      <w:pPr>
        <w:jc w:val="both"/>
      </w:pPr>
      <w:r>
        <w:t>Dans l'optique où la synchronisation à tout coup des marchés (vendre les titres au sommet de leur valeur et acheter les titres à leur coût le plus modique) revêt d</w:t>
      </w:r>
      <w:r w:rsidR="00A54A75">
        <w:t xml:space="preserve">e la </w:t>
      </w:r>
      <w:r>
        <w:t xml:space="preserve">pensée magique et de pouvoirs surnaturels, une approche </w:t>
      </w:r>
      <w:r w:rsidR="005C6796">
        <w:t>à long terme de la gestion des investissements devient une nécessité. Comme nous l'observerons lorsque nous porterons un regard historique sur les successions de cycles financiers, ceux-ci ont évolué, sur une longue période, à la hausse. Cette appréciation, où le passé est garant, sur une longue période, de l'avenir, permet à l'investisseur de voir la valeur de ses investissements prendre de l</w:t>
      </w:r>
      <w:r w:rsidR="00E8075A">
        <w:t>'</w:t>
      </w:r>
      <w:r w:rsidR="005C6796">
        <w:t>a</w:t>
      </w:r>
      <w:r w:rsidR="00E8075A">
        <w:t>mpleur</w:t>
      </w:r>
      <w:r w:rsidR="005C6796">
        <w:t xml:space="preserve"> au gré des cycles financiers. Ce mouvement à la hausse d'un cycle à l'autre est globalement prévisible (jusqu'à maintenant). Ce qui n'est pas le cas de la détermination, en temps réel, de la durée d'un cycle, de son amplitude, de la certitude quant à savoir où se retrouve</w:t>
      </w:r>
      <w:r w:rsidR="007676F1">
        <w:t>nt</w:t>
      </w:r>
      <w:r w:rsidR="005C6796">
        <w:t xml:space="preserve"> le creux et le sommet. </w:t>
      </w:r>
    </w:p>
    <w:p w14:paraId="7A041DB7" w14:textId="77777777" w:rsidR="0045215E" w:rsidRDefault="0045215E" w:rsidP="005C6796">
      <w:pPr>
        <w:jc w:val="both"/>
      </w:pPr>
    </w:p>
    <w:p w14:paraId="02B32B21" w14:textId="53135E73" w:rsidR="00892A2F" w:rsidRDefault="0045215E" w:rsidP="005C6796">
      <w:pPr>
        <w:jc w:val="both"/>
      </w:pPr>
      <w:r>
        <w:t xml:space="preserve">Puisque les cycles financiers se renouvellent sur de longues périodes et qu'il est impossible de prévoir une entrée et une sortie du marché </w:t>
      </w:r>
      <w:r w:rsidR="00742196">
        <w:t xml:space="preserve">qui est </w:t>
      </w:r>
      <w:r>
        <w:t>optimal</w:t>
      </w:r>
      <w:r w:rsidR="00742196">
        <w:t>e</w:t>
      </w:r>
      <w:r>
        <w:t>, il est important de miser sur une approche de croissance dès le plus jeune âge de l'épargnant et de résister aux étourdissement</w:t>
      </w:r>
      <w:r w:rsidR="007676F1">
        <w:t>s</w:t>
      </w:r>
      <w:r>
        <w:t xml:space="preserve"> d'ordre comportemental comme ceux de l'exubérance des  gains spectaculaires à court terme et de la désillusion des pertes</w:t>
      </w:r>
      <w:r w:rsidR="005C6796">
        <w:t xml:space="preserve"> </w:t>
      </w:r>
      <w:r>
        <w:t xml:space="preserve">sur une courte période. En bref, il vaut mieux s'abstenir de suivre les performances à court terme des investissements puisqu'ils ne sont pas pertinents au rendement global du portefeuille sur une longue période. L'objectif ultime étant de générer un rendement adéquat afin de contribuer </w:t>
      </w:r>
      <w:r w:rsidR="00270168">
        <w:t>à la réalisation d'une rente suffisante au moment de la retraite.</w:t>
      </w:r>
      <w:r>
        <w:t xml:space="preserve"> Le mieux est de choisir un conseiller compétent et respectueux de vos objectifs et de votre tempérament financier et de porter un regard annuel sur le résultat global des 10 dernières années (ou depuis le tout début de vos investissements)</w:t>
      </w:r>
      <w:r w:rsidR="00270168">
        <w:t>.</w:t>
      </w:r>
      <w:r>
        <w:t xml:space="preserve"> </w:t>
      </w:r>
      <w:r w:rsidR="00742196">
        <w:t>On est loin de l'observateur frénétique, aux allures de participant à un "Pool" de hockey, que l'on rencontre trop souvent. Cette approche de type "Casino" à l'investissement est à prosc</w:t>
      </w:r>
      <w:r w:rsidR="00031B64">
        <w:t>r</w:t>
      </w:r>
      <w:r w:rsidR="00742196">
        <w:t xml:space="preserve">ire. </w:t>
      </w:r>
    </w:p>
    <w:p w14:paraId="4453BBA1" w14:textId="77777777" w:rsidR="003F225E" w:rsidRPr="003F225E" w:rsidRDefault="003F225E" w:rsidP="003F225E">
      <w:pPr>
        <w:rPr>
          <w:color w:val="FF6700" w:themeColor="accent3"/>
        </w:rPr>
      </w:pPr>
    </w:p>
    <w:p w14:paraId="2CF87AA1" w14:textId="66BE4196" w:rsidR="009735FC" w:rsidRDefault="003F225E" w:rsidP="006C34CF">
      <w:pPr>
        <w:pStyle w:val="Paragraphedeliste"/>
        <w:numPr>
          <w:ilvl w:val="0"/>
          <w:numId w:val="126"/>
        </w:numPr>
        <w:ind w:left="709" w:hanging="425"/>
        <w:rPr>
          <w:color w:val="FF6700" w:themeColor="accent3"/>
        </w:rPr>
      </w:pPr>
      <w:r>
        <w:rPr>
          <w:color w:val="FF6700" w:themeColor="accent3"/>
        </w:rPr>
        <w:t>La d</w:t>
      </w:r>
      <w:r w:rsidR="009735FC" w:rsidRPr="00A4279E">
        <w:rPr>
          <w:color w:val="FF6700" w:themeColor="accent3"/>
        </w:rPr>
        <w:t>iversification</w:t>
      </w:r>
      <w:r>
        <w:rPr>
          <w:color w:val="FF6700" w:themeColor="accent3"/>
        </w:rPr>
        <w:t xml:space="preserve"> des placements</w:t>
      </w:r>
    </w:p>
    <w:p w14:paraId="561B0C93" w14:textId="77777777" w:rsidR="003F225E" w:rsidRPr="003F225E" w:rsidRDefault="003F225E" w:rsidP="003F225E">
      <w:pPr>
        <w:rPr>
          <w:color w:val="FF6700" w:themeColor="accent3"/>
        </w:rPr>
      </w:pPr>
    </w:p>
    <w:p w14:paraId="10890173" w14:textId="188969A4" w:rsidR="009735FC" w:rsidRDefault="00A54A75" w:rsidP="008E2ABF">
      <w:pPr>
        <w:jc w:val="both"/>
      </w:pPr>
      <w:r>
        <w:t xml:space="preserve">L'utilisation du principe de la diversification à titre d'outil de réduction du niveau général de risque associé à la gestion d'un portefeuille de placements est un élément incontournable d'une bonne stratégie de placement. </w:t>
      </w:r>
      <w:r>
        <w:lastRenderedPageBreak/>
        <w:t>Nous avons déjà maintes fois cité dans l'ouvrage les vertus d'un tel fondement. Essentiellement, elle s'appuie sur l'adage de "ne pas mettre tous ses oeufs dans le même panier". Mathématiquement</w:t>
      </w:r>
      <w:r w:rsidR="00CF19B6">
        <w:t xml:space="preserve">, </w:t>
      </w:r>
      <w:r>
        <w:t>la technique de diversification des placements permet</w:t>
      </w:r>
      <w:r w:rsidR="008E2ABF">
        <w:t xml:space="preserve"> d'obtenir un taux de rendement qui se rapproche d'une moyenne </w:t>
      </w:r>
      <w:r w:rsidR="00CF19B6">
        <w:t xml:space="preserve">de plusieurs placements </w:t>
      </w:r>
      <w:r w:rsidR="008E2ABF">
        <w:t>plutôt  que dans l'extrémité des écarts-types (positifs ou négatifs)</w:t>
      </w:r>
      <w:r w:rsidR="00CF19B6">
        <w:t xml:space="preserve"> d'un seul placement</w:t>
      </w:r>
      <w:r w:rsidR="008E2ABF">
        <w:t>.</w:t>
      </w:r>
    </w:p>
    <w:p w14:paraId="4E244554" w14:textId="28F3D9FF" w:rsidR="008E2ABF" w:rsidRDefault="00FD2AAE" w:rsidP="008E2ABF">
      <w:pPr>
        <w:jc w:val="both"/>
      </w:pPr>
      <w:r>
        <w:rPr>
          <w:noProof/>
          <w:lang w:eastAsia="fr-FR"/>
        </w:rPr>
        <w:drawing>
          <wp:anchor distT="0" distB="0" distL="114300" distR="114300" simplePos="0" relativeHeight="253274112" behindDoc="0" locked="0" layoutInCell="1" allowOverlap="1" wp14:anchorId="28ACFD43" wp14:editId="01A30DE2">
            <wp:simplePos x="0" y="0"/>
            <wp:positionH relativeFrom="column">
              <wp:posOffset>-114300</wp:posOffset>
            </wp:positionH>
            <wp:positionV relativeFrom="paragraph">
              <wp:posOffset>83185</wp:posOffset>
            </wp:positionV>
            <wp:extent cx="8001000" cy="5350438"/>
            <wp:effectExtent l="0" t="0" r="0" b="9525"/>
            <wp:wrapNone/>
            <wp:docPr id="872" name="Image 872" descr="Macintosh HD:Users:marcbachand:Desktop:Capture d’écran 2016-01-07 à 09.1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6-01-07 à 09.14.31.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8001000" cy="5350438"/>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D93EDA4" w14:textId="4C97FFBA" w:rsidR="00FD2AAE" w:rsidRDefault="008B619E">
      <w:r>
        <w:rPr>
          <w:noProof/>
          <w:lang w:eastAsia="fr-FR"/>
        </w:rPr>
        <mc:AlternateContent>
          <mc:Choice Requires="wps">
            <w:drawing>
              <wp:anchor distT="0" distB="0" distL="114300" distR="114300" simplePos="0" relativeHeight="253279232" behindDoc="0" locked="0" layoutInCell="1" allowOverlap="1" wp14:anchorId="7E3A7163" wp14:editId="03E0885A">
                <wp:simplePos x="0" y="0"/>
                <wp:positionH relativeFrom="column">
                  <wp:posOffset>-228600</wp:posOffset>
                </wp:positionH>
                <wp:positionV relativeFrom="paragraph">
                  <wp:posOffset>5497195</wp:posOffset>
                </wp:positionV>
                <wp:extent cx="8115300" cy="571500"/>
                <wp:effectExtent l="0" t="0" r="0" b="12700"/>
                <wp:wrapSquare wrapText="bothSides"/>
                <wp:docPr id="876" name="Zone de texte 876"/>
                <wp:cNvGraphicFramePr/>
                <a:graphic xmlns:a="http://schemas.openxmlformats.org/drawingml/2006/main">
                  <a:graphicData uri="http://schemas.microsoft.com/office/word/2010/wordprocessingShape">
                    <wps:wsp>
                      <wps:cNvSpPr txBox="1"/>
                      <wps:spPr>
                        <a:xfrm>
                          <a:off x="0" y="0"/>
                          <a:ext cx="81153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B9FEB5" w14:textId="7CF0EA01" w:rsidR="00573C95" w:rsidRPr="0066535C" w:rsidRDefault="00573C95" w:rsidP="008B619E">
                            <w:pPr>
                              <w:pStyle w:val="Notedebasdepage"/>
                              <w:rPr>
                                <w:sz w:val="18"/>
                                <w:szCs w:val="18"/>
                              </w:rPr>
                            </w:pPr>
                            <w:r w:rsidRPr="008B619E">
                              <w:rPr>
                                <w:vertAlign w:val="superscript"/>
                              </w:rPr>
                              <w:t>83</w:t>
                            </w:r>
                            <w:r>
                              <w:rPr>
                                <w:sz w:val="18"/>
                                <w:szCs w:val="18"/>
                              </w:rPr>
                              <w:t xml:space="preserve"> GérezMieuxVotreArgent.ca, CVMO</w:t>
                            </w:r>
                            <w:r w:rsidRPr="004476F1">
                              <w:rPr>
                                <w:sz w:val="18"/>
                                <w:szCs w:val="18"/>
                              </w:rPr>
                              <w:t>,</w:t>
                            </w:r>
                            <w:r>
                              <w:rPr>
                                <w:sz w:val="18"/>
                                <w:szCs w:val="18"/>
                              </w:rPr>
                              <w:t xml:space="preserve"> </w:t>
                            </w:r>
                            <w:r w:rsidRPr="00CB1216">
                              <w:rPr>
                                <w:i/>
                                <w:sz w:val="18"/>
                                <w:szCs w:val="18"/>
                              </w:rPr>
                              <w:t>"</w:t>
                            </w:r>
                            <w:r>
                              <w:rPr>
                                <w:i/>
                                <w:sz w:val="18"/>
                                <w:szCs w:val="18"/>
                              </w:rPr>
                              <w:t>Risque et diversification</w:t>
                            </w:r>
                            <w:r w:rsidRPr="00CB1216">
                              <w:rPr>
                                <w:bCs/>
                                <w:i/>
                                <w:sz w:val="18"/>
                                <w:szCs w:val="18"/>
                              </w:rPr>
                              <w:t>",</w:t>
                            </w:r>
                            <w:r>
                              <w:rPr>
                                <w:bCs/>
                                <w:i/>
                                <w:sz w:val="18"/>
                                <w:szCs w:val="18"/>
                              </w:rPr>
                              <w:t xml:space="preserve"> </w:t>
                            </w:r>
                            <w:hyperlink r:id="rId191" w:history="1">
                              <w:r w:rsidRPr="008B619E">
                                <w:rPr>
                                  <w:rStyle w:val="Lienhypertexte"/>
                                  <w:i/>
                                  <w:iCs/>
                                  <w:color w:val="FF6700" w:themeColor="accent3"/>
                                  <w:sz w:val="18"/>
                                  <w:szCs w:val="18"/>
                                </w:rPr>
                                <w:t>http://www.getsmarteraboutmoney.ca/fr/tools_and_calculators/infographics/Documents/infographie-alternatif-Risque-et-diversification.pdf</w:t>
                              </w:r>
                            </w:hyperlink>
                            <w:hyperlink r:id="rId192" w:history="1"/>
                            <w:r>
                              <w:rPr>
                                <w:bCs/>
                                <w:i/>
                                <w:sz w:val="18"/>
                                <w:szCs w:val="18"/>
                              </w:rPr>
                              <w:t>, (Page consultée le 7 janvier 2016).</w:t>
                            </w:r>
                          </w:p>
                          <w:p w14:paraId="178B8A2B" w14:textId="77777777" w:rsidR="00573C95" w:rsidRDefault="00573C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76" o:spid="_x0000_s1597" type="#_x0000_t202" style="position:absolute;margin-left:-17.95pt;margin-top:432.85pt;width:639pt;height:45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" filled="f" stroked="f">
                <v:textbox>
                  <w:txbxContent>
                    <w:p w14:paraId="2BB9FEB5" w14:textId="7CF0EA01" w:rsidR="001501D6" w:rsidRPr="0066535C" w:rsidRDefault="001501D6" w:rsidP="008B619E">
                      <w:pPr>
                        <w:pStyle w:val="Notedebasdepage"/>
                        <w:rPr>
                          <w:sz w:val="18"/>
                          <w:szCs w:val="18"/>
                        </w:rPr>
                      </w:pPr>
                      <w:r w:rsidRPr="008B619E">
                        <w:rPr>
                          <w:vertAlign w:val="superscript"/>
                        </w:rPr>
                        <w:t>83</w:t>
                      </w:r>
                      <w:r>
                        <w:rPr>
                          <w:sz w:val="18"/>
                          <w:szCs w:val="18"/>
                        </w:rPr>
                        <w:t xml:space="preserve"> GérezMieuxVotreArgent.ca, CVMO</w:t>
                      </w:r>
                      <w:r w:rsidRPr="004476F1">
                        <w:rPr>
                          <w:sz w:val="18"/>
                          <w:szCs w:val="18"/>
                        </w:rPr>
                        <w:t>,</w:t>
                      </w:r>
                      <w:r>
                        <w:rPr>
                          <w:sz w:val="18"/>
                          <w:szCs w:val="18"/>
                        </w:rPr>
                        <w:t xml:space="preserve"> </w:t>
                      </w:r>
                      <w:r w:rsidRPr="00CB1216">
                        <w:rPr>
                          <w:i/>
                          <w:sz w:val="18"/>
                          <w:szCs w:val="18"/>
                        </w:rPr>
                        <w:t>"</w:t>
                      </w:r>
                      <w:r>
                        <w:rPr>
                          <w:i/>
                          <w:sz w:val="18"/>
                          <w:szCs w:val="18"/>
                        </w:rPr>
                        <w:t>Risque et diversification</w:t>
                      </w:r>
                      <w:r w:rsidRPr="00CB1216">
                        <w:rPr>
                          <w:bCs/>
                          <w:i/>
                          <w:sz w:val="18"/>
                          <w:szCs w:val="18"/>
                        </w:rPr>
                        <w:t>",</w:t>
                      </w:r>
                      <w:r>
                        <w:rPr>
                          <w:bCs/>
                          <w:i/>
                          <w:sz w:val="18"/>
                          <w:szCs w:val="18"/>
                        </w:rPr>
                        <w:t xml:space="preserve"> </w:t>
                      </w:r>
                      <w:hyperlink r:id="rId193" w:history="1">
                        <w:r w:rsidRPr="008B619E">
                          <w:rPr>
                            <w:rStyle w:val="Lienhypertexte"/>
                            <w:i/>
                            <w:iCs/>
                            <w:color w:val="FF6700" w:themeColor="accent3"/>
                            <w:sz w:val="18"/>
                            <w:szCs w:val="18"/>
                          </w:rPr>
                          <w:t>http://www.getsmarteraboutmoney.ca/fr/tools_and_calculators/infographics/Documents/infographie-alternatif-Risque-et-diversification.pdf</w:t>
                        </w:r>
                      </w:hyperlink>
                      <w:hyperlink r:id="rId194" w:history="1"/>
                      <w:r>
                        <w:rPr>
                          <w:bCs/>
                          <w:i/>
                          <w:sz w:val="18"/>
                          <w:szCs w:val="18"/>
                        </w:rPr>
                        <w:t>, (Page consultée le 7 janvier 2016).</w:t>
                      </w:r>
                    </w:p>
                    <w:p w14:paraId="178B8A2B" w14:textId="77777777" w:rsidR="001501D6" w:rsidRDefault="001501D6"/>
                  </w:txbxContent>
                </v:textbox>
                <w10:wrap type="square"/>
              </v:shape>
            </w:pict>
          </mc:Fallback>
        </mc:AlternateContent>
      </w:r>
      <w:r>
        <w:rPr>
          <w:noProof/>
          <w:lang w:eastAsia="fr-FR"/>
        </w:rPr>
        <mc:AlternateContent>
          <mc:Choice Requires="wps">
            <w:drawing>
              <wp:anchor distT="0" distB="0" distL="114300" distR="114300" simplePos="0" relativeHeight="253276160" behindDoc="0" locked="0" layoutInCell="1" allowOverlap="1" wp14:anchorId="26F64341" wp14:editId="156B12B4">
                <wp:simplePos x="0" y="0"/>
                <wp:positionH relativeFrom="column">
                  <wp:posOffset>4572000</wp:posOffset>
                </wp:positionH>
                <wp:positionV relativeFrom="paragraph">
                  <wp:posOffset>10795</wp:posOffset>
                </wp:positionV>
                <wp:extent cx="457200" cy="228600"/>
                <wp:effectExtent l="0" t="0" r="0" b="0"/>
                <wp:wrapSquare wrapText="bothSides"/>
                <wp:docPr id="874" name="Zone de texte 874"/>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8A3A54" w14:textId="47B9488D" w:rsidR="00573C95" w:rsidRPr="008B619E" w:rsidRDefault="00573C95">
                            <w:pPr>
                              <w:rPr>
                                <w:sz w:val="18"/>
                                <w:szCs w:val="18"/>
                              </w:rPr>
                            </w:pPr>
                            <w:r w:rsidRPr="008B619E">
                              <w:rPr>
                                <w:sz w:val="18"/>
                                <w:szCs w:val="18"/>
                              </w:rPr>
                              <w:t>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74" o:spid="_x0000_s1598" type="#_x0000_t202" style="position:absolute;margin-left:5in;margin-top:.85pt;width:36pt;height:18pt;z-index:2532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" filled="f" stroked="f">
                <v:textbox>
                  <w:txbxContent>
                    <w:p w14:paraId="398A3A54" w14:textId="47B9488D" w:rsidR="001501D6" w:rsidRPr="008B619E" w:rsidRDefault="001501D6">
                      <w:pPr>
                        <w:rPr>
                          <w:sz w:val="18"/>
                          <w:szCs w:val="18"/>
                        </w:rPr>
                      </w:pPr>
                      <w:r w:rsidRPr="008B619E">
                        <w:rPr>
                          <w:sz w:val="18"/>
                          <w:szCs w:val="18"/>
                        </w:rPr>
                        <w:t>83</w:t>
                      </w:r>
                    </w:p>
                  </w:txbxContent>
                </v:textbox>
                <w10:wrap type="square"/>
              </v:shape>
            </w:pict>
          </mc:Fallback>
        </mc:AlternateContent>
      </w:r>
      <w:r w:rsidR="00FD2AAE">
        <w:br w:type="page"/>
      </w:r>
    </w:p>
    <w:p w14:paraId="2B31E3E4" w14:textId="1155498B" w:rsidR="00FD2AAE" w:rsidRDefault="009C09ED">
      <w:r>
        <w:rPr>
          <w:noProof/>
          <w:lang w:eastAsia="fr-FR"/>
        </w:rPr>
        <w:lastRenderedPageBreak/>
        <w:drawing>
          <wp:anchor distT="0" distB="0" distL="114300" distR="114300" simplePos="0" relativeHeight="253275136" behindDoc="0" locked="0" layoutInCell="1" allowOverlap="1" wp14:anchorId="1A306E8B" wp14:editId="44DA5AD7">
            <wp:simplePos x="0" y="0"/>
            <wp:positionH relativeFrom="column">
              <wp:posOffset>0</wp:posOffset>
            </wp:positionH>
            <wp:positionV relativeFrom="paragraph">
              <wp:posOffset>-342900</wp:posOffset>
            </wp:positionV>
            <wp:extent cx="8255000" cy="4292600"/>
            <wp:effectExtent l="0" t="0" r="0" b="0"/>
            <wp:wrapNone/>
            <wp:docPr id="873" name="Image 873" descr="Macintosh HD:Users:marcbachand:Desktop:Capture d’écran 2016-01-07 à 09.1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6-01-07 à 09.14.54.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8255000" cy="42926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B619E">
        <w:rPr>
          <w:noProof/>
          <w:lang w:eastAsia="fr-FR"/>
        </w:rPr>
        <mc:AlternateContent>
          <mc:Choice Requires="wps">
            <w:drawing>
              <wp:anchor distT="0" distB="0" distL="114300" distR="114300" simplePos="0" relativeHeight="253278208" behindDoc="0" locked="0" layoutInCell="1" allowOverlap="1" wp14:anchorId="7FD59356" wp14:editId="0FF30435">
                <wp:simplePos x="0" y="0"/>
                <wp:positionH relativeFrom="column">
                  <wp:posOffset>5943600</wp:posOffset>
                </wp:positionH>
                <wp:positionV relativeFrom="paragraph">
                  <wp:posOffset>114300</wp:posOffset>
                </wp:positionV>
                <wp:extent cx="457200" cy="228600"/>
                <wp:effectExtent l="0" t="0" r="0" b="0"/>
                <wp:wrapSquare wrapText="bothSides"/>
                <wp:docPr id="875" name="Zone de texte 875"/>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839979" w14:textId="54DF4983" w:rsidR="00573C95" w:rsidRPr="008B619E" w:rsidRDefault="00573C95" w:rsidP="008B619E">
                            <w:pPr>
                              <w:rPr>
                                <w:sz w:val="18"/>
                                <w:szCs w:val="18"/>
                              </w:rPr>
                            </w:pPr>
                            <w:r w:rsidRPr="008B619E">
                              <w:rPr>
                                <w:sz w:val="18"/>
                                <w:szCs w:val="18"/>
                              </w:rPr>
                              <w:t>8</w:t>
                            </w:r>
                            <w:r>
                              <w:rPr>
                                <w:sz w:val="18"/>
                                <w:szCs w:val="1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75" o:spid="_x0000_s1599" type="#_x0000_t202" style="position:absolute;margin-left:468pt;margin-top:9pt;width:36pt;height:18pt;z-index:2532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" filled="f" stroked="f">
                <v:textbox>
                  <w:txbxContent>
                    <w:p w14:paraId="13839979" w14:textId="54DF4983" w:rsidR="001501D6" w:rsidRPr="008B619E" w:rsidRDefault="001501D6" w:rsidP="008B619E">
                      <w:pPr>
                        <w:rPr>
                          <w:sz w:val="18"/>
                          <w:szCs w:val="18"/>
                        </w:rPr>
                      </w:pPr>
                      <w:r w:rsidRPr="008B619E">
                        <w:rPr>
                          <w:sz w:val="18"/>
                          <w:szCs w:val="18"/>
                        </w:rPr>
                        <w:t>8</w:t>
                      </w:r>
                      <w:r>
                        <w:rPr>
                          <w:sz w:val="18"/>
                          <w:szCs w:val="18"/>
                        </w:rPr>
                        <w:t>4</w:t>
                      </w:r>
                    </w:p>
                  </w:txbxContent>
                </v:textbox>
                <w10:wrap type="square"/>
              </v:shape>
            </w:pict>
          </mc:Fallback>
        </mc:AlternateContent>
      </w:r>
    </w:p>
    <w:p w14:paraId="34006EB5" w14:textId="77777777" w:rsidR="00FD2AAE" w:rsidRDefault="00FD2AAE"/>
    <w:p w14:paraId="0FA3D72B" w14:textId="77777777" w:rsidR="00FD2AAE" w:rsidRDefault="00FD2AAE"/>
    <w:p w14:paraId="6101808A" w14:textId="77777777" w:rsidR="00691E20" w:rsidRDefault="00691E20"/>
    <w:p w14:paraId="11AD0AAC" w14:textId="77777777" w:rsidR="00691E20" w:rsidRDefault="00691E20"/>
    <w:p w14:paraId="367F2879" w14:textId="77777777" w:rsidR="00691E20" w:rsidRDefault="00691E20"/>
    <w:p w14:paraId="47408871" w14:textId="77777777" w:rsidR="00691E20" w:rsidRDefault="00691E20"/>
    <w:p w14:paraId="11BF32C4" w14:textId="77777777" w:rsidR="00691E20" w:rsidRDefault="00691E20"/>
    <w:p w14:paraId="6F0B4944" w14:textId="77777777" w:rsidR="00691E20" w:rsidRDefault="00691E20"/>
    <w:p w14:paraId="1F069B29" w14:textId="77777777" w:rsidR="00691E20" w:rsidRDefault="00691E20"/>
    <w:p w14:paraId="5B7B2545" w14:textId="77777777" w:rsidR="00691E20" w:rsidRDefault="00691E20"/>
    <w:p w14:paraId="1E51BCCF" w14:textId="77777777" w:rsidR="00691E20" w:rsidRDefault="00691E20"/>
    <w:p w14:paraId="40C50486" w14:textId="77777777" w:rsidR="00691E20" w:rsidRDefault="00691E20"/>
    <w:p w14:paraId="614B72C7" w14:textId="77777777" w:rsidR="00691E20" w:rsidRDefault="00691E20"/>
    <w:p w14:paraId="267F1DED" w14:textId="77777777" w:rsidR="00691E20" w:rsidRDefault="00691E20"/>
    <w:p w14:paraId="75ABDA92" w14:textId="77777777" w:rsidR="00691E20" w:rsidRDefault="00691E20"/>
    <w:p w14:paraId="5CED0C32" w14:textId="77777777" w:rsidR="00691E20" w:rsidRDefault="00691E20"/>
    <w:p w14:paraId="0CF9CF6E" w14:textId="77777777" w:rsidR="00691E20" w:rsidRDefault="00691E20"/>
    <w:p w14:paraId="66976CB3" w14:textId="77777777" w:rsidR="00691E20" w:rsidRDefault="00691E20"/>
    <w:p w14:paraId="5A3202A4" w14:textId="77777777" w:rsidR="00691E20" w:rsidRDefault="00691E20"/>
    <w:p w14:paraId="4B9C31D5" w14:textId="77777777" w:rsidR="00691E20" w:rsidRDefault="00691E20"/>
    <w:p w14:paraId="4194C12A" w14:textId="67CEE677" w:rsidR="009C09ED" w:rsidRDefault="009C09ED">
      <w:r>
        <w:rPr>
          <w:noProof/>
          <w:lang w:eastAsia="fr-FR"/>
        </w:rPr>
        <w:drawing>
          <wp:anchor distT="0" distB="0" distL="114300" distR="114300" simplePos="0" relativeHeight="253283328" behindDoc="1" locked="0" layoutInCell="1" allowOverlap="1" wp14:anchorId="5F421083" wp14:editId="3AF59447">
            <wp:simplePos x="0" y="0"/>
            <wp:positionH relativeFrom="column">
              <wp:posOffset>5829300</wp:posOffset>
            </wp:positionH>
            <wp:positionV relativeFrom="paragraph">
              <wp:posOffset>76835</wp:posOffset>
            </wp:positionV>
            <wp:extent cx="685800" cy="681990"/>
            <wp:effectExtent l="0" t="0" r="0" b="3810"/>
            <wp:wrapNone/>
            <wp:docPr id="878" name="Image 878" descr="Macintosh HD:Users:marcbachand:Desktop:Capture d’écran 2015-06-08 à 17.04.54.png">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76C6323" w14:textId="77777777" w:rsidR="004D6CFD" w:rsidRDefault="004D6CFD"/>
    <w:p w14:paraId="39C7B091" w14:textId="7DC8D66F" w:rsidR="007F5EE7" w:rsidRDefault="009C09ED">
      <w:r>
        <w:rPr>
          <w:noProof/>
          <w:lang w:eastAsia="fr-FR"/>
        </w:rPr>
        <mc:AlternateContent>
          <mc:Choice Requires="wps">
            <w:drawing>
              <wp:anchor distT="0" distB="0" distL="114300" distR="114300" simplePos="0" relativeHeight="253281280" behindDoc="0" locked="0" layoutInCell="1" allowOverlap="1" wp14:anchorId="198D5B81" wp14:editId="723A0D93">
                <wp:simplePos x="0" y="0"/>
                <wp:positionH relativeFrom="column">
                  <wp:posOffset>-114300</wp:posOffset>
                </wp:positionH>
                <wp:positionV relativeFrom="paragraph">
                  <wp:posOffset>1531620</wp:posOffset>
                </wp:positionV>
                <wp:extent cx="8115300" cy="571500"/>
                <wp:effectExtent l="0" t="0" r="0" b="12700"/>
                <wp:wrapSquare wrapText="bothSides"/>
                <wp:docPr id="877" name="Zone de texte 877"/>
                <wp:cNvGraphicFramePr/>
                <a:graphic xmlns:a="http://schemas.openxmlformats.org/drawingml/2006/main">
                  <a:graphicData uri="http://schemas.microsoft.com/office/word/2010/wordprocessingShape">
                    <wps:wsp>
                      <wps:cNvSpPr txBox="1"/>
                      <wps:spPr>
                        <a:xfrm>
                          <a:off x="0" y="0"/>
                          <a:ext cx="81153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EA3A50" w14:textId="75F891C9" w:rsidR="00573C95" w:rsidRPr="0066535C" w:rsidRDefault="00573C95" w:rsidP="00751234">
                            <w:pPr>
                              <w:pStyle w:val="Notedebasdepage"/>
                              <w:rPr>
                                <w:sz w:val="18"/>
                                <w:szCs w:val="18"/>
                              </w:rPr>
                            </w:pPr>
                            <w:r w:rsidRPr="008B619E">
                              <w:rPr>
                                <w:vertAlign w:val="superscript"/>
                              </w:rPr>
                              <w:t>8</w:t>
                            </w:r>
                            <w:r>
                              <w:rPr>
                                <w:vertAlign w:val="superscript"/>
                              </w:rPr>
                              <w:t>4</w:t>
                            </w:r>
                            <w:r>
                              <w:rPr>
                                <w:sz w:val="18"/>
                                <w:szCs w:val="18"/>
                              </w:rPr>
                              <w:t xml:space="preserve"> GérezMieuxVotreArgent.ca, CVMO</w:t>
                            </w:r>
                            <w:r w:rsidRPr="004476F1">
                              <w:rPr>
                                <w:sz w:val="18"/>
                                <w:szCs w:val="18"/>
                              </w:rPr>
                              <w:t>,</w:t>
                            </w:r>
                            <w:r>
                              <w:rPr>
                                <w:sz w:val="18"/>
                                <w:szCs w:val="18"/>
                              </w:rPr>
                              <w:t xml:space="preserve"> </w:t>
                            </w:r>
                            <w:r w:rsidRPr="00CB1216">
                              <w:rPr>
                                <w:i/>
                                <w:sz w:val="18"/>
                                <w:szCs w:val="18"/>
                              </w:rPr>
                              <w:t>"</w:t>
                            </w:r>
                            <w:r>
                              <w:rPr>
                                <w:i/>
                                <w:sz w:val="18"/>
                                <w:szCs w:val="18"/>
                              </w:rPr>
                              <w:t>Risque et diversification</w:t>
                            </w:r>
                            <w:r w:rsidRPr="00CB1216">
                              <w:rPr>
                                <w:bCs/>
                                <w:i/>
                                <w:sz w:val="18"/>
                                <w:szCs w:val="18"/>
                              </w:rPr>
                              <w:t>",</w:t>
                            </w:r>
                            <w:r>
                              <w:rPr>
                                <w:bCs/>
                                <w:i/>
                                <w:sz w:val="18"/>
                                <w:szCs w:val="18"/>
                              </w:rPr>
                              <w:t xml:space="preserve"> </w:t>
                            </w:r>
                            <w:hyperlink r:id="rId197" w:history="1">
                              <w:r w:rsidRPr="008B619E">
                                <w:rPr>
                                  <w:rStyle w:val="Lienhypertexte"/>
                                  <w:i/>
                                  <w:iCs/>
                                  <w:color w:val="FF6700" w:themeColor="accent3"/>
                                  <w:sz w:val="18"/>
                                  <w:szCs w:val="18"/>
                                </w:rPr>
                                <w:t>http://www.getsmarteraboutmoney.ca/fr/tools_and_calculators/infographics/Documents/infographie-alternatif-Risque-et-diversification.pdf</w:t>
                              </w:r>
                            </w:hyperlink>
                            <w:hyperlink r:id="rId198" w:history="1"/>
                            <w:r>
                              <w:rPr>
                                <w:bCs/>
                                <w:i/>
                                <w:sz w:val="18"/>
                                <w:szCs w:val="18"/>
                              </w:rPr>
                              <w:t>, (Page consultée le 7 janvier 2016).</w:t>
                            </w:r>
                          </w:p>
                          <w:p w14:paraId="04CBB7E7" w14:textId="77777777" w:rsidR="00573C95" w:rsidRDefault="00573C95" w:rsidP="007512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77" o:spid="_x0000_s1600" type="#_x0000_t202" style="position:absolute;margin-left:-8.95pt;margin-top:120.6pt;width:639pt;height:45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" filled="f" stroked="f">
                <v:textbox>
                  <w:txbxContent>
                    <w:p w14:paraId="10EA3A50" w14:textId="75F891C9" w:rsidR="001501D6" w:rsidRPr="0066535C" w:rsidRDefault="001501D6" w:rsidP="00751234">
                      <w:pPr>
                        <w:pStyle w:val="Notedebasdepage"/>
                        <w:rPr>
                          <w:sz w:val="18"/>
                          <w:szCs w:val="18"/>
                        </w:rPr>
                      </w:pPr>
                      <w:r w:rsidRPr="008B619E">
                        <w:rPr>
                          <w:vertAlign w:val="superscript"/>
                        </w:rPr>
                        <w:t>8</w:t>
                      </w:r>
                      <w:r>
                        <w:rPr>
                          <w:vertAlign w:val="superscript"/>
                        </w:rPr>
                        <w:t>4</w:t>
                      </w:r>
                      <w:r>
                        <w:rPr>
                          <w:sz w:val="18"/>
                          <w:szCs w:val="18"/>
                        </w:rPr>
                        <w:t xml:space="preserve"> GérezMieuxVotreArgent.ca, CVMO</w:t>
                      </w:r>
                      <w:r w:rsidRPr="004476F1">
                        <w:rPr>
                          <w:sz w:val="18"/>
                          <w:szCs w:val="18"/>
                        </w:rPr>
                        <w:t>,</w:t>
                      </w:r>
                      <w:r>
                        <w:rPr>
                          <w:sz w:val="18"/>
                          <w:szCs w:val="18"/>
                        </w:rPr>
                        <w:t xml:space="preserve"> </w:t>
                      </w:r>
                      <w:r w:rsidRPr="00CB1216">
                        <w:rPr>
                          <w:i/>
                          <w:sz w:val="18"/>
                          <w:szCs w:val="18"/>
                        </w:rPr>
                        <w:t>"</w:t>
                      </w:r>
                      <w:r>
                        <w:rPr>
                          <w:i/>
                          <w:sz w:val="18"/>
                          <w:szCs w:val="18"/>
                        </w:rPr>
                        <w:t>Risque et diversification</w:t>
                      </w:r>
                      <w:r w:rsidRPr="00CB1216">
                        <w:rPr>
                          <w:bCs/>
                          <w:i/>
                          <w:sz w:val="18"/>
                          <w:szCs w:val="18"/>
                        </w:rPr>
                        <w:t>",</w:t>
                      </w:r>
                      <w:r>
                        <w:rPr>
                          <w:bCs/>
                          <w:i/>
                          <w:sz w:val="18"/>
                          <w:szCs w:val="18"/>
                        </w:rPr>
                        <w:t xml:space="preserve"> </w:t>
                      </w:r>
                      <w:hyperlink r:id="rId199" w:history="1">
                        <w:r w:rsidRPr="008B619E">
                          <w:rPr>
                            <w:rStyle w:val="Lienhypertexte"/>
                            <w:i/>
                            <w:iCs/>
                            <w:color w:val="FF6700" w:themeColor="accent3"/>
                            <w:sz w:val="18"/>
                            <w:szCs w:val="18"/>
                          </w:rPr>
                          <w:t>http://www.getsmarteraboutmoney.ca/fr/tools_and_calculators/infographics/Documents/infographie-alternatif-Risque-et-diversification.pdf</w:t>
                        </w:r>
                      </w:hyperlink>
                      <w:hyperlink r:id="rId200" w:history="1"/>
                      <w:r>
                        <w:rPr>
                          <w:bCs/>
                          <w:i/>
                          <w:sz w:val="18"/>
                          <w:szCs w:val="18"/>
                        </w:rPr>
                        <w:t>, (Page consultée le 7 janvier 2016).</w:t>
                      </w:r>
                    </w:p>
                    <w:p w14:paraId="04CBB7E7" w14:textId="77777777" w:rsidR="001501D6" w:rsidRDefault="001501D6" w:rsidP="00751234"/>
                  </w:txbxContent>
                </v:textbox>
                <w10:wrap type="square"/>
              </v:shape>
            </w:pict>
          </mc:Fallback>
        </mc:AlternateContent>
      </w:r>
      <w:r w:rsidR="007F5EE7">
        <w:t>Pour compléter l'étude de la diversi</w:t>
      </w:r>
      <w:r>
        <w:t xml:space="preserve">fication veuillez consulter </w:t>
      </w:r>
      <w:r>
        <w:tab/>
      </w:r>
      <w:hyperlink r:id="rId201" w:anchor=".Vo535DYgAdU" w:history="1">
        <w:r w:rsidRPr="009C09ED">
          <w:rPr>
            <w:rStyle w:val="Lienhypertexte"/>
            <w:color w:val="FF6700" w:themeColor="accent3"/>
          </w:rPr>
          <w:t>DIVERSIFICATION</w:t>
        </w:r>
      </w:hyperlink>
      <w:r w:rsidR="007F5EE7">
        <w:br w:type="page"/>
      </w:r>
    </w:p>
    <w:p w14:paraId="47DBBE7B" w14:textId="3BBA8196" w:rsidR="009735FC" w:rsidRDefault="003F2F13" w:rsidP="006C34CF">
      <w:pPr>
        <w:pStyle w:val="Paragraphedeliste"/>
        <w:numPr>
          <w:ilvl w:val="0"/>
          <w:numId w:val="126"/>
        </w:numPr>
        <w:ind w:left="709" w:hanging="425"/>
        <w:rPr>
          <w:color w:val="FF6700" w:themeColor="accent3"/>
        </w:rPr>
      </w:pPr>
      <w:r>
        <w:rPr>
          <w:color w:val="FF6700" w:themeColor="accent3"/>
        </w:rPr>
        <w:lastRenderedPageBreak/>
        <w:t>La g</w:t>
      </w:r>
      <w:r w:rsidR="009735FC" w:rsidRPr="00A4279E">
        <w:rPr>
          <w:color w:val="FF6700" w:themeColor="accent3"/>
        </w:rPr>
        <w:t xml:space="preserve">estion </w:t>
      </w:r>
      <w:r>
        <w:rPr>
          <w:color w:val="FF6700" w:themeColor="accent3"/>
        </w:rPr>
        <w:t xml:space="preserve">éclairée </w:t>
      </w:r>
      <w:r w:rsidR="009735FC" w:rsidRPr="00A4279E">
        <w:rPr>
          <w:color w:val="FF6700" w:themeColor="accent3"/>
        </w:rPr>
        <w:t xml:space="preserve">de la </w:t>
      </w:r>
      <w:r>
        <w:rPr>
          <w:color w:val="FF6700" w:themeColor="accent3"/>
        </w:rPr>
        <w:t xml:space="preserve">période </w:t>
      </w:r>
      <w:r w:rsidR="009735FC" w:rsidRPr="00A4279E">
        <w:rPr>
          <w:color w:val="FF6700" w:themeColor="accent3"/>
        </w:rPr>
        <w:t>transit</w:t>
      </w:r>
      <w:r>
        <w:rPr>
          <w:color w:val="FF6700" w:themeColor="accent3"/>
        </w:rPr>
        <w:t xml:space="preserve">oire </w:t>
      </w:r>
      <w:r w:rsidR="009735FC" w:rsidRPr="00A4279E">
        <w:rPr>
          <w:color w:val="FF6700" w:themeColor="accent3"/>
        </w:rPr>
        <w:t>en fonction de</w:t>
      </w:r>
      <w:r w:rsidR="002B6077" w:rsidRPr="00A4279E">
        <w:rPr>
          <w:color w:val="FF6700" w:themeColor="accent3"/>
        </w:rPr>
        <w:t xml:space="preserve"> l'anticipation de</w:t>
      </w:r>
      <w:r w:rsidR="009735FC" w:rsidRPr="00A4279E">
        <w:rPr>
          <w:color w:val="FF6700" w:themeColor="accent3"/>
        </w:rPr>
        <w:t>s besoins en liquidité</w:t>
      </w:r>
    </w:p>
    <w:p w14:paraId="6112DBBA" w14:textId="77777777" w:rsidR="003F225E" w:rsidRDefault="003F225E" w:rsidP="003F225E">
      <w:pPr>
        <w:rPr>
          <w:color w:val="FF6700" w:themeColor="accent3"/>
        </w:rPr>
      </w:pPr>
    </w:p>
    <w:p w14:paraId="79C91736" w14:textId="7B437D79" w:rsidR="00FE01B0" w:rsidRDefault="005D5C75" w:rsidP="00277A6A">
      <w:pPr>
        <w:jc w:val="both"/>
      </w:pPr>
      <w:r>
        <w:t xml:space="preserve">Bien que les stratégies de placement soient mises en place en </w:t>
      </w:r>
      <w:r w:rsidR="009D537A">
        <w:t xml:space="preserve">scrutant </w:t>
      </w:r>
      <w:r>
        <w:t>une période qui se décline sur le long terme, il arrive qu'elles doivent tenir compte d'un point</w:t>
      </w:r>
      <w:r w:rsidR="00760F2A">
        <w:t xml:space="preserve"> </w:t>
      </w:r>
      <w:r>
        <w:t>d'arrivée. Normalement, ce point d'arrivé</w:t>
      </w:r>
      <w:r w:rsidR="00277A6A">
        <w:t>e coïncide avec le début de la retraite.</w:t>
      </w:r>
    </w:p>
    <w:p w14:paraId="4D663EC4" w14:textId="77777777" w:rsidR="00FE01B0" w:rsidRDefault="00FE01B0" w:rsidP="00277A6A">
      <w:pPr>
        <w:jc w:val="both"/>
      </w:pPr>
    </w:p>
    <w:p w14:paraId="2289B6A4" w14:textId="6682D3F2" w:rsidR="00FE01B0" w:rsidRDefault="00277A6A" w:rsidP="00277A6A">
      <w:pPr>
        <w:jc w:val="both"/>
      </w:pPr>
      <w:r>
        <w:t xml:space="preserve"> Comme nous avons discuté, tous les épargnants souhaiteraient posséder une boule de cristal qui leur permettrait d'identifier le moment exact où ils devraient se départir de leurs placements plus volatils (actions) pour les transformer en placements plus prévisibles (obligation et titres liquides). Ce moment serait l</w:t>
      </w:r>
      <w:r w:rsidR="009D537A">
        <w:t>'instant où le</w:t>
      </w:r>
      <w:r>
        <w:t xml:space="preserve"> cours de l'action</w:t>
      </w:r>
      <w:r w:rsidR="009D537A">
        <w:t xml:space="preserve"> atteint un sommet</w:t>
      </w:r>
      <w:r>
        <w:t xml:space="preserve">. Cette tâche impossible doit plutôt laisser place à une stratégie qui vise à transformer progressivement la répartition du portefeuille de placement de l'individu </w:t>
      </w:r>
      <w:r w:rsidR="009D537A">
        <w:t>à partir du</w:t>
      </w:r>
      <w:r>
        <w:t xml:space="preserve"> moment où l'horizon de la retraite se pointe. Cette importante mutation vise à anticiper les besoins futurs en liquidité qui sera nécessaire au moment de la retraite. Elle sous-tend que si l'opération n'est </w:t>
      </w:r>
      <w:r w:rsidR="009D537A">
        <w:t xml:space="preserve">pas </w:t>
      </w:r>
      <w:r>
        <w:t>planifiée d'avance et instaurée progressivement, l'individu devra se départir de titres qui pourra</w:t>
      </w:r>
      <w:r w:rsidR="009D537A">
        <w:t xml:space="preserve">ient être à leur plus bas niveau (avec le potentiel de prendre de la valeur dans le futur). </w:t>
      </w:r>
    </w:p>
    <w:p w14:paraId="17A0EDB8" w14:textId="77777777" w:rsidR="00FE01B0" w:rsidRDefault="00FE01B0" w:rsidP="00277A6A">
      <w:pPr>
        <w:jc w:val="both"/>
      </w:pPr>
    </w:p>
    <w:p w14:paraId="1D0FB406" w14:textId="71AEE155" w:rsidR="00E649B5" w:rsidRDefault="00FE01B0" w:rsidP="00277A6A">
      <w:pPr>
        <w:jc w:val="both"/>
      </w:pPr>
      <w:r>
        <w:t>Par exemple, u</w:t>
      </w:r>
      <w:r w:rsidR="00E649B5">
        <w:t xml:space="preserve">n individu qui n'aurait pas planifié progressivement la modulation de son portefeuille de placements pourrait se retrouver dans un contexte de marché boursier en repli de 20 % sans pour autant pouvoir profiter de la reprise éventuelle du marché. </w:t>
      </w:r>
      <w:r w:rsidR="009D537A">
        <w:t>Cette situation est navrante et nuisible au rendement global du portefeuille de placement.</w:t>
      </w:r>
      <w:r w:rsidR="00E649B5">
        <w:t xml:space="preserve"> Elle pourrait même forcer l'individu à reporter le moment de la retraite. En 2000, la bulle technologique, avec les titres de Nortel en avant-scène, a été la cause de plusieurs retraites qui ont du être reportées.</w:t>
      </w:r>
    </w:p>
    <w:p w14:paraId="58119BBE" w14:textId="07088348" w:rsidR="00E649B5" w:rsidRDefault="00E649B5" w:rsidP="00277A6A">
      <w:pPr>
        <w:jc w:val="both"/>
      </w:pPr>
    </w:p>
    <w:p w14:paraId="4409D696" w14:textId="77777777" w:rsidR="00FE01B0" w:rsidRDefault="00FE01B0" w:rsidP="00277A6A">
      <w:pPr>
        <w:jc w:val="both"/>
      </w:pPr>
    </w:p>
    <w:p w14:paraId="487A1301" w14:textId="77777777" w:rsidR="00FE01B0" w:rsidRDefault="00FE01B0" w:rsidP="00277A6A">
      <w:pPr>
        <w:jc w:val="both"/>
      </w:pPr>
    </w:p>
    <w:p w14:paraId="0E37F764" w14:textId="77777777" w:rsidR="00FE01B0" w:rsidRDefault="00FE01B0" w:rsidP="00277A6A">
      <w:pPr>
        <w:jc w:val="both"/>
      </w:pPr>
    </w:p>
    <w:p w14:paraId="141A6BA2" w14:textId="77777777" w:rsidR="00FE01B0" w:rsidRDefault="00FE01B0" w:rsidP="00277A6A">
      <w:pPr>
        <w:jc w:val="both"/>
      </w:pPr>
    </w:p>
    <w:p w14:paraId="549FD116" w14:textId="77777777" w:rsidR="00FE01B0" w:rsidRDefault="00FE01B0" w:rsidP="00277A6A">
      <w:pPr>
        <w:jc w:val="both"/>
      </w:pPr>
    </w:p>
    <w:p w14:paraId="12250B6B" w14:textId="77777777" w:rsidR="00FE01B0" w:rsidRDefault="00FE01B0" w:rsidP="00277A6A">
      <w:pPr>
        <w:jc w:val="both"/>
      </w:pPr>
    </w:p>
    <w:p w14:paraId="3233B3DB" w14:textId="77777777" w:rsidR="00FE01B0" w:rsidRDefault="00FE01B0" w:rsidP="00277A6A">
      <w:pPr>
        <w:jc w:val="both"/>
      </w:pPr>
    </w:p>
    <w:p w14:paraId="3BB3AC00" w14:textId="483A947E" w:rsidR="00E00BC2" w:rsidRDefault="00E00BC2" w:rsidP="00277A6A">
      <w:pPr>
        <w:jc w:val="both"/>
      </w:pPr>
      <w:r>
        <w:lastRenderedPageBreak/>
        <w:t xml:space="preserve">Voici un exemple du groupe Fidelity Investments </w:t>
      </w:r>
      <w:r w:rsidR="00FE01B0">
        <w:t>qui présente le</w:t>
      </w:r>
      <w:r>
        <w:t xml:space="preserve"> rééquilibrage d</w:t>
      </w:r>
      <w:r w:rsidR="00FE01B0">
        <w:t>'</w:t>
      </w:r>
      <w:r>
        <w:t>u</w:t>
      </w:r>
      <w:r w:rsidR="00FE01B0">
        <w:t>n</w:t>
      </w:r>
      <w:r>
        <w:t xml:space="preserve"> portefeuille de placement en fonction du moment de la retraite</w:t>
      </w:r>
    </w:p>
    <w:p w14:paraId="5237A4A2" w14:textId="6723F679" w:rsidR="00E00BC2" w:rsidRDefault="00FE01B0" w:rsidP="00277A6A">
      <w:pPr>
        <w:jc w:val="both"/>
      </w:pPr>
      <w:r>
        <w:rPr>
          <w:noProof/>
          <w:lang w:eastAsia="fr-FR"/>
        </w:rPr>
        <w:drawing>
          <wp:anchor distT="0" distB="0" distL="114300" distR="114300" simplePos="0" relativeHeight="253284352" behindDoc="0" locked="0" layoutInCell="1" allowOverlap="1" wp14:anchorId="303CBAEB" wp14:editId="7165DF1C">
            <wp:simplePos x="0" y="0"/>
            <wp:positionH relativeFrom="column">
              <wp:posOffset>-342900</wp:posOffset>
            </wp:positionH>
            <wp:positionV relativeFrom="paragraph">
              <wp:posOffset>83185</wp:posOffset>
            </wp:positionV>
            <wp:extent cx="9372600" cy="4864100"/>
            <wp:effectExtent l="0" t="0" r="0" b="12700"/>
            <wp:wrapNone/>
            <wp:docPr id="880" name="Image 880" descr="Macintosh HD:Users:marcbachand:Desktop:Capture d’écran 2016-01-07 à 11.0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6-01-07 à 11.04.42.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9372600" cy="4864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3596086" w14:textId="571F4EEE" w:rsidR="009D537A" w:rsidRDefault="009D537A" w:rsidP="00277A6A">
      <w:pPr>
        <w:jc w:val="both"/>
      </w:pPr>
    </w:p>
    <w:p w14:paraId="776BEAFE" w14:textId="77777777" w:rsidR="009D537A" w:rsidRDefault="009D537A" w:rsidP="00277A6A">
      <w:pPr>
        <w:jc w:val="both"/>
      </w:pPr>
    </w:p>
    <w:p w14:paraId="2B7D247C" w14:textId="77777777" w:rsidR="005D5C75" w:rsidRDefault="005D5C75" w:rsidP="00B823D5"/>
    <w:p w14:paraId="7AED80EF" w14:textId="77777777" w:rsidR="005D5C75" w:rsidRDefault="005D5C75" w:rsidP="00B823D5"/>
    <w:p w14:paraId="1093D88B" w14:textId="07837BBD" w:rsidR="00B823D5" w:rsidRPr="0006297E" w:rsidRDefault="00B823D5" w:rsidP="00B823D5"/>
    <w:p w14:paraId="69A8ECDD" w14:textId="77777777" w:rsidR="00B823D5" w:rsidRDefault="00B823D5" w:rsidP="003F225E">
      <w:pPr>
        <w:rPr>
          <w:color w:val="FF6700" w:themeColor="accent3"/>
        </w:rPr>
      </w:pPr>
    </w:p>
    <w:p w14:paraId="0C526F40" w14:textId="2AA61524" w:rsidR="00E00BC2" w:rsidRDefault="00E00BC2">
      <w:pPr>
        <w:rPr>
          <w:color w:val="FF6700" w:themeColor="accent3"/>
        </w:rPr>
      </w:pPr>
      <w:r>
        <w:rPr>
          <w:color w:val="FF6700" w:themeColor="accent3"/>
        </w:rPr>
        <w:br w:type="page"/>
      </w:r>
    </w:p>
    <w:p w14:paraId="467EDF89" w14:textId="698D3E1F" w:rsidR="0098254B" w:rsidRDefault="003F2F13" w:rsidP="006C34CF">
      <w:pPr>
        <w:pStyle w:val="Paragraphedeliste"/>
        <w:numPr>
          <w:ilvl w:val="0"/>
          <w:numId w:val="126"/>
        </w:numPr>
        <w:ind w:left="709" w:hanging="425"/>
        <w:rPr>
          <w:color w:val="FF6700" w:themeColor="accent3"/>
        </w:rPr>
      </w:pPr>
      <w:r>
        <w:rPr>
          <w:color w:val="FF6700" w:themeColor="accent3"/>
        </w:rPr>
        <w:lastRenderedPageBreak/>
        <w:t>Le m</w:t>
      </w:r>
      <w:r w:rsidR="00B823D5">
        <w:rPr>
          <w:color w:val="FF6700" w:themeColor="accent3"/>
        </w:rPr>
        <w:t>aintient d</w:t>
      </w:r>
      <w:r>
        <w:rPr>
          <w:color w:val="FF6700" w:themeColor="accent3"/>
        </w:rPr>
        <w:t>'une stratégie d</w:t>
      </w:r>
      <w:r w:rsidR="00B823D5">
        <w:rPr>
          <w:color w:val="FF6700" w:themeColor="accent3"/>
        </w:rPr>
        <w:t>'épargne</w:t>
      </w:r>
    </w:p>
    <w:p w14:paraId="349B57AA" w14:textId="77777777" w:rsidR="0098254B" w:rsidRDefault="0098254B" w:rsidP="003F225E">
      <w:pPr>
        <w:rPr>
          <w:color w:val="FF6700" w:themeColor="accent3"/>
        </w:rPr>
      </w:pPr>
    </w:p>
    <w:p w14:paraId="0AF28D33" w14:textId="1D0A72EB" w:rsidR="00F32984" w:rsidRDefault="00FE01B0" w:rsidP="00696043">
      <w:pPr>
        <w:jc w:val="both"/>
      </w:pPr>
      <w:r>
        <w:t xml:space="preserve">Le principe </w:t>
      </w:r>
      <w:r w:rsidR="00696043">
        <w:t>du maintient d'une stratégie d'épargne se veut l'expression d'une seule véritable idée qui peut prendre différentes formes. Dans un contexte, où les rendements sont de nature cyclique et que ceux-ci seront forcément, par moment, faibles, voire négatifs, il convient de rappeler que la vision de l'investisseur se doit d'être à long terme et surtout qu'il est toujours de mise de persévérer dans l'épargne.</w:t>
      </w:r>
    </w:p>
    <w:p w14:paraId="34E76495" w14:textId="77777777" w:rsidR="00696043" w:rsidRDefault="00696043" w:rsidP="00696043">
      <w:pPr>
        <w:jc w:val="both"/>
      </w:pPr>
    </w:p>
    <w:p w14:paraId="2C0A7F59" w14:textId="652DA8E2" w:rsidR="00696043" w:rsidRDefault="00696043" w:rsidP="00696043">
      <w:pPr>
        <w:jc w:val="both"/>
      </w:pPr>
      <w:r>
        <w:t xml:space="preserve">L'épargne est un geste </w:t>
      </w:r>
      <w:r w:rsidR="00760F2A">
        <w:t xml:space="preserve">au profit </w:t>
      </w:r>
      <w:r>
        <w:t>de soi-même afin préserver une qualité de vie à la retraite</w:t>
      </w:r>
      <w:r w:rsidR="00760F2A">
        <w:t>,</w:t>
      </w:r>
      <w:r>
        <w:t xml:space="preserve"> peu importe le rendement ambiant du moment. L'épargnant doit garder le cap sur cet objectif et surtout ne pas se laisser dévier de cette voie sous le prétexte que les rendements ne sont pas au rendez-vous. Par un tel élan de découragement, ce sera l'épargne qui ne sera pas au rendez-vous lorsque les rendements </w:t>
      </w:r>
      <w:r w:rsidR="008A78A9">
        <w:t>seront de nouveau attrayants.</w:t>
      </w:r>
      <w:r>
        <w:t xml:space="preserve"> </w:t>
      </w:r>
      <w:r w:rsidR="008A78A9">
        <w:t>Malheureusement, si l'on observe l'évolution de l'endettement des ménages, les individus semblent tomber dans ce piège en privilégiant la consommation à faible taux de crédit plutôt que l'épargne à faible rendement.</w:t>
      </w:r>
    </w:p>
    <w:p w14:paraId="699ADF0B" w14:textId="77777777" w:rsidR="00B823D5" w:rsidRDefault="00B823D5" w:rsidP="00F32984"/>
    <w:p w14:paraId="51AC00F3" w14:textId="73B219FD" w:rsidR="00B823D5" w:rsidRDefault="003F2F13" w:rsidP="006C34CF">
      <w:pPr>
        <w:pStyle w:val="Paragraphedeliste"/>
        <w:numPr>
          <w:ilvl w:val="0"/>
          <w:numId w:val="126"/>
        </w:numPr>
        <w:ind w:left="709" w:hanging="425"/>
        <w:rPr>
          <w:color w:val="FF6700" w:themeColor="accent3"/>
        </w:rPr>
      </w:pPr>
      <w:r>
        <w:rPr>
          <w:color w:val="FF6700" w:themeColor="accent3"/>
        </w:rPr>
        <w:t>L'E</w:t>
      </w:r>
      <w:r w:rsidR="00B823D5">
        <w:rPr>
          <w:color w:val="FF6700" w:themeColor="accent3"/>
        </w:rPr>
        <w:t xml:space="preserve">ngagement dans </w:t>
      </w:r>
      <w:r>
        <w:rPr>
          <w:color w:val="FF6700" w:themeColor="accent3"/>
        </w:rPr>
        <w:t xml:space="preserve">sa propre </w:t>
      </w:r>
      <w:r w:rsidR="00B823D5">
        <w:rPr>
          <w:color w:val="FF6700" w:themeColor="accent3"/>
        </w:rPr>
        <w:t>éducation en matière de placements</w:t>
      </w:r>
    </w:p>
    <w:p w14:paraId="21B5E980" w14:textId="77777777" w:rsidR="00B823D5" w:rsidRDefault="00B823D5" w:rsidP="00F32984"/>
    <w:p w14:paraId="2EE7888A" w14:textId="43492DFD" w:rsidR="00372F3D" w:rsidRDefault="00372F3D" w:rsidP="00372F3D">
      <w:pPr>
        <w:jc w:val="both"/>
      </w:pPr>
      <w:r>
        <w:t xml:space="preserve">Comme dans plusieurs sphères de nos vies, il faut mieux comprendre les rudiments mis en cause dans nos expériences que de se vautrer dans la pleine noirceur du sujet. Bien sûr, nous n'avons pas être des experts en tout et certaines affinités (ou absence de) peuvent être invoquées pour justifier bien des comportements. Cependant, nous croyons que l'importance du </w:t>
      </w:r>
      <w:r w:rsidR="0053619A">
        <w:t xml:space="preserve">présent </w:t>
      </w:r>
      <w:r>
        <w:t xml:space="preserve">sujet fait en sorte que nul ne devrait se désintéresser des principes et des idées qui sont à la base d'une stratégie dont dépend la qualité </w:t>
      </w:r>
      <w:r w:rsidR="009D33E7">
        <w:t xml:space="preserve">d'une retraite </w:t>
      </w:r>
      <w:proofErr w:type="gramStart"/>
      <w:r w:rsidR="009D33E7">
        <w:t>qui sera</w:t>
      </w:r>
      <w:proofErr w:type="gramEnd"/>
      <w:r w:rsidR="009D33E7">
        <w:t xml:space="preserve"> nul doute bien méritée.</w:t>
      </w:r>
    </w:p>
    <w:p w14:paraId="29D8A96F" w14:textId="77777777" w:rsidR="00372F3D" w:rsidRDefault="00372F3D" w:rsidP="00F32984"/>
    <w:p w14:paraId="77E8DB8A" w14:textId="15C5EC2E" w:rsidR="003713E5" w:rsidRDefault="003713E5">
      <w:r>
        <w:br w:type="page"/>
      </w:r>
    </w:p>
    <w:p w14:paraId="6F5D4D04" w14:textId="041E8017" w:rsidR="00931A90" w:rsidRDefault="00931A90" w:rsidP="006C34CF">
      <w:pPr>
        <w:pStyle w:val="Titre3"/>
        <w:numPr>
          <w:ilvl w:val="2"/>
          <w:numId w:val="125"/>
        </w:numPr>
      </w:pPr>
      <w:bookmarkStart w:id="197" w:name="_Toc314397905"/>
      <w:bookmarkStart w:id="198" w:name="_Toc443569449"/>
      <w:r>
        <w:lastRenderedPageBreak/>
        <w:t>Un</w:t>
      </w:r>
      <w:r w:rsidR="00FB5E1C">
        <w:t>e vue</w:t>
      </w:r>
      <w:r>
        <w:t xml:space="preserve"> historique</w:t>
      </w:r>
      <w:bookmarkEnd w:id="197"/>
      <w:bookmarkEnd w:id="198"/>
    </w:p>
    <w:p w14:paraId="212494F9" w14:textId="77777777" w:rsidR="00FB5E1C" w:rsidRDefault="00FB5E1C" w:rsidP="00FB5E1C"/>
    <w:p w14:paraId="75001612" w14:textId="63CDDB41" w:rsidR="00002845" w:rsidRDefault="00002845" w:rsidP="007E25AB">
      <w:pPr>
        <w:jc w:val="both"/>
      </w:pPr>
      <w:r>
        <w:t xml:space="preserve">Puisque notre approche en matière de placement s’appuie sur une détention à long terme, préconisant la diversification des titres à l’intérieur d’un portefeuille de placement et </w:t>
      </w:r>
      <w:r w:rsidR="007E25AB">
        <w:t>tirant profit d</w:t>
      </w:r>
      <w:r>
        <w:t>e la croi</w:t>
      </w:r>
      <w:r w:rsidR="00BF53C7">
        <w:t>s</w:t>
      </w:r>
      <w:r>
        <w:t>sance générale d</w:t>
      </w:r>
      <w:r w:rsidR="007E25AB">
        <w:t xml:space="preserve">es </w:t>
      </w:r>
      <w:r>
        <w:t>marché</w:t>
      </w:r>
      <w:r w:rsidR="007E25AB">
        <w:t>s</w:t>
      </w:r>
      <w:r>
        <w:t xml:space="preserve"> boursier</w:t>
      </w:r>
      <w:r w:rsidR="007E25AB">
        <w:t>s qui se profile au rythme du défilement des cycles économiques, nous porterons dans la proc</w:t>
      </w:r>
      <w:r w:rsidR="00BF53C7">
        <w:t>h</w:t>
      </w:r>
      <w:r w:rsidR="007E25AB">
        <w:t>aine section un regard historique sur l’évolution des marchés.</w:t>
      </w:r>
    </w:p>
    <w:p w14:paraId="1F5BB6BD" w14:textId="77777777" w:rsidR="00002845" w:rsidRDefault="00002845" w:rsidP="00FB5E1C"/>
    <w:p w14:paraId="18A797DF" w14:textId="378C6B2A" w:rsidR="007E25AB" w:rsidRDefault="007E25AB" w:rsidP="00F63697">
      <w:pPr>
        <w:jc w:val="both"/>
      </w:pPr>
      <w:r>
        <w:t>Ce coup d’œil aura pour o</w:t>
      </w:r>
      <w:r w:rsidR="00BF53C7">
        <w:t>b</w:t>
      </w:r>
      <w:r>
        <w:t>jectif d’illustrer l’importance de respecter la durée et le temps</w:t>
      </w:r>
      <w:r w:rsidR="00F63697">
        <w:t xml:space="preserve"> requis afin de suivre la croissance attribuable à l’évolution du marché bours</w:t>
      </w:r>
      <w:r w:rsidR="00BF53C7">
        <w:t>i</w:t>
      </w:r>
      <w:r w:rsidR="00F63697">
        <w:t xml:space="preserve">er (plutôt que de tenter de le surpasser par son anticipation) </w:t>
      </w:r>
      <w:r>
        <w:t xml:space="preserve">dans l’ultime tentative de </w:t>
      </w:r>
      <w:r w:rsidR="00F63697">
        <w:t xml:space="preserve">créer </w:t>
      </w:r>
      <w:r>
        <w:t>un patrimoine financier axé sur la détention d’actifs financiers.</w:t>
      </w:r>
    </w:p>
    <w:p w14:paraId="086136F6" w14:textId="27F21486" w:rsidR="00F63697" w:rsidRDefault="00C06570" w:rsidP="00C06570">
      <w:pPr>
        <w:tabs>
          <w:tab w:val="left" w:pos="1450"/>
        </w:tabs>
      </w:pPr>
      <w:r>
        <w:tab/>
      </w:r>
    </w:p>
    <w:p w14:paraId="19B0D799" w14:textId="6A73A102" w:rsidR="00A4720D" w:rsidRDefault="00A4720D" w:rsidP="006C34CF">
      <w:pPr>
        <w:pStyle w:val="Titre4"/>
        <w:numPr>
          <w:ilvl w:val="3"/>
          <w:numId w:val="127"/>
        </w:numPr>
      </w:pPr>
      <w:bookmarkStart w:id="199" w:name="_Toc314397906"/>
      <w:bookmarkStart w:id="200" w:name="_Toc443569450"/>
      <w:r>
        <w:t>Le</w:t>
      </w:r>
      <w:r w:rsidR="00D25ED3">
        <w:t xml:space="preserve"> cycle économique</w:t>
      </w:r>
      <w:bookmarkEnd w:id="199"/>
      <w:bookmarkEnd w:id="200"/>
    </w:p>
    <w:p w14:paraId="70F4B4A6" w14:textId="77777777" w:rsidR="00D25ED3" w:rsidRDefault="00D25ED3" w:rsidP="00D25ED3"/>
    <w:p w14:paraId="7FCDC95B" w14:textId="0FD628CC" w:rsidR="00754B26" w:rsidRDefault="00754B26" w:rsidP="00754B26">
      <w:pPr>
        <w:jc w:val="both"/>
      </w:pPr>
      <w:r>
        <w:t>L’étude du cycle économique est très important</w:t>
      </w:r>
      <w:r w:rsidR="0068382E">
        <w:t>e</w:t>
      </w:r>
      <w:r>
        <w:t xml:space="preserve"> puisqu’</w:t>
      </w:r>
      <w:r w:rsidR="0068382E">
        <w:t xml:space="preserve">elle </w:t>
      </w:r>
      <w:r>
        <w:t>illustre la véritable évolution de l’activité économique (production et création de richesse), qui elle-même influera sur l’allure des cycles bours</w:t>
      </w:r>
      <w:r w:rsidR="0068382E">
        <w:t>i</w:t>
      </w:r>
      <w:r>
        <w:t>er</w:t>
      </w:r>
      <w:r w:rsidR="0068382E">
        <w:t>s</w:t>
      </w:r>
      <w:r>
        <w:t xml:space="preserve">. Nous verrons un peu plus tard qu’il y a une corrélation, un peu déphasée dans le temps, entre les cycles économiques et </w:t>
      </w:r>
      <w:r w:rsidR="00E8075A">
        <w:t xml:space="preserve">les </w:t>
      </w:r>
      <w:r>
        <w:t>cycles boursiers. Ce lien est prévisible puisque la source de la prise de valeur d</w:t>
      </w:r>
      <w:r w:rsidR="0068382E">
        <w:t>es</w:t>
      </w:r>
      <w:r>
        <w:t xml:space="preserve"> titre</w:t>
      </w:r>
      <w:r w:rsidR="00332D7D">
        <w:t>s</w:t>
      </w:r>
      <w:r>
        <w:t xml:space="preserve"> émis par </w:t>
      </w:r>
      <w:r w:rsidR="0068382E">
        <w:t xml:space="preserve">les entreprises (globalement = la croissance du cycle boursier) correspond à la performance économique des entreprises (globalement = la croissance du cycle économique). La mesure de l’évolution du cycle économique s’effectuera en utilisant le PIB alors que la mesure de la croissance du cycle boursier se mesurera selon divers indices </w:t>
      </w:r>
      <w:r w:rsidR="00DF7A0C">
        <w:t>propres à différents marchés boursiers.</w:t>
      </w:r>
      <w:r>
        <w:t xml:space="preserve"> </w:t>
      </w:r>
    </w:p>
    <w:p w14:paraId="1995A971" w14:textId="77777777" w:rsidR="003C1965" w:rsidRDefault="003C1965" w:rsidP="00D25ED3">
      <w:pPr>
        <w:rPr>
          <w:color w:val="FF6700" w:themeColor="accent3"/>
        </w:rPr>
      </w:pPr>
    </w:p>
    <w:p w14:paraId="76C325DC" w14:textId="58FEE134" w:rsidR="00D25ED3" w:rsidRDefault="00C06570" w:rsidP="00D25ED3">
      <w:r>
        <w:rPr>
          <w:noProof/>
          <w:lang w:eastAsia="fr-FR"/>
        </w:rPr>
        <w:drawing>
          <wp:anchor distT="0" distB="0" distL="114300" distR="114300" simplePos="0" relativeHeight="253287424" behindDoc="0" locked="0" layoutInCell="1" allowOverlap="1" wp14:anchorId="0AF7BC2F" wp14:editId="343B60D1">
            <wp:simplePos x="0" y="0"/>
            <wp:positionH relativeFrom="column">
              <wp:posOffset>-114300</wp:posOffset>
            </wp:positionH>
            <wp:positionV relativeFrom="paragraph">
              <wp:posOffset>90170</wp:posOffset>
            </wp:positionV>
            <wp:extent cx="3429000" cy="2197735"/>
            <wp:effectExtent l="0" t="0" r="0" b="12065"/>
            <wp:wrapSquare wrapText="bothSides"/>
            <wp:docPr id="882" name="Image 882" descr="Macintosh HD:Users:marcbachand:Desktop:Capture d’écran 2016-01-08 à 13.0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6-01-08 à 13.02.35.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429000" cy="21977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1035F">
        <w:rPr>
          <w:color w:val="FF6700" w:themeColor="accent3"/>
        </w:rPr>
        <w:t>IMAGE 7-2</w:t>
      </w:r>
      <w:r w:rsidR="008D06FD">
        <w:rPr>
          <w:color w:val="FF6700" w:themeColor="accent3"/>
        </w:rPr>
        <w:t>4</w:t>
      </w:r>
      <w:r w:rsidR="00C1035F">
        <w:rPr>
          <w:color w:val="FF6700" w:themeColor="accent3"/>
        </w:rPr>
        <w:t xml:space="preserve"> </w:t>
      </w:r>
      <w:r w:rsidR="008D06FD">
        <w:rPr>
          <w:color w:val="FF6700" w:themeColor="accent3"/>
        </w:rPr>
        <w:t>Modèle théorique du</w:t>
      </w:r>
      <w:r w:rsidR="00C1035F">
        <w:rPr>
          <w:color w:val="FF6700" w:themeColor="accent3"/>
        </w:rPr>
        <w:t xml:space="preserve"> </w:t>
      </w:r>
      <w:r w:rsidR="008D06FD">
        <w:rPr>
          <w:color w:val="FF6700" w:themeColor="accent3"/>
        </w:rPr>
        <w:t>cycle économique</w:t>
      </w:r>
      <w:r w:rsidR="003C1965">
        <w:rPr>
          <w:color w:val="FF6700" w:themeColor="accent3"/>
        </w:rPr>
        <w:t xml:space="preserve"> (selon Les cycles économiques 1 – YouTube – Claire Eischen)</w:t>
      </w:r>
    </w:p>
    <w:p w14:paraId="29A3D758" w14:textId="7FC58EA9" w:rsidR="00C1035F" w:rsidRDefault="00C1035F" w:rsidP="00FB5E1C"/>
    <w:p w14:paraId="0D890F9B" w14:textId="42FD44C1" w:rsidR="00C1035F" w:rsidRDefault="00E935AC" w:rsidP="00C2783D">
      <w:pPr>
        <w:jc w:val="both"/>
      </w:pPr>
      <w:r>
        <w:rPr>
          <w:noProof/>
          <w:lang w:eastAsia="fr-FR"/>
        </w:rPr>
        <mc:AlternateContent>
          <mc:Choice Requires="wps">
            <w:drawing>
              <wp:anchor distT="0" distB="0" distL="114300" distR="114300" simplePos="0" relativeHeight="253300736" behindDoc="0" locked="0" layoutInCell="1" allowOverlap="1" wp14:anchorId="44CD2403" wp14:editId="189B8FB4">
                <wp:simplePos x="0" y="0"/>
                <wp:positionH relativeFrom="column">
                  <wp:posOffset>-1371600</wp:posOffset>
                </wp:positionH>
                <wp:positionV relativeFrom="paragraph">
                  <wp:posOffset>125095</wp:posOffset>
                </wp:positionV>
                <wp:extent cx="342900" cy="342900"/>
                <wp:effectExtent l="76200" t="76200" r="0" b="63500"/>
                <wp:wrapThrough wrapText="bothSides">
                  <wp:wrapPolygon edited="0">
                    <wp:start x="1600" y="-4800"/>
                    <wp:lineTo x="-4800" y="-1600"/>
                    <wp:lineTo x="-4800" y="14400"/>
                    <wp:lineTo x="1600" y="24000"/>
                    <wp:lineTo x="19200" y="24000"/>
                    <wp:lineTo x="17600" y="0"/>
                    <wp:lineTo x="17600" y="-4800"/>
                    <wp:lineTo x="1600" y="-4800"/>
                  </wp:wrapPolygon>
                </wp:wrapThrough>
                <wp:docPr id="896" name="Bouée 896"/>
                <wp:cNvGraphicFramePr/>
                <a:graphic xmlns:a="http://schemas.openxmlformats.org/drawingml/2006/main">
                  <a:graphicData uri="http://schemas.microsoft.com/office/word/2010/wordprocessingShape">
                    <wps:wsp>
                      <wps:cNvSpPr/>
                      <wps:spPr>
                        <a:xfrm>
                          <a:off x="0" y="0"/>
                          <a:ext cx="342900" cy="342900"/>
                        </a:xfrm>
                        <a:prstGeom prst="donut">
                          <a:avLst>
                            <a:gd name="adj" fmla="val 1846"/>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23" coordsize="21600,21600" o:spt="23" adj="5400" path="m0,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Bouée 896" o:spid="_x0000_s1026" type="#_x0000_t23" style="position:absolute;margin-left:-107.95pt;margin-top:9.85pt;width:27pt;height:27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" adj="399" fillcolor="#94c600 [3204]">
                <v:fill color2="#84b100 [2884]" rotate="t" focus="100%" type="gradient">
                  <o:fill v:ext="view" type="gradientUnscaled"/>
                </v:fill>
                <w10:wrap type="through"/>
              </v:shape>
            </w:pict>
          </mc:Fallback>
        </mc:AlternateContent>
      </w:r>
      <w:r>
        <w:rPr>
          <w:noProof/>
          <w:lang w:eastAsia="fr-FR"/>
        </w:rPr>
        <mc:AlternateContent>
          <mc:Choice Requires="wps">
            <w:drawing>
              <wp:anchor distT="0" distB="0" distL="114300" distR="114300" simplePos="0" relativeHeight="253302784" behindDoc="0" locked="0" layoutInCell="1" allowOverlap="1" wp14:anchorId="6D785639" wp14:editId="7ACE4301">
                <wp:simplePos x="0" y="0"/>
                <wp:positionH relativeFrom="column">
                  <wp:posOffset>-1371600</wp:posOffset>
                </wp:positionH>
                <wp:positionV relativeFrom="paragraph">
                  <wp:posOffset>125095</wp:posOffset>
                </wp:positionV>
                <wp:extent cx="342900" cy="342900"/>
                <wp:effectExtent l="0" t="0" r="0" b="12700"/>
                <wp:wrapSquare wrapText="bothSides"/>
                <wp:docPr id="897" name="Zone de texte 897"/>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E1B786" w14:textId="101156CB" w:rsidR="00573C95" w:rsidRPr="008248E4" w:rsidRDefault="00573C95" w:rsidP="00E935AC">
                            <w:pPr>
                              <w:jc w:val="center"/>
                              <w:rPr>
                                <w:sz w:val="18"/>
                                <w:szCs w:val="18"/>
                              </w:rPr>
                            </w:pPr>
                            <w:r>
                              <w:rPr>
                                <w:sz w:val="18"/>
                                <w:szCs w:val="1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97" o:spid="_x0000_s1601" type="#_x0000_t202" style="position:absolute;left:0;text-align:left;margin-left:-107.95pt;margin-top:9.85pt;width:27pt;height:27pt;z-index:2533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" filled="f" stroked="f">
                <v:textbox>
                  <w:txbxContent>
                    <w:p w14:paraId="1EE1B786" w14:textId="101156CB" w:rsidR="001501D6" w:rsidRPr="008248E4" w:rsidRDefault="001501D6" w:rsidP="00E935AC">
                      <w:pPr>
                        <w:jc w:val="center"/>
                        <w:rPr>
                          <w:sz w:val="18"/>
                          <w:szCs w:val="18"/>
                        </w:rPr>
                      </w:pPr>
                      <w:r>
                        <w:rPr>
                          <w:sz w:val="18"/>
                          <w:szCs w:val="18"/>
                        </w:rPr>
                        <w:t>B</w:t>
                      </w:r>
                    </w:p>
                  </w:txbxContent>
                </v:textbox>
                <w10:wrap type="square"/>
              </v:shape>
            </w:pict>
          </mc:Fallback>
        </mc:AlternateContent>
      </w:r>
      <w:r>
        <w:rPr>
          <w:noProof/>
          <w:lang w:eastAsia="fr-FR"/>
        </w:rPr>
        <mc:AlternateContent>
          <mc:Choice Requires="wps">
            <w:drawing>
              <wp:anchor distT="0" distB="0" distL="114300" distR="114300" simplePos="0" relativeHeight="253298688" behindDoc="0" locked="0" layoutInCell="1" allowOverlap="1" wp14:anchorId="19B95D11" wp14:editId="44073199">
                <wp:simplePos x="0" y="0"/>
                <wp:positionH relativeFrom="column">
                  <wp:posOffset>-571500</wp:posOffset>
                </wp:positionH>
                <wp:positionV relativeFrom="paragraph">
                  <wp:posOffset>239395</wp:posOffset>
                </wp:positionV>
                <wp:extent cx="342900" cy="342900"/>
                <wp:effectExtent l="76200" t="76200" r="0" b="63500"/>
                <wp:wrapThrough wrapText="bothSides">
                  <wp:wrapPolygon edited="0">
                    <wp:start x="1600" y="-4800"/>
                    <wp:lineTo x="-4800" y="-1600"/>
                    <wp:lineTo x="-4800" y="14400"/>
                    <wp:lineTo x="1600" y="24000"/>
                    <wp:lineTo x="19200" y="24000"/>
                    <wp:lineTo x="17600" y="0"/>
                    <wp:lineTo x="17600" y="-4800"/>
                    <wp:lineTo x="1600" y="-4800"/>
                  </wp:wrapPolygon>
                </wp:wrapThrough>
                <wp:docPr id="895" name="Bouée 895"/>
                <wp:cNvGraphicFramePr/>
                <a:graphic xmlns:a="http://schemas.openxmlformats.org/drawingml/2006/main">
                  <a:graphicData uri="http://schemas.microsoft.com/office/word/2010/wordprocessingShape">
                    <wps:wsp>
                      <wps:cNvSpPr/>
                      <wps:spPr>
                        <a:xfrm>
                          <a:off x="0" y="0"/>
                          <a:ext cx="342900" cy="342900"/>
                        </a:xfrm>
                        <a:prstGeom prst="donut">
                          <a:avLst>
                            <a:gd name="adj" fmla="val 1846"/>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Bouée 895" o:spid="_x0000_s1026" type="#_x0000_t23" style="position:absolute;margin-left:-44.95pt;margin-top:18.85pt;width:27pt;height:27pt;z-index:2532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" adj="399" fillcolor="#94c600 [3204]">
                <v:fill color2="#84b100 [2884]" rotate="t" focus="100%" type="gradient">
                  <o:fill v:ext="view" type="gradientUnscaled"/>
                </v:fill>
                <w10:wrap type="through"/>
              </v:shape>
            </w:pict>
          </mc:Fallback>
        </mc:AlternateContent>
      </w:r>
      <w:r>
        <w:rPr>
          <w:noProof/>
          <w:lang w:eastAsia="fr-FR"/>
        </w:rPr>
        <mc:AlternateContent>
          <mc:Choice Requires="wps">
            <w:drawing>
              <wp:anchor distT="0" distB="0" distL="114300" distR="114300" simplePos="0" relativeHeight="253296640" behindDoc="0" locked="0" layoutInCell="1" allowOverlap="1" wp14:anchorId="5F99E0E5" wp14:editId="4F240480">
                <wp:simplePos x="0" y="0"/>
                <wp:positionH relativeFrom="column">
                  <wp:posOffset>-571500</wp:posOffset>
                </wp:positionH>
                <wp:positionV relativeFrom="paragraph">
                  <wp:posOffset>239395</wp:posOffset>
                </wp:positionV>
                <wp:extent cx="342900" cy="342900"/>
                <wp:effectExtent l="0" t="0" r="0" b="12700"/>
                <wp:wrapSquare wrapText="bothSides"/>
                <wp:docPr id="894" name="Zone de texte 894"/>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2C9A7E" w14:textId="7A451DE1" w:rsidR="00573C95" w:rsidRPr="008248E4" w:rsidRDefault="00573C95" w:rsidP="008C4B1E">
                            <w:pPr>
                              <w:jc w:val="center"/>
                              <w:rPr>
                                <w:sz w:val="18"/>
                                <w:szCs w:val="18"/>
                              </w:rPr>
                            </w:pPr>
                            <w:r>
                              <w:rPr>
                                <w:sz w:val="18"/>
                                <w:szCs w:val="18"/>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94" o:spid="_x0000_s1602" type="#_x0000_t202" style="position:absolute;left:0;text-align:left;margin-left:-44.95pt;margin-top:18.85pt;width:27pt;height:27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" filled="f" stroked="f">
                <v:textbox>
                  <w:txbxContent>
                    <w:p w14:paraId="5C2C9A7E" w14:textId="7A451DE1" w:rsidR="001501D6" w:rsidRPr="008248E4" w:rsidRDefault="001501D6" w:rsidP="008C4B1E">
                      <w:pPr>
                        <w:jc w:val="center"/>
                        <w:rPr>
                          <w:sz w:val="18"/>
                          <w:szCs w:val="18"/>
                        </w:rPr>
                      </w:pPr>
                      <w:r>
                        <w:rPr>
                          <w:sz w:val="18"/>
                          <w:szCs w:val="18"/>
                        </w:rPr>
                        <w:t>C</w:t>
                      </w:r>
                    </w:p>
                  </w:txbxContent>
                </v:textbox>
                <w10:wrap type="square"/>
              </v:shape>
            </w:pict>
          </mc:Fallback>
        </mc:AlternateContent>
      </w:r>
      <w:r>
        <w:rPr>
          <w:noProof/>
          <w:lang w:eastAsia="fr-FR"/>
        </w:rPr>
        <mc:AlternateContent>
          <mc:Choice Requires="wps">
            <w:drawing>
              <wp:anchor distT="0" distB="0" distL="114300" distR="114300" simplePos="0" relativeHeight="253293568" behindDoc="0" locked="0" layoutInCell="1" allowOverlap="1" wp14:anchorId="5AB0240C" wp14:editId="677ABC78">
                <wp:simplePos x="0" y="0"/>
                <wp:positionH relativeFrom="column">
                  <wp:posOffset>-3314700</wp:posOffset>
                </wp:positionH>
                <wp:positionV relativeFrom="paragraph">
                  <wp:posOffset>696595</wp:posOffset>
                </wp:positionV>
                <wp:extent cx="342900" cy="342900"/>
                <wp:effectExtent l="76200" t="76200" r="0" b="63500"/>
                <wp:wrapThrough wrapText="bothSides">
                  <wp:wrapPolygon edited="0">
                    <wp:start x="1600" y="-4800"/>
                    <wp:lineTo x="-4800" y="-1600"/>
                    <wp:lineTo x="-4800" y="14400"/>
                    <wp:lineTo x="1600" y="24000"/>
                    <wp:lineTo x="19200" y="24000"/>
                    <wp:lineTo x="17600" y="0"/>
                    <wp:lineTo x="17600" y="-4800"/>
                    <wp:lineTo x="1600" y="-4800"/>
                  </wp:wrapPolygon>
                </wp:wrapThrough>
                <wp:docPr id="890" name="Bouée 890"/>
                <wp:cNvGraphicFramePr/>
                <a:graphic xmlns:a="http://schemas.openxmlformats.org/drawingml/2006/main">
                  <a:graphicData uri="http://schemas.microsoft.com/office/word/2010/wordprocessingShape">
                    <wps:wsp>
                      <wps:cNvSpPr/>
                      <wps:spPr>
                        <a:xfrm>
                          <a:off x="0" y="0"/>
                          <a:ext cx="342900" cy="342900"/>
                        </a:xfrm>
                        <a:prstGeom prst="donut">
                          <a:avLst>
                            <a:gd name="adj" fmla="val 1846"/>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Bouée 890" o:spid="_x0000_s1026" type="#_x0000_t23" style="position:absolute;margin-left:-260.95pt;margin-top:54.85pt;width:27pt;height:27pt;z-index:2532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" adj="399" fillcolor="#94c600 [3204]">
                <v:fill color2="#84b100 [2884]" rotate="t" focus="100%" type="gradient">
                  <o:fill v:ext="view" type="gradientUnscaled"/>
                </v:fill>
                <w10:wrap type="through"/>
              </v:shape>
            </w:pict>
          </mc:Fallback>
        </mc:AlternateContent>
      </w:r>
      <w:r>
        <w:rPr>
          <w:noProof/>
          <w:lang w:eastAsia="fr-FR"/>
        </w:rPr>
        <mc:AlternateContent>
          <mc:Choice Requires="wps">
            <w:drawing>
              <wp:anchor distT="0" distB="0" distL="114300" distR="114300" simplePos="0" relativeHeight="253294592" behindDoc="0" locked="0" layoutInCell="1" allowOverlap="1" wp14:anchorId="45FD62AB" wp14:editId="6A802954">
                <wp:simplePos x="0" y="0"/>
                <wp:positionH relativeFrom="column">
                  <wp:posOffset>-3314700</wp:posOffset>
                </wp:positionH>
                <wp:positionV relativeFrom="paragraph">
                  <wp:posOffset>696595</wp:posOffset>
                </wp:positionV>
                <wp:extent cx="342900" cy="342900"/>
                <wp:effectExtent l="0" t="0" r="0" b="12700"/>
                <wp:wrapSquare wrapText="bothSides"/>
                <wp:docPr id="891" name="Zone de texte 891"/>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0BDA6F" w14:textId="6C6F94C5" w:rsidR="00573C95" w:rsidRPr="008248E4" w:rsidRDefault="00573C95" w:rsidP="008248E4">
                            <w:pPr>
                              <w:jc w:val="center"/>
                              <w:rPr>
                                <w:sz w:val="18"/>
                                <w:szCs w:val="18"/>
                              </w:rPr>
                            </w:pPr>
                            <w:r w:rsidRPr="008248E4">
                              <w:rPr>
                                <w:sz w:val="18"/>
                                <w:szCs w:val="1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91" o:spid="_x0000_s1603" type="#_x0000_t202" style="position:absolute;left:0;text-align:left;margin-left:-260.95pt;margin-top:54.85pt;width:27pt;height:27pt;z-index:2532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" filled="f" stroked="f">
                <v:textbox>
                  <w:txbxContent>
                    <w:p w14:paraId="510BDA6F" w14:textId="6C6F94C5" w:rsidR="001501D6" w:rsidRPr="008248E4" w:rsidRDefault="001501D6" w:rsidP="008248E4">
                      <w:pPr>
                        <w:jc w:val="center"/>
                        <w:rPr>
                          <w:sz w:val="18"/>
                          <w:szCs w:val="18"/>
                        </w:rPr>
                      </w:pPr>
                      <w:r w:rsidRPr="008248E4">
                        <w:rPr>
                          <w:sz w:val="18"/>
                          <w:szCs w:val="18"/>
                        </w:rPr>
                        <w:t>A</w:t>
                      </w:r>
                    </w:p>
                  </w:txbxContent>
                </v:textbox>
                <w10:wrap type="square"/>
              </v:shape>
            </w:pict>
          </mc:Fallback>
        </mc:AlternateContent>
      </w:r>
      <w:r w:rsidR="00056950">
        <w:rPr>
          <w:noProof/>
          <w:lang w:eastAsia="fr-FR"/>
        </w:rPr>
        <mc:AlternateContent>
          <mc:Choice Requires="wps">
            <w:drawing>
              <wp:anchor distT="0" distB="0" distL="114300" distR="114300" simplePos="0" relativeHeight="253288448" behindDoc="0" locked="0" layoutInCell="1" allowOverlap="1" wp14:anchorId="43778971" wp14:editId="1553178D">
                <wp:simplePos x="0" y="0"/>
                <wp:positionH relativeFrom="column">
                  <wp:posOffset>-1028700</wp:posOffset>
                </wp:positionH>
                <wp:positionV relativeFrom="paragraph">
                  <wp:posOffset>2068195</wp:posOffset>
                </wp:positionV>
                <wp:extent cx="800100" cy="328295"/>
                <wp:effectExtent l="0" t="0" r="0" b="1905"/>
                <wp:wrapSquare wrapText="bothSides"/>
                <wp:docPr id="883" name="Zone de texte 883"/>
                <wp:cNvGraphicFramePr/>
                <a:graphic xmlns:a="http://schemas.openxmlformats.org/drawingml/2006/main">
                  <a:graphicData uri="http://schemas.microsoft.com/office/word/2010/wordprocessingShape">
                    <wps:wsp>
                      <wps:cNvSpPr txBox="1"/>
                      <wps:spPr>
                        <a:xfrm>
                          <a:off x="0" y="0"/>
                          <a:ext cx="800100" cy="3282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5FB778" w14:textId="49845F07" w:rsidR="00573C95" w:rsidRPr="00844D92" w:rsidRDefault="00573C95">
                            <w:pPr>
                              <w:rPr>
                                <w:color w:val="008000"/>
                              </w:rPr>
                            </w:pPr>
                            <w:r w:rsidRPr="00844D92">
                              <w:rPr>
                                <w:color w:val="008000"/>
                              </w:rPr>
                              <w:t>TEMPS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83" o:spid="_x0000_s1604" type="#_x0000_t202" style="position:absolute;left:0;text-align:left;margin-left:-80.95pt;margin-top:162.85pt;width:63pt;height:25.85pt;z-index:2532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" filled="f" stroked="f">
                <v:textbox>
                  <w:txbxContent>
                    <w:p w14:paraId="095FB778" w14:textId="49845F07" w:rsidR="001501D6" w:rsidRPr="00844D92" w:rsidRDefault="001501D6">
                      <w:pPr>
                        <w:rPr>
                          <w:color w:val="008000"/>
                        </w:rPr>
                      </w:pPr>
                      <w:r w:rsidRPr="00844D92">
                        <w:rPr>
                          <w:color w:val="008000"/>
                        </w:rPr>
                        <w:t>TEMPS</w:t>
                      </w:r>
                    </w:p>
                  </w:txbxContent>
                </v:textbox>
                <w10:wrap type="square"/>
              </v:shape>
            </w:pict>
          </mc:Fallback>
        </mc:AlternateContent>
      </w:r>
      <w:r w:rsidR="00844D92">
        <w:rPr>
          <w:noProof/>
          <w:lang w:eastAsia="fr-FR"/>
        </w:rPr>
        <mc:AlternateContent>
          <mc:Choice Requires="wps">
            <w:drawing>
              <wp:anchor distT="0" distB="0" distL="114300" distR="114300" simplePos="0" relativeHeight="253290496" behindDoc="0" locked="0" layoutInCell="1" allowOverlap="1" wp14:anchorId="3F4D6565" wp14:editId="290FC72C">
                <wp:simplePos x="0" y="0"/>
                <wp:positionH relativeFrom="column">
                  <wp:posOffset>-4411345</wp:posOffset>
                </wp:positionH>
                <wp:positionV relativeFrom="paragraph">
                  <wp:posOffset>421640</wp:posOffset>
                </wp:positionV>
                <wp:extent cx="1378585" cy="328295"/>
                <wp:effectExtent l="0" t="0" r="10160" b="0"/>
                <wp:wrapSquare wrapText="bothSides"/>
                <wp:docPr id="884" name="Zone de texte 884"/>
                <wp:cNvGraphicFramePr/>
                <a:graphic xmlns:a="http://schemas.openxmlformats.org/drawingml/2006/main">
                  <a:graphicData uri="http://schemas.microsoft.com/office/word/2010/wordprocessingShape">
                    <wps:wsp>
                      <wps:cNvSpPr txBox="1"/>
                      <wps:spPr>
                        <a:xfrm rot="16200000">
                          <a:off x="0" y="0"/>
                          <a:ext cx="1378585" cy="3282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BD649B" w14:textId="21CBD32E" w:rsidR="00573C95" w:rsidRPr="00844D92" w:rsidRDefault="00573C95" w:rsidP="003C1965">
                            <w:pPr>
                              <w:rPr>
                                <w:color w:val="008000"/>
                              </w:rPr>
                            </w:pPr>
                            <w:r w:rsidRPr="00844D92">
                              <w:rPr>
                                <w:color w:val="008000"/>
                              </w:rPr>
                              <w:t>ÉCONOMIE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84" o:spid="_x0000_s1605" type="#_x0000_t202" style="position:absolute;left:0;text-align:left;margin-left:-347.3pt;margin-top:33.2pt;width:108.55pt;height:25.85pt;rotation:-90;z-index:2532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" filled="f" stroked="f">
                <v:textbox>
                  <w:txbxContent>
                    <w:p w14:paraId="27BD649B" w14:textId="21CBD32E" w:rsidR="001501D6" w:rsidRPr="00844D92" w:rsidRDefault="001501D6" w:rsidP="003C1965">
                      <w:pPr>
                        <w:rPr>
                          <w:color w:val="008000"/>
                        </w:rPr>
                      </w:pPr>
                      <w:r w:rsidRPr="00844D92">
                        <w:rPr>
                          <w:color w:val="008000"/>
                        </w:rPr>
                        <w:t>ÉCONOMIE</w:t>
                      </w:r>
                    </w:p>
                  </w:txbxContent>
                </v:textbox>
                <w10:wrap type="square"/>
              </v:shape>
            </w:pict>
          </mc:Fallback>
        </mc:AlternateContent>
      </w:r>
      <w:r w:rsidR="00DF7A0C">
        <w:t>La présente représentation du cycle économique se veut un exercice théorique qui décrit nettement les différentes phases qui le compose</w:t>
      </w:r>
      <w:r w:rsidR="00332D7D">
        <w:t>nt</w:t>
      </w:r>
      <w:r w:rsidR="00DF7A0C">
        <w:t xml:space="preserve">. Ce graphique est utile </w:t>
      </w:r>
      <w:r w:rsidR="00C2783D">
        <w:t xml:space="preserve">puisqu’il présente clairement l’essence d’une stratégie d’investissement à long terme qui </w:t>
      </w:r>
      <w:r w:rsidR="00E74AD4">
        <w:t>o</w:t>
      </w:r>
      <w:r w:rsidR="00C2783D">
        <w:t>ffre la possibilité de parcourir plusieurs cycles</w:t>
      </w:r>
      <w:r w:rsidR="00844D92">
        <w:t xml:space="preserve"> économiques</w:t>
      </w:r>
      <w:r w:rsidR="00C2783D">
        <w:t>.</w:t>
      </w:r>
      <w:r w:rsidR="00844D92">
        <w:t xml:space="preserve"> </w:t>
      </w:r>
      <w:r w:rsidR="00C2783D">
        <w:t>Pui</w:t>
      </w:r>
      <w:r w:rsidR="00286E95">
        <w:t>s</w:t>
      </w:r>
      <w:r w:rsidR="00C2783D">
        <w:t>que globalement les cycles s’accro</w:t>
      </w:r>
      <w:r w:rsidR="000A5445">
        <w:t>iss</w:t>
      </w:r>
      <w:r w:rsidR="00C2783D">
        <w:t xml:space="preserve">ent dans </w:t>
      </w:r>
      <w:r w:rsidR="00C2783D">
        <w:lastRenderedPageBreak/>
        <w:t>le temps, nous pourrions imaginer un investisseur qui achète un titre au pire moment</w:t>
      </w:r>
      <w:r>
        <w:t>, lo</w:t>
      </w:r>
      <w:r w:rsidR="00C2783D">
        <w:t>rs du premier Pic</w:t>
      </w:r>
      <w:r>
        <w:t xml:space="preserve"> (A</w:t>
      </w:r>
      <w:r w:rsidR="00C2783D">
        <w:t xml:space="preserve">) et qui réussi malgré tout à faire profit s’il dispose de son titre dans une période se prolongeant du mi-parcours de la </w:t>
      </w:r>
      <w:r w:rsidR="00844D92">
        <w:t>période d’expansion</w:t>
      </w:r>
      <w:r>
        <w:t xml:space="preserve"> (B)</w:t>
      </w:r>
      <w:r w:rsidR="00844D92">
        <w:t xml:space="preserve"> </w:t>
      </w:r>
      <w:r w:rsidR="00C2783D">
        <w:t>jusqu’</w:t>
      </w:r>
      <w:r w:rsidR="00332D7D">
        <w:t xml:space="preserve">au </w:t>
      </w:r>
      <w:r w:rsidR="00844D92">
        <w:t>mi-parcours de la deuxième période de contraction</w:t>
      </w:r>
      <w:r>
        <w:t xml:space="preserve"> (C)</w:t>
      </w:r>
      <w:r w:rsidR="00844D92">
        <w:t>.</w:t>
      </w:r>
      <w:r w:rsidR="00C2783D">
        <w:t xml:space="preserve">  </w:t>
      </w:r>
    </w:p>
    <w:p w14:paraId="5E286F78" w14:textId="7A4060F0" w:rsidR="00C1035F" w:rsidRDefault="00C1035F" w:rsidP="00C2783D">
      <w:pPr>
        <w:jc w:val="both"/>
      </w:pPr>
    </w:p>
    <w:p w14:paraId="50493758" w14:textId="06B3585C" w:rsidR="00C1035F" w:rsidRDefault="00C1035F" w:rsidP="00C2783D">
      <w:pPr>
        <w:jc w:val="both"/>
      </w:pPr>
    </w:p>
    <w:p w14:paraId="23DD0243" w14:textId="0DC317A8" w:rsidR="00C1035F" w:rsidRDefault="00056950" w:rsidP="00FB5E1C">
      <w:r>
        <w:rPr>
          <w:color w:val="FF6700" w:themeColor="accent3"/>
        </w:rPr>
        <w:t>IMAGE 7-25 Évolution du PIB/habitant au Canada 1981-2011</w:t>
      </w:r>
    </w:p>
    <w:p w14:paraId="1E0F279B" w14:textId="671973ED" w:rsidR="00056950" w:rsidRDefault="00056950" w:rsidP="00FB5E1C">
      <w:r>
        <w:rPr>
          <w:noProof/>
          <w:lang w:eastAsia="fr-FR"/>
        </w:rPr>
        <w:drawing>
          <wp:anchor distT="0" distB="0" distL="114300" distR="114300" simplePos="0" relativeHeight="253291520" behindDoc="0" locked="0" layoutInCell="1" allowOverlap="1" wp14:anchorId="1152C3EB" wp14:editId="3D86929D">
            <wp:simplePos x="0" y="0"/>
            <wp:positionH relativeFrom="column">
              <wp:posOffset>-228600</wp:posOffset>
            </wp:positionH>
            <wp:positionV relativeFrom="paragraph">
              <wp:posOffset>156210</wp:posOffset>
            </wp:positionV>
            <wp:extent cx="3543300" cy="3046730"/>
            <wp:effectExtent l="0" t="0" r="12700" b="1270"/>
            <wp:wrapSquare wrapText="bothSides"/>
            <wp:docPr id="885" name="Image 885" descr="Macintosh HD:Users:marcbachand:Desktop:Capture d’écran 2016-01-08 à 14.0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6-01-08 à 14.08.19.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543300" cy="3046730"/>
                    </a:xfrm>
                    <a:prstGeom prst="rect">
                      <a:avLst/>
                    </a:prstGeom>
                    <a:noFill/>
                    <a:ln>
                      <a:no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70AC8F44" w14:textId="2C9AA74D" w:rsidR="00C1035F" w:rsidRDefault="00844D92" w:rsidP="00844D92">
      <w:pPr>
        <w:jc w:val="both"/>
      </w:pPr>
      <w:r>
        <w:t>Maintenant, examinons la réalité de l’évolution de plusieurs cycles économiques</w:t>
      </w:r>
      <w:r w:rsidR="00056950">
        <w:t xml:space="preserve"> réels</w:t>
      </w:r>
      <w:r>
        <w:t xml:space="preserve">. Nous pourrons observer que l’illustration sera beaucoup moins lisse que </w:t>
      </w:r>
      <w:r w:rsidR="00056950">
        <w:t xml:space="preserve">lors de </w:t>
      </w:r>
      <w:r>
        <w:t>son évocation théorique.  Cette différence visuelle est normale puisqu’en réalité les cycles économiques sont plutôt une série de fluctuations irr</w:t>
      </w:r>
      <w:r w:rsidR="00332D7D">
        <w:t>é</w:t>
      </w:r>
      <w:r>
        <w:t xml:space="preserve">gulières et imprévisibles qui comportent cependant toujours les mêmes quatre phases. </w:t>
      </w:r>
    </w:p>
    <w:p w14:paraId="7B5DFF06" w14:textId="77777777" w:rsidR="00F63697" w:rsidRDefault="00F63697" w:rsidP="00FB5E1C"/>
    <w:p w14:paraId="600D8C74" w14:textId="51DD8490" w:rsidR="00F63697" w:rsidRDefault="00F63697" w:rsidP="00FB5E1C"/>
    <w:p w14:paraId="02D220FA" w14:textId="02B83E5C" w:rsidR="00F63697" w:rsidRDefault="00F63697" w:rsidP="00FB5E1C"/>
    <w:p w14:paraId="57AF65E1" w14:textId="4B54837F" w:rsidR="0068382E" w:rsidRDefault="0068382E" w:rsidP="00FB5E1C"/>
    <w:p w14:paraId="64FE10C8" w14:textId="77777777" w:rsidR="00C06570" w:rsidRDefault="00C06570" w:rsidP="00FB5E1C"/>
    <w:p w14:paraId="01D6C737" w14:textId="77777777" w:rsidR="00C06570" w:rsidRDefault="00C06570" w:rsidP="00FB5E1C"/>
    <w:p w14:paraId="27A53471" w14:textId="77777777" w:rsidR="00C06570" w:rsidRDefault="00C06570" w:rsidP="00FB5E1C"/>
    <w:p w14:paraId="07D99405" w14:textId="77777777" w:rsidR="00C06570" w:rsidRDefault="00C06570" w:rsidP="00FB5E1C"/>
    <w:p w14:paraId="41103A70" w14:textId="77777777" w:rsidR="00C06570" w:rsidRDefault="00C06570" w:rsidP="00FB5E1C"/>
    <w:p w14:paraId="269EC47D" w14:textId="77777777" w:rsidR="00C06570" w:rsidRDefault="00C06570" w:rsidP="00FB5E1C"/>
    <w:p w14:paraId="6538E14C" w14:textId="334F803A" w:rsidR="0068382E" w:rsidRDefault="0068382E" w:rsidP="00FB5E1C"/>
    <w:p w14:paraId="6985F8C7" w14:textId="5E2F06E8" w:rsidR="00055207" w:rsidRPr="00055207" w:rsidRDefault="00055207" w:rsidP="00FB5E1C">
      <w:r w:rsidRPr="00055207">
        <w:t>Pour compléter l’étude du cycle économique, visionnez la capsule su</w:t>
      </w:r>
      <w:r w:rsidR="002E449C">
        <w:t>i</w:t>
      </w:r>
      <w:r w:rsidRPr="00055207">
        <w:t>vante :</w:t>
      </w:r>
    </w:p>
    <w:p w14:paraId="77A95E76" w14:textId="2838CF2F" w:rsidR="002E449C" w:rsidRDefault="002E449C" w:rsidP="00FB5E1C">
      <w:pPr>
        <w:rPr>
          <w:color w:val="FF6700" w:themeColor="accent3"/>
        </w:rPr>
      </w:pPr>
      <w:r>
        <w:rPr>
          <w:noProof/>
          <w:lang w:eastAsia="fr-FR"/>
        </w:rPr>
        <w:drawing>
          <wp:anchor distT="0" distB="0" distL="114300" distR="114300" simplePos="0" relativeHeight="253305856" behindDoc="0" locked="0" layoutInCell="1" allowOverlap="1" wp14:anchorId="1645F77E" wp14:editId="586AC350">
            <wp:simplePos x="0" y="0"/>
            <wp:positionH relativeFrom="column">
              <wp:posOffset>2971800</wp:posOffset>
            </wp:positionH>
            <wp:positionV relativeFrom="paragraph">
              <wp:posOffset>156210</wp:posOffset>
            </wp:positionV>
            <wp:extent cx="579120" cy="571500"/>
            <wp:effectExtent l="0" t="0" r="5080" b="12700"/>
            <wp:wrapNone/>
            <wp:docPr id="886" name="Image 886">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9426F04" w14:textId="38657B52" w:rsidR="00055207" w:rsidRDefault="00055207" w:rsidP="00FB5E1C">
      <w:pPr>
        <w:rPr>
          <w:color w:val="FF6700" w:themeColor="accent3"/>
        </w:rPr>
      </w:pPr>
    </w:p>
    <w:p w14:paraId="44448196" w14:textId="51E579C3" w:rsidR="00A4720D" w:rsidRDefault="00573C95" w:rsidP="00FB5E1C">
      <w:pPr>
        <w:rPr>
          <w:rStyle w:val="Lienhypertexte"/>
          <w:color w:val="AF0013"/>
        </w:rPr>
      </w:pPr>
      <w:hyperlink r:id="rId206" w:history="1">
        <w:r w:rsidR="002E449C">
          <w:rPr>
            <w:rStyle w:val="Lienhypertexte"/>
            <w:color w:val="AF0013"/>
          </w:rPr>
          <w:t>Capsule 7-16 Le cycle économique</w:t>
        </w:r>
      </w:hyperlink>
    </w:p>
    <w:p w14:paraId="7AEF214B" w14:textId="77777777" w:rsidR="002E449C" w:rsidRDefault="002E449C" w:rsidP="00FB5E1C">
      <w:pPr>
        <w:rPr>
          <w:rStyle w:val="Lienhypertexte"/>
          <w:color w:val="AF0013"/>
        </w:rPr>
      </w:pPr>
    </w:p>
    <w:p w14:paraId="248CF0D0" w14:textId="77777777" w:rsidR="003713E5" w:rsidRDefault="003713E5" w:rsidP="00FB5E1C">
      <w:pPr>
        <w:rPr>
          <w:rStyle w:val="Lienhypertexte"/>
          <w:color w:val="AF0013"/>
        </w:rPr>
      </w:pPr>
    </w:p>
    <w:p w14:paraId="5C4CB2DC" w14:textId="5F30582A" w:rsidR="00D25ED3" w:rsidRDefault="00D25ED3" w:rsidP="006C34CF">
      <w:pPr>
        <w:pStyle w:val="Titre4"/>
        <w:numPr>
          <w:ilvl w:val="3"/>
          <w:numId w:val="127"/>
        </w:numPr>
      </w:pPr>
      <w:bookmarkStart w:id="201" w:name="_Toc314397907"/>
      <w:bookmarkStart w:id="202" w:name="_Toc443569451"/>
      <w:r>
        <w:lastRenderedPageBreak/>
        <w:t>L’évolution</w:t>
      </w:r>
      <w:r w:rsidR="002E449C">
        <w:t xml:space="preserve"> </w:t>
      </w:r>
      <w:r>
        <w:t>des cycles boursiers</w:t>
      </w:r>
      <w:bookmarkEnd w:id="201"/>
      <w:bookmarkEnd w:id="202"/>
    </w:p>
    <w:p w14:paraId="341CAC37" w14:textId="19C6B5F1" w:rsidR="00F95841" w:rsidRDefault="00F95841" w:rsidP="00F95841"/>
    <w:p w14:paraId="4B0796D1" w14:textId="11712896" w:rsidR="00F95841" w:rsidRDefault="0008275C" w:rsidP="0008275C">
      <w:pPr>
        <w:jc w:val="both"/>
      </w:pPr>
      <w:r>
        <w:t>Tout en les devançant quelque peu, les cycles boursiers suivent des courbes qui s’harmonisent à celles provenant des cycles économiques. Nous étudierons et parcourons quelques exemples présentant l’évolution tempore</w:t>
      </w:r>
      <w:r w:rsidR="00A11BD4">
        <w:t>l</w:t>
      </w:r>
      <w:r>
        <w:t xml:space="preserve">le de </w:t>
      </w:r>
      <w:r w:rsidR="00306D46">
        <w:t>quelques</w:t>
      </w:r>
      <w:r>
        <w:t xml:space="preserve"> indic</w:t>
      </w:r>
      <w:r w:rsidR="00306D46">
        <w:t>es boursiers propres à différents marchés</w:t>
      </w:r>
      <w:r>
        <w:t xml:space="preserve">.   </w:t>
      </w:r>
    </w:p>
    <w:p w14:paraId="0CF49105" w14:textId="77777777" w:rsidR="0008275C" w:rsidRDefault="0008275C" w:rsidP="00F95841"/>
    <w:p w14:paraId="2E92DF89" w14:textId="540069DF" w:rsidR="00F95841" w:rsidRDefault="00F95841" w:rsidP="00F95841">
      <w:r>
        <w:rPr>
          <w:color w:val="FF6700" w:themeColor="accent3"/>
        </w:rPr>
        <w:t xml:space="preserve">IMAGE 7-26 </w:t>
      </w:r>
      <w:r w:rsidR="0008275C">
        <w:rPr>
          <w:color w:val="FF6700" w:themeColor="accent3"/>
        </w:rPr>
        <w:t>Corrélation</w:t>
      </w:r>
      <w:r w:rsidR="00332D7D">
        <w:rPr>
          <w:color w:val="FF6700" w:themeColor="accent3"/>
        </w:rPr>
        <w:t>s</w:t>
      </w:r>
      <w:r w:rsidR="0008275C">
        <w:rPr>
          <w:color w:val="FF6700" w:themeColor="accent3"/>
        </w:rPr>
        <w:t xml:space="preserve"> du cycle boursier et économique</w:t>
      </w:r>
      <w:r>
        <w:rPr>
          <w:rStyle w:val="Marquenotebasdepage"/>
          <w:color w:val="FF6700" w:themeColor="accent3"/>
        </w:rPr>
        <w:footnoteReference w:customMarkFollows="1" w:id="86"/>
        <w:t>85</w:t>
      </w:r>
    </w:p>
    <w:p w14:paraId="22EE8A39" w14:textId="773EAD39" w:rsidR="00A4720D" w:rsidRDefault="0008275C" w:rsidP="00FB5E1C">
      <w:r>
        <w:rPr>
          <w:noProof/>
          <w:lang w:eastAsia="fr-FR"/>
        </w:rPr>
        <w:drawing>
          <wp:anchor distT="0" distB="0" distL="114300" distR="114300" simplePos="0" relativeHeight="253303808" behindDoc="0" locked="0" layoutInCell="1" allowOverlap="1" wp14:anchorId="53840183" wp14:editId="781CF605">
            <wp:simplePos x="0" y="0"/>
            <wp:positionH relativeFrom="column">
              <wp:posOffset>0</wp:posOffset>
            </wp:positionH>
            <wp:positionV relativeFrom="paragraph">
              <wp:posOffset>61595</wp:posOffset>
            </wp:positionV>
            <wp:extent cx="6057900" cy="2983230"/>
            <wp:effectExtent l="0" t="0" r="12700" b="0"/>
            <wp:wrapSquare wrapText="bothSides"/>
            <wp:docPr id="881" name="Image 881" descr="Macintosh HD:Users:marcbachand:Desktop:Capture d’écran 2016-01-08 à 16.1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6-01-08 à 16.13.59.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057900" cy="29832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01C7AEB" w14:textId="77777777" w:rsidR="00AB1ABC" w:rsidRDefault="00306D46" w:rsidP="00306D46">
      <w:pPr>
        <w:jc w:val="both"/>
      </w:pPr>
      <w:r>
        <w:t xml:space="preserve">L’observation du cycle boursier démontre que les investisseurs qui laissent leurs émotions dominées leur comportement </w:t>
      </w:r>
      <w:proofErr w:type="gramStart"/>
      <w:r>
        <w:t>risque</w:t>
      </w:r>
      <w:r w:rsidR="001E2D8D">
        <w:t>nt</w:t>
      </w:r>
      <w:proofErr w:type="gramEnd"/>
      <w:r>
        <w:t xml:space="preserve"> fort bien d’agir dans le sens contraire de leur intérêt financier. Plutôt que de favoriser une stratégie à long terme qui tire profit de la croissance</w:t>
      </w:r>
      <w:r w:rsidR="001E2D8D">
        <w:t xml:space="preserve"> cumulée </w:t>
      </w:r>
      <w:r>
        <w:t>des cycles boursiers</w:t>
      </w:r>
      <w:r w:rsidR="001E2D8D">
        <w:t xml:space="preserve"> successifs</w:t>
      </w:r>
      <w:r>
        <w:t>, ils se livreront</w:t>
      </w:r>
      <w:r w:rsidR="001E2D8D">
        <w:t xml:space="preserve"> à la peur des creux et</w:t>
      </w:r>
      <w:r>
        <w:t xml:space="preserve"> à l’exubérance des sommets du </w:t>
      </w:r>
      <w:r w:rsidR="001E2D8D">
        <w:t xml:space="preserve">marché boursier. Ils risqueront alors de faire l’acquisition de titres lorsqu’ils se retrouvent à leur valeur sommet pour s’en départir au moment où ils atteignent leur valeur la plus basse. </w:t>
      </w:r>
    </w:p>
    <w:p w14:paraId="11567698" w14:textId="77777777" w:rsidR="00AB1ABC" w:rsidRDefault="00AB1ABC" w:rsidP="00306D46">
      <w:pPr>
        <w:jc w:val="both"/>
      </w:pPr>
    </w:p>
    <w:p w14:paraId="61FDAFA5" w14:textId="713171B6" w:rsidR="00D24A7F" w:rsidRDefault="001F7A70" w:rsidP="00284DAA">
      <w:pPr>
        <w:jc w:val="both"/>
      </w:pPr>
      <w:r>
        <w:t xml:space="preserve">Afin de clarifier davantage les atouts qui découlent d'une stratégie de placement qui s'articule sur une longue période et avec un regroupement diversifié de titres, nous présenterons </w:t>
      </w:r>
      <w:r w:rsidR="004A2BE0">
        <w:t>des</w:t>
      </w:r>
      <w:r>
        <w:t xml:space="preserve"> données qui se rapportent à </w:t>
      </w:r>
      <w:r>
        <w:lastRenderedPageBreak/>
        <w:t xml:space="preserve">l'évolution de différents </w:t>
      </w:r>
      <w:r w:rsidR="004A2BE0" w:rsidRPr="004A2BE0">
        <w:rPr>
          <w:color w:val="FF6700" w:themeColor="accent3"/>
        </w:rPr>
        <w:t>INDICES BOURSIERS</w:t>
      </w:r>
      <w:r>
        <w:t xml:space="preserve"> reconnus</w:t>
      </w:r>
      <w:r w:rsidR="008E26BA">
        <w:t>.</w:t>
      </w:r>
      <w:r w:rsidR="00D24A7F">
        <w:t xml:space="preserve"> </w:t>
      </w:r>
      <w:r w:rsidR="008E26BA">
        <w:t>Ces indices s</w:t>
      </w:r>
      <w:r w:rsidR="00284DAA">
        <w:t>ont des indicateurs de performance associés à différents marchés boursiers.</w:t>
      </w:r>
    </w:p>
    <w:p w14:paraId="580D0C6E" w14:textId="77777777" w:rsidR="00D24A7F" w:rsidRDefault="00D24A7F" w:rsidP="00284DAA">
      <w:pPr>
        <w:jc w:val="both"/>
      </w:pPr>
    </w:p>
    <w:p w14:paraId="449D173D" w14:textId="2956F7A3" w:rsidR="00284DAA" w:rsidRPr="00284DAA" w:rsidRDefault="00D24A7F" w:rsidP="00D24A7F">
      <w:pPr>
        <w:jc w:val="both"/>
      </w:pPr>
      <w:r>
        <w:t>"</w:t>
      </w:r>
      <w:r w:rsidR="00284DAA">
        <w:t>L'</w:t>
      </w:r>
      <w:r w:rsidR="00284DAA" w:rsidRPr="00284DAA">
        <w:t>indice boursier est un portefeuille imaginaire d’actions représentatives d’un marché, en l’occurrence d’une ou plusieurs places boursières. Il sert à mesurer statistiquement les fluctuations de ce marché et reflète ainsi les réactions des investisseurs à la publication de résultats, à des annonces économiques ou politiques. Il facilite la comparaison entre les différentes places boursières mondiales.</w:t>
      </w:r>
      <w:r w:rsidR="00284DAA">
        <w:t xml:space="preserve"> </w:t>
      </w:r>
      <w:r w:rsidR="00284DAA" w:rsidRPr="00284DAA">
        <w:t>L’information pertinente est la variation, plutôt que la valeur numérique, qui est mesurée par rapport à une valeur de base fixée à la création de l’indice.</w:t>
      </w:r>
      <w:r w:rsidR="00284DAA">
        <w:t xml:space="preserve"> </w:t>
      </w:r>
      <w:r w:rsidR="00284DAA" w:rsidRPr="00284DAA">
        <w:t>La performance varie ainsi en fonction de deux critères:</w:t>
      </w:r>
      <w:r>
        <w:t xml:space="preserve"> </w:t>
      </w:r>
      <w:r w:rsidR="00284DAA" w:rsidRPr="00284DAA">
        <w:t>les modifications des cours des titres</w:t>
      </w:r>
      <w:r>
        <w:t xml:space="preserve"> et </w:t>
      </w:r>
      <w:r w:rsidR="00284DAA" w:rsidRPr="00284DAA">
        <w:t>la pondération de ces titres au sein de l’indice</w:t>
      </w:r>
      <w:r>
        <w:rPr>
          <w:rStyle w:val="Marquenotebasdepage"/>
        </w:rPr>
        <w:footnoteReference w:customMarkFollows="1" w:id="87"/>
        <w:t>86</w:t>
      </w:r>
      <w:r>
        <w:t>".</w:t>
      </w:r>
    </w:p>
    <w:p w14:paraId="10E451C0" w14:textId="77777777" w:rsidR="004A2BE0" w:rsidRDefault="004A2BE0" w:rsidP="001F7A70">
      <w:pPr>
        <w:jc w:val="both"/>
      </w:pPr>
    </w:p>
    <w:p w14:paraId="5371FFBB" w14:textId="2F2AEC97" w:rsidR="009C4176" w:rsidRDefault="009C4176" w:rsidP="001F7A70">
      <w:pPr>
        <w:jc w:val="both"/>
      </w:pPr>
      <w:r>
        <w:t xml:space="preserve">Bien qu'il existe des centaines d'indices boursiers qui sont surtout géographiques, mais aussi sectoriels, nous avons choisi d'étudier plus en détail </w:t>
      </w:r>
      <w:r w:rsidR="00F801DE">
        <w:t>des</w:t>
      </w:r>
      <w:r>
        <w:t xml:space="preserve"> indices regroupant </w:t>
      </w:r>
      <w:r w:rsidR="00F801DE">
        <w:t>plusieurs continents tout en priorisant la disponibilité des données historiques et comparatives sur une longue période. Voici les indices que nous analyserons</w:t>
      </w:r>
      <w:r>
        <w:t>:</w:t>
      </w:r>
    </w:p>
    <w:p w14:paraId="777D47A3" w14:textId="16360706" w:rsidR="009C4176" w:rsidRDefault="009C4176" w:rsidP="009C4176">
      <w:pPr>
        <w:tabs>
          <w:tab w:val="left" w:pos="3460"/>
        </w:tabs>
        <w:jc w:val="both"/>
      </w:pPr>
      <w:r>
        <w:tab/>
      </w:r>
    </w:p>
    <w:p w14:paraId="2FF2DB2A" w14:textId="61961C9A" w:rsidR="004A2BE0" w:rsidRDefault="00C03D54" w:rsidP="006C34CF">
      <w:pPr>
        <w:pStyle w:val="Paragraphedeliste"/>
        <w:numPr>
          <w:ilvl w:val="0"/>
          <w:numId w:val="126"/>
        </w:numPr>
        <w:jc w:val="both"/>
      </w:pPr>
      <w:r>
        <w:rPr>
          <w:noProof/>
          <w:lang w:eastAsia="fr-FR"/>
        </w:rPr>
        <w:drawing>
          <wp:anchor distT="0" distB="0" distL="114300" distR="114300" simplePos="0" relativeHeight="253306880" behindDoc="0" locked="0" layoutInCell="1" allowOverlap="1" wp14:anchorId="44F5402F" wp14:editId="21D426DC">
            <wp:simplePos x="0" y="0"/>
            <wp:positionH relativeFrom="column">
              <wp:posOffset>3543300</wp:posOffset>
            </wp:positionH>
            <wp:positionV relativeFrom="paragraph">
              <wp:posOffset>34925</wp:posOffset>
            </wp:positionV>
            <wp:extent cx="342900" cy="180340"/>
            <wp:effectExtent l="0" t="0" r="12700" b="0"/>
            <wp:wrapNone/>
            <wp:docPr id="879" name="Image 879" descr="Macintosh HD:Users:marcbachand:Desktop:1235px-Flag_of_the_United_States_(Panto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1235px-Flag_of_the_United_States_(Pantone).svg.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42900" cy="1803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C4176">
        <w:t>Dow Jones Industrial Average (DJIA)</w:t>
      </w:r>
    </w:p>
    <w:p w14:paraId="48206029" w14:textId="56D4191C" w:rsidR="009C4176" w:rsidRDefault="00C03D54" w:rsidP="006C34CF">
      <w:pPr>
        <w:pStyle w:val="Paragraphedeliste"/>
        <w:numPr>
          <w:ilvl w:val="0"/>
          <w:numId w:val="126"/>
        </w:numPr>
        <w:jc w:val="both"/>
      </w:pPr>
      <w:r>
        <w:rPr>
          <w:noProof/>
          <w:lang w:eastAsia="fr-FR"/>
        </w:rPr>
        <w:drawing>
          <wp:anchor distT="0" distB="0" distL="114300" distR="114300" simplePos="0" relativeHeight="253308928" behindDoc="0" locked="0" layoutInCell="1" allowOverlap="1" wp14:anchorId="07994948" wp14:editId="62E377AC">
            <wp:simplePos x="0" y="0"/>
            <wp:positionH relativeFrom="column">
              <wp:posOffset>1714500</wp:posOffset>
            </wp:positionH>
            <wp:positionV relativeFrom="paragraph">
              <wp:posOffset>3810</wp:posOffset>
            </wp:positionV>
            <wp:extent cx="342900" cy="180340"/>
            <wp:effectExtent l="0" t="0" r="12700" b="0"/>
            <wp:wrapNone/>
            <wp:docPr id="887" name="Image 887" descr="Macintosh HD:Users:marcbachand:Desktop:1235px-Flag_of_the_United_States_(Panto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1235px-Flag_of_the_United_States_(Pantone).svg.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42900" cy="1803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C4176">
        <w:t>Nasdaq 100</w:t>
      </w:r>
    </w:p>
    <w:p w14:paraId="6871A024" w14:textId="531964C5" w:rsidR="009C4176" w:rsidRDefault="00C03D54" w:rsidP="006C34CF">
      <w:pPr>
        <w:pStyle w:val="Paragraphedeliste"/>
        <w:numPr>
          <w:ilvl w:val="0"/>
          <w:numId w:val="126"/>
        </w:numPr>
        <w:jc w:val="both"/>
      </w:pPr>
      <w:r>
        <w:rPr>
          <w:noProof/>
          <w:lang w:eastAsia="fr-FR"/>
        </w:rPr>
        <w:drawing>
          <wp:anchor distT="0" distB="0" distL="114300" distR="114300" simplePos="0" relativeHeight="253310976" behindDoc="0" locked="0" layoutInCell="1" allowOverlap="1" wp14:anchorId="474F1E6E" wp14:editId="5F86559F">
            <wp:simplePos x="0" y="0"/>
            <wp:positionH relativeFrom="column">
              <wp:posOffset>2400300</wp:posOffset>
            </wp:positionH>
            <wp:positionV relativeFrom="paragraph">
              <wp:posOffset>3810</wp:posOffset>
            </wp:positionV>
            <wp:extent cx="342265" cy="179705"/>
            <wp:effectExtent l="0" t="0" r="0" b="0"/>
            <wp:wrapNone/>
            <wp:docPr id="888" name="Image 888" descr="Macintosh HD:Users:marcbachand:Desktop:1235px-Flag_of_the_United_States_(Panto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1235px-Flag_of_the_United_States_(Pantone).svg.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42265" cy="1797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C4176">
        <w:t>Standard &amp; Poor's 500</w:t>
      </w:r>
    </w:p>
    <w:p w14:paraId="3673D365" w14:textId="103BC1CB" w:rsidR="009C4176" w:rsidRDefault="00AB32A2" w:rsidP="006C34CF">
      <w:pPr>
        <w:pStyle w:val="Paragraphedeliste"/>
        <w:numPr>
          <w:ilvl w:val="0"/>
          <w:numId w:val="126"/>
        </w:numPr>
        <w:jc w:val="both"/>
      </w:pPr>
      <w:r>
        <w:rPr>
          <w:noProof/>
          <w:lang w:eastAsia="fr-FR"/>
        </w:rPr>
        <w:drawing>
          <wp:anchor distT="0" distB="0" distL="114300" distR="114300" simplePos="0" relativeHeight="253312000" behindDoc="0" locked="0" layoutInCell="1" allowOverlap="1" wp14:anchorId="354AE005" wp14:editId="28042B0F">
            <wp:simplePos x="0" y="0"/>
            <wp:positionH relativeFrom="column">
              <wp:posOffset>1257300</wp:posOffset>
            </wp:positionH>
            <wp:positionV relativeFrom="paragraph">
              <wp:posOffset>45720</wp:posOffset>
            </wp:positionV>
            <wp:extent cx="340995" cy="170180"/>
            <wp:effectExtent l="0" t="0" r="0" b="7620"/>
            <wp:wrapNone/>
            <wp:docPr id="889" name="Image 889" descr="Macintosh HD:Users:marcbachand:Desktop:Flag_of_Canada_(Panto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Flag_of_Canada_(Pantone).svg.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40995" cy="1701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003D5">
        <w:rPr>
          <w:noProof/>
          <w:lang w:eastAsia="fr-FR"/>
        </w:rPr>
        <w:drawing>
          <wp:anchor distT="0" distB="0" distL="114300" distR="114300" simplePos="0" relativeHeight="253314048" behindDoc="0" locked="0" layoutInCell="1" allowOverlap="1" wp14:anchorId="1859A4BD" wp14:editId="46BB3A2F">
            <wp:simplePos x="0" y="0"/>
            <wp:positionH relativeFrom="column">
              <wp:posOffset>1714500</wp:posOffset>
            </wp:positionH>
            <wp:positionV relativeFrom="paragraph">
              <wp:posOffset>160020</wp:posOffset>
            </wp:positionV>
            <wp:extent cx="340995" cy="204470"/>
            <wp:effectExtent l="0" t="0" r="0" b="0"/>
            <wp:wrapNone/>
            <wp:docPr id="893" name="Image 893" descr="Macintosh HD:Users:marcbachand:Desktop:Flag_of_Germany.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Flag_of_Germany.svg.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40995" cy="2044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t>S&amp;P/TSX</w:t>
      </w:r>
    </w:p>
    <w:p w14:paraId="3363DEEC" w14:textId="663E25D1" w:rsidR="009C4176" w:rsidRDefault="009C4176" w:rsidP="006C34CF">
      <w:pPr>
        <w:pStyle w:val="Paragraphedeliste"/>
        <w:numPr>
          <w:ilvl w:val="0"/>
          <w:numId w:val="126"/>
        </w:numPr>
        <w:jc w:val="both"/>
      </w:pPr>
      <w:r>
        <w:t>DAX</w:t>
      </w:r>
    </w:p>
    <w:p w14:paraId="06383421" w14:textId="78ABF939" w:rsidR="009C4176" w:rsidRDefault="00C03D54" w:rsidP="006C34CF">
      <w:pPr>
        <w:pStyle w:val="Paragraphedeliste"/>
        <w:numPr>
          <w:ilvl w:val="0"/>
          <w:numId w:val="126"/>
        </w:numPr>
        <w:jc w:val="both"/>
      </w:pPr>
      <w:r>
        <w:rPr>
          <w:noProof/>
          <w:lang w:eastAsia="fr-FR"/>
        </w:rPr>
        <w:drawing>
          <wp:anchor distT="0" distB="0" distL="114300" distR="114300" simplePos="0" relativeHeight="253313024" behindDoc="0" locked="0" layoutInCell="1" allowOverlap="1" wp14:anchorId="1DA99B1F" wp14:editId="2AFCE11C">
            <wp:simplePos x="0" y="0"/>
            <wp:positionH relativeFrom="column">
              <wp:posOffset>1485900</wp:posOffset>
            </wp:positionH>
            <wp:positionV relativeFrom="paragraph">
              <wp:posOffset>15240</wp:posOffset>
            </wp:positionV>
            <wp:extent cx="340995" cy="216535"/>
            <wp:effectExtent l="0" t="0" r="0" b="12065"/>
            <wp:wrapNone/>
            <wp:docPr id="892" name="Image 892" descr="Macintosh HD:Users:marcbachand:Desktop:Flag_of_Japa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Flag_of_Japan.svg.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40995" cy="2165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C4176">
        <w:t>Nikkei 225</w:t>
      </w:r>
    </w:p>
    <w:p w14:paraId="12CE9933" w14:textId="77777777" w:rsidR="004A2BE0" w:rsidRDefault="004A2BE0" w:rsidP="001F7A70">
      <w:pPr>
        <w:jc w:val="both"/>
      </w:pPr>
    </w:p>
    <w:p w14:paraId="1AD8032F" w14:textId="77777777" w:rsidR="004A2BE0" w:rsidRDefault="004A2BE0" w:rsidP="001F7A70">
      <w:pPr>
        <w:jc w:val="both"/>
      </w:pPr>
    </w:p>
    <w:p w14:paraId="6BFEEAC1" w14:textId="5D871406" w:rsidR="004A2BE0" w:rsidRDefault="008D7AA4" w:rsidP="006C34CF">
      <w:pPr>
        <w:pStyle w:val="Paragraphedeliste"/>
        <w:numPr>
          <w:ilvl w:val="0"/>
          <w:numId w:val="126"/>
        </w:numPr>
        <w:jc w:val="both"/>
        <w:rPr>
          <w:color w:val="FF6700" w:themeColor="accent3"/>
        </w:rPr>
      </w:pPr>
      <w:r>
        <w:rPr>
          <w:color w:val="FF6700" w:themeColor="accent3"/>
        </w:rPr>
        <w:t>Dow Jones Industrial Average (DJIA)</w:t>
      </w:r>
    </w:p>
    <w:p w14:paraId="6A40490D" w14:textId="77777777" w:rsidR="008D7AA4" w:rsidRDefault="008D7AA4" w:rsidP="008D7AA4">
      <w:pPr>
        <w:ind w:left="705"/>
        <w:jc w:val="both"/>
        <w:rPr>
          <w:color w:val="000000" w:themeColor="text1"/>
        </w:rPr>
      </w:pPr>
    </w:p>
    <w:p w14:paraId="2FC57F2B" w14:textId="69555BB4" w:rsidR="008D7AA4" w:rsidRPr="008D7AA4" w:rsidRDefault="008D7AA4" w:rsidP="008D7AA4">
      <w:pPr>
        <w:jc w:val="both"/>
        <w:rPr>
          <w:color w:val="000000" w:themeColor="text1"/>
        </w:rPr>
      </w:pPr>
      <w:r>
        <w:rPr>
          <w:color w:val="000000" w:themeColor="text1"/>
        </w:rPr>
        <w:t>Le DJIA est le plus ancien de tous les indices boursiers (1896), il regroupe la valeur de 30 sociétés inscrites à la Bourse de New York et au Nasdaq.</w:t>
      </w:r>
    </w:p>
    <w:p w14:paraId="531A9277" w14:textId="77777777" w:rsidR="008D7AA4" w:rsidRDefault="008D7AA4" w:rsidP="008D7AA4">
      <w:pPr>
        <w:rPr>
          <w:color w:val="FF6700" w:themeColor="accent3"/>
        </w:rPr>
      </w:pPr>
    </w:p>
    <w:p w14:paraId="056F8BA4" w14:textId="332903D4" w:rsidR="008D7AA4" w:rsidRDefault="008D7AA4" w:rsidP="008D7AA4">
      <w:r>
        <w:rPr>
          <w:color w:val="FF6700" w:themeColor="accent3"/>
        </w:rPr>
        <w:lastRenderedPageBreak/>
        <w:t>IMAGE 7-26 Historique de l'indice DJIA (1896-2015)</w:t>
      </w:r>
    </w:p>
    <w:p w14:paraId="23B843B7" w14:textId="48766240" w:rsidR="00FB2AF2" w:rsidRDefault="00FB2AF2" w:rsidP="00791E7D">
      <w:pPr>
        <w:jc w:val="both"/>
      </w:pPr>
      <w:r>
        <w:rPr>
          <w:noProof/>
          <w:lang w:eastAsia="fr-FR"/>
        </w:rPr>
        <w:drawing>
          <wp:anchor distT="0" distB="0" distL="114300" distR="114300" simplePos="0" relativeHeight="253315072" behindDoc="0" locked="0" layoutInCell="1" allowOverlap="1" wp14:anchorId="29A02BB9" wp14:editId="2F27F017">
            <wp:simplePos x="0" y="0"/>
            <wp:positionH relativeFrom="column">
              <wp:posOffset>-800100</wp:posOffset>
            </wp:positionH>
            <wp:positionV relativeFrom="paragraph">
              <wp:posOffset>135890</wp:posOffset>
            </wp:positionV>
            <wp:extent cx="6400800" cy="4143375"/>
            <wp:effectExtent l="0" t="0" r="0" b="0"/>
            <wp:wrapSquare wrapText="bothSides"/>
            <wp:docPr id="898" name="Image 898" descr="Macintosh HD:Users:marcbachand:Desktop:100-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100-100.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400800" cy="41433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19D60B7" w14:textId="198A6C81" w:rsidR="00B56F1B" w:rsidRDefault="000A5445" w:rsidP="00791E7D">
      <w:pPr>
        <w:jc w:val="both"/>
      </w:pPr>
      <w:r>
        <w:rPr>
          <w:noProof/>
          <w:lang w:eastAsia="fr-FR"/>
        </w:rPr>
        <mc:AlternateContent>
          <mc:Choice Requires="wps">
            <w:drawing>
              <wp:anchor distT="0" distB="0" distL="114300" distR="114300" simplePos="0" relativeHeight="253325312" behindDoc="0" locked="0" layoutInCell="1" allowOverlap="1" wp14:anchorId="3E628A0F" wp14:editId="425BEE5A">
                <wp:simplePos x="0" y="0"/>
                <wp:positionH relativeFrom="column">
                  <wp:posOffset>-800100</wp:posOffset>
                </wp:positionH>
                <wp:positionV relativeFrom="paragraph">
                  <wp:posOffset>4292600</wp:posOffset>
                </wp:positionV>
                <wp:extent cx="447675" cy="447675"/>
                <wp:effectExtent l="76200" t="76200" r="9525" b="60325"/>
                <wp:wrapThrough wrapText="bothSides">
                  <wp:wrapPolygon edited="0">
                    <wp:start x="2451" y="-3677"/>
                    <wp:lineTo x="-3677" y="-1226"/>
                    <wp:lineTo x="-3677" y="14706"/>
                    <wp:lineTo x="2451" y="23285"/>
                    <wp:lineTo x="18383" y="23285"/>
                    <wp:lineTo x="20834" y="18383"/>
                    <wp:lineTo x="18383" y="1226"/>
                    <wp:lineTo x="17157" y="-3677"/>
                    <wp:lineTo x="2451" y="-3677"/>
                  </wp:wrapPolygon>
                </wp:wrapThrough>
                <wp:docPr id="904" name="Ellipse 904"/>
                <wp:cNvGraphicFramePr/>
                <a:graphic xmlns:a="http://schemas.openxmlformats.org/drawingml/2006/main">
                  <a:graphicData uri="http://schemas.microsoft.com/office/word/2010/wordprocessingShape">
                    <wps:wsp>
                      <wps:cNvSpPr/>
                      <wps:spPr>
                        <a:xfrm>
                          <a:off x="0" y="0"/>
                          <a:ext cx="447675" cy="447675"/>
                        </a:xfrm>
                        <a:prstGeom prst="ellipse">
                          <a:avLst/>
                        </a:prstGeom>
                        <a:solidFill>
                          <a:srgbClr val="8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CEAECF0" w14:textId="1EBC8C37" w:rsidR="00573C95" w:rsidRDefault="00573C95" w:rsidP="000A5445">
                            <w:pPr>
                              <w:jc w:val="center"/>
                            </w:pPr>
                            <w:r>
                              <w:t>B</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904" o:spid="_x0000_s1606" style="position:absolute;left:0;text-align:left;margin-left:-62.95pt;margin-top:338pt;width:35.25pt;height:35.25pt;z-index:2533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" fillcolor="maroon" strokecolor="black [3213]">
                <v:textbox>
                  <w:txbxContent>
                    <w:p w14:paraId="6CEAECF0" w14:textId="1EBC8C37" w:rsidR="001501D6" w:rsidRDefault="001501D6" w:rsidP="000A5445">
                      <w:pPr>
                        <w:jc w:val="center"/>
                      </w:pPr>
                      <w:r>
                        <w:t>B</w:t>
                      </w:r>
                    </w:p>
                  </w:txbxContent>
                </v:textbox>
                <w10:wrap type="through"/>
              </v:oval>
            </w:pict>
          </mc:Fallback>
        </mc:AlternateContent>
      </w:r>
      <w:r>
        <w:rPr>
          <w:noProof/>
          <w:lang w:eastAsia="fr-FR"/>
        </w:rPr>
        <mc:AlternateContent>
          <mc:Choice Requires="wps">
            <w:drawing>
              <wp:anchor distT="0" distB="0" distL="114300" distR="114300" simplePos="0" relativeHeight="253323264" behindDoc="0" locked="0" layoutInCell="1" allowOverlap="1" wp14:anchorId="38B1C3A7" wp14:editId="7B5E7EF7">
                <wp:simplePos x="0" y="0"/>
                <wp:positionH relativeFrom="column">
                  <wp:posOffset>-1714500</wp:posOffset>
                </wp:positionH>
                <wp:positionV relativeFrom="paragraph">
                  <wp:posOffset>1320800</wp:posOffset>
                </wp:positionV>
                <wp:extent cx="447675" cy="447675"/>
                <wp:effectExtent l="76200" t="76200" r="9525" b="60325"/>
                <wp:wrapThrough wrapText="bothSides">
                  <wp:wrapPolygon edited="0">
                    <wp:start x="2451" y="-3677"/>
                    <wp:lineTo x="-3677" y="-1226"/>
                    <wp:lineTo x="-3677" y="14706"/>
                    <wp:lineTo x="2451" y="23285"/>
                    <wp:lineTo x="18383" y="23285"/>
                    <wp:lineTo x="20834" y="18383"/>
                    <wp:lineTo x="18383" y="1226"/>
                    <wp:lineTo x="17157" y="-3677"/>
                    <wp:lineTo x="2451" y="-3677"/>
                  </wp:wrapPolygon>
                </wp:wrapThrough>
                <wp:docPr id="903" name="Ellipse 903"/>
                <wp:cNvGraphicFramePr/>
                <a:graphic xmlns:a="http://schemas.openxmlformats.org/drawingml/2006/main">
                  <a:graphicData uri="http://schemas.microsoft.com/office/word/2010/wordprocessingShape">
                    <wps:wsp>
                      <wps:cNvSpPr/>
                      <wps:spPr>
                        <a:xfrm>
                          <a:off x="0" y="0"/>
                          <a:ext cx="447675" cy="447675"/>
                        </a:xfrm>
                        <a:prstGeom prst="ellipse">
                          <a:avLst/>
                        </a:prstGeom>
                        <a:solidFill>
                          <a:srgbClr val="008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4BC1D54" w14:textId="33E642D2" w:rsidR="00573C95" w:rsidRDefault="00573C95" w:rsidP="000A5445">
                            <w:pPr>
                              <w:jc w:val="center"/>
                            </w:pPr>
                            <w:r>
                              <w:t>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Ellipse 903" o:spid="_x0000_s1607" style="position:absolute;left:0;text-align:left;margin-left:-134.95pt;margin-top:104pt;width:35.25pt;height:35.25pt;z-index:2533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" fillcolor="green" strokecolor="black [3213]">
                <v:textbox>
                  <w:txbxContent>
                    <w:p w14:paraId="44BC1D54" w14:textId="33E642D2" w:rsidR="001501D6" w:rsidRDefault="001501D6" w:rsidP="000A5445">
                      <w:pPr>
                        <w:jc w:val="center"/>
                      </w:pPr>
                      <w:r>
                        <w:t>A</w:t>
                      </w:r>
                    </w:p>
                  </w:txbxContent>
                </v:textbox>
                <w10:wrap type="through"/>
              </v:oval>
            </w:pict>
          </mc:Fallback>
        </mc:AlternateContent>
      </w:r>
      <w:r w:rsidR="00841ADE">
        <w:rPr>
          <w:noProof/>
          <w:lang w:eastAsia="fr-FR"/>
        </w:rPr>
        <mc:AlternateContent>
          <mc:Choice Requires="wps">
            <w:drawing>
              <wp:anchor distT="0" distB="0" distL="114300" distR="114300" simplePos="0" relativeHeight="253319168" behindDoc="0" locked="0" layoutInCell="1" allowOverlap="1" wp14:anchorId="5B42FCAC" wp14:editId="5CEE8047">
                <wp:simplePos x="0" y="0"/>
                <wp:positionH relativeFrom="column">
                  <wp:posOffset>-1028700</wp:posOffset>
                </wp:positionH>
                <wp:positionV relativeFrom="paragraph">
                  <wp:posOffset>4178300</wp:posOffset>
                </wp:positionV>
                <wp:extent cx="914400" cy="0"/>
                <wp:effectExtent l="0" t="101600" r="50800" b="127000"/>
                <wp:wrapNone/>
                <wp:docPr id="900" name="Connecteur droit 900"/>
                <wp:cNvGraphicFramePr/>
                <a:graphic xmlns:a="http://schemas.openxmlformats.org/drawingml/2006/main">
                  <a:graphicData uri="http://schemas.microsoft.com/office/word/2010/wordprocessingShape">
                    <wps:wsp>
                      <wps:cNvCnPr/>
                      <wps:spPr>
                        <a:xfrm flipH="1">
                          <a:off x="0" y="0"/>
                          <a:ext cx="914400" cy="0"/>
                        </a:xfrm>
                        <a:prstGeom prst="line">
                          <a:avLst/>
                        </a:prstGeom>
                        <a:ln w="28575" cmpd="sng">
                          <a:solidFill>
                            <a:srgbClr val="800000"/>
                          </a:solidFill>
                          <a:headEnd type="triangle" w="lg"/>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900" o:spid="_x0000_s1026" style="position:absolute;flip:x;z-index:2533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95pt,329pt" to="-8.95pt,3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" strokecolor="maroon" strokeweight="2.25pt">
                <v:stroke startarrow="block" startarrowwidth="wide" endarrow="block" endarrowwidth="wide"/>
              </v:line>
            </w:pict>
          </mc:Fallback>
        </mc:AlternateContent>
      </w:r>
      <w:r w:rsidR="00841ADE">
        <w:rPr>
          <w:noProof/>
          <w:lang w:eastAsia="fr-FR"/>
        </w:rPr>
        <mc:AlternateContent>
          <mc:Choice Requires="wps">
            <w:drawing>
              <wp:anchor distT="0" distB="0" distL="114300" distR="114300" simplePos="0" relativeHeight="253317120" behindDoc="0" locked="0" layoutInCell="1" allowOverlap="1" wp14:anchorId="67C256D6" wp14:editId="42AFB16A">
                <wp:simplePos x="0" y="0"/>
                <wp:positionH relativeFrom="column">
                  <wp:posOffset>-2400300</wp:posOffset>
                </wp:positionH>
                <wp:positionV relativeFrom="paragraph">
                  <wp:posOffset>406400</wp:posOffset>
                </wp:positionV>
                <wp:extent cx="1257300" cy="1851660"/>
                <wp:effectExtent l="50800" t="50800" r="88900" b="78740"/>
                <wp:wrapNone/>
                <wp:docPr id="899" name="Connecteur droit 899"/>
                <wp:cNvGraphicFramePr/>
                <a:graphic xmlns:a="http://schemas.openxmlformats.org/drawingml/2006/main">
                  <a:graphicData uri="http://schemas.microsoft.com/office/word/2010/wordprocessingShape">
                    <wps:wsp>
                      <wps:cNvCnPr/>
                      <wps:spPr>
                        <a:xfrm flipH="1">
                          <a:off x="0" y="0"/>
                          <a:ext cx="1257300" cy="1851660"/>
                        </a:xfrm>
                        <a:prstGeom prst="line">
                          <a:avLst/>
                        </a:prstGeom>
                        <a:ln w="28575" cmpd="sng">
                          <a:solidFill>
                            <a:srgbClr val="008000"/>
                          </a:solidFill>
                          <a:headEnd type="triangle" w="lg"/>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Connecteur droit 899" o:spid="_x0000_s1026" style="position:absolute;flip:x;z-index:2533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95pt,32pt" to="-89.95pt,17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" strokecolor="green" strokeweight="2.25pt">
                <v:stroke startarrow="block" startarrowwidth="wide" endarrow="block" endarrowwidth="wide"/>
              </v:line>
            </w:pict>
          </mc:Fallback>
        </mc:AlternateContent>
      </w:r>
      <w:r w:rsidR="00791E7D">
        <w:t>Le graphique illustre très bien l'évolution successive et</w:t>
      </w:r>
      <w:r w:rsidR="00591C07">
        <w:t xml:space="preserve"> </w:t>
      </w:r>
      <w:r w:rsidR="00791E7D">
        <w:t>la progression des cycles boursiers sur une longue période. S'il est difficile d'imaginer une déroute financière pour un investisseur qui serait patient et engagé sur une période englobant plusieurs cycles (disons 30 ans - voir A), l'observation d'une courte période sur un seul cycle donne le vertige (disons de 201</w:t>
      </w:r>
      <w:r w:rsidR="00591C07">
        <w:t>4 à 2015 - voir B)</w:t>
      </w:r>
      <w:r w:rsidR="00791E7D">
        <w:t>.</w:t>
      </w:r>
      <w:r w:rsidRPr="000A5445">
        <w:rPr>
          <w:noProof/>
          <w:lang w:eastAsia="fr-FR"/>
        </w:rPr>
        <w:t xml:space="preserve"> </w:t>
      </w:r>
      <w:r w:rsidR="00B56F1B">
        <w:br w:type="page"/>
      </w:r>
    </w:p>
    <w:p w14:paraId="28CEF798" w14:textId="5DC88D81" w:rsidR="00C2727B" w:rsidRDefault="00C2727B" w:rsidP="00C2727B">
      <w:r>
        <w:rPr>
          <w:color w:val="FF6700" w:themeColor="accent3"/>
        </w:rPr>
        <w:lastRenderedPageBreak/>
        <w:t>IMAGE 7-27 Historique des rendements DJIA</w:t>
      </w:r>
    </w:p>
    <w:p w14:paraId="54B79EDC" w14:textId="5C0231BE" w:rsidR="004A2BE0" w:rsidRDefault="004A2BE0" w:rsidP="001F7A70">
      <w:pPr>
        <w:jc w:val="both"/>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9"/>
        <w:gridCol w:w="2629"/>
        <w:gridCol w:w="2629"/>
        <w:gridCol w:w="2630"/>
      </w:tblGrid>
      <w:tr w:rsidR="00824F50" w14:paraId="659AA0D3" w14:textId="77777777" w:rsidTr="007F63E4">
        <w:tc>
          <w:tcPr>
            <w:tcW w:w="2629" w:type="dxa"/>
            <w:shd w:val="clear" w:color="auto" w:fill="6BA597"/>
          </w:tcPr>
          <w:p w14:paraId="028AC3AE" w14:textId="6E9065F9" w:rsidR="00824F50" w:rsidRDefault="00824F50" w:rsidP="00ED38F1">
            <w:pPr>
              <w:jc w:val="center"/>
            </w:pPr>
            <w:r>
              <w:t>Début</w:t>
            </w:r>
          </w:p>
        </w:tc>
        <w:tc>
          <w:tcPr>
            <w:tcW w:w="2629" w:type="dxa"/>
            <w:shd w:val="clear" w:color="auto" w:fill="6BA597"/>
          </w:tcPr>
          <w:p w14:paraId="20819F43" w14:textId="34A4F479" w:rsidR="00824F50" w:rsidRDefault="00824F50" w:rsidP="00ED38F1">
            <w:pPr>
              <w:jc w:val="center"/>
            </w:pPr>
            <w:r>
              <w:t>Fin</w:t>
            </w:r>
          </w:p>
        </w:tc>
        <w:tc>
          <w:tcPr>
            <w:tcW w:w="2629" w:type="dxa"/>
            <w:shd w:val="clear" w:color="auto" w:fill="6BA597"/>
          </w:tcPr>
          <w:p w14:paraId="27C7A365" w14:textId="374398E7" w:rsidR="00824F50" w:rsidRDefault="00824F50" w:rsidP="00ED38F1">
            <w:pPr>
              <w:jc w:val="center"/>
            </w:pPr>
            <w:r>
              <w:t>Durée</w:t>
            </w:r>
          </w:p>
        </w:tc>
        <w:tc>
          <w:tcPr>
            <w:tcW w:w="2630" w:type="dxa"/>
            <w:shd w:val="clear" w:color="auto" w:fill="6BA597"/>
          </w:tcPr>
          <w:p w14:paraId="54FF6A37" w14:textId="18E591EC" w:rsidR="00824F50" w:rsidRDefault="00824F50" w:rsidP="00ED38F1">
            <w:pPr>
              <w:jc w:val="center"/>
            </w:pPr>
            <w:r>
              <w:t>Rendement</w:t>
            </w:r>
            <w:r>
              <w:rPr>
                <w:rStyle w:val="Marquenotebasdepage"/>
              </w:rPr>
              <w:footnoteReference w:customMarkFollows="1" w:id="88"/>
              <w:t>87</w:t>
            </w:r>
          </w:p>
        </w:tc>
      </w:tr>
      <w:tr w:rsidR="00824F50" w14:paraId="12944DDB" w14:textId="77777777" w:rsidTr="007F63E4">
        <w:tc>
          <w:tcPr>
            <w:tcW w:w="2629" w:type="dxa"/>
            <w:shd w:val="clear" w:color="auto" w:fill="BFBFBF" w:themeFill="background1" w:themeFillShade="BF"/>
          </w:tcPr>
          <w:p w14:paraId="7818A2E7" w14:textId="77777777" w:rsidR="00824F50" w:rsidRDefault="00824F50" w:rsidP="00ED38F1">
            <w:pPr>
              <w:jc w:val="center"/>
            </w:pPr>
          </w:p>
        </w:tc>
        <w:tc>
          <w:tcPr>
            <w:tcW w:w="2629" w:type="dxa"/>
            <w:shd w:val="clear" w:color="auto" w:fill="BFBFBF" w:themeFill="background1" w:themeFillShade="BF"/>
          </w:tcPr>
          <w:p w14:paraId="642E7978" w14:textId="77777777" w:rsidR="00824F50" w:rsidRDefault="00824F50" w:rsidP="00ED38F1">
            <w:pPr>
              <w:jc w:val="center"/>
            </w:pPr>
          </w:p>
        </w:tc>
        <w:tc>
          <w:tcPr>
            <w:tcW w:w="2629" w:type="dxa"/>
            <w:shd w:val="clear" w:color="auto" w:fill="BFBFBF" w:themeFill="background1" w:themeFillShade="BF"/>
          </w:tcPr>
          <w:p w14:paraId="65F6CCAE" w14:textId="77777777" w:rsidR="00824F50" w:rsidRDefault="00824F50" w:rsidP="00ED38F1">
            <w:pPr>
              <w:jc w:val="center"/>
            </w:pPr>
          </w:p>
        </w:tc>
        <w:tc>
          <w:tcPr>
            <w:tcW w:w="2630" w:type="dxa"/>
            <w:shd w:val="clear" w:color="auto" w:fill="BFBFBF" w:themeFill="background1" w:themeFillShade="BF"/>
          </w:tcPr>
          <w:p w14:paraId="381ED9BF" w14:textId="77777777" w:rsidR="00824F50" w:rsidRDefault="00824F50" w:rsidP="00ED38F1">
            <w:pPr>
              <w:jc w:val="center"/>
            </w:pPr>
          </w:p>
        </w:tc>
      </w:tr>
      <w:tr w:rsidR="00824F50" w14:paraId="70980B22" w14:textId="77777777" w:rsidTr="007F63E4">
        <w:tc>
          <w:tcPr>
            <w:tcW w:w="2629" w:type="dxa"/>
            <w:shd w:val="clear" w:color="auto" w:fill="A5283C"/>
          </w:tcPr>
          <w:p w14:paraId="5E7B7963" w14:textId="1438A979" w:rsidR="00824F50" w:rsidRPr="007F63E4" w:rsidRDefault="00824F50" w:rsidP="00ED38F1">
            <w:pPr>
              <w:jc w:val="center"/>
              <w:rPr>
                <w:color w:val="FFFFFF" w:themeColor="background1"/>
              </w:rPr>
            </w:pPr>
            <w:r w:rsidRPr="007F63E4">
              <w:rPr>
                <w:color w:val="FFFFFF" w:themeColor="background1"/>
              </w:rPr>
              <w:t>1896</w:t>
            </w:r>
          </w:p>
        </w:tc>
        <w:tc>
          <w:tcPr>
            <w:tcW w:w="2629" w:type="dxa"/>
            <w:shd w:val="clear" w:color="auto" w:fill="A5283C"/>
          </w:tcPr>
          <w:p w14:paraId="41ECB8F6" w14:textId="550DE7EE" w:rsidR="00824F50" w:rsidRPr="007F63E4" w:rsidRDefault="00824F50" w:rsidP="00ED38F1">
            <w:pPr>
              <w:jc w:val="center"/>
              <w:rPr>
                <w:color w:val="FFFFFF" w:themeColor="background1"/>
              </w:rPr>
            </w:pPr>
            <w:r w:rsidRPr="007F63E4">
              <w:rPr>
                <w:color w:val="FFFFFF" w:themeColor="background1"/>
              </w:rPr>
              <w:t>2015</w:t>
            </w:r>
          </w:p>
        </w:tc>
        <w:tc>
          <w:tcPr>
            <w:tcW w:w="2629" w:type="dxa"/>
            <w:shd w:val="clear" w:color="auto" w:fill="A5283C"/>
          </w:tcPr>
          <w:p w14:paraId="318081B8" w14:textId="2B17FE7E" w:rsidR="00824F50" w:rsidRPr="007F63E4" w:rsidRDefault="00824F50" w:rsidP="00ED38F1">
            <w:pPr>
              <w:jc w:val="center"/>
              <w:rPr>
                <w:color w:val="FFFFFF" w:themeColor="background1"/>
              </w:rPr>
            </w:pPr>
            <w:r w:rsidRPr="007F63E4">
              <w:rPr>
                <w:color w:val="FFFFFF" w:themeColor="background1"/>
              </w:rPr>
              <w:t>120 ans</w:t>
            </w:r>
          </w:p>
        </w:tc>
        <w:tc>
          <w:tcPr>
            <w:tcW w:w="2630" w:type="dxa"/>
            <w:shd w:val="clear" w:color="auto" w:fill="5475A5"/>
          </w:tcPr>
          <w:p w14:paraId="7587AA2A" w14:textId="3BCF731C" w:rsidR="00824F50" w:rsidRPr="007F63E4" w:rsidRDefault="00824F50" w:rsidP="00ED38F1">
            <w:pPr>
              <w:jc w:val="center"/>
              <w:rPr>
                <w:color w:val="FFFFFF" w:themeColor="background1"/>
              </w:rPr>
            </w:pPr>
            <w:r w:rsidRPr="007F63E4">
              <w:rPr>
                <w:color w:val="FFFFFF" w:themeColor="background1"/>
              </w:rPr>
              <w:t>9,96 %</w:t>
            </w:r>
          </w:p>
        </w:tc>
      </w:tr>
      <w:tr w:rsidR="00824F50" w14:paraId="37949F22" w14:textId="77777777" w:rsidTr="007F63E4">
        <w:tc>
          <w:tcPr>
            <w:tcW w:w="2629" w:type="dxa"/>
            <w:shd w:val="clear" w:color="auto" w:fill="A5283C"/>
          </w:tcPr>
          <w:p w14:paraId="13F01D8D" w14:textId="41A67D0C" w:rsidR="00824F50" w:rsidRPr="007F63E4" w:rsidRDefault="00824F50" w:rsidP="00ED38F1">
            <w:pPr>
              <w:jc w:val="center"/>
              <w:rPr>
                <w:color w:val="FFFFFF" w:themeColor="background1"/>
              </w:rPr>
            </w:pPr>
            <w:r w:rsidRPr="007F63E4">
              <w:rPr>
                <w:color w:val="FFFFFF" w:themeColor="background1"/>
              </w:rPr>
              <w:t>1981</w:t>
            </w:r>
          </w:p>
        </w:tc>
        <w:tc>
          <w:tcPr>
            <w:tcW w:w="2629" w:type="dxa"/>
            <w:shd w:val="clear" w:color="auto" w:fill="A5283C"/>
          </w:tcPr>
          <w:p w14:paraId="7DAA69FC" w14:textId="592A1837" w:rsidR="00824F50" w:rsidRPr="007F63E4" w:rsidRDefault="00824F50" w:rsidP="00ED38F1">
            <w:pPr>
              <w:jc w:val="center"/>
              <w:rPr>
                <w:color w:val="FFFFFF" w:themeColor="background1"/>
              </w:rPr>
            </w:pPr>
            <w:r w:rsidRPr="007F63E4">
              <w:rPr>
                <w:color w:val="FFFFFF" w:themeColor="background1"/>
              </w:rPr>
              <w:t>2015</w:t>
            </w:r>
          </w:p>
        </w:tc>
        <w:tc>
          <w:tcPr>
            <w:tcW w:w="2629" w:type="dxa"/>
            <w:shd w:val="clear" w:color="auto" w:fill="A5283C"/>
          </w:tcPr>
          <w:p w14:paraId="0DB0D87E" w14:textId="6350345D" w:rsidR="00824F50" w:rsidRPr="007F63E4" w:rsidRDefault="00824F50" w:rsidP="00ED38F1">
            <w:pPr>
              <w:jc w:val="center"/>
              <w:rPr>
                <w:color w:val="FFFFFF" w:themeColor="background1"/>
              </w:rPr>
            </w:pPr>
            <w:r w:rsidRPr="007F63E4">
              <w:rPr>
                <w:color w:val="FFFFFF" w:themeColor="background1"/>
              </w:rPr>
              <w:t>35 ans</w:t>
            </w:r>
          </w:p>
        </w:tc>
        <w:tc>
          <w:tcPr>
            <w:tcW w:w="2630" w:type="dxa"/>
            <w:shd w:val="clear" w:color="auto" w:fill="5475A5"/>
          </w:tcPr>
          <w:p w14:paraId="1F270918" w14:textId="7FE5909F" w:rsidR="00824F50" w:rsidRPr="007F63E4" w:rsidRDefault="00824F50" w:rsidP="00ED38F1">
            <w:pPr>
              <w:jc w:val="center"/>
              <w:rPr>
                <w:color w:val="FFFFFF" w:themeColor="background1"/>
              </w:rPr>
            </w:pPr>
            <w:r w:rsidRPr="007F63E4">
              <w:rPr>
                <w:color w:val="FFFFFF" w:themeColor="background1"/>
              </w:rPr>
              <w:t>11,94 %</w:t>
            </w:r>
          </w:p>
        </w:tc>
      </w:tr>
      <w:tr w:rsidR="00824F50" w14:paraId="035B72DD" w14:textId="77777777" w:rsidTr="007F63E4">
        <w:tc>
          <w:tcPr>
            <w:tcW w:w="2629" w:type="dxa"/>
            <w:shd w:val="clear" w:color="auto" w:fill="A5283C"/>
          </w:tcPr>
          <w:p w14:paraId="5BA9A4C8" w14:textId="2C6EA820" w:rsidR="00824F50" w:rsidRPr="007F63E4" w:rsidRDefault="00824F50" w:rsidP="00ED38F1">
            <w:pPr>
              <w:jc w:val="center"/>
              <w:rPr>
                <w:color w:val="FFFFFF" w:themeColor="background1"/>
              </w:rPr>
            </w:pPr>
            <w:r w:rsidRPr="007F63E4">
              <w:rPr>
                <w:color w:val="FFFFFF" w:themeColor="background1"/>
              </w:rPr>
              <w:t>1990</w:t>
            </w:r>
          </w:p>
        </w:tc>
        <w:tc>
          <w:tcPr>
            <w:tcW w:w="2629" w:type="dxa"/>
            <w:shd w:val="clear" w:color="auto" w:fill="A5283C"/>
          </w:tcPr>
          <w:p w14:paraId="162366CC" w14:textId="56BA7CF1" w:rsidR="00824F50" w:rsidRPr="007F63E4" w:rsidRDefault="00824F50" w:rsidP="00ED38F1">
            <w:pPr>
              <w:jc w:val="center"/>
              <w:rPr>
                <w:color w:val="FFFFFF" w:themeColor="background1"/>
              </w:rPr>
            </w:pPr>
            <w:r w:rsidRPr="007F63E4">
              <w:rPr>
                <w:color w:val="FFFFFF" w:themeColor="background1"/>
              </w:rPr>
              <w:t>1999</w:t>
            </w:r>
          </w:p>
        </w:tc>
        <w:tc>
          <w:tcPr>
            <w:tcW w:w="2629" w:type="dxa"/>
            <w:shd w:val="clear" w:color="auto" w:fill="A5283C"/>
          </w:tcPr>
          <w:p w14:paraId="672B674A" w14:textId="493A7967" w:rsidR="00824F50" w:rsidRPr="007F63E4" w:rsidRDefault="00824F50" w:rsidP="00ED38F1">
            <w:pPr>
              <w:jc w:val="center"/>
              <w:rPr>
                <w:color w:val="FFFFFF" w:themeColor="background1"/>
              </w:rPr>
            </w:pPr>
            <w:r w:rsidRPr="007F63E4">
              <w:rPr>
                <w:color w:val="FFFFFF" w:themeColor="background1"/>
              </w:rPr>
              <w:t>10 ans</w:t>
            </w:r>
          </w:p>
        </w:tc>
        <w:tc>
          <w:tcPr>
            <w:tcW w:w="2630" w:type="dxa"/>
            <w:shd w:val="clear" w:color="auto" w:fill="5475A5"/>
          </w:tcPr>
          <w:p w14:paraId="68CFB4E4" w14:textId="24EA1654" w:rsidR="00824F50" w:rsidRPr="007F63E4" w:rsidRDefault="00824F50" w:rsidP="00ED38F1">
            <w:pPr>
              <w:jc w:val="center"/>
              <w:rPr>
                <w:color w:val="FFFFFF" w:themeColor="background1"/>
              </w:rPr>
            </w:pPr>
            <w:r w:rsidRPr="007F63E4">
              <w:rPr>
                <w:color w:val="FFFFFF" w:themeColor="background1"/>
              </w:rPr>
              <w:t>20,53 %</w:t>
            </w:r>
          </w:p>
        </w:tc>
      </w:tr>
      <w:tr w:rsidR="00824F50" w14:paraId="4CA845F3" w14:textId="77777777" w:rsidTr="007F63E4">
        <w:tc>
          <w:tcPr>
            <w:tcW w:w="2629" w:type="dxa"/>
            <w:shd w:val="clear" w:color="auto" w:fill="A5283C"/>
          </w:tcPr>
          <w:p w14:paraId="66522834" w14:textId="20F5B38A" w:rsidR="00824F50" w:rsidRPr="007F63E4" w:rsidRDefault="00824F50" w:rsidP="00ED38F1">
            <w:pPr>
              <w:jc w:val="center"/>
              <w:rPr>
                <w:color w:val="FFFFFF" w:themeColor="background1"/>
              </w:rPr>
            </w:pPr>
            <w:r w:rsidRPr="007F63E4">
              <w:rPr>
                <w:color w:val="FFFFFF" w:themeColor="background1"/>
              </w:rPr>
              <w:t>1999</w:t>
            </w:r>
          </w:p>
        </w:tc>
        <w:tc>
          <w:tcPr>
            <w:tcW w:w="2629" w:type="dxa"/>
            <w:shd w:val="clear" w:color="auto" w:fill="A5283C"/>
          </w:tcPr>
          <w:p w14:paraId="78DD3B43" w14:textId="7A7F9074" w:rsidR="00824F50" w:rsidRPr="007F63E4" w:rsidRDefault="00824F50" w:rsidP="00ED38F1">
            <w:pPr>
              <w:jc w:val="center"/>
              <w:rPr>
                <w:color w:val="FFFFFF" w:themeColor="background1"/>
              </w:rPr>
            </w:pPr>
            <w:r w:rsidRPr="007F63E4">
              <w:rPr>
                <w:color w:val="FFFFFF" w:themeColor="background1"/>
              </w:rPr>
              <w:t>2008</w:t>
            </w:r>
          </w:p>
        </w:tc>
        <w:tc>
          <w:tcPr>
            <w:tcW w:w="2629" w:type="dxa"/>
            <w:shd w:val="clear" w:color="auto" w:fill="A5283C"/>
          </w:tcPr>
          <w:p w14:paraId="5A377A84" w14:textId="41F0E9D9" w:rsidR="00824F50" w:rsidRPr="007F63E4" w:rsidRDefault="00824F50" w:rsidP="00ED38F1">
            <w:pPr>
              <w:jc w:val="center"/>
              <w:rPr>
                <w:color w:val="FFFFFF" w:themeColor="background1"/>
              </w:rPr>
            </w:pPr>
            <w:r w:rsidRPr="007F63E4">
              <w:rPr>
                <w:color w:val="FFFFFF" w:themeColor="background1"/>
              </w:rPr>
              <w:t>10 ans</w:t>
            </w:r>
          </w:p>
        </w:tc>
        <w:tc>
          <w:tcPr>
            <w:tcW w:w="2630" w:type="dxa"/>
            <w:shd w:val="clear" w:color="auto" w:fill="5475A5"/>
          </w:tcPr>
          <w:p w14:paraId="1F66FA97" w14:textId="43676404" w:rsidR="00824F50" w:rsidRPr="007F63E4" w:rsidRDefault="00824F50" w:rsidP="00ED38F1">
            <w:pPr>
              <w:jc w:val="center"/>
              <w:rPr>
                <w:color w:val="FFFFFF" w:themeColor="background1"/>
              </w:rPr>
            </w:pPr>
            <w:r w:rsidRPr="007F63E4">
              <w:rPr>
                <w:color w:val="FFFFFF" w:themeColor="background1"/>
              </w:rPr>
              <w:t>-,77 %</w:t>
            </w:r>
          </w:p>
        </w:tc>
      </w:tr>
    </w:tbl>
    <w:p w14:paraId="7AB99C0D" w14:textId="77777777" w:rsidR="006E0A12" w:rsidRDefault="006E0A12"/>
    <w:p w14:paraId="2428E37E" w14:textId="042BB0AE" w:rsidR="00797087" w:rsidRDefault="00995EC3" w:rsidP="00995EC3">
      <w:pPr>
        <w:jc w:val="both"/>
      </w:pPr>
      <w:r>
        <w:rPr>
          <w:noProof/>
          <w:lang w:eastAsia="fr-FR"/>
        </w:rPr>
        <w:drawing>
          <wp:anchor distT="0" distB="0" distL="114300" distR="114300" simplePos="0" relativeHeight="253327360" behindDoc="0" locked="0" layoutInCell="1" allowOverlap="1" wp14:anchorId="1940658E" wp14:editId="2AFF9D3E">
            <wp:simplePos x="0" y="0"/>
            <wp:positionH relativeFrom="column">
              <wp:posOffset>3314700</wp:posOffset>
            </wp:positionH>
            <wp:positionV relativeFrom="paragraph">
              <wp:posOffset>604520</wp:posOffset>
            </wp:positionV>
            <wp:extent cx="508000" cy="685800"/>
            <wp:effectExtent l="0" t="0" r="0" b="0"/>
            <wp:wrapNone/>
            <wp:docPr id="905" name="Image 905" descr="Macintosh HD:Users:marcbachand:Desktop:Capture d’écran 2015-06-08 à 17.18.41.png">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97087">
        <w:t>Encore une fois, les périodes d'analyse choisies et les rendements qui leurs correspondent se veulent l'expression même</w:t>
      </w:r>
      <w:r>
        <w:t xml:space="preserve"> de la dualité qui existe entre l'approche à long terme qui suit l'indice du marché (gain de 11,94 %) et celle de la synchronisation des marchés qui visent à anticiper les creux et les sommets boursiers (gain de 20,53 % ou perte de ,77 %). </w:t>
      </w:r>
    </w:p>
    <w:p w14:paraId="31443FA4" w14:textId="0A15DF7F" w:rsidR="00797087" w:rsidRDefault="00797087"/>
    <w:p w14:paraId="1B5B5D3C" w14:textId="77777777" w:rsidR="00FA195C" w:rsidRDefault="00573C95" w:rsidP="009C74A0">
      <w:pPr>
        <w:rPr>
          <w:color w:val="FF6700" w:themeColor="accent3"/>
        </w:rPr>
      </w:pPr>
      <w:hyperlink r:id="rId214" w:history="1">
        <w:r w:rsidR="00797087" w:rsidRPr="00797087">
          <w:rPr>
            <w:rStyle w:val="Lienhypertexte"/>
            <w:color w:val="FF6700" w:themeColor="accent3"/>
          </w:rPr>
          <w:t>La calculatrice des rendements Dow Jones</w:t>
        </w:r>
      </w:hyperlink>
    </w:p>
    <w:p w14:paraId="7F6975A5" w14:textId="77777777" w:rsidR="00FA195C" w:rsidRDefault="00FA195C" w:rsidP="009C74A0">
      <w:pPr>
        <w:rPr>
          <w:color w:val="FF6700" w:themeColor="accent3"/>
        </w:rPr>
      </w:pPr>
    </w:p>
    <w:p w14:paraId="14264A91" w14:textId="77777777" w:rsidR="00E22CF1" w:rsidRDefault="00E22CF1" w:rsidP="009C74A0">
      <w:pPr>
        <w:rPr>
          <w:color w:val="FF6700" w:themeColor="accent3"/>
        </w:rPr>
      </w:pPr>
    </w:p>
    <w:p w14:paraId="1C075B3E" w14:textId="77777777" w:rsidR="00E22CF1" w:rsidRDefault="00E22CF1" w:rsidP="009C74A0">
      <w:pPr>
        <w:rPr>
          <w:color w:val="FF6700" w:themeColor="accent3"/>
        </w:rPr>
      </w:pPr>
    </w:p>
    <w:p w14:paraId="0BD3371A" w14:textId="77777777" w:rsidR="00FA195C" w:rsidRDefault="00FA195C" w:rsidP="009C74A0">
      <w:pPr>
        <w:rPr>
          <w:color w:val="FF6700" w:themeColor="accent3"/>
        </w:rPr>
      </w:pPr>
    </w:p>
    <w:p w14:paraId="40F5932C" w14:textId="1DE17F76" w:rsidR="00FA195C" w:rsidRDefault="00FA195C" w:rsidP="006C34CF">
      <w:pPr>
        <w:pStyle w:val="Paragraphedeliste"/>
        <w:numPr>
          <w:ilvl w:val="0"/>
          <w:numId w:val="126"/>
        </w:numPr>
        <w:jc w:val="both"/>
        <w:rPr>
          <w:color w:val="FF6700" w:themeColor="accent3"/>
        </w:rPr>
      </w:pPr>
      <w:r>
        <w:rPr>
          <w:color w:val="FF6700" w:themeColor="accent3"/>
        </w:rPr>
        <w:t>Nasdaq 100</w:t>
      </w:r>
    </w:p>
    <w:p w14:paraId="281BD7B4" w14:textId="77777777" w:rsidR="00FA195C" w:rsidRDefault="00FA195C" w:rsidP="00FA195C">
      <w:pPr>
        <w:ind w:left="705"/>
        <w:jc w:val="both"/>
        <w:rPr>
          <w:color w:val="000000" w:themeColor="text1"/>
        </w:rPr>
      </w:pPr>
    </w:p>
    <w:p w14:paraId="739BF5CB" w14:textId="171B2FAE" w:rsidR="00E22CF1" w:rsidRDefault="00E22CF1" w:rsidP="00E22CF1">
      <w:pPr>
        <w:jc w:val="both"/>
        <w:rPr>
          <w:color w:val="000000" w:themeColor="text1"/>
        </w:rPr>
      </w:pPr>
      <w:r w:rsidRPr="00E22CF1">
        <w:rPr>
          <w:color w:val="000000" w:themeColor="text1"/>
        </w:rPr>
        <w:t>L</w:t>
      </w:r>
      <w:r>
        <w:rPr>
          <w:color w:val="000000" w:themeColor="text1"/>
        </w:rPr>
        <w:t xml:space="preserve">'indice </w:t>
      </w:r>
      <w:r w:rsidRPr="00E22CF1">
        <w:rPr>
          <w:color w:val="000000" w:themeColor="text1"/>
        </w:rPr>
        <w:t xml:space="preserve">Nasdaq 100 </w:t>
      </w:r>
      <w:r>
        <w:rPr>
          <w:color w:val="000000" w:themeColor="text1"/>
        </w:rPr>
        <w:t>regroupe</w:t>
      </w:r>
      <w:r w:rsidR="005B1127">
        <w:rPr>
          <w:color w:val="000000" w:themeColor="text1"/>
        </w:rPr>
        <w:t xml:space="preserve"> depuis 1985</w:t>
      </w:r>
      <w:r>
        <w:rPr>
          <w:color w:val="000000" w:themeColor="text1"/>
        </w:rPr>
        <w:t xml:space="preserve"> les cent</w:t>
      </w:r>
      <w:r w:rsidRPr="00E22CF1">
        <w:rPr>
          <w:color w:val="000000" w:themeColor="text1"/>
        </w:rPr>
        <w:t xml:space="preserve"> plus importantes valeurs cotées sur le Nasdaq, deuxième plus important marché boursier </w:t>
      </w:r>
      <w:r>
        <w:rPr>
          <w:color w:val="000000" w:themeColor="text1"/>
        </w:rPr>
        <w:t>américain</w:t>
      </w:r>
      <w:r w:rsidRPr="00E22CF1">
        <w:rPr>
          <w:color w:val="000000" w:themeColor="text1"/>
        </w:rPr>
        <w:t xml:space="preserve">. </w:t>
      </w:r>
      <w:r>
        <w:rPr>
          <w:color w:val="000000" w:themeColor="text1"/>
        </w:rPr>
        <w:t xml:space="preserve">Quinze </w:t>
      </w:r>
      <w:r w:rsidRPr="00E22CF1">
        <w:rPr>
          <w:color w:val="000000" w:themeColor="text1"/>
        </w:rPr>
        <w:t>entreprises étrangères</w:t>
      </w:r>
      <w:r>
        <w:rPr>
          <w:color w:val="000000" w:themeColor="text1"/>
        </w:rPr>
        <w:t xml:space="preserve"> y </w:t>
      </w:r>
      <w:r w:rsidRPr="00E22CF1">
        <w:rPr>
          <w:color w:val="000000" w:themeColor="text1"/>
        </w:rPr>
        <w:t>sont inclu</w:t>
      </w:r>
      <w:r w:rsidR="00BC47D7">
        <w:rPr>
          <w:color w:val="000000" w:themeColor="text1"/>
        </w:rPr>
        <w:t>s</w:t>
      </w:r>
      <w:r w:rsidRPr="00E22CF1">
        <w:rPr>
          <w:color w:val="000000" w:themeColor="text1"/>
        </w:rPr>
        <w:t>es.</w:t>
      </w:r>
      <w:r>
        <w:rPr>
          <w:color w:val="000000" w:themeColor="text1"/>
        </w:rPr>
        <w:t xml:space="preserve"> Le Nasdaq est principalement une place boursière technologique et l'indice ne comporte aucune valeur issue du secteur financier.</w:t>
      </w:r>
    </w:p>
    <w:p w14:paraId="70089418" w14:textId="77777777" w:rsidR="00E22CF1" w:rsidRDefault="00E22CF1">
      <w:pPr>
        <w:rPr>
          <w:color w:val="FF6700" w:themeColor="accent3"/>
        </w:rPr>
      </w:pPr>
    </w:p>
    <w:p w14:paraId="614426B3" w14:textId="3F5A4B7A" w:rsidR="00E22CF1" w:rsidRDefault="00C2727B" w:rsidP="00E22CF1">
      <w:r w:rsidRPr="00797087">
        <w:rPr>
          <w:color w:val="FF6700" w:themeColor="accent3"/>
        </w:rPr>
        <w:br w:type="page"/>
      </w:r>
      <w:r w:rsidR="00E22CF1">
        <w:rPr>
          <w:color w:val="FF6700" w:themeColor="accent3"/>
        </w:rPr>
        <w:lastRenderedPageBreak/>
        <w:t>IMAGE 7-28 Historique des rendements Nasdaq 100</w:t>
      </w:r>
    </w:p>
    <w:p w14:paraId="0E8D7E51" w14:textId="77777777" w:rsidR="00E22CF1" w:rsidRDefault="00E22CF1" w:rsidP="00E22CF1">
      <w:pPr>
        <w:jc w:val="both"/>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9"/>
        <w:gridCol w:w="2629"/>
        <w:gridCol w:w="2629"/>
        <w:gridCol w:w="2630"/>
      </w:tblGrid>
      <w:tr w:rsidR="00E22CF1" w14:paraId="1FD5C24D" w14:textId="77777777" w:rsidTr="00E01DA2">
        <w:tc>
          <w:tcPr>
            <w:tcW w:w="2629" w:type="dxa"/>
            <w:shd w:val="clear" w:color="auto" w:fill="BFBFBF" w:themeFill="background1" w:themeFillShade="BF"/>
          </w:tcPr>
          <w:p w14:paraId="6533A25F" w14:textId="77777777" w:rsidR="00E22CF1" w:rsidRDefault="00E22CF1" w:rsidP="00E22CF1">
            <w:pPr>
              <w:jc w:val="center"/>
            </w:pPr>
            <w:r>
              <w:t>Début</w:t>
            </w:r>
          </w:p>
        </w:tc>
        <w:tc>
          <w:tcPr>
            <w:tcW w:w="2629" w:type="dxa"/>
            <w:shd w:val="clear" w:color="auto" w:fill="BFBFBF" w:themeFill="background1" w:themeFillShade="BF"/>
          </w:tcPr>
          <w:p w14:paraId="08E8F227" w14:textId="77777777" w:rsidR="00E22CF1" w:rsidRDefault="00E22CF1" w:rsidP="00E22CF1">
            <w:pPr>
              <w:jc w:val="center"/>
            </w:pPr>
            <w:r>
              <w:t>Fin</w:t>
            </w:r>
          </w:p>
        </w:tc>
        <w:tc>
          <w:tcPr>
            <w:tcW w:w="2629" w:type="dxa"/>
            <w:shd w:val="clear" w:color="auto" w:fill="BFBFBF" w:themeFill="background1" w:themeFillShade="BF"/>
          </w:tcPr>
          <w:p w14:paraId="6B9E7B43" w14:textId="77777777" w:rsidR="00E22CF1" w:rsidRDefault="00E22CF1" w:rsidP="00E22CF1">
            <w:pPr>
              <w:jc w:val="center"/>
            </w:pPr>
            <w:r>
              <w:t>Durée</w:t>
            </w:r>
          </w:p>
        </w:tc>
        <w:tc>
          <w:tcPr>
            <w:tcW w:w="2630" w:type="dxa"/>
            <w:shd w:val="clear" w:color="auto" w:fill="BFBFBF" w:themeFill="background1" w:themeFillShade="BF"/>
          </w:tcPr>
          <w:p w14:paraId="39EBA2EA" w14:textId="647099AB" w:rsidR="00E22CF1" w:rsidRDefault="00E22CF1" w:rsidP="00FC32F4">
            <w:pPr>
              <w:jc w:val="center"/>
            </w:pPr>
            <w:r>
              <w:t>Rendement</w:t>
            </w:r>
            <w:r w:rsidR="00FC32F4">
              <w:rPr>
                <w:rStyle w:val="Marquenotebasdepage"/>
              </w:rPr>
              <w:footnoteReference w:customMarkFollows="1" w:id="89"/>
              <w:t>88</w:t>
            </w:r>
          </w:p>
        </w:tc>
      </w:tr>
      <w:tr w:rsidR="00E22CF1" w14:paraId="19BBAB28" w14:textId="77777777" w:rsidTr="00E01DA2">
        <w:tc>
          <w:tcPr>
            <w:tcW w:w="2629" w:type="dxa"/>
            <w:shd w:val="clear" w:color="auto" w:fill="000000" w:themeFill="text1"/>
          </w:tcPr>
          <w:p w14:paraId="668BCEE6" w14:textId="77777777" w:rsidR="00E22CF1" w:rsidRDefault="00E22CF1" w:rsidP="00E22CF1">
            <w:pPr>
              <w:jc w:val="center"/>
            </w:pPr>
          </w:p>
        </w:tc>
        <w:tc>
          <w:tcPr>
            <w:tcW w:w="2629" w:type="dxa"/>
            <w:shd w:val="clear" w:color="auto" w:fill="000000" w:themeFill="text1"/>
          </w:tcPr>
          <w:p w14:paraId="1C8D3FF9" w14:textId="77777777" w:rsidR="00E22CF1" w:rsidRDefault="00E22CF1" w:rsidP="00E22CF1">
            <w:pPr>
              <w:jc w:val="center"/>
            </w:pPr>
          </w:p>
        </w:tc>
        <w:tc>
          <w:tcPr>
            <w:tcW w:w="2629" w:type="dxa"/>
            <w:shd w:val="clear" w:color="auto" w:fill="000000" w:themeFill="text1"/>
          </w:tcPr>
          <w:p w14:paraId="71DBF4F1" w14:textId="77777777" w:rsidR="00E22CF1" w:rsidRDefault="00E22CF1" w:rsidP="00E22CF1">
            <w:pPr>
              <w:jc w:val="center"/>
            </w:pPr>
          </w:p>
        </w:tc>
        <w:tc>
          <w:tcPr>
            <w:tcW w:w="2630" w:type="dxa"/>
            <w:shd w:val="clear" w:color="auto" w:fill="000000" w:themeFill="text1"/>
          </w:tcPr>
          <w:p w14:paraId="1E50B851" w14:textId="77777777" w:rsidR="00E22CF1" w:rsidRDefault="00E22CF1" w:rsidP="00E22CF1">
            <w:pPr>
              <w:jc w:val="center"/>
            </w:pPr>
          </w:p>
        </w:tc>
      </w:tr>
      <w:tr w:rsidR="00E22CF1" w14:paraId="68977389" w14:textId="77777777" w:rsidTr="009E2115">
        <w:tc>
          <w:tcPr>
            <w:tcW w:w="2629" w:type="dxa"/>
            <w:shd w:val="clear" w:color="auto" w:fill="6F4F32" w:themeFill="accent5" w:themeFillShade="BF"/>
          </w:tcPr>
          <w:p w14:paraId="4FA1EC0E" w14:textId="52770678" w:rsidR="00E22CF1" w:rsidRPr="007F63E4" w:rsidRDefault="005B1127" w:rsidP="00E22CF1">
            <w:pPr>
              <w:jc w:val="center"/>
              <w:rPr>
                <w:color w:val="FFFFFF" w:themeColor="background1"/>
              </w:rPr>
            </w:pPr>
            <w:r>
              <w:rPr>
                <w:color w:val="FFFFFF" w:themeColor="background1"/>
              </w:rPr>
              <w:t>1985</w:t>
            </w:r>
          </w:p>
        </w:tc>
        <w:tc>
          <w:tcPr>
            <w:tcW w:w="2629" w:type="dxa"/>
            <w:shd w:val="clear" w:color="auto" w:fill="6F4F32" w:themeFill="accent5" w:themeFillShade="BF"/>
          </w:tcPr>
          <w:p w14:paraId="11E9BCB7" w14:textId="4C94E032" w:rsidR="00E22CF1" w:rsidRPr="007F63E4" w:rsidRDefault="00E22CF1" w:rsidP="00071DFB">
            <w:pPr>
              <w:jc w:val="center"/>
              <w:rPr>
                <w:color w:val="FFFFFF" w:themeColor="background1"/>
              </w:rPr>
            </w:pPr>
            <w:r w:rsidRPr="007F63E4">
              <w:rPr>
                <w:color w:val="FFFFFF" w:themeColor="background1"/>
              </w:rPr>
              <w:t>201</w:t>
            </w:r>
            <w:r w:rsidR="00071DFB">
              <w:rPr>
                <w:color w:val="FFFFFF" w:themeColor="background1"/>
              </w:rPr>
              <w:t>4</w:t>
            </w:r>
          </w:p>
        </w:tc>
        <w:tc>
          <w:tcPr>
            <w:tcW w:w="2629" w:type="dxa"/>
            <w:shd w:val="clear" w:color="auto" w:fill="6F4F32" w:themeFill="accent5" w:themeFillShade="BF"/>
          </w:tcPr>
          <w:p w14:paraId="4EF973F9" w14:textId="21EA02D9" w:rsidR="00E22CF1" w:rsidRPr="007F63E4" w:rsidRDefault="005B1127" w:rsidP="00071DFB">
            <w:pPr>
              <w:jc w:val="center"/>
              <w:rPr>
                <w:color w:val="FFFFFF" w:themeColor="background1"/>
              </w:rPr>
            </w:pPr>
            <w:r>
              <w:rPr>
                <w:color w:val="FFFFFF" w:themeColor="background1"/>
              </w:rPr>
              <w:t>3</w:t>
            </w:r>
            <w:r w:rsidR="00071DFB">
              <w:rPr>
                <w:color w:val="FFFFFF" w:themeColor="background1"/>
              </w:rPr>
              <w:t>0</w:t>
            </w:r>
            <w:r w:rsidR="00E22CF1" w:rsidRPr="007F63E4">
              <w:rPr>
                <w:color w:val="FFFFFF" w:themeColor="background1"/>
              </w:rPr>
              <w:t xml:space="preserve"> ans</w:t>
            </w:r>
          </w:p>
        </w:tc>
        <w:tc>
          <w:tcPr>
            <w:tcW w:w="2630" w:type="dxa"/>
            <w:shd w:val="clear" w:color="auto" w:fill="A68FEA"/>
          </w:tcPr>
          <w:p w14:paraId="52E2F9D6" w14:textId="5C3336AE" w:rsidR="00E22CF1" w:rsidRPr="007F63E4" w:rsidRDefault="00071DFB" w:rsidP="00071DFB">
            <w:pPr>
              <w:jc w:val="center"/>
              <w:rPr>
                <w:color w:val="FFFFFF" w:themeColor="background1"/>
              </w:rPr>
            </w:pPr>
            <w:r>
              <w:rPr>
                <w:color w:val="FFFFFF" w:themeColor="background1"/>
              </w:rPr>
              <w:t>13,05</w:t>
            </w:r>
            <w:r w:rsidR="00FC32F4">
              <w:rPr>
                <w:color w:val="FFFFFF" w:themeColor="background1"/>
              </w:rPr>
              <w:t xml:space="preserve"> </w:t>
            </w:r>
            <w:r w:rsidR="00E22CF1" w:rsidRPr="007F63E4">
              <w:rPr>
                <w:color w:val="FFFFFF" w:themeColor="background1"/>
              </w:rPr>
              <w:t>%</w:t>
            </w:r>
          </w:p>
        </w:tc>
      </w:tr>
      <w:tr w:rsidR="00E22CF1" w14:paraId="7AE79743" w14:textId="77777777" w:rsidTr="009E2115">
        <w:tc>
          <w:tcPr>
            <w:tcW w:w="2629" w:type="dxa"/>
            <w:shd w:val="clear" w:color="auto" w:fill="6F4F32" w:themeFill="accent5" w:themeFillShade="BF"/>
          </w:tcPr>
          <w:p w14:paraId="6DFF6DDF" w14:textId="2070601A" w:rsidR="00E22CF1" w:rsidRPr="007F63E4" w:rsidRDefault="00071DFB" w:rsidP="00071DFB">
            <w:pPr>
              <w:jc w:val="center"/>
              <w:rPr>
                <w:color w:val="FFFFFF" w:themeColor="background1"/>
              </w:rPr>
            </w:pPr>
            <w:r>
              <w:rPr>
                <w:color w:val="FFFFFF" w:themeColor="background1"/>
              </w:rPr>
              <w:t>1990</w:t>
            </w:r>
          </w:p>
        </w:tc>
        <w:tc>
          <w:tcPr>
            <w:tcW w:w="2629" w:type="dxa"/>
            <w:shd w:val="clear" w:color="auto" w:fill="6F4F32" w:themeFill="accent5" w:themeFillShade="BF"/>
          </w:tcPr>
          <w:p w14:paraId="7B26FA2C" w14:textId="00E454DD" w:rsidR="00E22CF1" w:rsidRPr="007F63E4" w:rsidRDefault="00071DFB" w:rsidP="00071DFB">
            <w:pPr>
              <w:jc w:val="center"/>
              <w:rPr>
                <w:color w:val="FFFFFF" w:themeColor="background1"/>
              </w:rPr>
            </w:pPr>
            <w:r>
              <w:rPr>
                <w:color w:val="FFFFFF" w:themeColor="background1"/>
              </w:rPr>
              <w:t>1999</w:t>
            </w:r>
          </w:p>
        </w:tc>
        <w:tc>
          <w:tcPr>
            <w:tcW w:w="2629" w:type="dxa"/>
            <w:shd w:val="clear" w:color="auto" w:fill="6F4F32" w:themeFill="accent5" w:themeFillShade="BF"/>
          </w:tcPr>
          <w:p w14:paraId="2158550F" w14:textId="77777777" w:rsidR="00E22CF1" w:rsidRPr="007F63E4" w:rsidRDefault="00E22CF1" w:rsidP="00E22CF1">
            <w:pPr>
              <w:jc w:val="center"/>
              <w:rPr>
                <w:color w:val="FFFFFF" w:themeColor="background1"/>
              </w:rPr>
            </w:pPr>
            <w:r w:rsidRPr="007F63E4">
              <w:rPr>
                <w:color w:val="FFFFFF" w:themeColor="background1"/>
              </w:rPr>
              <w:t>10 ans</w:t>
            </w:r>
          </w:p>
        </w:tc>
        <w:tc>
          <w:tcPr>
            <w:tcW w:w="2630" w:type="dxa"/>
            <w:shd w:val="clear" w:color="auto" w:fill="A68FEA"/>
          </w:tcPr>
          <w:p w14:paraId="54C3E9A7" w14:textId="318AB206" w:rsidR="00E22CF1" w:rsidRPr="007F63E4" w:rsidRDefault="00071DFB" w:rsidP="00071DFB">
            <w:pPr>
              <w:tabs>
                <w:tab w:val="left" w:pos="950"/>
                <w:tab w:val="center" w:pos="1207"/>
              </w:tabs>
              <w:jc w:val="center"/>
              <w:rPr>
                <w:color w:val="FFFFFF" w:themeColor="background1"/>
              </w:rPr>
            </w:pPr>
            <w:r>
              <w:rPr>
                <w:color w:val="FFFFFF" w:themeColor="background1"/>
              </w:rPr>
              <w:t>32,42</w:t>
            </w:r>
            <w:r w:rsidR="00FC32F4">
              <w:rPr>
                <w:color w:val="FFFFFF" w:themeColor="background1"/>
              </w:rPr>
              <w:t xml:space="preserve">  %</w:t>
            </w:r>
          </w:p>
        </w:tc>
      </w:tr>
      <w:tr w:rsidR="00E22CF1" w14:paraId="761255C5" w14:textId="77777777" w:rsidTr="009E2115">
        <w:tc>
          <w:tcPr>
            <w:tcW w:w="2629" w:type="dxa"/>
            <w:shd w:val="clear" w:color="auto" w:fill="6F4F32" w:themeFill="accent5" w:themeFillShade="BF"/>
          </w:tcPr>
          <w:p w14:paraId="21A2DF40" w14:textId="21D6AF0A" w:rsidR="00E22CF1" w:rsidRPr="007F63E4" w:rsidRDefault="00071DFB" w:rsidP="00071DFB">
            <w:pPr>
              <w:jc w:val="center"/>
              <w:rPr>
                <w:color w:val="FFFFFF" w:themeColor="background1"/>
              </w:rPr>
            </w:pPr>
            <w:r>
              <w:rPr>
                <w:color w:val="FFFFFF" w:themeColor="background1"/>
              </w:rPr>
              <w:t>1999</w:t>
            </w:r>
          </w:p>
        </w:tc>
        <w:tc>
          <w:tcPr>
            <w:tcW w:w="2629" w:type="dxa"/>
            <w:shd w:val="clear" w:color="auto" w:fill="6F4F32" w:themeFill="accent5" w:themeFillShade="BF"/>
          </w:tcPr>
          <w:p w14:paraId="005B621C" w14:textId="032927AD" w:rsidR="00E22CF1" w:rsidRPr="007F63E4" w:rsidRDefault="00E22CF1" w:rsidP="00071DFB">
            <w:pPr>
              <w:jc w:val="center"/>
              <w:rPr>
                <w:color w:val="FFFFFF" w:themeColor="background1"/>
              </w:rPr>
            </w:pPr>
            <w:r w:rsidRPr="007F63E4">
              <w:rPr>
                <w:color w:val="FFFFFF" w:themeColor="background1"/>
              </w:rPr>
              <w:t>20</w:t>
            </w:r>
            <w:r w:rsidR="00071DFB">
              <w:rPr>
                <w:color w:val="FFFFFF" w:themeColor="background1"/>
              </w:rPr>
              <w:t>08</w:t>
            </w:r>
          </w:p>
        </w:tc>
        <w:tc>
          <w:tcPr>
            <w:tcW w:w="2629" w:type="dxa"/>
            <w:shd w:val="clear" w:color="auto" w:fill="6F4F32" w:themeFill="accent5" w:themeFillShade="BF"/>
          </w:tcPr>
          <w:p w14:paraId="4CCF8711" w14:textId="276C9E51" w:rsidR="00E22CF1" w:rsidRPr="007F63E4" w:rsidRDefault="00071DFB" w:rsidP="00071DFB">
            <w:pPr>
              <w:jc w:val="center"/>
              <w:rPr>
                <w:color w:val="FFFFFF" w:themeColor="background1"/>
              </w:rPr>
            </w:pPr>
            <w:r>
              <w:rPr>
                <w:color w:val="FFFFFF" w:themeColor="background1"/>
              </w:rPr>
              <w:t>10</w:t>
            </w:r>
            <w:r w:rsidR="00E22CF1" w:rsidRPr="007F63E4">
              <w:rPr>
                <w:color w:val="FFFFFF" w:themeColor="background1"/>
              </w:rPr>
              <w:t xml:space="preserve"> ans</w:t>
            </w:r>
          </w:p>
        </w:tc>
        <w:tc>
          <w:tcPr>
            <w:tcW w:w="2630" w:type="dxa"/>
            <w:shd w:val="clear" w:color="auto" w:fill="A68FEA"/>
          </w:tcPr>
          <w:p w14:paraId="507D682D" w14:textId="7204DEA6" w:rsidR="00E22CF1" w:rsidRPr="007F63E4" w:rsidRDefault="00071DFB" w:rsidP="00071DFB">
            <w:pPr>
              <w:jc w:val="center"/>
              <w:rPr>
                <w:color w:val="FFFFFF" w:themeColor="background1"/>
              </w:rPr>
            </w:pPr>
            <w:r>
              <w:rPr>
                <w:color w:val="FFFFFF" w:themeColor="background1"/>
              </w:rPr>
              <w:t>-3,82</w:t>
            </w:r>
            <w:r w:rsidR="000A31A4">
              <w:rPr>
                <w:color w:val="FFFFFF" w:themeColor="background1"/>
              </w:rPr>
              <w:t xml:space="preserve"> </w:t>
            </w:r>
            <w:r w:rsidR="00E22CF1" w:rsidRPr="007F63E4">
              <w:rPr>
                <w:color w:val="FFFFFF" w:themeColor="background1"/>
              </w:rPr>
              <w:t>%</w:t>
            </w:r>
          </w:p>
        </w:tc>
      </w:tr>
    </w:tbl>
    <w:p w14:paraId="70EBB0FA" w14:textId="77777777" w:rsidR="00E22CF1" w:rsidRDefault="00E22CF1">
      <w:pPr>
        <w:rPr>
          <w:color w:val="FF6700" w:themeColor="accent3"/>
        </w:rPr>
      </w:pPr>
    </w:p>
    <w:p w14:paraId="57D07952" w14:textId="72CFA03C" w:rsidR="00E01DA2" w:rsidRDefault="00FF37E0" w:rsidP="00E22CF1">
      <w:pPr>
        <w:jc w:val="both"/>
      </w:pPr>
      <w:r>
        <w:t>Les</w:t>
      </w:r>
      <w:r w:rsidR="00E22CF1">
        <w:t xml:space="preserve"> périodes d'analyse choisies et les rendements qui leurs correspondent se veulent l'expression même de la dualité qui existe entre l'approche à long terme qui suit l'indice du marché (gain de 1</w:t>
      </w:r>
      <w:r w:rsidR="00071DFB">
        <w:t>3</w:t>
      </w:r>
      <w:r w:rsidR="00E22CF1">
        <w:t>,</w:t>
      </w:r>
      <w:r w:rsidR="00071DFB">
        <w:t>05</w:t>
      </w:r>
      <w:r w:rsidR="00E22CF1">
        <w:t xml:space="preserve"> %) et celle de la synchronisation des</w:t>
      </w:r>
      <w:r w:rsidR="00071DFB">
        <w:t xml:space="preserve"> marchés qui visent à anticiper les creux et les sommets boursiers (gain de 32,42 % ou perte de 3,82 %). Malgré des écarts-types plus grands qui reflète</w:t>
      </w:r>
      <w:r w:rsidR="00300395">
        <w:t>nt</w:t>
      </w:r>
      <w:r w:rsidR="00071DFB">
        <w:t xml:space="preserve"> bien la nature </w:t>
      </w:r>
      <w:r w:rsidR="00300395">
        <w:t>plus volatile des entreprises technologiques, l</w:t>
      </w:r>
      <w:r w:rsidR="00071DFB">
        <w:t>'évolution est sensiblement la même que celle observée pour le DJIA</w:t>
      </w:r>
      <w:r w:rsidR="00300395">
        <w:t>.</w:t>
      </w:r>
      <w:r w:rsidR="00071DFB">
        <w:t xml:space="preserve"> </w:t>
      </w:r>
    </w:p>
    <w:p w14:paraId="50CA722D" w14:textId="77777777" w:rsidR="00E01DA2" w:rsidRDefault="00E01DA2" w:rsidP="00E22CF1">
      <w:pPr>
        <w:jc w:val="both"/>
      </w:pPr>
    </w:p>
    <w:p w14:paraId="018B1B11" w14:textId="77777777" w:rsidR="00E01DA2" w:rsidRDefault="00E01DA2" w:rsidP="00E22CF1">
      <w:pPr>
        <w:jc w:val="both"/>
      </w:pPr>
    </w:p>
    <w:p w14:paraId="509A122C" w14:textId="04DC0F46" w:rsidR="00E01DA2" w:rsidRDefault="00E01DA2" w:rsidP="006C34CF">
      <w:pPr>
        <w:pStyle w:val="Paragraphedeliste"/>
        <w:numPr>
          <w:ilvl w:val="0"/>
          <w:numId w:val="126"/>
        </w:numPr>
        <w:jc w:val="both"/>
        <w:rPr>
          <w:color w:val="FF6700" w:themeColor="accent3"/>
        </w:rPr>
      </w:pPr>
      <w:r>
        <w:rPr>
          <w:color w:val="FF6700" w:themeColor="accent3"/>
        </w:rPr>
        <w:t>Standard &amp; Poor's 500</w:t>
      </w:r>
    </w:p>
    <w:p w14:paraId="41B80843" w14:textId="77777777" w:rsidR="00E01DA2" w:rsidRDefault="00E01DA2" w:rsidP="00E01DA2">
      <w:pPr>
        <w:ind w:left="705"/>
        <w:jc w:val="both"/>
        <w:rPr>
          <w:color w:val="000000" w:themeColor="text1"/>
        </w:rPr>
      </w:pPr>
    </w:p>
    <w:p w14:paraId="69FEE5AA" w14:textId="0232F506" w:rsidR="009E2115" w:rsidRPr="009E2115" w:rsidRDefault="00E01DA2" w:rsidP="009E2115">
      <w:pPr>
        <w:jc w:val="both"/>
        <w:rPr>
          <w:color w:val="000000" w:themeColor="text1"/>
        </w:rPr>
      </w:pPr>
      <w:r w:rsidRPr="00E22CF1">
        <w:rPr>
          <w:color w:val="000000" w:themeColor="text1"/>
        </w:rPr>
        <w:t>L</w:t>
      </w:r>
      <w:r>
        <w:rPr>
          <w:color w:val="000000" w:themeColor="text1"/>
        </w:rPr>
        <w:t>'indice Standard &amp; Poor's 500</w:t>
      </w:r>
      <w:r w:rsidR="009E2115" w:rsidRPr="009E2115">
        <w:rPr>
          <w:color w:val="000000" w:themeColor="text1"/>
        </w:rPr>
        <w:t xml:space="preserve"> est l’indicateur par excellence du marché </w:t>
      </w:r>
      <w:r w:rsidR="009E2115">
        <w:rPr>
          <w:color w:val="000000" w:themeColor="text1"/>
        </w:rPr>
        <w:t>américain</w:t>
      </w:r>
      <w:r w:rsidR="009E2115" w:rsidRPr="009E2115">
        <w:rPr>
          <w:color w:val="000000" w:themeColor="text1"/>
        </w:rPr>
        <w:t xml:space="preserve">. Il représente les grandes sociétés </w:t>
      </w:r>
      <w:r w:rsidR="009E2115">
        <w:rPr>
          <w:color w:val="000000" w:themeColor="text1"/>
        </w:rPr>
        <w:t>inscrites à la Bourse de New</w:t>
      </w:r>
      <w:r w:rsidR="00BC47D7">
        <w:rPr>
          <w:color w:val="000000" w:themeColor="text1"/>
        </w:rPr>
        <w:t xml:space="preserve"> </w:t>
      </w:r>
      <w:r w:rsidR="009E2115">
        <w:rPr>
          <w:color w:val="000000" w:themeColor="text1"/>
        </w:rPr>
        <w:t xml:space="preserve">York </w:t>
      </w:r>
      <w:r w:rsidR="009E2115" w:rsidRPr="009E2115">
        <w:rPr>
          <w:color w:val="000000" w:themeColor="text1"/>
        </w:rPr>
        <w:t xml:space="preserve">et </w:t>
      </w:r>
      <w:r w:rsidR="009E2115">
        <w:rPr>
          <w:color w:val="000000" w:themeColor="text1"/>
        </w:rPr>
        <w:t>au</w:t>
      </w:r>
      <w:r w:rsidR="009E2115" w:rsidRPr="009E2115">
        <w:rPr>
          <w:color w:val="000000" w:themeColor="text1"/>
        </w:rPr>
        <w:t xml:space="preserve"> Nasdaq.</w:t>
      </w:r>
      <w:r w:rsidR="009E2115">
        <w:rPr>
          <w:color w:val="000000" w:themeColor="text1"/>
        </w:rPr>
        <w:t xml:space="preserve"> </w:t>
      </w:r>
      <w:r w:rsidR="00FA6800">
        <w:rPr>
          <w:color w:val="000000" w:themeColor="text1"/>
        </w:rPr>
        <w:t>L'indice regroupe</w:t>
      </w:r>
      <w:r w:rsidR="009E2115" w:rsidRPr="009E2115">
        <w:rPr>
          <w:color w:val="000000" w:themeColor="text1"/>
        </w:rPr>
        <w:t xml:space="preserve"> 500 valeurs sélectionnée</w:t>
      </w:r>
      <w:r w:rsidR="00FA6800">
        <w:rPr>
          <w:color w:val="000000" w:themeColor="text1"/>
        </w:rPr>
        <w:t>s</w:t>
      </w:r>
      <w:r w:rsidR="009E2115" w:rsidRPr="009E2115">
        <w:rPr>
          <w:color w:val="000000" w:themeColor="text1"/>
        </w:rPr>
        <w:t xml:space="preserve"> par le </w:t>
      </w:r>
      <w:r w:rsidR="00FA6800">
        <w:rPr>
          <w:color w:val="000000" w:themeColor="text1"/>
        </w:rPr>
        <w:t>"</w:t>
      </w:r>
      <w:r w:rsidR="009E2115" w:rsidRPr="009E2115">
        <w:rPr>
          <w:color w:val="000000" w:themeColor="text1"/>
        </w:rPr>
        <w:t>S&amp;P Index Committe</w:t>
      </w:r>
      <w:r w:rsidR="00FA6800">
        <w:rPr>
          <w:color w:val="000000" w:themeColor="text1"/>
        </w:rPr>
        <w:t>e". Sur l'échiquier</w:t>
      </w:r>
      <w:r w:rsidR="009E2115" w:rsidRPr="009E2115">
        <w:rPr>
          <w:color w:val="000000" w:themeColor="text1"/>
        </w:rPr>
        <w:t xml:space="preserve"> mondial</w:t>
      </w:r>
      <w:r w:rsidR="00FA6800">
        <w:rPr>
          <w:color w:val="000000" w:themeColor="text1"/>
        </w:rPr>
        <w:t xml:space="preserve">, le S&amp;P 500 fait office de référence </w:t>
      </w:r>
      <w:r w:rsidR="009E2115" w:rsidRPr="009E2115">
        <w:rPr>
          <w:color w:val="000000" w:themeColor="text1"/>
        </w:rPr>
        <w:t>pour les fonds indiciels.</w:t>
      </w:r>
      <w:r w:rsidR="00FA6800">
        <w:rPr>
          <w:color w:val="000000" w:themeColor="text1"/>
        </w:rPr>
        <w:t xml:space="preserve"> Il a été créé en 1950.</w:t>
      </w:r>
    </w:p>
    <w:p w14:paraId="4C21D552" w14:textId="144CC8F8" w:rsidR="00E01DA2" w:rsidRDefault="00E01DA2" w:rsidP="00E01DA2">
      <w:pPr>
        <w:jc w:val="both"/>
        <w:rPr>
          <w:color w:val="000000" w:themeColor="text1"/>
        </w:rPr>
      </w:pPr>
    </w:p>
    <w:p w14:paraId="59FC49A7" w14:textId="3A24E90C" w:rsidR="00E01DA2" w:rsidRDefault="00E01DA2" w:rsidP="00E01DA2">
      <w:r w:rsidRPr="00797087">
        <w:rPr>
          <w:color w:val="FF6700" w:themeColor="accent3"/>
        </w:rPr>
        <w:br w:type="page"/>
      </w:r>
      <w:r>
        <w:rPr>
          <w:color w:val="FF6700" w:themeColor="accent3"/>
        </w:rPr>
        <w:lastRenderedPageBreak/>
        <w:t>IMAGE 7-29 Historique des rendements Standard &amp; Poor's 500</w:t>
      </w:r>
    </w:p>
    <w:p w14:paraId="3EA2613D" w14:textId="77777777" w:rsidR="00E01DA2" w:rsidRDefault="00E01DA2" w:rsidP="00E01DA2">
      <w:pPr>
        <w:jc w:val="both"/>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9"/>
        <w:gridCol w:w="2629"/>
        <w:gridCol w:w="2629"/>
        <w:gridCol w:w="2630"/>
      </w:tblGrid>
      <w:tr w:rsidR="00FA6800" w14:paraId="77140ED6" w14:textId="77777777" w:rsidTr="00FF37E0">
        <w:tc>
          <w:tcPr>
            <w:tcW w:w="2629" w:type="dxa"/>
            <w:shd w:val="clear" w:color="auto" w:fill="94C600" w:themeFill="accent1"/>
          </w:tcPr>
          <w:p w14:paraId="5ADA9939" w14:textId="77777777" w:rsidR="00FA6800" w:rsidRDefault="00FA6800" w:rsidP="00FA6800">
            <w:pPr>
              <w:jc w:val="center"/>
            </w:pPr>
            <w:r>
              <w:t>Début</w:t>
            </w:r>
          </w:p>
        </w:tc>
        <w:tc>
          <w:tcPr>
            <w:tcW w:w="2629" w:type="dxa"/>
            <w:shd w:val="clear" w:color="auto" w:fill="94C600" w:themeFill="accent1"/>
          </w:tcPr>
          <w:p w14:paraId="0F34F4E7" w14:textId="77777777" w:rsidR="00FA6800" w:rsidRDefault="00FA6800" w:rsidP="00FA6800">
            <w:pPr>
              <w:jc w:val="center"/>
            </w:pPr>
            <w:r>
              <w:t>Fin</w:t>
            </w:r>
          </w:p>
        </w:tc>
        <w:tc>
          <w:tcPr>
            <w:tcW w:w="2629" w:type="dxa"/>
            <w:shd w:val="clear" w:color="auto" w:fill="94C600" w:themeFill="accent1"/>
          </w:tcPr>
          <w:p w14:paraId="7DA4098C" w14:textId="77777777" w:rsidR="00FA6800" w:rsidRDefault="00FA6800" w:rsidP="00FA6800">
            <w:pPr>
              <w:jc w:val="center"/>
            </w:pPr>
            <w:r>
              <w:t>Durée</w:t>
            </w:r>
          </w:p>
        </w:tc>
        <w:tc>
          <w:tcPr>
            <w:tcW w:w="2630" w:type="dxa"/>
            <w:shd w:val="clear" w:color="auto" w:fill="94C600" w:themeFill="accent1"/>
          </w:tcPr>
          <w:p w14:paraId="190F3294" w14:textId="69711FA3" w:rsidR="00FA6800" w:rsidRDefault="00FA6800" w:rsidP="00FA6800">
            <w:pPr>
              <w:jc w:val="center"/>
            </w:pPr>
            <w:r>
              <w:t>Rendement</w:t>
            </w:r>
            <w:r>
              <w:rPr>
                <w:rStyle w:val="Marquenotebasdepage"/>
              </w:rPr>
              <w:footnoteReference w:customMarkFollows="1" w:id="90"/>
              <w:t>89</w:t>
            </w:r>
          </w:p>
        </w:tc>
      </w:tr>
      <w:tr w:rsidR="00FA6800" w14:paraId="4F151151" w14:textId="77777777" w:rsidTr="00FF37E0">
        <w:tc>
          <w:tcPr>
            <w:tcW w:w="2629" w:type="dxa"/>
            <w:shd w:val="clear" w:color="auto" w:fill="000000" w:themeFill="text1"/>
          </w:tcPr>
          <w:p w14:paraId="578A14FD" w14:textId="77777777" w:rsidR="00FA6800" w:rsidRDefault="00FA6800" w:rsidP="00FA6800">
            <w:pPr>
              <w:jc w:val="center"/>
            </w:pPr>
          </w:p>
        </w:tc>
        <w:tc>
          <w:tcPr>
            <w:tcW w:w="2629" w:type="dxa"/>
            <w:shd w:val="clear" w:color="auto" w:fill="000000" w:themeFill="text1"/>
          </w:tcPr>
          <w:p w14:paraId="67540174" w14:textId="77777777" w:rsidR="00FA6800" w:rsidRDefault="00FA6800" w:rsidP="00FA6800">
            <w:pPr>
              <w:jc w:val="center"/>
            </w:pPr>
          </w:p>
        </w:tc>
        <w:tc>
          <w:tcPr>
            <w:tcW w:w="2629" w:type="dxa"/>
            <w:shd w:val="clear" w:color="auto" w:fill="000000" w:themeFill="text1"/>
          </w:tcPr>
          <w:p w14:paraId="1CC8AD4A" w14:textId="77777777" w:rsidR="00FA6800" w:rsidRDefault="00FA6800" w:rsidP="00FA6800">
            <w:pPr>
              <w:jc w:val="center"/>
            </w:pPr>
          </w:p>
        </w:tc>
        <w:tc>
          <w:tcPr>
            <w:tcW w:w="2630" w:type="dxa"/>
            <w:shd w:val="clear" w:color="auto" w:fill="000000" w:themeFill="text1"/>
          </w:tcPr>
          <w:p w14:paraId="59ACA3CF" w14:textId="77777777" w:rsidR="00FA6800" w:rsidRDefault="00FA6800" w:rsidP="00FA6800">
            <w:pPr>
              <w:jc w:val="center"/>
            </w:pPr>
          </w:p>
        </w:tc>
      </w:tr>
      <w:tr w:rsidR="00FA6800" w:rsidRPr="007F63E4" w14:paraId="2041F0D0" w14:textId="77777777" w:rsidTr="00FF37E0">
        <w:tc>
          <w:tcPr>
            <w:tcW w:w="2629" w:type="dxa"/>
            <w:shd w:val="clear" w:color="auto" w:fill="999772" w:themeFill="text2" w:themeFillTint="99"/>
          </w:tcPr>
          <w:p w14:paraId="76463773" w14:textId="11272906" w:rsidR="00FA6800" w:rsidRPr="007F63E4" w:rsidRDefault="00FA6800" w:rsidP="00FA6800">
            <w:pPr>
              <w:jc w:val="center"/>
              <w:rPr>
                <w:color w:val="FFFFFF" w:themeColor="background1"/>
              </w:rPr>
            </w:pPr>
            <w:r w:rsidRPr="007F63E4">
              <w:rPr>
                <w:color w:val="FFFFFF" w:themeColor="background1"/>
              </w:rPr>
              <w:t>1</w:t>
            </w:r>
            <w:r>
              <w:rPr>
                <w:color w:val="FFFFFF" w:themeColor="background1"/>
              </w:rPr>
              <w:t>950</w:t>
            </w:r>
          </w:p>
        </w:tc>
        <w:tc>
          <w:tcPr>
            <w:tcW w:w="2629" w:type="dxa"/>
            <w:shd w:val="clear" w:color="auto" w:fill="999772" w:themeFill="text2" w:themeFillTint="99"/>
          </w:tcPr>
          <w:p w14:paraId="7ECA2D9C" w14:textId="77777777" w:rsidR="00FA6800" w:rsidRPr="007F63E4" w:rsidRDefault="00FA6800" w:rsidP="00FA6800">
            <w:pPr>
              <w:jc w:val="center"/>
              <w:rPr>
                <w:color w:val="FFFFFF" w:themeColor="background1"/>
              </w:rPr>
            </w:pPr>
            <w:r w:rsidRPr="007F63E4">
              <w:rPr>
                <w:color w:val="FFFFFF" w:themeColor="background1"/>
              </w:rPr>
              <w:t>2015</w:t>
            </w:r>
          </w:p>
        </w:tc>
        <w:tc>
          <w:tcPr>
            <w:tcW w:w="2629" w:type="dxa"/>
            <w:shd w:val="clear" w:color="auto" w:fill="999772" w:themeFill="text2" w:themeFillTint="99"/>
          </w:tcPr>
          <w:p w14:paraId="2D44BD2C" w14:textId="0E6B5FCC" w:rsidR="00FA6800" w:rsidRPr="007F63E4" w:rsidRDefault="00FA6800" w:rsidP="00FA6800">
            <w:pPr>
              <w:jc w:val="center"/>
              <w:rPr>
                <w:color w:val="FFFFFF" w:themeColor="background1"/>
              </w:rPr>
            </w:pPr>
            <w:r>
              <w:rPr>
                <w:color w:val="FFFFFF" w:themeColor="background1"/>
              </w:rPr>
              <w:t>66</w:t>
            </w:r>
            <w:r w:rsidRPr="007F63E4">
              <w:rPr>
                <w:color w:val="FFFFFF" w:themeColor="background1"/>
              </w:rPr>
              <w:t xml:space="preserve"> ans</w:t>
            </w:r>
          </w:p>
        </w:tc>
        <w:tc>
          <w:tcPr>
            <w:tcW w:w="2630" w:type="dxa"/>
            <w:shd w:val="clear" w:color="auto" w:fill="E8E9DF" w:themeFill="accent4" w:themeFillTint="33"/>
          </w:tcPr>
          <w:p w14:paraId="411A126F" w14:textId="32E5DB44" w:rsidR="00FA6800" w:rsidRPr="00FF37E0" w:rsidRDefault="00FA6800" w:rsidP="00FA6800">
            <w:pPr>
              <w:jc w:val="center"/>
            </w:pPr>
            <w:r w:rsidRPr="00FF37E0">
              <w:t>11,15 %</w:t>
            </w:r>
          </w:p>
        </w:tc>
      </w:tr>
      <w:tr w:rsidR="00FA6800" w:rsidRPr="007F63E4" w14:paraId="77B605B3" w14:textId="77777777" w:rsidTr="00FF37E0">
        <w:tc>
          <w:tcPr>
            <w:tcW w:w="2629" w:type="dxa"/>
            <w:shd w:val="clear" w:color="auto" w:fill="999772" w:themeFill="text2" w:themeFillTint="99"/>
          </w:tcPr>
          <w:p w14:paraId="1CC00FCA" w14:textId="77777777" w:rsidR="00FA6800" w:rsidRPr="007F63E4" w:rsidRDefault="00FA6800" w:rsidP="00FA6800">
            <w:pPr>
              <w:jc w:val="center"/>
              <w:rPr>
                <w:color w:val="FFFFFF" w:themeColor="background1"/>
              </w:rPr>
            </w:pPr>
            <w:r w:rsidRPr="007F63E4">
              <w:rPr>
                <w:color w:val="FFFFFF" w:themeColor="background1"/>
              </w:rPr>
              <w:t>1981</w:t>
            </w:r>
          </w:p>
        </w:tc>
        <w:tc>
          <w:tcPr>
            <w:tcW w:w="2629" w:type="dxa"/>
            <w:shd w:val="clear" w:color="auto" w:fill="999772" w:themeFill="text2" w:themeFillTint="99"/>
          </w:tcPr>
          <w:p w14:paraId="0F2A8304" w14:textId="77777777" w:rsidR="00FA6800" w:rsidRPr="007F63E4" w:rsidRDefault="00FA6800" w:rsidP="00FA6800">
            <w:pPr>
              <w:jc w:val="center"/>
              <w:rPr>
                <w:color w:val="FFFFFF" w:themeColor="background1"/>
              </w:rPr>
            </w:pPr>
            <w:r w:rsidRPr="007F63E4">
              <w:rPr>
                <w:color w:val="FFFFFF" w:themeColor="background1"/>
              </w:rPr>
              <w:t>2015</w:t>
            </w:r>
          </w:p>
        </w:tc>
        <w:tc>
          <w:tcPr>
            <w:tcW w:w="2629" w:type="dxa"/>
            <w:shd w:val="clear" w:color="auto" w:fill="999772" w:themeFill="text2" w:themeFillTint="99"/>
          </w:tcPr>
          <w:p w14:paraId="6CF0E0A1" w14:textId="77777777" w:rsidR="00FA6800" w:rsidRPr="007F63E4" w:rsidRDefault="00FA6800" w:rsidP="00FA6800">
            <w:pPr>
              <w:jc w:val="center"/>
              <w:rPr>
                <w:color w:val="FFFFFF" w:themeColor="background1"/>
              </w:rPr>
            </w:pPr>
            <w:r w:rsidRPr="007F63E4">
              <w:rPr>
                <w:color w:val="FFFFFF" w:themeColor="background1"/>
              </w:rPr>
              <w:t>35 ans</w:t>
            </w:r>
          </w:p>
        </w:tc>
        <w:tc>
          <w:tcPr>
            <w:tcW w:w="2630" w:type="dxa"/>
            <w:shd w:val="clear" w:color="auto" w:fill="E8E9DF" w:themeFill="accent4" w:themeFillTint="33"/>
          </w:tcPr>
          <w:p w14:paraId="6FE678D2" w14:textId="72C85207" w:rsidR="00FA6800" w:rsidRPr="00FF37E0" w:rsidRDefault="00FA6800" w:rsidP="00FA6800">
            <w:pPr>
              <w:jc w:val="center"/>
            </w:pPr>
            <w:r w:rsidRPr="00FF37E0">
              <w:t>10,94 %</w:t>
            </w:r>
          </w:p>
        </w:tc>
      </w:tr>
      <w:tr w:rsidR="00FA6800" w:rsidRPr="007F63E4" w14:paraId="69170683" w14:textId="77777777" w:rsidTr="00FF37E0">
        <w:tc>
          <w:tcPr>
            <w:tcW w:w="2629" w:type="dxa"/>
            <w:shd w:val="clear" w:color="auto" w:fill="999772" w:themeFill="text2" w:themeFillTint="99"/>
          </w:tcPr>
          <w:p w14:paraId="1D059625" w14:textId="77777777" w:rsidR="00FA6800" w:rsidRPr="007F63E4" w:rsidRDefault="00FA6800" w:rsidP="00FA6800">
            <w:pPr>
              <w:jc w:val="center"/>
              <w:rPr>
                <w:color w:val="FFFFFF" w:themeColor="background1"/>
              </w:rPr>
            </w:pPr>
            <w:r w:rsidRPr="007F63E4">
              <w:rPr>
                <w:color w:val="FFFFFF" w:themeColor="background1"/>
              </w:rPr>
              <w:t>1990</w:t>
            </w:r>
          </w:p>
        </w:tc>
        <w:tc>
          <w:tcPr>
            <w:tcW w:w="2629" w:type="dxa"/>
            <w:shd w:val="clear" w:color="auto" w:fill="999772" w:themeFill="text2" w:themeFillTint="99"/>
          </w:tcPr>
          <w:p w14:paraId="7A5DD57E" w14:textId="77777777" w:rsidR="00FA6800" w:rsidRPr="007F63E4" w:rsidRDefault="00FA6800" w:rsidP="00FA6800">
            <w:pPr>
              <w:jc w:val="center"/>
              <w:rPr>
                <w:color w:val="FFFFFF" w:themeColor="background1"/>
              </w:rPr>
            </w:pPr>
            <w:r w:rsidRPr="007F63E4">
              <w:rPr>
                <w:color w:val="FFFFFF" w:themeColor="background1"/>
              </w:rPr>
              <w:t>1999</w:t>
            </w:r>
          </w:p>
        </w:tc>
        <w:tc>
          <w:tcPr>
            <w:tcW w:w="2629" w:type="dxa"/>
            <w:shd w:val="clear" w:color="auto" w:fill="999772" w:themeFill="text2" w:themeFillTint="99"/>
          </w:tcPr>
          <w:p w14:paraId="7CD42A9F" w14:textId="77777777" w:rsidR="00FA6800" w:rsidRPr="007F63E4" w:rsidRDefault="00FA6800" w:rsidP="00FA6800">
            <w:pPr>
              <w:jc w:val="center"/>
              <w:rPr>
                <w:color w:val="FFFFFF" w:themeColor="background1"/>
              </w:rPr>
            </w:pPr>
            <w:r w:rsidRPr="007F63E4">
              <w:rPr>
                <w:color w:val="FFFFFF" w:themeColor="background1"/>
              </w:rPr>
              <w:t>10 ans</w:t>
            </w:r>
          </w:p>
        </w:tc>
        <w:tc>
          <w:tcPr>
            <w:tcW w:w="2630" w:type="dxa"/>
            <w:shd w:val="clear" w:color="auto" w:fill="E8E9DF" w:themeFill="accent4" w:themeFillTint="33"/>
          </w:tcPr>
          <w:p w14:paraId="72740CAC" w14:textId="50D61B3D" w:rsidR="00FA6800" w:rsidRPr="00FF37E0" w:rsidRDefault="00FF37E0" w:rsidP="00FF37E0">
            <w:pPr>
              <w:jc w:val="center"/>
            </w:pPr>
            <w:r w:rsidRPr="00FF37E0">
              <w:t>17,99</w:t>
            </w:r>
            <w:r w:rsidR="00FA6800" w:rsidRPr="00FF37E0">
              <w:t xml:space="preserve"> %</w:t>
            </w:r>
          </w:p>
        </w:tc>
      </w:tr>
      <w:tr w:rsidR="00FA6800" w:rsidRPr="007F63E4" w14:paraId="194EE47E" w14:textId="77777777" w:rsidTr="00FF37E0">
        <w:tc>
          <w:tcPr>
            <w:tcW w:w="2629" w:type="dxa"/>
            <w:shd w:val="clear" w:color="auto" w:fill="999772" w:themeFill="text2" w:themeFillTint="99"/>
          </w:tcPr>
          <w:p w14:paraId="3361BC50" w14:textId="77777777" w:rsidR="00FA6800" w:rsidRPr="007F63E4" w:rsidRDefault="00FA6800" w:rsidP="00FA6800">
            <w:pPr>
              <w:jc w:val="center"/>
              <w:rPr>
                <w:color w:val="FFFFFF" w:themeColor="background1"/>
              </w:rPr>
            </w:pPr>
            <w:r w:rsidRPr="007F63E4">
              <w:rPr>
                <w:color w:val="FFFFFF" w:themeColor="background1"/>
              </w:rPr>
              <w:t>1999</w:t>
            </w:r>
          </w:p>
        </w:tc>
        <w:tc>
          <w:tcPr>
            <w:tcW w:w="2629" w:type="dxa"/>
            <w:shd w:val="clear" w:color="auto" w:fill="999772" w:themeFill="text2" w:themeFillTint="99"/>
          </w:tcPr>
          <w:p w14:paraId="4782120B" w14:textId="77777777" w:rsidR="00FA6800" w:rsidRPr="007F63E4" w:rsidRDefault="00FA6800" w:rsidP="00FA6800">
            <w:pPr>
              <w:jc w:val="center"/>
              <w:rPr>
                <w:color w:val="FFFFFF" w:themeColor="background1"/>
              </w:rPr>
            </w:pPr>
            <w:r w:rsidRPr="007F63E4">
              <w:rPr>
                <w:color w:val="FFFFFF" w:themeColor="background1"/>
              </w:rPr>
              <w:t>2008</w:t>
            </w:r>
          </w:p>
        </w:tc>
        <w:tc>
          <w:tcPr>
            <w:tcW w:w="2629" w:type="dxa"/>
            <w:shd w:val="clear" w:color="auto" w:fill="999772" w:themeFill="text2" w:themeFillTint="99"/>
          </w:tcPr>
          <w:p w14:paraId="63FB06B0" w14:textId="77777777" w:rsidR="00FA6800" w:rsidRPr="007F63E4" w:rsidRDefault="00FA6800" w:rsidP="00FA6800">
            <w:pPr>
              <w:jc w:val="center"/>
              <w:rPr>
                <w:color w:val="FFFFFF" w:themeColor="background1"/>
              </w:rPr>
            </w:pPr>
            <w:r w:rsidRPr="007F63E4">
              <w:rPr>
                <w:color w:val="FFFFFF" w:themeColor="background1"/>
              </w:rPr>
              <w:t>10 ans</w:t>
            </w:r>
          </w:p>
        </w:tc>
        <w:tc>
          <w:tcPr>
            <w:tcW w:w="2630" w:type="dxa"/>
            <w:shd w:val="clear" w:color="auto" w:fill="E8E9DF" w:themeFill="accent4" w:themeFillTint="33"/>
          </w:tcPr>
          <w:p w14:paraId="303C6DD9" w14:textId="2C4AB891" w:rsidR="00FA6800" w:rsidRPr="00FF37E0" w:rsidRDefault="00FA6800" w:rsidP="00FF37E0">
            <w:pPr>
              <w:jc w:val="center"/>
            </w:pPr>
            <w:r w:rsidRPr="00FF37E0">
              <w:t>-</w:t>
            </w:r>
            <w:r w:rsidR="00FF37E0" w:rsidRPr="00FF37E0">
              <w:t>1</w:t>
            </w:r>
            <w:r w:rsidRPr="00FF37E0">
              <w:t>,</w:t>
            </w:r>
            <w:r w:rsidR="00FF37E0" w:rsidRPr="00FF37E0">
              <w:t>39</w:t>
            </w:r>
            <w:r w:rsidRPr="00FF37E0">
              <w:t xml:space="preserve"> %</w:t>
            </w:r>
          </w:p>
        </w:tc>
      </w:tr>
    </w:tbl>
    <w:p w14:paraId="3A1B8D03" w14:textId="77777777" w:rsidR="00E01DA2" w:rsidRDefault="00E01DA2" w:rsidP="00E01DA2">
      <w:pPr>
        <w:rPr>
          <w:color w:val="FF6700" w:themeColor="accent3"/>
        </w:rPr>
      </w:pPr>
    </w:p>
    <w:p w14:paraId="0C5CD6BB" w14:textId="4E3FE60F" w:rsidR="00FF37E0" w:rsidRDefault="00FF37E0" w:rsidP="00FF37E0">
      <w:pPr>
        <w:jc w:val="both"/>
      </w:pPr>
      <w:r>
        <w:t xml:space="preserve">Les périodes d'analyse choisies et les rendements qui leurs correspondent se veulent l'expression même de la dualité qui existe entre l'approche à long terme qui suit l'indice du marché (gain de 10,94 %) et celle de la synchronisation des marchés qui visent à anticiper les creux et les sommets boursiers (gain de 17,99 % ou perte de 1,39 %). L'évolution de l'indice est sensiblement la même que celle observée pour le DJIA. </w:t>
      </w:r>
    </w:p>
    <w:p w14:paraId="20C921E9" w14:textId="0145A7FD" w:rsidR="00FF37E0" w:rsidRDefault="00AB32A2">
      <w:pPr>
        <w:rPr>
          <w:color w:val="FF6700" w:themeColor="accent3"/>
        </w:rPr>
      </w:pPr>
      <w:r w:rsidRPr="00AB32A2">
        <w:rPr>
          <w:noProof/>
          <w:color w:val="FF6700" w:themeColor="accent3"/>
          <w:lang w:eastAsia="fr-FR"/>
        </w:rPr>
        <w:drawing>
          <wp:anchor distT="0" distB="0" distL="114300" distR="114300" simplePos="0" relativeHeight="253329408" behindDoc="0" locked="0" layoutInCell="1" allowOverlap="1" wp14:anchorId="11FE364E" wp14:editId="684A5280">
            <wp:simplePos x="0" y="0"/>
            <wp:positionH relativeFrom="column">
              <wp:posOffset>3200400</wp:posOffset>
            </wp:positionH>
            <wp:positionV relativeFrom="paragraph">
              <wp:posOffset>85725</wp:posOffset>
            </wp:positionV>
            <wp:extent cx="508000" cy="685800"/>
            <wp:effectExtent l="0" t="0" r="0" b="0"/>
            <wp:wrapNone/>
            <wp:docPr id="906" name="Image 906" descr="Macintosh HD:Users:marcbachand:Desktop:Capture d’écran 2015-06-08 à 17.18.41.png">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F269B1E" w14:textId="77777777" w:rsidR="00FF37E0" w:rsidRDefault="00FF37E0">
      <w:pPr>
        <w:rPr>
          <w:color w:val="FF6700" w:themeColor="accent3"/>
        </w:rPr>
      </w:pPr>
    </w:p>
    <w:p w14:paraId="74DAA2FC" w14:textId="77777777" w:rsidR="00AB32A2" w:rsidRDefault="00573C95" w:rsidP="00AB32A2">
      <w:pPr>
        <w:rPr>
          <w:color w:val="FF6700" w:themeColor="accent3"/>
        </w:rPr>
      </w:pPr>
      <w:hyperlink r:id="rId216" w:history="1">
        <w:r w:rsidR="00AB32A2" w:rsidRPr="00AB32A2">
          <w:rPr>
            <w:rStyle w:val="Lienhypertexte"/>
            <w:color w:val="FF6700" w:themeColor="accent3"/>
          </w:rPr>
          <w:t>La calculatrice des rendements S&amp;P 500</w:t>
        </w:r>
      </w:hyperlink>
    </w:p>
    <w:p w14:paraId="0D22FCAD" w14:textId="77777777" w:rsidR="00AB32A2" w:rsidRDefault="00AB32A2" w:rsidP="00AB32A2">
      <w:pPr>
        <w:rPr>
          <w:color w:val="FF6700" w:themeColor="accent3"/>
        </w:rPr>
      </w:pPr>
    </w:p>
    <w:p w14:paraId="6759FB12" w14:textId="12442775" w:rsidR="00FF37E0" w:rsidRDefault="00FF37E0" w:rsidP="00AB32A2">
      <w:pPr>
        <w:rPr>
          <w:color w:val="FF6700" w:themeColor="accent3"/>
        </w:rPr>
      </w:pPr>
    </w:p>
    <w:p w14:paraId="5BAA7D39" w14:textId="77777777" w:rsidR="00AB32A2" w:rsidRDefault="00AB32A2" w:rsidP="00AB32A2">
      <w:pPr>
        <w:rPr>
          <w:color w:val="FF6700" w:themeColor="accent3"/>
        </w:rPr>
      </w:pPr>
    </w:p>
    <w:p w14:paraId="0201D396" w14:textId="0D190818" w:rsidR="00FF37E0" w:rsidRDefault="00AB32A2" w:rsidP="006C34CF">
      <w:pPr>
        <w:pStyle w:val="Paragraphedeliste"/>
        <w:numPr>
          <w:ilvl w:val="0"/>
          <w:numId w:val="126"/>
        </w:numPr>
        <w:jc w:val="both"/>
        <w:rPr>
          <w:color w:val="FF6700" w:themeColor="accent3"/>
        </w:rPr>
      </w:pPr>
      <w:r>
        <w:rPr>
          <w:color w:val="FF6700" w:themeColor="accent3"/>
        </w:rPr>
        <w:t>S&amp;P/TSX</w:t>
      </w:r>
      <w:r w:rsidR="003D2725">
        <w:rPr>
          <w:color w:val="FF6700" w:themeColor="accent3"/>
        </w:rPr>
        <w:t>, DAX et Nikkei 225</w:t>
      </w:r>
    </w:p>
    <w:p w14:paraId="1B1EC024" w14:textId="77777777" w:rsidR="00FF37E0" w:rsidRDefault="00FF37E0" w:rsidP="00FF37E0">
      <w:pPr>
        <w:ind w:left="705"/>
        <w:jc w:val="both"/>
        <w:rPr>
          <w:color w:val="000000" w:themeColor="text1"/>
        </w:rPr>
      </w:pPr>
    </w:p>
    <w:p w14:paraId="05BDE3B9" w14:textId="75827D05" w:rsidR="00FF37E0" w:rsidRPr="009E2115" w:rsidRDefault="003C7526" w:rsidP="00FF37E0">
      <w:pPr>
        <w:jc w:val="both"/>
        <w:rPr>
          <w:color w:val="000000" w:themeColor="text1"/>
        </w:rPr>
      </w:pPr>
      <w:r>
        <w:rPr>
          <w:color w:val="000000" w:themeColor="text1"/>
        </w:rPr>
        <w:t>Pour avoir un éventail plus large</w:t>
      </w:r>
      <w:r w:rsidR="00ED19DD">
        <w:rPr>
          <w:color w:val="000000" w:themeColor="text1"/>
        </w:rPr>
        <w:t>,</w:t>
      </w:r>
      <w:r>
        <w:rPr>
          <w:color w:val="000000" w:themeColor="text1"/>
        </w:rPr>
        <w:t xml:space="preserve"> nous avons choisi de présenter trois indices supplémentaires qui se veulent le reflet des marchés boursiers nationaux du Canada (S&amp;P/TSX), de l'Allemagne (DAX) et du Japon (Nikkei 225). Le fonctionnement de ces indices </w:t>
      </w:r>
      <w:r w:rsidR="00ED19DD">
        <w:rPr>
          <w:color w:val="000000" w:themeColor="text1"/>
        </w:rPr>
        <w:t>est</w:t>
      </w:r>
      <w:r>
        <w:rPr>
          <w:color w:val="000000" w:themeColor="text1"/>
        </w:rPr>
        <w:t xml:space="preserve"> sensiblement le même que ce</w:t>
      </w:r>
      <w:r w:rsidR="00ED19DD">
        <w:rPr>
          <w:color w:val="000000" w:themeColor="text1"/>
        </w:rPr>
        <w:t>lui</w:t>
      </w:r>
      <w:r>
        <w:rPr>
          <w:color w:val="000000" w:themeColor="text1"/>
        </w:rPr>
        <w:t xml:space="preserve"> identifié préalablement dans le cas des places boursières américaines. </w:t>
      </w:r>
    </w:p>
    <w:p w14:paraId="0B248460" w14:textId="1458462F" w:rsidR="00FF37E0" w:rsidRDefault="00FF37E0" w:rsidP="00FF37E0">
      <w:r w:rsidRPr="00797087">
        <w:rPr>
          <w:color w:val="FF6700" w:themeColor="accent3"/>
        </w:rPr>
        <w:br w:type="page"/>
      </w:r>
      <w:r>
        <w:rPr>
          <w:color w:val="FF6700" w:themeColor="accent3"/>
        </w:rPr>
        <w:lastRenderedPageBreak/>
        <w:t>IMAGE 7-</w:t>
      </w:r>
      <w:r w:rsidR="00AB32A2">
        <w:rPr>
          <w:color w:val="FF6700" w:themeColor="accent3"/>
        </w:rPr>
        <w:t>30</w:t>
      </w:r>
      <w:r>
        <w:rPr>
          <w:color w:val="FF6700" w:themeColor="accent3"/>
        </w:rPr>
        <w:t xml:space="preserve"> Historique des rendements </w:t>
      </w:r>
      <w:r w:rsidR="00AB32A2">
        <w:rPr>
          <w:color w:val="FF6700" w:themeColor="accent3"/>
        </w:rPr>
        <w:t>S&amp;P/TSX</w:t>
      </w:r>
      <w:r w:rsidR="003D2725">
        <w:rPr>
          <w:color w:val="FF6700" w:themeColor="accent3"/>
        </w:rPr>
        <w:t>, DAX et Nikkei 225</w:t>
      </w:r>
    </w:p>
    <w:p w14:paraId="12F71106" w14:textId="77777777" w:rsidR="00FF37E0" w:rsidRPr="003C7526" w:rsidRDefault="00FF37E0" w:rsidP="00FF37E0">
      <w:pPr>
        <w:jc w:val="both"/>
        <w:rPr>
          <w:color w:val="FFFFFF" w:themeColor="background1"/>
        </w:rPr>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6"/>
        <w:gridCol w:w="2190"/>
        <w:gridCol w:w="2231"/>
        <w:gridCol w:w="2429"/>
        <w:gridCol w:w="2068"/>
        <w:gridCol w:w="2068"/>
      </w:tblGrid>
      <w:tr w:rsidR="003D2725" w:rsidRPr="003C7526" w14:paraId="6666C4DE" w14:textId="167DBCCD" w:rsidTr="003C7526">
        <w:tc>
          <w:tcPr>
            <w:tcW w:w="2236" w:type="dxa"/>
            <w:shd w:val="clear" w:color="auto" w:fill="405500"/>
          </w:tcPr>
          <w:p w14:paraId="2B54C4DC" w14:textId="77777777" w:rsidR="003D2725" w:rsidRPr="003C7526" w:rsidRDefault="003D2725" w:rsidP="00FF37E0">
            <w:pPr>
              <w:jc w:val="center"/>
              <w:rPr>
                <w:color w:val="FFFFFF" w:themeColor="background1"/>
              </w:rPr>
            </w:pPr>
            <w:r w:rsidRPr="003C7526">
              <w:rPr>
                <w:color w:val="FFFFFF" w:themeColor="background1"/>
              </w:rPr>
              <w:t>Début</w:t>
            </w:r>
          </w:p>
        </w:tc>
        <w:tc>
          <w:tcPr>
            <w:tcW w:w="2190" w:type="dxa"/>
            <w:shd w:val="clear" w:color="auto" w:fill="405500"/>
          </w:tcPr>
          <w:p w14:paraId="6E10EFCE" w14:textId="77777777" w:rsidR="003D2725" w:rsidRPr="003C7526" w:rsidRDefault="003D2725" w:rsidP="00FF37E0">
            <w:pPr>
              <w:jc w:val="center"/>
              <w:rPr>
                <w:color w:val="FFFFFF" w:themeColor="background1"/>
              </w:rPr>
            </w:pPr>
            <w:r w:rsidRPr="003C7526">
              <w:rPr>
                <w:color w:val="FFFFFF" w:themeColor="background1"/>
              </w:rPr>
              <w:t>Fin</w:t>
            </w:r>
          </w:p>
        </w:tc>
        <w:tc>
          <w:tcPr>
            <w:tcW w:w="2231" w:type="dxa"/>
            <w:shd w:val="clear" w:color="auto" w:fill="405500"/>
          </w:tcPr>
          <w:p w14:paraId="1ACCA168" w14:textId="77777777" w:rsidR="003D2725" w:rsidRPr="003C7526" w:rsidRDefault="003D2725" w:rsidP="00FF37E0">
            <w:pPr>
              <w:jc w:val="center"/>
              <w:rPr>
                <w:color w:val="FFFFFF" w:themeColor="background1"/>
              </w:rPr>
            </w:pPr>
            <w:r w:rsidRPr="003C7526">
              <w:rPr>
                <w:color w:val="FFFFFF" w:themeColor="background1"/>
              </w:rPr>
              <w:t>Durée</w:t>
            </w:r>
          </w:p>
        </w:tc>
        <w:tc>
          <w:tcPr>
            <w:tcW w:w="2429" w:type="dxa"/>
            <w:shd w:val="clear" w:color="auto" w:fill="405500"/>
          </w:tcPr>
          <w:p w14:paraId="3758D817" w14:textId="5C0CB957" w:rsidR="003D2725" w:rsidRPr="003C7526" w:rsidRDefault="003D2725" w:rsidP="00AB32A2">
            <w:pPr>
              <w:jc w:val="center"/>
              <w:rPr>
                <w:color w:val="FFFFFF" w:themeColor="background1"/>
              </w:rPr>
            </w:pPr>
            <w:r w:rsidRPr="003C7526">
              <w:rPr>
                <w:color w:val="FFFFFF" w:themeColor="background1"/>
              </w:rPr>
              <w:t>S&amp;P/TSX</w:t>
            </w:r>
            <w:r w:rsidR="00B30007" w:rsidRPr="003C7526">
              <w:rPr>
                <w:rStyle w:val="Marquenotebasdepage"/>
                <w:color w:val="FFFFFF" w:themeColor="background1"/>
              </w:rPr>
              <w:footnoteReference w:customMarkFollows="1" w:id="91"/>
              <w:t>90</w:t>
            </w:r>
          </w:p>
        </w:tc>
        <w:tc>
          <w:tcPr>
            <w:tcW w:w="2068" w:type="dxa"/>
            <w:shd w:val="clear" w:color="auto" w:fill="405500"/>
          </w:tcPr>
          <w:p w14:paraId="1B27B576" w14:textId="793E69E5" w:rsidR="003D2725" w:rsidRPr="003C7526" w:rsidRDefault="003D2725" w:rsidP="00AB32A2">
            <w:pPr>
              <w:jc w:val="center"/>
              <w:rPr>
                <w:color w:val="FFFFFF" w:themeColor="background1"/>
              </w:rPr>
            </w:pPr>
            <w:r w:rsidRPr="003C7526">
              <w:rPr>
                <w:color w:val="FFFFFF" w:themeColor="background1"/>
              </w:rPr>
              <w:t>DAX</w:t>
            </w:r>
            <w:r w:rsidR="00A2463D">
              <w:rPr>
                <w:rStyle w:val="Marquenotebasdepage"/>
                <w:color w:val="FFFFFF" w:themeColor="background1"/>
              </w:rPr>
              <w:footnoteReference w:customMarkFollows="1" w:id="92"/>
              <w:t>91</w:t>
            </w:r>
          </w:p>
        </w:tc>
        <w:tc>
          <w:tcPr>
            <w:tcW w:w="2068" w:type="dxa"/>
            <w:shd w:val="clear" w:color="auto" w:fill="405500"/>
          </w:tcPr>
          <w:p w14:paraId="70C0D073" w14:textId="5E29166B" w:rsidR="003D2725" w:rsidRPr="003C7526" w:rsidRDefault="003D2725" w:rsidP="00B30007">
            <w:pPr>
              <w:jc w:val="center"/>
              <w:rPr>
                <w:color w:val="FFFFFF" w:themeColor="background1"/>
              </w:rPr>
            </w:pPr>
            <w:r w:rsidRPr="003C7526">
              <w:rPr>
                <w:color w:val="FFFFFF" w:themeColor="background1"/>
              </w:rPr>
              <w:t>Nikkei 225</w:t>
            </w:r>
            <w:r w:rsidR="00B30007" w:rsidRPr="003C7526">
              <w:rPr>
                <w:color w:val="FFFFFF" w:themeColor="background1"/>
                <w:vertAlign w:val="superscript"/>
              </w:rPr>
              <w:t>90</w:t>
            </w:r>
          </w:p>
        </w:tc>
      </w:tr>
      <w:tr w:rsidR="003D2725" w14:paraId="3A28A974" w14:textId="3009ACA9" w:rsidTr="003D2725">
        <w:tc>
          <w:tcPr>
            <w:tcW w:w="2236" w:type="dxa"/>
            <w:shd w:val="clear" w:color="auto" w:fill="000000" w:themeFill="text1"/>
          </w:tcPr>
          <w:p w14:paraId="0F9B62AD" w14:textId="77777777" w:rsidR="003D2725" w:rsidRDefault="003D2725" w:rsidP="00FF37E0">
            <w:pPr>
              <w:jc w:val="center"/>
            </w:pPr>
          </w:p>
        </w:tc>
        <w:tc>
          <w:tcPr>
            <w:tcW w:w="2190" w:type="dxa"/>
            <w:shd w:val="clear" w:color="auto" w:fill="000000" w:themeFill="text1"/>
          </w:tcPr>
          <w:p w14:paraId="57253B26" w14:textId="77777777" w:rsidR="003D2725" w:rsidRDefault="003D2725" w:rsidP="00FF37E0">
            <w:pPr>
              <w:jc w:val="center"/>
            </w:pPr>
          </w:p>
        </w:tc>
        <w:tc>
          <w:tcPr>
            <w:tcW w:w="2231" w:type="dxa"/>
            <w:shd w:val="clear" w:color="auto" w:fill="000000" w:themeFill="text1"/>
          </w:tcPr>
          <w:p w14:paraId="4A5AF267" w14:textId="77777777" w:rsidR="003D2725" w:rsidRDefault="003D2725" w:rsidP="00FF37E0">
            <w:pPr>
              <w:jc w:val="center"/>
            </w:pPr>
          </w:p>
        </w:tc>
        <w:tc>
          <w:tcPr>
            <w:tcW w:w="2429" w:type="dxa"/>
            <w:shd w:val="clear" w:color="auto" w:fill="000000" w:themeFill="text1"/>
          </w:tcPr>
          <w:p w14:paraId="1E122BD7" w14:textId="77777777" w:rsidR="003D2725" w:rsidRDefault="003D2725" w:rsidP="00FF37E0">
            <w:pPr>
              <w:jc w:val="center"/>
            </w:pPr>
          </w:p>
        </w:tc>
        <w:tc>
          <w:tcPr>
            <w:tcW w:w="2068" w:type="dxa"/>
            <w:shd w:val="clear" w:color="auto" w:fill="000000" w:themeFill="text1"/>
          </w:tcPr>
          <w:p w14:paraId="28749680" w14:textId="77777777" w:rsidR="003D2725" w:rsidRDefault="003D2725" w:rsidP="00FF37E0">
            <w:pPr>
              <w:jc w:val="center"/>
            </w:pPr>
          </w:p>
        </w:tc>
        <w:tc>
          <w:tcPr>
            <w:tcW w:w="2068" w:type="dxa"/>
            <w:shd w:val="clear" w:color="auto" w:fill="000000" w:themeFill="text1"/>
          </w:tcPr>
          <w:p w14:paraId="7E31A3FC" w14:textId="77777777" w:rsidR="003D2725" w:rsidRDefault="003D2725" w:rsidP="00FF37E0">
            <w:pPr>
              <w:jc w:val="center"/>
            </w:pPr>
          </w:p>
        </w:tc>
      </w:tr>
      <w:tr w:rsidR="003D2725" w:rsidRPr="007F63E4" w14:paraId="05835A67" w14:textId="516CFD85" w:rsidTr="003C7526">
        <w:tc>
          <w:tcPr>
            <w:tcW w:w="2236" w:type="dxa"/>
            <w:shd w:val="clear" w:color="auto" w:fill="999772" w:themeFill="text2" w:themeFillTint="99"/>
          </w:tcPr>
          <w:p w14:paraId="44F99285" w14:textId="5C898150" w:rsidR="003D2725" w:rsidRPr="007F63E4" w:rsidRDefault="003D2725" w:rsidP="003D2725">
            <w:pPr>
              <w:jc w:val="center"/>
              <w:rPr>
                <w:color w:val="FFFFFF" w:themeColor="background1"/>
              </w:rPr>
            </w:pPr>
            <w:r>
              <w:rPr>
                <w:color w:val="FFFFFF" w:themeColor="background1"/>
              </w:rPr>
              <w:t>1985</w:t>
            </w:r>
          </w:p>
        </w:tc>
        <w:tc>
          <w:tcPr>
            <w:tcW w:w="2190" w:type="dxa"/>
            <w:shd w:val="clear" w:color="auto" w:fill="999772" w:themeFill="text2" w:themeFillTint="99"/>
          </w:tcPr>
          <w:p w14:paraId="3576C7D1" w14:textId="11C44D35" w:rsidR="003D2725" w:rsidRPr="007F63E4" w:rsidRDefault="003D2725" w:rsidP="003D2725">
            <w:pPr>
              <w:jc w:val="center"/>
              <w:rPr>
                <w:color w:val="FFFFFF" w:themeColor="background1"/>
              </w:rPr>
            </w:pPr>
            <w:r w:rsidRPr="007F63E4">
              <w:rPr>
                <w:color w:val="FFFFFF" w:themeColor="background1"/>
              </w:rPr>
              <w:t>201</w:t>
            </w:r>
            <w:r>
              <w:rPr>
                <w:color w:val="FFFFFF" w:themeColor="background1"/>
              </w:rPr>
              <w:t>4</w:t>
            </w:r>
          </w:p>
        </w:tc>
        <w:tc>
          <w:tcPr>
            <w:tcW w:w="2231" w:type="dxa"/>
            <w:shd w:val="clear" w:color="auto" w:fill="999772" w:themeFill="text2" w:themeFillTint="99"/>
          </w:tcPr>
          <w:p w14:paraId="28DC6C0D" w14:textId="5388555E" w:rsidR="003D2725" w:rsidRPr="007F63E4" w:rsidRDefault="003D2725" w:rsidP="003D2725">
            <w:pPr>
              <w:jc w:val="center"/>
              <w:rPr>
                <w:color w:val="FFFFFF" w:themeColor="background1"/>
              </w:rPr>
            </w:pPr>
            <w:r>
              <w:rPr>
                <w:color w:val="FFFFFF" w:themeColor="background1"/>
              </w:rPr>
              <w:t>30</w:t>
            </w:r>
            <w:r w:rsidRPr="007F63E4">
              <w:rPr>
                <w:color w:val="FFFFFF" w:themeColor="background1"/>
              </w:rPr>
              <w:t xml:space="preserve"> ans</w:t>
            </w:r>
          </w:p>
        </w:tc>
        <w:tc>
          <w:tcPr>
            <w:tcW w:w="2429" w:type="dxa"/>
            <w:shd w:val="clear" w:color="auto" w:fill="FF6700" w:themeFill="accent3"/>
          </w:tcPr>
          <w:p w14:paraId="2B2A015F" w14:textId="379022C4" w:rsidR="003D2725" w:rsidRPr="00FF37E0" w:rsidRDefault="00B30007" w:rsidP="00B30007">
            <w:pPr>
              <w:jc w:val="center"/>
            </w:pPr>
            <w:r>
              <w:t xml:space="preserve">5,9 </w:t>
            </w:r>
            <w:r w:rsidR="003D2725" w:rsidRPr="00FF37E0">
              <w:t>%</w:t>
            </w:r>
          </w:p>
        </w:tc>
        <w:tc>
          <w:tcPr>
            <w:tcW w:w="2068" w:type="dxa"/>
            <w:shd w:val="clear" w:color="auto" w:fill="FF6700" w:themeFill="accent3"/>
          </w:tcPr>
          <w:p w14:paraId="751261D9" w14:textId="57318C19" w:rsidR="003D2725" w:rsidRPr="00FF37E0" w:rsidRDefault="00A2463D" w:rsidP="00FF37E0">
            <w:pPr>
              <w:jc w:val="center"/>
            </w:pPr>
            <w:r>
              <w:t>9,02 %</w:t>
            </w:r>
          </w:p>
        </w:tc>
        <w:tc>
          <w:tcPr>
            <w:tcW w:w="2068" w:type="dxa"/>
            <w:shd w:val="clear" w:color="auto" w:fill="FF6700" w:themeFill="accent3"/>
          </w:tcPr>
          <w:p w14:paraId="5D46C4A3" w14:textId="2F928F39" w:rsidR="003D2725" w:rsidRPr="00FF37E0" w:rsidRDefault="00B30007" w:rsidP="00FF37E0">
            <w:pPr>
              <w:jc w:val="center"/>
            </w:pPr>
            <w:r>
              <w:t>4,5 %</w:t>
            </w:r>
          </w:p>
        </w:tc>
      </w:tr>
    </w:tbl>
    <w:p w14:paraId="6A9CF090" w14:textId="77777777" w:rsidR="00FF37E0" w:rsidRDefault="00FF37E0" w:rsidP="00FF37E0">
      <w:pPr>
        <w:rPr>
          <w:color w:val="FF6700" w:themeColor="accent3"/>
        </w:rPr>
      </w:pPr>
    </w:p>
    <w:p w14:paraId="7989AB51" w14:textId="7AE7EE1F" w:rsidR="00E22CF1" w:rsidRDefault="00462BE0" w:rsidP="00FF37E0">
      <w:pPr>
        <w:jc w:val="both"/>
      </w:pPr>
      <w:r>
        <w:t>Cette comparaison historique démontre qu'il existe des écarts importants entre les différents marchés boursiers. Ce qui milite pour une approche de diversification géographique des placements. Il faut tout de même tenir compte du fait que les sources d'informations qu</w:t>
      </w:r>
      <w:r w:rsidR="00652459">
        <w:t xml:space="preserve">e nous avons </w:t>
      </w:r>
      <w:r>
        <w:t>utilisées sont multiples et que la méthodologie de calcul p</w:t>
      </w:r>
      <w:r w:rsidR="00ED19DD">
        <w:t>e</w:t>
      </w:r>
      <w:r>
        <w:t xml:space="preserve">ut être différente selon les sources. Par exemple, un point important à noter est que la période de référence du calcul du DAX débute en décembre 1987, soit après la période du "Black October". Également, l'impact du réinvestissement des dividendes peut être différent dans le calcul de l'évolution des indices. Ces disparités peuvent avoir des impacts sur la comparabilité des indices. </w:t>
      </w:r>
    </w:p>
    <w:p w14:paraId="03416790" w14:textId="77777777" w:rsidR="00546295" w:rsidRDefault="00546295" w:rsidP="00FF37E0">
      <w:pPr>
        <w:jc w:val="both"/>
      </w:pPr>
    </w:p>
    <w:p w14:paraId="6892ACAE" w14:textId="7E738B8A" w:rsidR="00546295" w:rsidRDefault="00546295" w:rsidP="006C34CF">
      <w:pPr>
        <w:pStyle w:val="Titre4"/>
        <w:numPr>
          <w:ilvl w:val="3"/>
          <w:numId w:val="127"/>
        </w:numPr>
      </w:pPr>
      <w:bookmarkStart w:id="203" w:name="_Toc314397908"/>
      <w:bookmarkStart w:id="204" w:name="_Toc443569452"/>
      <w:r>
        <w:t>Conclusion sur l'historique des cycles</w:t>
      </w:r>
      <w:bookmarkEnd w:id="203"/>
      <w:bookmarkEnd w:id="204"/>
    </w:p>
    <w:p w14:paraId="64356C04" w14:textId="77777777" w:rsidR="00462BE0" w:rsidRDefault="00462BE0" w:rsidP="00FF37E0">
      <w:pPr>
        <w:jc w:val="both"/>
        <w:rPr>
          <w:color w:val="FF6700" w:themeColor="accent3"/>
        </w:rPr>
      </w:pPr>
    </w:p>
    <w:p w14:paraId="088C0FDC" w14:textId="23AFCD30" w:rsidR="0038478E" w:rsidRDefault="00071126" w:rsidP="00E22CF1">
      <w:pPr>
        <w:jc w:val="both"/>
      </w:pPr>
      <w:r>
        <w:t>Le cheminement de l'</w:t>
      </w:r>
      <w:r w:rsidR="00A65AEC" w:rsidRPr="00A65AEC">
        <w:rPr>
          <w:color w:val="FF6700" w:themeColor="accent3"/>
        </w:rPr>
        <w:t>ÉCONOMIE</w:t>
      </w:r>
      <w:r w:rsidR="00A65AEC">
        <w:t xml:space="preserve"> </w:t>
      </w:r>
      <w:r>
        <w:t>comporte un historique qui a vu naitre des sommets inégalés suivi</w:t>
      </w:r>
      <w:r w:rsidR="00ED19DD">
        <w:t>s</w:t>
      </w:r>
      <w:r>
        <w:t xml:space="preserve"> de spectaculaires dégringolades qu</w:t>
      </w:r>
      <w:r w:rsidR="00C51F49">
        <w:t>e très peu d</w:t>
      </w:r>
      <w:r w:rsidR="002F2C48">
        <w:t xml:space="preserve">'experts </w:t>
      </w:r>
      <w:r w:rsidR="00C51F49">
        <w:t>ont</w:t>
      </w:r>
      <w:r>
        <w:t xml:space="preserve"> pu anticiper. </w:t>
      </w:r>
      <w:r w:rsidR="00C51F49">
        <w:t>Qu'il</w:t>
      </w:r>
      <w:r w:rsidR="002F2C48">
        <w:t>s</w:t>
      </w:r>
      <w:r w:rsidR="00C51F49">
        <w:t xml:space="preserve"> s'agisse</w:t>
      </w:r>
      <w:r w:rsidR="002F2C48">
        <w:t>nt</w:t>
      </w:r>
      <w:r w:rsidR="00C51F49">
        <w:t xml:space="preserve"> de la crise financière des subprimes de 2007 ou celle </w:t>
      </w:r>
      <w:r w:rsidR="007B0BBD">
        <w:t xml:space="preserve">de 1973 causée par le premier choc pétrolier </w:t>
      </w:r>
      <w:r w:rsidR="00A24A7D">
        <w:t>ou la "génération perdue" (1991-2000)</w:t>
      </w:r>
      <w:r w:rsidR="002F2C48">
        <w:t xml:space="preserve"> de l'économie japonaise</w:t>
      </w:r>
      <w:r w:rsidR="00A24A7D">
        <w:t xml:space="preserve">, </w:t>
      </w:r>
      <w:r w:rsidR="007B0BBD">
        <w:t xml:space="preserve">les analystes n'ont pas </w:t>
      </w:r>
      <w:r w:rsidR="00A65AEC">
        <w:t xml:space="preserve">su </w:t>
      </w:r>
      <w:r w:rsidR="007B0BBD">
        <w:t>prédire l</w:t>
      </w:r>
      <w:r w:rsidR="00A65AEC">
        <w:t>a</w:t>
      </w:r>
      <w:r w:rsidR="007B0BBD">
        <w:t xml:space="preserve"> venue </w:t>
      </w:r>
      <w:r w:rsidR="00A65AEC">
        <w:t xml:space="preserve">de ces événements </w:t>
      </w:r>
      <w:r w:rsidR="007B0BBD">
        <w:t>et encore moins être les instigateurs de mesures atténuantes</w:t>
      </w:r>
      <w:r w:rsidR="00A65AEC">
        <w:t xml:space="preserve"> à leur égard</w:t>
      </w:r>
      <w:r w:rsidR="007B0BBD">
        <w:t xml:space="preserve">. Les replis </w:t>
      </w:r>
      <w:r w:rsidR="00A65AEC" w:rsidRPr="00A65AEC">
        <w:rPr>
          <w:color w:val="FF6700" w:themeColor="accent3"/>
        </w:rPr>
        <w:t>BOURSIERS</w:t>
      </w:r>
      <w:r w:rsidR="007B0BBD">
        <w:t xml:space="preserve"> de 1929 et 1987, de même que l'éclatement de la bulle technologique en 2000 et l</w:t>
      </w:r>
      <w:r w:rsidR="00A24A7D">
        <w:t>'incapacité de l'indice</w:t>
      </w:r>
      <w:r w:rsidR="00A65AEC">
        <w:t xml:space="preserve"> boursier </w:t>
      </w:r>
      <w:r w:rsidR="00A24A7D">
        <w:t xml:space="preserve">Nikkei 225 </w:t>
      </w:r>
      <w:r w:rsidR="00A65AEC">
        <w:t>à</w:t>
      </w:r>
      <w:r w:rsidR="00A24A7D">
        <w:t xml:space="preserve"> retrouv</w:t>
      </w:r>
      <w:r w:rsidR="00A65AEC">
        <w:t>er</w:t>
      </w:r>
      <w:r w:rsidR="00A24A7D">
        <w:t xml:space="preserve"> </w:t>
      </w:r>
      <w:r w:rsidR="002F2C48">
        <w:t xml:space="preserve">aujourd'hui (17 470 points - 11 janvier 2016) </w:t>
      </w:r>
      <w:r w:rsidR="00A24A7D">
        <w:t>son apogée de 1989</w:t>
      </w:r>
      <w:r w:rsidR="002F2C48">
        <w:t xml:space="preserve"> </w:t>
      </w:r>
      <w:r w:rsidR="00A24A7D">
        <w:t>(</w:t>
      </w:r>
      <w:r w:rsidR="002F2C48">
        <w:t>38 915 points) sont des exemples marquant</w:t>
      </w:r>
      <w:r w:rsidR="00A65AEC">
        <w:t>s</w:t>
      </w:r>
      <w:r w:rsidR="002F2C48">
        <w:t xml:space="preserve"> où le marché boursier a démontré sa nature imprévisible et son potentiel destructeur lorsque l'investisseur se retrouve trop souvent du mauvais côté de </w:t>
      </w:r>
      <w:r w:rsidR="00A65AEC">
        <w:t>ses</w:t>
      </w:r>
      <w:r w:rsidR="002F2C48">
        <w:t xml:space="preserve"> sautes d'humeur.</w:t>
      </w:r>
      <w:r w:rsidR="00A65AEC">
        <w:t xml:space="preserve"> Bien sûr</w:t>
      </w:r>
      <w:r w:rsidR="00ED19DD">
        <w:t>,</w:t>
      </w:r>
      <w:r w:rsidR="00A65AEC">
        <w:t xml:space="preserve"> nous pouvons</w:t>
      </w:r>
      <w:r w:rsidR="004B7A19">
        <w:t xml:space="preserve"> également</w:t>
      </w:r>
      <w:r w:rsidR="00A65AEC">
        <w:t xml:space="preserve"> identifier des événements économiques et boursiers</w:t>
      </w:r>
      <w:r w:rsidR="004B7A19">
        <w:t xml:space="preserve"> positifs et</w:t>
      </w:r>
      <w:r w:rsidR="00A65AEC">
        <w:t xml:space="preserve"> remarquables lorsque nous choisissons d'utiliser une lorgnette à </w:t>
      </w:r>
      <w:r w:rsidR="00A65AEC">
        <w:lastRenderedPageBreak/>
        <w:t xml:space="preserve">long terme pour les </w:t>
      </w:r>
      <w:r w:rsidR="00ED19DD">
        <w:t>évaluer</w:t>
      </w:r>
      <w:r w:rsidR="00A65AEC">
        <w:t xml:space="preserve">. </w:t>
      </w:r>
      <w:r w:rsidR="00D274C8">
        <w:t>Le niveau de vie des Canadiens a augmenté annuellement de 2,2 % (en dollar constant, donc en tenant compte de l'inflation) sur une période de près de 50 ans (1961-2008</w:t>
      </w:r>
      <w:r w:rsidR="00C543E5">
        <w:t>)</w:t>
      </w:r>
      <w:r w:rsidR="00D274C8">
        <w:rPr>
          <w:rStyle w:val="Marquenotebasdepage"/>
        </w:rPr>
        <w:footnoteReference w:customMarkFollows="1" w:id="93"/>
        <w:t>92</w:t>
      </w:r>
      <w:r w:rsidR="00C543E5">
        <w:t>. L'</w:t>
      </w:r>
      <w:r w:rsidR="00D274C8">
        <w:t xml:space="preserve">indice boursier Dow Jones </w:t>
      </w:r>
      <w:r w:rsidR="00C543E5">
        <w:t>a augmenté d'un taux annualisé de près de 12 %</w:t>
      </w:r>
      <w:r w:rsidR="00BA3448">
        <w:t xml:space="preserve"> (avant réduction pour tenir compte de l'effet de l'inflation) </w:t>
      </w:r>
      <w:r w:rsidR="00C543E5">
        <w:t>au cours des 35 dernières années (1981-2015).</w:t>
      </w:r>
      <w:r w:rsidR="00BA3448">
        <w:t xml:space="preserve"> Que dire aussi de la grande impulsion donnée à l'espérance de vie des Canadiens </w:t>
      </w:r>
      <w:r w:rsidR="003D1E88">
        <w:t xml:space="preserve">et de Canadiennes </w:t>
      </w:r>
      <w:r w:rsidR="00BA3448">
        <w:t>au cours des 30 dernières années avancées (1985 = 76,</w:t>
      </w:r>
      <w:r w:rsidR="0038478E">
        <w:t>0</w:t>
      </w:r>
      <w:r w:rsidR="00BA3448">
        <w:t xml:space="preserve"> ans, 201</w:t>
      </w:r>
      <w:r w:rsidR="0038478E">
        <w:t>3</w:t>
      </w:r>
      <w:r w:rsidR="00BA3448">
        <w:t xml:space="preserve"> =</w:t>
      </w:r>
      <w:r w:rsidR="0038478E">
        <w:t xml:space="preserve"> 81,4 ans</w:t>
      </w:r>
      <w:r w:rsidR="0038478E">
        <w:rPr>
          <w:rStyle w:val="Marquenotebasdepage"/>
        </w:rPr>
        <w:footnoteReference w:customMarkFollows="1" w:id="94"/>
        <w:t>93</w:t>
      </w:r>
      <w:r w:rsidR="0038478E">
        <w:t>).</w:t>
      </w:r>
      <w:r w:rsidR="002D4715">
        <w:t xml:space="preserve"> Le coup d'oeil à courte vue amène son lot d'appréciation</w:t>
      </w:r>
      <w:r w:rsidR="003D1E88">
        <w:t>s</w:t>
      </w:r>
      <w:r w:rsidR="002D4715">
        <w:t xml:space="preserve"> teintée</w:t>
      </w:r>
      <w:r w:rsidR="003D1E88">
        <w:t>s</w:t>
      </w:r>
      <w:r w:rsidR="002D4715">
        <w:t xml:space="preserve"> d'euphorie et de détresse alors que le regard à long terme </w:t>
      </w:r>
      <w:r w:rsidR="001131FF">
        <w:t xml:space="preserve">tend vers le nivellement et l'accentuation de la régularité des bons résultats.  </w:t>
      </w:r>
      <w:r w:rsidR="0038478E">
        <w:t xml:space="preserve"> </w:t>
      </w:r>
    </w:p>
    <w:p w14:paraId="0E28F75D" w14:textId="77777777" w:rsidR="0038478E" w:rsidRDefault="0038478E" w:rsidP="00E22CF1">
      <w:pPr>
        <w:jc w:val="both"/>
      </w:pPr>
    </w:p>
    <w:p w14:paraId="3B33836F" w14:textId="7B1316BC" w:rsidR="0053306C" w:rsidRDefault="0053306C" w:rsidP="00E22CF1">
      <w:pPr>
        <w:jc w:val="both"/>
      </w:pPr>
      <w:r>
        <w:t>Notons aussi que les rendements boursiers</w:t>
      </w:r>
      <w:r w:rsidR="000F5C97">
        <w:t>, même pris dans la globalité d'un indice</w:t>
      </w:r>
      <w:r w:rsidR="00CE7538">
        <w:t xml:space="preserve"> (donc diversifié en titres),</w:t>
      </w:r>
      <w:r>
        <w:t xml:space="preserve"> sont extrêmement sensibles</w:t>
      </w:r>
      <w:r w:rsidR="000F5C97">
        <w:t xml:space="preserve"> aux </w:t>
      </w:r>
      <w:r w:rsidR="00CE7538">
        <w:t xml:space="preserve">moments </w:t>
      </w:r>
      <w:r w:rsidR="000F5C97">
        <w:t xml:space="preserve">qui sont utilisés pour définir une période. Par exemple, </w:t>
      </w:r>
      <w:r w:rsidR="006F488A">
        <w:t>en prenant l'indice du Dow Jones Industrial Average pour la période de</w:t>
      </w:r>
      <w:r w:rsidR="000F5C97">
        <w:t xml:space="preserve"> </w:t>
      </w:r>
      <w:r w:rsidR="006D3874">
        <w:t xml:space="preserve">mai 2001 </w:t>
      </w:r>
      <w:r w:rsidR="006F488A">
        <w:t xml:space="preserve">à  </w:t>
      </w:r>
      <w:r w:rsidR="006D3874">
        <w:t>mars 2009</w:t>
      </w:r>
      <w:r w:rsidR="006F488A">
        <w:t xml:space="preserve">, nous observons une perte de valeur de </w:t>
      </w:r>
      <w:r w:rsidR="006D3874">
        <w:t xml:space="preserve"> 2</w:t>
      </w:r>
      <w:r w:rsidR="006F488A">
        <w:t>0</w:t>
      </w:r>
      <w:r w:rsidR="006D3874">
        <w:t>,9</w:t>
      </w:r>
      <w:r w:rsidR="006F488A">
        <w:t>1</w:t>
      </w:r>
      <w:r w:rsidR="006D3874">
        <w:t xml:space="preserve"> %</w:t>
      </w:r>
      <w:r w:rsidR="00A34F20">
        <w:rPr>
          <w:rStyle w:val="Marquenotebasdepage"/>
        </w:rPr>
        <w:footnoteReference w:customMarkFollows="1" w:id="95"/>
        <w:t>94</w:t>
      </w:r>
      <w:r w:rsidR="006F488A">
        <w:t>. Si nous reportons la lecture d'une année, pour une même durée, soit de mai 2002 à mars 2010, nous obtenons une prise de valeur de 28,96 %</w:t>
      </w:r>
      <w:r w:rsidR="00A34F20" w:rsidRPr="00A34F20">
        <w:rPr>
          <w:vertAlign w:val="superscript"/>
        </w:rPr>
        <w:t>94</w:t>
      </w:r>
      <w:r w:rsidR="006F488A">
        <w:t xml:space="preserve">. </w:t>
      </w:r>
      <w:r w:rsidR="00CE7538">
        <w:t>Ces résultats sont extrêmement sensible</w:t>
      </w:r>
      <w:r w:rsidR="004B7A19">
        <w:t>s</w:t>
      </w:r>
      <w:r w:rsidR="002C32BF">
        <w:t>, même sur une période appréciable (95 mois dans notre exemple), puisque selon notre</w:t>
      </w:r>
      <w:r w:rsidR="004B7A19">
        <w:t xml:space="preserve"> exemple</w:t>
      </w:r>
      <w:r w:rsidR="002C32BF">
        <w:t xml:space="preserve">, le déphasage d'une année dans la synchronisation du marché a résulté à un écart de rendement global de 49,87 % (20,91 % + 28,96 %). Pour ceux qui souhaitent anticiper l'avenir, il faut mieux se retrouver du bon côté de la prédiction. </w:t>
      </w:r>
    </w:p>
    <w:p w14:paraId="18E2A61D" w14:textId="0049114A" w:rsidR="002F2C48" w:rsidRDefault="00BA3448" w:rsidP="00E22CF1">
      <w:pPr>
        <w:jc w:val="both"/>
      </w:pPr>
      <w:r>
        <w:t xml:space="preserve"> </w:t>
      </w:r>
    </w:p>
    <w:p w14:paraId="33AAF2AE" w14:textId="54F4203E" w:rsidR="002F2C48" w:rsidRDefault="00235DD9" w:rsidP="00E22CF1">
      <w:pPr>
        <w:jc w:val="both"/>
      </w:pPr>
      <w:r>
        <w:t xml:space="preserve">Pour conclure, deux choses sont prévisibles à long terme, dans un contexte où une économie prioritairement axée sur les marchés persiste. La </w:t>
      </w:r>
      <w:r w:rsidR="0000501C" w:rsidRPr="0000501C">
        <w:rPr>
          <w:color w:val="FF6700" w:themeColor="accent3"/>
        </w:rPr>
        <w:t>PREMIÈRE</w:t>
      </w:r>
      <w:r>
        <w:t xml:space="preserve"> </w:t>
      </w:r>
      <w:r w:rsidR="0000501C">
        <w:t xml:space="preserve">chose </w:t>
      </w:r>
      <w:r>
        <w:t>est que l</w:t>
      </w:r>
      <w:r w:rsidR="0000501C">
        <w:t>a</w:t>
      </w:r>
      <w:r>
        <w:t xml:space="preserve"> poursuite de l'innovation et les avancées technologiques permettent</w:t>
      </w:r>
      <w:r w:rsidR="0000501C">
        <w:t xml:space="preserve"> d'augmenter la productivité des êtres humains, ce qui se traduit par une hausse du niveau de vie. Pour en soutirer un avantage les individus se doivent de posséder des atouts (connaissances, </w:t>
      </w:r>
      <w:r w:rsidR="0000501C">
        <w:lastRenderedPageBreak/>
        <w:t xml:space="preserve">savoir-faire, savoir-être, compétences) qui leur permettent de faire partie intégrante des forces actives de cette société. La </w:t>
      </w:r>
      <w:r w:rsidR="0000501C">
        <w:rPr>
          <w:color w:val="FF6700" w:themeColor="accent3"/>
        </w:rPr>
        <w:t>DEUXIÈME</w:t>
      </w:r>
      <w:r w:rsidR="0000501C">
        <w:t xml:space="preserve"> chose est que cette hausse de productivité permet à l'économie de croître, ce qui permet aux gens d'investir du capital qui sera rémunéré par un rendement. Pour en soutirer un </w:t>
      </w:r>
      <w:r w:rsidR="00737626">
        <w:t>gain durable</w:t>
      </w:r>
      <w:r w:rsidR="004B7A19">
        <w:t>,</w:t>
      </w:r>
      <w:r w:rsidR="0000501C">
        <w:t xml:space="preserve"> les individus se doivent de </w:t>
      </w:r>
      <w:r w:rsidR="00737626">
        <w:t>miser sur la croissance économique qui s'exprime sur une longue période, prenant profit de</w:t>
      </w:r>
      <w:r w:rsidR="00ED3478">
        <w:t xml:space="preserve"> </w:t>
      </w:r>
      <w:r w:rsidR="00737626">
        <w:t>l'accroissement cumulatif des cycles économiques et boursiers, à l'abri des tentations d'un gain rapide à même la détention d'un titre unique</w:t>
      </w:r>
      <w:r w:rsidR="0000501C">
        <w:t>.</w:t>
      </w:r>
      <w:r w:rsidR="00737626">
        <w:t xml:space="preserve"> Il demeure que des mutations profondes à l'économie sont toujours possibles et sûrement souhaitables. Les disparités sans précédent de la répartition de la richesse</w:t>
      </w:r>
      <w:r w:rsidR="00ED3478">
        <w:t xml:space="preserve"> entre "ceux qui ont et ceux qui n'ont pas"</w:t>
      </w:r>
      <w:r w:rsidR="00AA68ED">
        <w:t xml:space="preserve"> et</w:t>
      </w:r>
      <w:r w:rsidR="00737626">
        <w:t xml:space="preserve"> la précarité de</w:t>
      </w:r>
      <w:r w:rsidR="00AA68ED">
        <w:t xml:space="preserve">s </w:t>
      </w:r>
      <w:r w:rsidR="009C3C1D">
        <w:t xml:space="preserve">enjeux </w:t>
      </w:r>
      <w:r w:rsidR="00AA68ED">
        <w:t>environnementa</w:t>
      </w:r>
      <w:r w:rsidR="009C3C1D">
        <w:t>ux</w:t>
      </w:r>
      <w:r w:rsidR="00E74AD4">
        <w:t xml:space="preserve"> </w:t>
      </w:r>
      <w:proofErr w:type="gramStart"/>
      <w:r w:rsidR="00ED3478">
        <w:t>pourront</w:t>
      </w:r>
      <w:proofErr w:type="gramEnd"/>
      <w:r w:rsidR="00ED3478">
        <w:t xml:space="preserve"> être des vecteurs par lesquels s'annoncera une nouvelle sphère économique. Une ère moins gourmande de gains rapides, plus respectueuse de l'ensemble de la société et plus représentative de </w:t>
      </w:r>
      <w:r w:rsidR="00D965A2">
        <w:t xml:space="preserve">la durée de </w:t>
      </w:r>
      <w:r w:rsidR="00ED3478">
        <w:t>notre séjour sur terre;</w:t>
      </w:r>
      <w:r w:rsidR="00D965A2">
        <w:t xml:space="preserve"> </w:t>
      </w:r>
      <w:r w:rsidR="00ED3478">
        <w:t>infinitésimal</w:t>
      </w:r>
      <w:r w:rsidR="00D965A2">
        <w:t>e</w:t>
      </w:r>
      <w:r w:rsidR="00ED3478">
        <w:t>.</w:t>
      </w:r>
    </w:p>
    <w:p w14:paraId="09471A3D" w14:textId="77777777" w:rsidR="00ED3478" w:rsidRDefault="00ED3478" w:rsidP="00E22CF1">
      <w:pPr>
        <w:jc w:val="both"/>
      </w:pPr>
    </w:p>
    <w:p w14:paraId="61EF6323" w14:textId="14AD3778" w:rsidR="00FB5E1C" w:rsidRDefault="00D1428E" w:rsidP="006C34CF">
      <w:pPr>
        <w:pStyle w:val="Titre3"/>
        <w:numPr>
          <w:ilvl w:val="2"/>
          <w:numId w:val="125"/>
        </w:numPr>
      </w:pPr>
      <w:bookmarkStart w:id="205" w:name="_Toc314397909"/>
      <w:bookmarkStart w:id="206" w:name="_Toc443569453"/>
      <w:r>
        <w:t>Conseils</w:t>
      </w:r>
      <w:bookmarkEnd w:id="205"/>
      <w:bookmarkEnd w:id="206"/>
    </w:p>
    <w:p w14:paraId="1373EB27" w14:textId="77777777" w:rsidR="00FB5E1C" w:rsidRDefault="00FB5E1C" w:rsidP="00FB5E1C"/>
    <w:p w14:paraId="3BA1D0CA" w14:textId="5A7753AA" w:rsidR="00A515AC" w:rsidRDefault="00AD742E" w:rsidP="00FB5E1C">
      <w:r>
        <w:rPr>
          <w:noProof/>
          <w:lang w:eastAsia="fr-FR"/>
        </w:rPr>
        <mc:AlternateContent>
          <mc:Choice Requires="wps">
            <w:drawing>
              <wp:anchor distT="0" distB="0" distL="114300" distR="114300" simplePos="0" relativeHeight="253376512" behindDoc="0" locked="0" layoutInCell="1" allowOverlap="1" wp14:anchorId="543CFD63" wp14:editId="23B26713">
                <wp:simplePos x="0" y="0"/>
                <wp:positionH relativeFrom="column">
                  <wp:posOffset>5029200</wp:posOffset>
                </wp:positionH>
                <wp:positionV relativeFrom="paragraph">
                  <wp:posOffset>327660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32" name="Ellipse 932"/>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8C6FC0A" w14:textId="59755E8F" w:rsidR="00573C95" w:rsidRDefault="00573C95" w:rsidP="00AD742E">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32" o:spid="_x0000_s1608" style="position:absolute;margin-left:396pt;margin-top:25.8pt;width:54pt;height:54pt;z-index:2533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" fillcolor="#82f2ff" strokecolor="black [3213]">
                <v:textbox>
                  <w:txbxContent>
                    <w:p w14:paraId="78C6FC0A" w14:textId="59755E8F" w:rsidR="001501D6" w:rsidRDefault="001501D6" w:rsidP="00AD742E">
                      <w:pPr>
                        <w:jc w:val="center"/>
                      </w:pPr>
                      <w:r>
                        <w:rPr>
                          <w:color w:val="000000" w:themeColor="text1"/>
                          <w:sz w:val="36"/>
                          <w:szCs w:val="36"/>
                        </w:rPr>
                        <w:t>1</w:t>
                      </w:r>
                    </w:p>
                  </w:txbxContent>
                </v:textbox>
                <w10:wrap type="through"/>
              </v:oval>
            </w:pict>
          </mc:Fallback>
        </mc:AlternateContent>
      </w:r>
      <w:r w:rsidR="00A515AC">
        <w:t>Dans cette section</w:t>
      </w:r>
      <w:r w:rsidR="003713E5">
        <w:t>,</w:t>
      </w:r>
      <w:r w:rsidR="00A515AC">
        <w:t xml:space="preserve"> nous aimerions présenter une liste de 10 conseils qui seront utiles à l'investisseur qui souhaite maximiser le rendement de son épargne.</w:t>
      </w:r>
    </w:p>
    <w:p w14:paraId="72E4590D" w14:textId="340646F9" w:rsidR="00826D91" w:rsidRDefault="00826D91" w:rsidP="00B02630"/>
    <w:p w14:paraId="4E6BB6E6" w14:textId="6A5AD01F" w:rsidR="005D7995" w:rsidRDefault="005D7995" w:rsidP="00B02630"/>
    <w:p w14:paraId="3D393664" w14:textId="5BF87A43" w:rsidR="00826D91" w:rsidRPr="00A515AC" w:rsidRDefault="00AC1CAE" w:rsidP="006C34CF">
      <w:pPr>
        <w:pStyle w:val="Paragraphedeliste"/>
        <w:numPr>
          <w:ilvl w:val="0"/>
          <w:numId w:val="126"/>
        </w:numPr>
        <w:rPr>
          <w:sz w:val="36"/>
          <w:szCs w:val="36"/>
        </w:rPr>
      </w:pPr>
      <w:r w:rsidRPr="00A515AC">
        <w:rPr>
          <w:sz w:val="36"/>
          <w:szCs w:val="36"/>
        </w:rPr>
        <w:t>Choisis</w:t>
      </w:r>
      <w:r w:rsidR="00690028">
        <w:rPr>
          <w:sz w:val="36"/>
          <w:szCs w:val="36"/>
        </w:rPr>
        <w:t>s</w:t>
      </w:r>
      <w:r w:rsidRPr="00A515AC">
        <w:rPr>
          <w:sz w:val="36"/>
          <w:szCs w:val="36"/>
        </w:rPr>
        <w:t xml:space="preserve">ez </w:t>
      </w:r>
      <w:r w:rsidR="002D369F">
        <w:rPr>
          <w:sz w:val="36"/>
          <w:szCs w:val="36"/>
        </w:rPr>
        <w:t>votre</w:t>
      </w:r>
      <w:r w:rsidR="00826D91" w:rsidRPr="00A515AC">
        <w:rPr>
          <w:sz w:val="36"/>
          <w:szCs w:val="36"/>
        </w:rPr>
        <w:t xml:space="preserve"> conseiller</w:t>
      </w:r>
      <w:r w:rsidRPr="00A515AC">
        <w:rPr>
          <w:sz w:val="36"/>
          <w:szCs w:val="36"/>
        </w:rPr>
        <w:t xml:space="preserve"> avec soin</w:t>
      </w:r>
      <w:r w:rsidR="00712CFF" w:rsidRPr="00712CFF">
        <w:rPr>
          <w:noProof/>
          <w:lang w:eastAsia="fr-FR"/>
        </w:rPr>
        <w:t xml:space="preserve"> </w:t>
      </w:r>
    </w:p>
    <w:p w14:paraId="14F968C8" w14:textId="77777777" w:rsidR="00826D91" w:rsidRDefault="00826D91" w:rsidP="00B02630"/>
    <w:p w14:paraId="02904222" w14:textId="287492D7" w:rsidR="00B02630" w:rsidRDefault="005D7995" w:rsidP="00EE708C">
      <w:pPr>
        <w:jc w:val="both"/>
      </w:pPr>
      <w:r>
        <w:t>À notre avis, le geste le plus important que vous poserez en tant qu'épargnant sera le choix de la personne qui possédera l'expertise afin de mettre à profit ses connaissances pour vous permettre de construire un patrimoine de retraite.</w:t>
      </w:r>
      <w:r w:rsidR="00690028">
        <w:t xml:space="preserve"> Imaginez la responsabilité que vous incombez à votre conseiller, ne vaut-il pas la peine d'apporter tout le temps et le </w:t>
      </w:r>
      <w:r w:rsidR="00690028" w:rsidRPr="00690028">
        <w:rPr>
          <w:color w:val="FF6700" w:themeColor="accent3"/>
        </w:rPr>
        <w:t>SOIN</w:t>
      </w:r>
      <w:r w:rsidR="00690028">
        <w:t xml:space="preserve"> afin de se doter du meilleur partenaire financier possible. </w:t>
      </w:r>
      <w:r>
        <w:t xml:space="preserve"> L'intégrité et la sécurité de vos actifs financiers sont également au coeur de cette préocc</w:t>
      </w:r>
      <w:r w:rsidR="00EE708C">
        <w:t>upation, nul ne souhaite se retrouver entre les griffes d'un escroc cravaté qui dilapide nos avoirs et laisse s'envoler tout espoir d'une retraite empli</w:t>
      </w:r>
      <w:r w:rsidR="003640F1">
        <w:t>e</w:t>
      </w:r>
      <w:r w:rsidR="00EE708C">
        <w:t xml:space="preserve"> de quiétude. A</w:t>
      </w:r>
      <w:r w:rsidR="00B02630">
        <w:t>ssure</w:t>
      </w:r>
      <w:r w:rsidR="00EE708C">
        <w:t>z-vous</w:t>
      </w:r>
      <w:r w:rsidR="00B02630">
        <w:t xml:space="preserve"> de l'affiliation du courtier à l'AMF</w:t>
      </w:r>
      <w:r w:rsidR="00EE708C">
        <w:t>.</w:t>
      </w:r>
      <w:r w:rsidR="003D015D">
        <w:t xml:space="preserve"> Fuyez les conseillers qui ont autre chose à vous vendre que leur compétence. Ceux-ci se retrouvent rapidement en conflit d'intérêt</w:t>
      </w:r>
      <w:r w:rsidR="00D139DC">
        <w:t>s</w:t>
      </w:r>
      <w:r w:rsidR="003D015D">
        <w:t>.</w:t>
      </w:r>
      <w:r w:rsidR="00EE708C">
        <w:t xml:space="preserve"> </w:t>
      </w:r>
    </w:p>
    <w:p w14:paraId="50F6D722" w14:textId="77777777" w:rsidR="003F5F49" w:rsidRDefault="003F5F49" w:rsidP="00B02630"/>
    <w:p w14:paraId="17225A00" w14:textId="77777777" w:rsidR="00690028" w:rsidRDefault="00690028" w:rsidP="00B02630"/>
    <w:p w14:paraId="1BE35D89" w14:textId="058E7FB6" w:rsidR="00690028" w:rsidRDefault="00690028" w:rsidP="00B02630"/>
    <w:p w14:paraId="7F51D3E1" w14:textId="46C617B9" w:rsidR="003F5F49" w:rsidRPr="005D7995" w:rsidRDefault="004C4A61" w:rsidP="006C34CF">
      <w:pPr>
        <w:pStyle w:val="Paragraphedeliste"/>
        <w:numPr>
          <w:ilvl w:val="0"/>
          <w:numId w:val="126"/>
        </w:numPr>
        <w:rPr>
          <w:sz w:val="36"/>
          <w:szCs w:val="36"/>
        </w:rPr>
      </w:pPr>
      <w:r>
        <w:rPr>
          <w:noProof/>
          <w:lang w:eastAsia="fr-FR"/>
        </w:rPr>
        <w:lastRenderedPageBreak/>
        <mc:AlternateContent>
          <mc:Choice Requires="wps">
            <w:drawing>
              <wp:anchor distT="0" distB="0" distL="114300" distR="114300" simplePos="0" relativeHeight="253374464" behindDoc="0" locked="0" layoutInCell="1" allowOverlap="1" wp14:anchorId="7C7F0C28" wp14:editId="3888ED4C">
                <wp:simplePos x="0" y="0"/>
                <wp:positionH relativeFrom="column">
                  <wp:posOffset>4114800</wp:posOffset>
                </wp:positionH>
                <wp:positionV relativeFrom="paragraph">
                  <wp:posOffset>-342900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33" name="Ellipse 933"/>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1BB10A8" w14:textId="35257359" w:rsidR="00573C95" w:rsidRDefault="00573C95" w:rsidP="00AD742E">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33" o:spid="_x0000_s1609" style="position:absolute;left:0;text-align:left;margin-left:324pt;margin-top:-26.95pt;width:54pt;height:54pt;z-index:2533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" fillcolor="#82f2ff" strokecolor="black [3213]">
                <v:textbox>
                  <w:txbxContent>
                    <w:p w14:paraId="01BB10A8" w14:textId="35257359" w:rsidR="001501D6" w:rsidRDefault="001501D6" w:rsidP="00AD742E">
                      <w:pPr>
                        <w:jc w:val="center"/>
                      </w:pPr>
                      <w:r>
                        <w:rPr>
                          <w:color w:val="000000" w:themeColor="text1"/>
                          <w:sz w:val="36"/>
                          <w:szCs w:val="36"/>
                        </w:rPr>
                        <w:t>2</w:t>
                      </w:r>
                    </w:p>
                  </w:txbxContent>
                </v:textbox>
                <w10:wrap type="through"/>
              </v:oval>
            </w:pict>
          </mc:Fallback>
        </mc:AlternateContent>
      </w:r>
      <w:r w:rsidR="003F5F49" w:rsidRPr="005D7995">
        <w:rPr>
          <w:sz w:val="36"/>
          <w:szCs w:val="36"/>
        </w:rPr>
        <w:t>Gardez une vue d'ensemble</w:t>
      </w:r>
    </w:p>
    <w:p w14:paraId="013A65B0" w14:textId="77777777" w:rsidR="003F5F49" w:rsidRDefault="003F5F49" w:rsidP="003F5F49">
      <w:pPr>
        <w:ind w:left="705"/>
      </w:pPr>
    </w:p>
    <w:p w14:paraId="385BC9A9" w14:textId="1B320C83" w:rsidR="003F5F49" w:rsidRPr="004F6614" w:rsidRDefault="00AD742E" w:rsidP="00690028">
      <w:pPr>
        <w:jc w:val="both"/>
      </w:pPr>
      <w:r>
        <w:rPr>
          <w:noProof/>
          <w:lang w:eastAsia="fr-FR"/>
        </w:rPr>
        <mc:AlternateContent>
          <mc:Choice Requires="wps">
            <w:drawing>
              <wp:anchor distT="0" distB="0" distL="114300" distR="114300" simplePos="0" relativeHeight="253372416" behindDoc="0" locked="0" layoutInCell="1" allowOverlap="1" wp14:anchorId="7482BF17" wp14:editId="2B1B8D51">
                <wp:simplePos x="0" y="0"/>
                <wp:positionH relativeFrom="column">
                  <wp:posOffset>6858000</wp:posOffset>
                </wp:positionH>
                <wp:positionV relativeFrom="paragraph">
                  <wp:posOffset>1289050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7" name="Ellipse 927"/>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18ACA68" w14:textId="0A628CAA" w:rsidR="00573C95" w:rsidRDefault="00573C95" w:rsidP="00AD742E">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27" o:spid="_x0000_s1610" style="position:absolute;left:0;text-align:left;margin-left:540pt;margin-top:101.5pt;width:54pt;height:54pt;z-index:2533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" fillcolor="#82f2ff" strokecolor="black [3213]">
                <v:textbox>
                  <w:txbxContent>
                    <w:p w14:paraId="618ACA68" w14:textId="0A628CAA" w:rsidR="001501D6" w:rsidRDefault="001501D6" w:rsidP="00AD742E">
                      <w:pPr>
                        <w:jc w:val="center"/>
                      </w:pPr>
                      <w:r>
                        <w:rPr>
                          <w:color w:val="000000" w:themeColor="text1"/>
                          <w:sz w:val="36"/>
                          <w:szCs w:val="36"/>
                        </w:rPr>
                        <w:t>3</w:t>
                      </w:r>
                    </w:p>
                  </w:txbxContent>
                </v:textbox>
                <w10:wrap type="through"/>
              </v:oval>
            </w:pict>
          </mc:Fallback>
        </mc:AlternateContent>
      </w:r>
      <w:r w:rsidR="003640F1">
        <w:t>Nous avons maintes fois présent</w:t>
      </w:r>
      <w:r w:rsidR="00690028">
        <w:t>é l'importance d'opter pour une stratégie de placement qui mise sur une vision à long terme, tout à l'opposé de l'emploi d'un don divinatoire qui permettrait de tirer profit d'une s</w:t>
      </w:r>
      <w:r w:rsidR="003F5F49">
        <w:t>ynchronisation des marchés</w:t>
      </w:r>
      <w:r w:rsidR="00690028">
        <w:t>. N'oubliez pas que lorsque vous</w:t>
      </w:r>
      <w:r w:rsidR="00E94F6A">
        <w:t xml:space="preserve"> (recommandé par votre conseiller)</w:t>
      </w:r>
      <w:r w:rsidR="00690028">
        <w:t xml:space="preserve"> vendez un titre parce que vous croyez qu'il a atteint un sommet, il y a toujours un investisseur</w:t>
      </w:r>
      <w:r w:rsidR="00E94F6A">
        <w:t xml:space="preserve"> (recommandé par son conseiller)</w:t>
      </w:r>
      <w:r w:rsidR="00690028">
        <w:t xml:space="preserve"> qui achète votre titre parce qu'il considère que c'est une aubaine. </w:t>
      </w:r>
      <w:r w:rsidR="004F6614">
        <w:t>Dans ce cas, q</w:t>
      </w:r>
      <w:r w:rsidR="00690028">
        <w:t xml:space="preserve">ui </w:t>
      </w:r>
      <w:r w:rsidR="004F6614">
        <w:t>possède la "boule de cristal" pour affirmer qui est porteur de la vérité</w:t>
      </w:r>
      <w:r w:rsidR="004F6614" w:rsidRPr="004F6614">
        <w:rPr>
          <w:rFonts w:ascii="Avenir Book" w:hAnsi="Avenir Book" w:cs="Arial"/>
        </w:rPr>
        <w:t>?</w:t>
      </w:r>
      <w:r w:rsidR="004F6614">
        <w:rPr>
          <w:rFonts w:ascii="Avenir Book" w:hAnsi="Avenir Book" w:cs="Arial"/>
        </w:rPr>
        <w:t xml:space="preserve"> </w:t>
      </w:r>
      <w:r w:rsidR="004F6614" w:rsidRPr="004F6614">
        <w:rPr>
          <w:rFonts w:cs="Arial"/>
        </w:rPr>
        <w:t xml:space="preserve">Le maintient d'une </w:t>
      </w:r>
      <w:r w:rsidR="004F6614" w:rsidRPr="004F6614">
        <w:rPr>
          <w:rFonts w:cs="Arial"/>
          <w:color w:val="FF6700" w:themeColor="accent3"/>
        </w:rPr>
        <w:t>VUE D'ENSEMBLE</w:t>
      </w:r>
      <w:r w:rsidR="004F6614">
        <w:rPr>
          <w:rFonts w:cs="Arial"/>
          <w:color w:val="FF6700" w:themeColor="accent3"/>
        </w:rPr>
        <w:t xml:space="preserve"> </w:t>
      </w:r>
      <w:r w:rsidR="004F6614">
        <w:rPr>
          <w:rFonts w:cs="Arial"/>
        </w:rPr>
        <w:t>de la gestion et de la performance du portefeuille de placement évitera bien des dérives financière</w:t>
      </w:r>
      <w:r w:rsidR="00D139DC">
        <w:rPr>
          <w:rFonts w:cs="Arial"/>
        </w:rPr>
        <w:t>s</w:t>
      </w:r>
      <w:r w:rsidR="004F6614">
        <w:rPr>
          <w:rFonts w:cs="Arial"/>
        </w:rPr>
        <w:t>.</w:t>
      </w:r>
    </w:p>
    <w:p w14:paraId="0D1B58F1" w14:textId="5CC6891F" w:rsidR="003F5F49" w:rsidRDefault="003F5F49" w:rsidP="00B02630"/>
    <w:p w14:paraId="0C67D03D" w14:textId="502B83C3" w:rsidR="00E94F6A" w:rsidRDefault="00E94F6A" w:rsidP="00B02630"/>
    <w:p w14:paraId="5FF783EB" w14:textId="76D69355" w:rsidR="003F5F49" w:rsidRPr="005D7995" w:rsidRDefault="003F5F49" w:rsidP="006C34CF">
      <w:pPr>
        <w:pStyle w:val="Paragraphedeliste"/>
        <w:numPr>
          <w:ilvl w:val="0"/>
          <w:numId w:val="126"/>
        </w:numPr>
        <w:rPr>
          <w:sz w:val="36"/>
          <w:szCs w:val="36"/>
        </w:rPr>
      </w:pPr>
      <w:r w:rsidRPr="005D7995">
        <w:rPr>
          <w:sz w:val="36"/>
          <w:szCs w:val="36"/>
        </w:rPr>
        <w:t xml:space="preserve">Ne mettez pas tous vos oeufs dans </w:t>
      </w:r>
      <w:r w:rsidR="002D369F">
        <w:rPr>
          <w:sz w:val="36"/>
          <w:szCs w:val="36"/>
        </w:rPr>
        <w:t xml:space="preserve">un </w:t>
      </w:r>
      <w:r w:rsidRPr="005D7995">
        <w:rPr>
          <w:sz w:val="36"/>
          <w:szCs w:val="36"/>
        </w:rPr>
        <w:t>même panier</w:t>
      </w:r>
    </w:p>
    <w:p w14:paraId="358CA7E9" w14:textId="77777777" w:rsidR="003F5F49" w:rsidRDefault="003F5F49" w:rsidP="003F5F49"/>
    <w:p w14:paraId="1B446AD1" w14:textId="6A16BF3A" w:rsidR="003A70EE" w:rsidRDefault="003A70EE" w:rsidP="003A70EE">
      <w:pPr>
        <w:jc w:val="both"/>
      </w:pPr>
      <w:r>
        <w:t xml:space="preserve">La diversification de votre portefeuille de placement est l'une des rares mesures sans coût qui améliora à coup sûr les perspectives de rendement à long terme de vos placements pour un niveau de risque donné. Cette mesure est essentiellement la mise en pratique du principe d'écart-type issu des règles statistiques les plus élémentaires. </w:t>
      </w:r>
    </w:p>
    <w:p w14:paraId="7462E2CE" w14:textId="045E087E" w:rsidR="003A70EE" w:rsidRDefault="00D139DC" w:rsidP="003A70EE">
      <w:pPr>
        <w:jc w:val="both"/>
      </w:pPr>
      <w:r>
        <w:rPr>
          <w:noProof/>
          <w:lang w:eastAsia="fr-FR"/>
        </w:rPr>
        <w:drawing>
          <wp:anchor distT="0" distB="0" distL="114300" distR="114300" simplePos="0" relativeHeight="253378560" behindDoc="0" locked="0" layoutInCell="1" allowOverlap="1" wp14:anchorId="59A70F3E" wp14:editId="26788724">
            <wp:simplePos x="0" y="0"/>
            <wp:positionH relativeFrom="column">
              <wp:posOffset>-12700</wp:posOffset>
            </wp:positionH>
            <wp:positionV relativeFrom="paragraph">
              <wp:posOffset>2256790</wp:posOffset>
            </wp:positionV>
            <wp:extent cx="912495" cy="923925"/>
            <wp:effectExtent l="0" t="0" r="1905" b="0"/>
            <wp:wrapNone/>
            <wp:docPr id="934" name="Image 934" descr="Macintosh HD:Users:marcbachand:Desktop:Capture d’écran 2016-01-14 à 08.3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6-01-14 à 08.39.27.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912495" cy="9239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76896">
        <w:rPr>
          <w:noProof/>
          <w:lang w:eastAsia="fr-FR"/>
        </w:rPr>
        <w:drawing>
          <wp:anchor distT="0" distB="0" distL="114300" distR="114300" simplePos="0" relativeHeight="253330432" behindDoc="0" locked="0" layoutInCell="1" allowOverlap="1" wp14:anchorId="51765D7F" wp14:editId="72E18530">
            <wp:simplePos x="0" y="0"/>
            <wp:positionH relativeFrom="column">
              <wp:posOffset>-114300</wp:posOffset>
            </wp:positionH>
            <wp:positionV relativeFrom="paragraph">
              <wp:posOffset>43180</wp:posOffset>
            </wp:positionV>
            <wp:extent cx="3543300" cy="3169285"/>
            <wp:effectExtent l="0" t="0" r="12700" b="5715"/>
            <wp:wrapSquare wrapText="bothSides"/>
            <wp:docPr id="901" name="Image 901" descr="Macintosh HD:Users:marcbachand:Desktop:Capture d’écran 2016-01-13 à 10.0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6-01-13 à 10.05.04.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543300" cy="31692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76896">
        <w:t xml:space="preserve">Ce tableau exprime avec éloquence l'importance de ne pas mettre tous vos </w:t>
      </w:r>
      <w:r w:rsidR="00F76896" w:rsidRPr="00F76896">
        <w:rPr>
          <w:color w:val="FF6700" w:themeColor="accent3"/>
        </w:rPr>
        <w:t xml:space="preserve">OEUFS DANS </w:t>
      </w:r>
      <w:r w:rsidR="00AC63E0">
        <w:rPr>
          <w:color w:val="FF6700" w:themeColor="accent3"/>
        </w:rPr>
        <w:t>UN</w:t>
      </w:r>
      <w:r w:rsidR="00F76896" w:rsidRPr="00F76896">
        <w:rPr>
          <w:color w:val="FF6700" w:themeColor="accent3"/>
        </w:rPr>
        <w:t xml:space="preserve"> MÊME PANIER</w:t>
      </w:r>
      <w:r w:rsidR="00F76896">
        <w:t xml:space="preserve">. Remarquez à quel point, </w:t>
      </w:r>
      <w:r>
        <w:t>i</w:t>
      </w:r>
      <w:r w:rsidR="00F76896">
        <w:t>l est impossible de déceler une tendance dans la performance des différents indices. Une approche diversifiée selon les catégories d'actif, la géographie, la taille des entreprises et les secteurs d'activités permettent de réduire les écart</w:t>
      </w:r>
      <w:r>
        <w:t>s</w:t>
      </w:r>
      <w:r w:rsidR="00F76896">
        <w:t xml:space="preserve">-types (risque) des rendements obtenus. Selon les modèles statistiques, </w:t>
      </w:r>
      <w:r w:rsidR="00797A6E">
        <w:t xml:space="preserve">il existe éventuellement un niveau de saturation dans la diversification des placements. C'est-à-dire qu'à un tel point l'ajout d'un titre supplémentaire ne contribuera plus à réduire le risque global du portefeuille de placement. </w:t>
      </w:r>
    </w:p>
    <w:p w14:paraId="4A05FC37" w14:textId="59E510EF" w:rsidR="005D7995" w:rsidRPr="005D7995" w:rsidRDefault="00AD742E" w:rsidP="006C34CF">
      <w:pPr>
        <w:pStyle w:val="Paragraphedeliste"/>
        <w:numPr>
          <w:ilvl w:val="0"/>
          <w:numId w:val="126"/>
        </w:numPr>
        <w:rPr>
          <w:sz w:val="36"/>
          <w:szCs w:val="36"/>
        </w:rPr>
      </w:pPr>
      <w:r>
        <w:rPr>
          <w:noProof/>
          <w:lang w:eastAsia="fr-FR"/>
        </w:rPr>
        <w:lastRenderedPageBreak/>
        <mc:AlternateContent>
          <mc:Choice Requires="wps">
            <w:drawing>
              <wp:anchor distT="0" distB="0" distL="114300" distR="114300" simplePos="0" relativeHeight="253370368" behindDoc="0" locked="0" layoutInCell="1" allowOverlap="1" wp14:anchorId="0F1B1378" wp14:editId="3254AADC">
                <wp:simplePos x="0" y="0"/>
                <wp:positionH relativeFrom="column">
                  <wp:posOffset>8343900</wp:posOffset>
                </wp:positionH>
                <wp:positionV relativeFrom="paragraph">
                  <wp:posOffset>-571500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6" name="Ellipse 926"/>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AF7C422" w14:textId="228BA021" w:rsidR="00573C95" w:rsidRDefault="00573C95" w:rsidP="00AD742E">
                            <w:pPr>
                              <w:jc w:val="center"/>
                            </w:pPr>
                            <w:r>
                              <w:rPr>
                                <w:color w:val="000000" w:themeColor="text1"/>
                                <w:sz w:val="36"/>
                                <w:szCs w:val="36"/>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26" o:spid="_x0000_s1611" style="position:absolute;left:0;text-align:left;margin-left:657pt;margin-top:-44.95pt;width:54pt;height:54pt;z-index:2533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" fillcolor="#82f2ff" strokecolor="black [3213]">
                <v:textbox>
                  <w:txbxContent>
                    <w:p w14:paraId="3AF7C422" w14:textId="228BA021" w:rsidR="001501D6" w:rsidRDefault="001501D6" w:rsidP="00AD742E">
                      <w:pPr>
                        <w:jc w:val="center"/>
                      </w:pPr>
                      <w:r>
                        <w:rPr>
                          <w:color w:val="000000" w:themeColor="text1"/>
                          <w:sz w:val="36"/>
                          <w:szCs w:val="36"/>
                        </w:rPr>
                        <w:t>4</w:t>
                      </w:r>
                    </w:p>
                  </w:txbxContent>
                </v:textbox>
                <w10:wrap type="through"/>
              </v:oval>
            </w:pict>
          </mc:Fallback>
        </mc:AlternateContent>
      </w:r>
      <w:r w:rsidR="005D7995" w:rsidRPr="005D7995">
        <w:rPr>
          <w:sz w:val="36"/>
          <w:szCs w:val="36"/>
        </w:rPr>
        <w:t>Fixez-vous des attentes raisonnables</w:t>
      </w:r>
      <w:r w:rsidR="004C4AB9">
        <w:rPr>
          <w:sz w:val="36"/>
          <w:szCs w:val="36"/>
        </w:rPr>
        <w:t>, conséquentes</w:t>
      </w:r>
      <w:r w:rsidR="005D7995" w:rsidRPr="005D7995">
        <w:rPr>
          <w:sz w:val="36"/>
          <w:szCs w:val="36"/>
        </w:rPr>
        <w:t xml:space="preserve"> et performantes</w:t>
      </w:r>
    </w:p>
    <w:p w14:paraId="62A99428" w14:textId="77777777" w:rsidR="005D7995" w:rsidRDefault="005D7995" w:rsidP="005D7995"/>
    <w:p w14:paraId="3E0F3D46" w14:textId="600F0019" w:rsidR="00972AA1" w:rsidRDefault="004C4AB9" w:rsidP="00CA1538">
      <w:pPr>
        <w:jc w:val="both"/>
      </w:pPr>
      <w:r>
        <w:t xml:space="preserve">Ce conseil </w:t>
      </w:r>
      <w:r w:rsidR="00972AA1">
        <w:t xml:space="preserve">comporte certains prérequis qui sont identifiés dans cette présente liste, notamment ceux qui vous invitent à garder une vue d'ensemble sur la gestion et la performance de votre portefeuille, à cultiver votre savoir et à connaître l'histoire. </w:t>
      </w:r>
      <w:r w:rsidR="00CA1538">
        <w:t xml:space="preserve">Pour se fixer des </w:t>
      </w:r>
      <w:r w:rsidR="003C161C" w:rsidRPr="003C161C">
        <w:rPr>
          <w:color w:val="FF6700" w:themeColor="accent3"/>
        </w:rPr>
        <w:t>ATTENTES RAISONNABLES</w:t>
      </w:r>
      <w:r w:rsidR="00CA1538">
        <w:t>, il faut connaitre l'historique des rendements sur une longue période, y retirer l'effet de l'inflation qui ne contribue pas à hausser l'enrichissement et considérer le niveau de risque acceptable compte tenu du tempérament et de l'âge de l'épargnant.</w:t>
      </w:r>
      <w:r w:rsidR="00840804">
        <w:t xml:space="preserve"> Par exemple</w:t>
      </w:r>
      <w:r w:rsidR="00D139DC">
        <w:t>,</w:t>
      </w:r>
      <w:r w:rsidR="00840804">
        <w:t xml:space="preserve"> le taux d'inflation est relativement stable depuis une trentaine d'année</w:t>
      </w:r>
      <w:r w:rsidR="00D139DC">
        <w:t>s</w:t>
      </w:r>
      <w:r w:rsidR="00840804">
        <w:t xml:space="preserve"> (moyenne annuelle 2,4 %). Par contre, si l'on examine ce même taux pour les 50 dernières années, le taux annualisé devient alors 4,1 %.   </w:t>
      </w:r>
      <w:r w:rsidR="00CA1538">
        <w:t xml:space="preserve">   </w:t>
      </w:r>
      <w:r w:rsidR="00840804">
        <w:t>Durant ces mêmes périodes</w:t>
      </w:r>
      <w:r w:rsidR="00D139DC">
        <w:t>,</w:t>
      </w:r>
      <w:r w:rsidR="00840804">
        <w:t xml:space="preserve"> l'indice S&amp;P 500 a progressé selon les taux annualisés de 10,98 %</w:t>
      </w:r>
      <w:r w:rsidR="00F042C6">
        <w:t xml:space="preserve"> (30 dernières années) et </w:t>
      </w:r>
      <w:r w:rsidR="00840804">
        <w:t>9,66 %</w:t>
      </w:r>
      <w:r w:rsidR="00F042C6">
        <w:t xml:space="preserve"> (50 dernières années). Afin de se fixer des attentes raisonnables, l'analyse de ces rendements historiques devrait  s'effectuer de la manière suivante:</w:t>
      </w:r>
    </w:p>
    <w:p w14:paraId="1A863091" w14:textId="77777777" w:rsidR="00F042C6" w:rsidRDefault="00F042C6" w:rsidP="00CA1538">
      <w:pPr>
        <w:jc w:val="both"/>
      </w:pPr>
    </w:p>
    <w:tbl>
      <w:tblPr>
        <w:tblStyle w:val="Grille"/>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1134"/>
        <w:gridCol w:w="2126"/>
      </w:tblGrid>
      <w:tr w:rsidR="00F042C6" w14:paraId="11046D91" w14:textId="77777777" w:rsidTr="003C161C">
        <w:tc>
          <w:tcPr>
            <w:tcW w:w="5353" w:type="dxa"/>
            <w:shd w:val="clear" w:color="auto" w:fill="94C600" w:themeFill="accent1"/>
          </w:tcPr>
          <w:p w14:paraId="6B4A0AA5" w14:textId="3BC2C3BD" w:rsidR="00F042C6" w:rsidRDefault="00F042C6" w:rsidP="003C161C">
            <w:pPr>
              <w:jc w:val="center"/>
            </w:pPr>
            <w:r>
              <w:t>Facteurs</w:t>
            </w:r>
            <w:r w:rsidR="00E66111">
              <w:rPr>
                <w:rStyle w:val="Marquenotebasdepage"/>
              </w:rPr>
              <w:footnoteReference w:customMarkFollows="1" w:id="96"/>
              <w:t>95</w:t>
            </w:r>
          </w:p>
        </w:tc>
        <w:tc>
          <w:tcPr>
            <w:tcW w:w="1134" w:type="dxa"/>
            <w:shd w:val="clear" w:color="auto" w:fill="94C600" w:themeFill="accent1"/>
          </w:tcPr>
          <w:p w14:paraId="128759AD" w14:textId="6A4FB162" w:rsidR="00F042C6" w:rsidRDefault="00F042C6" w:rsidP="003C161C">
            <w:pPr>
              <w:jc w:val="center"/>
            </w:pPr>
            <w:r>
              <w:t>30 ans</w:t>
            </w:r>
          </w:p>
        </w:tc>
        <w:tc>
          <w:tcPr>
            <w:tcW w:w="2126" w:type="dxa"/>
            <w:shd w:val="clear" w:color="auto" w:fill="94C600" w:themeFill="accent1"/>
          </w:tcPr>
          <w:p w14:paraId="6D87ED87" w14:textId="2B819FF6" w:rsidR="00F042C6" w:rsidRDefault="00F042C6" w:rsidP="003C161C">
            <w:pPr>
              <w:jc w:val="center"/>
            </w:pPr>
            <w:r>
              <w:t>50 ans</w:t>
            </w:r>
          </w:p>
        </w:tc>
      </w:tr>
      <w:tr w:rsidR="00F042C6" w14:paraId="400099EA" w14:textId="77777777" w:rsidTr="003C161C">
        <w:tc>
          <w:tcPr>
            <w:tcW w:w="5353" w:type="dxa"/>
            <w:shd w:val="clear" w:color="auto" w:fill="000000" w:themeFill="text1"/>
          </w:tcPr>
          <w:p w14:paraId="71EC08DF" w14:textId="77777777" w:rsidR="00F042C6" w:rsidRDefault="00F042C6" w:rsidP="003C161C">
            <w:pPr>
              <w:jc w:val="center"/>
            </w:pPr>
          </w:p>
        </w:tc>
        <w:tc>
          <w:tcPr>
            <w:tcW w:w="1134" w:type="dxa"/>
            <w:shd w:val="clear" w:color="auto" w:fill="000000" w:themeFill="text1"/>
          </w:tcPr>
          <w:p w14:paraId="071D51DE" w14:textId="77777777" w:rsidR="00F042C6" w:rsidRDefault="00F042C6" w:rsidP="003C161C">
            <w:pPr>
              <w:jc w:val="center"/>
            </w:pPr>
          </w:p>
        </w:tc>
        <w:tc>
          <w:tcPr>
            <w:tcW w:w="2126" w:type="dxa"/>
            <w:shd w:val="clear" w:color="auto" w:fill="000000" w:themeFill="text1"/>
          </w:tcPr>
          <w:p w14:paraId="0ADA790F" w14:textId="77777777" w:rsidR="00F042C6" w:rsidRDefault="00F042C6" w:rsidP="003C161C">
            <w:pPr>
              <w:jc w:val="center"/>
            </w:pPr>
          </w:p>
        </w:tc>
      </w:tr>
      <w:tr w:rsidR="00F042C6" w:rsidRPr="00FF37E0" w14:paraId="34899199" w14:textId="77777777" w:rsidTr="00B72ACE">
        <w:tc>
          <w:tcPr>
            <w:tcW w:w="5353" w:type="dxa"/>
            <w:shd w:val="clear" w:color="auto" w:fill="999772" w:themeFill="text2" w:themeFillTint="99"/>
          </w:tcPr>
          <w:p w14:paraId="721D8B3C" w14:textId="1129A1A8" w:rsidR="00F042C6" w:rsidRPr="007F63E4" w:rsidRDefault="00F042C6" w:rsidP="003C161C">
            <w:pPr>
              <w:rPr>
                <w:color w:val="FFFFFF" w:themeColor="background1"/>
              </w:rPr>
            </w:pPr>
            <w:r>
              <w:rPr>
                <w:color w:val="FFFFFF" w:themeColor="background1"/>
              </w:rPr>
              <w:t>Rendement S&amp;P 500</w:t>
            </w:r>
          </w:p>
        </w:tc>
        <w:tc>
          <w:tcPr>
            <w:tcW w:w="1134" w:type="dxa"/>
            <w:shd w:val="clear" w:color="auto" w:fill="7F7F7F" w:themeFill="text1" w:themeFillTint="80"/>
          </w:tcPr>
          <w:p w14:paraId="727365D8" w14:textId="08E45ECA" w:rsidR="00F042C6" w:rsidRPr="007F63E4" w:rsidRDefault="00F042C6" w:rsidP="003C161C">
            <w:pPr>
              <w:jc w:val="center"/>
              <w:rPr>
                <w:color w:val="FFFFFF" w:themeColor="background1"/>
              </w:rPr>
            </w:pPr>
            <w:r>
              <w:rPr>
                <w:color w:val="FFFFFF" w:themeColor="background1"/>
              </w:rPr>
              <w:t>10,98 %</w:t>
            </w:r>
          </w:p>
        </w:tc>
        <w:tc>
          <w:tcPr>
            <w:tcW w:w="2126" w:type="dxa"/>
            <w:shd w:val="clear" w:color="auto" w:fill="7F7F7F" w:themeFill="text1" w:themeFillTint="80"/>
          </w:tcPr>
          <w:p w14:paraId="501702C8" w14:textId="45DAB9D0" w:rsidR="00F042C6" w:rsidRPr="007F63E4" w:rsidRDefault="00F042C6" w:rsidP="003C161C">
            <w:pPr>
              <w:jc w:val="center"/>
              <w:rPr>
                <w:color w:val="FFFFFF" w:themeColor="background1"/>
              </w:rPr>
            </w:pPr>
            <w:r>
              <w:rPr>
                <w:color w:val="FFFFFF" w:themeColor="background1"/>
              </w:rPr>
              <w:t>9,66 %</w:t>
            </w:r>
          </w:p>
        </w:tc>
      </w:tr>
      <w:tr w:rsidR="00E66111" w:rsidRPr="00FF37E0" w14:paraId="78371BE5" w14:textId="77777777" w:rsidTr="00B72ACE">
        <w:tc>
          <w:tcPr>
            <w:tcW w:w="5353" w:type="dxa"/>
            <w:shd w:val="clear" w:color="auto" w:fill="999772" w:themeFill="text2" w:themeFillTint="99"/>
          </w:tcPr>
          <w:p w14:paraId="1CA370FA" w14:textId="6E1883CC" w:rsidR="00E66111" w:rsidRPr="007F63E4" w:rsidRDefault="00E66111" w:rsidP="003C161C">
            <w:pPr>
              <w:rPr>
                <w:color w:val="FFFFFF" w:themeColor="background1"/>
              </w:rPr>
            </w:pPr>
            <w:r>
              <w:rPr>
                <w:color w:val="FFFFFF" w:themeColor="background1"/>
              </w:rPr>
              <w:t>Frais de gestion</w:t>
            </w:r>
          </w:p>
        </w:tc>
        <w:tc>
          <w:tcPr>
            <w:tcW w:w="1134" w:type="dxa"/>
            <w:shd w:val="clear" w:color="auto" w:fill="7F7F7F" w:themeFill="text1" w:themeFillTint="80"/>
          </w:tcPr>
          <w:p w14:paraId="4531EADB" w14:textId="3D8526FD" w:rsidR="00E66111" w:rsidRPr="007F63E4" w:rsidRDefault="00E66111" w:rsidP="003C161C">
            <w:pPr>
              <w:jc w:val="center"/>
              <w:rPr>
                <w:color w:val="FFFFFF" w:themeColor="background1"/>
              </w:rPr>
            </w:pPr>
            <w:r>
              <w:rPr>
                <w:color w:val="FFFFFF" w:themeColor="background1"/>
              </w:rPr>
              <w:t>(2) %</w:t>
            </w:r>
          </w:p>
        </w:tc>
        <w:tc>
          <w:tcPr>
            <w:tcW w:w="2126" w:type="dxa"/>
            <w:shd w:val="clear" w:color="auto" w:fill="7F7F7F" w:themeFill="text1" w:themeFillTint="80"/>
          </w:tcPr>
          <w:p w14:paraId="270BAAB4" w14:textId="383597BF" w:rsidR="00E66111" w:rsidRPr="007F63E4" w:rsidRDefault="00E66111" w:rsidP="003C161C">
            <w:pPr>
              <w:jc w:val="center"/>
              <w:rPr>
                <w:color w:val="FFFFFF" w:themeColor="background1"/>
              </w:rPr>
            </w:pPr>
            <w:r>
              <w:rPr>
                <w:color w:val="FFFFFF" w:themeColor="background1"/>
              </w:rPr>
              <w:t>(2) %</w:t>
            </w:r>
          </w:p>
        </w:tc>
      </w:tr>
      <w:tr w:rsidR="00E66111" w:rsidRPr="00FF37E0" w14:paraId="0B68FD78" w14:textId="77777777" w:rsidTr="00B72ACE">
        <w:tc>
          <w:tcPr>
            <w:tcW w:w="5353" w:type="dxa"/>
            <w:shd w:val="clear" w:color="auto" w:fill="999772" w:themeFill="text2" w:themeFillTint="99"/>
          </w:tcPr>
          <w:p w14:paraId="3BFAB9EA" w14:textId="77777777" w:rsidR="00E66111" w:rsidRPr="007F63E4" w:rsidRDefault="00E66111" w:rsidP="003C161C">
            <w:pPr>
              <w:rPr>
                <w:color w:val="FFFFFF" w:themeColor="background1"/>
              </w:rPr>
            </w:pPr>
          </w:p>
        </w:tc>
        <w:tc>
          <w:tcPr>
            <w:tcW w:w="1134" w:type="dxa"/>
            <w:shd w:val="clear" w:color="auto" w:fill="7F7F7F" w:themeFill="text1" w:themeFillTint="80"/>
          </w:tcPr>
          <w:p w14:paraId="1CBB161C" w14:textId="77777777" w:rsidR="00E66111" w:rsidRPr="007F63E4" w:rsidRDefault="00E66111" w:rsidP="003C161C">
            <w:pPr>
              <w:jc w:val="center"/>
              <w:rPr>
                <w:color w:val="FFFFFF" w:themeColor="background1"/>
              </w:rPr>
            </w:pPr>
          </w:p>
        </w:tc>
        <w:tc>
          <w:tcPr>
            <w:tcW w:w="2126" w:type="dxa"/>
            <w:shd w:val="clear" w:color="auto" w:fill="7F7F7F" w:themeFill="text1" w:themeFillTint="80"/>
          </w:tcPr>
          <w:p w14:paraId="504BEA51" w14:textId="77777777" w:rsidR="00E66111" w:rsidRPr="007F63E4" w:rsidRDefault="00E66111" w:rsidP="003C161C">
            <w:pPr>
              <w:jc w:val="center"/>
              <w:rPr>
                <w:color w:val="FFFFFF" w:themeColor="background1"/>
              </w:rPr>
            </w:pPr>
          </w:p>
        </w:tc>
      </w:tr>
      <w:tr w:rsidR="00E66111" w:rsidRPr="00FF37E0" w14:paraId="1179F96F" w14:textId="77777777" w:rsidTr="00B72ACE">
        <w:tc>
          <w:tcPr>
            <w:tcW w:w="5353" w:type="dxa"/>
            <w:shd w:val="clear" w:color="auto" w:fill="999772" w:themeFill="text2" w:themeFillTint="99"/>
          </w:tcPr>
          <w:p w14:paraId="7536074A" w14:textId="5C8BD30F" w:rsidR="00E66111" w:rsidRPr="007F63E4" w:rsidRDefault="00E66111" w:rsidP="003C161C">
            <w:pPr>
              <w:rPr>
                <w:color w:val="FFFFFF" w:themeColor="background1"/>
              </w:rPr>
            </w:pPr>
            <w:r>
              <w:rPr>
                <w:color w:val="FFFFFF" w:themeColor="background1"/>
              </w:rPr>
              <w:t>Rendement net (avant inflation et impôt)</w:t>
            </w:r>
          </w:p>
        </w:tc>
        <w:tc>
          <w:tcPr>
            <w:tcW w:w="1134" w:type="dxa"/>
            <w:shd w:val="clear" w:color="auto" w:fill="7F7F7F" w:themeFill="text1" w:themeFillTint="80"/>
          </w:tcPr>
          <w:p w14:paraId="34C29FB0" w14:textId="349A9D19" w:rsidR="00E66111" w:rsidRPr="007F63E4" w:rsidRDefault="00E66111" w:rsidP="003C161C">
            <w:pPr>
              <w:jc w:val="center"/>
              <w:rPr>
                <w:color w:val="FFFFFF" w:themeColor="background1"/>
              </w:rPr>
            </w:pPr>
            <w:r>
              <w:rPr>
                <w:color w:val="FFFFFF" w:themeColor="background1"/>
              </w:rPr>
              <w:t>8,98 %</w:t>
            </w:r>
          </w:p>
        </w:tc>
        <w:tc>
          <w:tcPr>
            <w:tcW w:w="2126" w:type="dxa"/>
            <w:shd w:val="clear" w:color="auto" w:fill="7F7F7F" w:themeFill="text1" w:themeFillTint="80"/>
          </w:tcPr>
          <w:p w14:paraId="2974FBE1" w14:textId="2A898826" w:rsidR="00E66111" w:rsidRPr="007F63E4" w:rsidRDefault="00E66111" w:rsidP="003C161C">
            <w:pPr>
              <w:jc w:val="center"/>
              <w:rPr>
                <w:color w:val="FFFFFF" w:themeColor="background1"/>
              </w:rPr>
            </w:pPr>
            <w:r>
              <w:rPr>
                <w:color w:val="FFFFFF" w:themeColor="background1"/>
              </w:rPr>
              <w:t>7,66 %</w:t>
            </w:r>
          </w:p>
        </w:tc>
      </w:tr>
      <w:tr w:rsidR="00E66111" w:rsidRPr="00FF37E0" w14:paraId="41D2E051" w14:textId="77777777" w:rsidTr="00B72ACE">
        <w:tc>
          <w:tcPr>
            <w:tcW w:w="5353" w:type="dxa"/>
            <w:shd w:val="clear" w:color="auto" w:fill="999772" w:themeFill="text2" w:themeFillTint="99"/>
          </w:tcPr>
          <w:p w14:paraId="2CE0A393" w14:textId="51F46A60" w:rsidR="00E66111" w:rsidRDefault="00E66111" w:rsidP="003C161C">
            <w:pPr>
              <w:rPr>
                <w:color w:val="FFFFFF" w:themeColor="background1"/>
              </w:rPr>
            </w:pPr>
            <w:r>
              <w:rPr>
                <w:color w:val="FFFFFF" w:themeColor="background1"/>
              </w:rPr>
              <w:t>IPC (inflation)</w:t>
            </w:r>
          </w:p>
        </w:tc>
        <w:tc>
          <w:tcPr>
            <w:tcW w:w="1134" w:type="dxa"/>
            <w:shd w:val="clear" w:color="auto" w:fill="7F7F7F" w:themeFill="text1" w:themeFillTint="80"/>
          </w:tcPr>
          <w:p w14:paraId="40EFF6D3" w14:textId="3D793930" w:rsidR="00E66111" w:rsidRPr="007F63E4" w:rsidRDefault="00E66111" w:rsidP="003C161C">
            <w:pPr>
              <w:jc w:val="center"/>
              <w:rPr>
                <w:color w:val="FFFFFF" w:themeColor="background1"/>
              </w:rPr>
            </w:pPr>
            <w:r>
              <w:rPr>
                <w:color w:val="FFFFFF" w:themeColor="background1"/>
              </w:rPr>
              <w:t>(2,4) %</w:t>
            </w:r>
          </w:p>
        </w:tc>
        <w:tc>
          <w:tcPr>
            <w:tcW w:w="2126" w:type="dxa"/>
            <w:shd w:val="clear" w:color="auto" w:fill="7F7F7F" w:themeFill="text1" w:themeFillTint="80"/>
          </w:tcPr>
          <w:p w14:paraId="50DCCDE0" w14:textId="6E93BBDA" w:rsidR="00E66111" w:rsidRPr="007F63E4" w:rsidRDefault="00E66111" w:rsidP="003C161C">
            <w:pPr>
              <w:jc w:val="center"/>
              <w:rPr>
                <w:color w:val="FFFFFF" w:themeColor="background1"/>
              </w:rPr>
            </w:pPr>
            <w:r>
              <w:rPr>
                <w:color w:val="FFFFFF" w:themeColor="background1"/>
              </w:rPr>
              <w:t>(4,1) %</w:t>
            </w:r>
          </w:p>
        </w:tc>
      </w:tr>
      <w:tr w:rsidR="00E66111" w:rsidRPr="00FF37E0" w14:paraId="50BB9CAA" w14:textId="77777777" w:rsidTr="00B72ACE">
        <w:tc>
          <w:tcPr>
            <w:tcW w:w="5353" w:type="dxa"/>
            <w:shd w:val="clear" w:color="auto" w:fill="999772" w:themeFill="text2" w:themeFillTint="99"/>
          </w:tcPr>
          <w:p w14:paraId="30173FA9" w14:textId="77777777" w:rsidR="00E66111" w:rsidRDefault="00E66111" w:rsidP="003C161C">
            <w:pPr>
              <w:rPr>
                <w:color w:val="FFFFFF" w:themeColor="background1"/>
              </w:rPr>
            </w:pPr>
          </w:p>
        </w:tc>
        <w:tc>
          <w:tcPr>
            <w:tcW w:w="1134" w:type="dxa"/>
            <w:shd w:val="clear" w:color="auto" w:fill="7F7F7F" w:themeFill="text1" w:themeFillTint="80"/>
          </w:tcPr>
          <w:p w14:paraId="06F2078C" w14:textId="77777777" w:rsidR="00E66111" w:rsidRPr="007F63E4" w:rsidRDefault="00E66111" w:rsidP="003C161C">
            <w:pPr>
              <w:jc w:val="center"/>
              <w:rPr>
                <w:color w:val="FFFFFF" w:themeColor="background1"/>
              </w:rPr>
            </w:pPr>
          </w:p>
        </w:tc>
        <w:tc>
          <w:tcPr>
            <w:tcW w:w="2126" w:type="dxa"/>
            <w:shd w:val="clear" w:color="auto" w:fill="7F7F7F" w:themeFill="text1" w:themeFillTint="80"/>
          </w:tcPr>
          <w:p w14:paraId="0E182E79" w14:textId="77777777" w:rsidR="00E66111" w:rsidRPr="007F63E4" w:rsidRDefault="00E66111" w:rsidP="003C161C">
            <w:pPr>
              <w:jc w:val="center"/>
              <w:rPr>
                <w:color w:val="FFFFFF" w:themeColor="background1"/>
              </w:rPr>
            </w:pPr>
          </w:p>
        </w:tc>
      </w:tr>
      <w:tr w:rsidR="00E66111" w:rsidRPr="00FF37E0" w14:paraId="184E37A8" w14:textId="77777777" w:rsidTr="00B72ACE">
        <w:tc>
          <w:tcPr>
            <w:tcW w:w="5353" w:type="dxa"/>
            <w:shd w:val="clear" w:color="auto" w:fill="999772" w:themeFill="text2" w:themeFillTint="99"/>
          </w:tcPr>
          <w:p w14:paraId="0F62E10F" w14:textId="2DA11D1C" w:rsidR="00E66111" w:rsidRPr="007F63E4" w:rsidRDefault="00E66111" w:rsidP="003C161C">
            <w:pPr>
              <w:rPr>
                <w:color w:val="FFFFFF" w:themeColor="background1"/>
              </w:rPr>
            </w:pPr>
            <w:r>
              <w:rPr>
                <w:color w:val="FFFFFF" w:themeColor="background1"/>
              </w:rPr>
              <w:t>Rendement net (avant impôt)</w:t>
            </w:r>
          </w:p>
        </w:tc>
        <w:tc>
          <w:tcPr>
            <w:tcW w:w="1134" w:type="dxa"/>
            <w:shd w:val="clear" w:color="auto" w:fill="7F7F7F" w:themeFill="text1" w:themeFillTint="80"/>
          </w:tcPr>
          <w:p w14:paraId="5F60A5BC" w14:textId="454A4D65" w:rsidR="00E66111" w:rsidRPr="007F63E4" w:rsidRDefault="00E66111" w:rsidP="003C161C">
            <w:pPr>
              <w:jc w:val="center"/>
              <w:rPr>
                <w:color w:val="FFFFFF" w:themeColor="background1"/>
              </w:rPr>
            </w:pPr>
            <w:r>
              <w:rPr>
                <w:color w:val="FFFFFF" w:themeColor="background1"/>
              </w:rPr>
              <w:t>6,58 %</w:t>
            </w:r>
          </w:p>
        </w:tc>
        <w:tc>
          <w:tcPr>
            <w:tcW w:w="2126" w:type="dxa"/>
            <w:shd w:val="clear" w:color="auto" w:fill="7F7F7F" w:themeFill="text1" w:themeFillTint="80"/>
          </w:tcPr>
          <w:p w14:paraId="19C2FA5C" w14:textId="68C0B7B9" w:rsidR="00E66111" w:rsidRPr="007F63E4" w:rsidRDefault="00E66111" w:rsidP="003C161C">
            <w:pPr>
              <w:jc w:val="center"/>
              <w:rPr>
                <w:color w:val="FFFFFF" w:themeColor="background1"/>
              </w:rPr>
            </w:pPr>
            <w:r>
              <w:rPr>
                <w:color w:val="FFFFFF" w:themeColor="background1"/>
              </w:rPr>
              <w:t>3,26 %</w:t>
            </w:r>
          </w:p>
        </w:tc>
      </w:tr>
    </w:tbl>
    <w:p w14:paraId="63DDE6DF" w14:textId="3A839D44" w:rsidR="00972AA1" w:rsidRDefault="003C161C" w:rsidP="00464B08">
      <w:pPr>
        <w:jc w:val="both"/>
      </w:pPr>
      <w:r>
        <w:t>Ce tableau illustre plusieurs notions importantes et utiles lorsque nous devons porter un jugement sur la performance de nos placements. Tout d'abord, le chiffre qui est normalement utilisé pour séduire les investisseur</w:t>
      </w:r>
      <w:r w:rsidR="00464B08">
        <w:t>s</w:t>
      </w:r>
      <w:r>
        <w:t xml:space="preserve"> est bien sûr le plus élevé, celui qui ne tient pas compte des fra</w:t>
      </w:r>
      <w:r w:rsidR="00464B08">
        <w:t>i</w:t>
      </w:r>
      <w:r>
        <w:t>s de gestion</w:t>
      </w:r>
      <w:r w:rsidR="00464B08">
        <w:t xml:space="preserve"> et de l'inflation. Il va de soi que les frais de gestion se doivent d'être retranchés puisque c'est le coût que vous déboursez pour obtenir une expertise qui contribue à maximiser votre rendement. L'autre facteur qui est souvent ignoré est le niveau d'inflation. Bien que nous </w:t>
      </w:r>
      <w:proofErr w:type="gramStart"/>
      <w:r w:rsidR="00464B08">
        <w:t>n'avons</w:t>
      </w:r>
      <w:proofErr w:type="gramEnd"/>
      <w:r w:rsidR="00464B08">
        <w:t xml:space="preserve"> pas de contrôle sur celui-ci, il dresse le seuil à partir duquel l'investisseur peut espérer obtenir un enrichissement de</w:t>
      </w:r>
      <w:r>
        <w:t xml:space="preserve"> </w:t>
      </w:r>
      <w:r w:rsidR="00464B08">
        <w:t xml:space="preserve">son capital. Dit autrement, un individu extrêmement conservateur (même en début de vie active), qui aurait obtenu un rendement annualisé de 3 % au cours des 50 dernières années aurait perdu de </w:t>
      </w:r>
      <w:r w:rsidR="00464B08">
        <w:lastRenderedPageBreak/>
        <w:t>son pouvoir d'achat à même son capital investi durant toutes ces années.</w:t>
      </w:r>
      <w:r w:rsidR="00653ECF">
        <w:t xml:space="preserve"> En tenant compte de la diversification des types d'actif (dans le tableau il n'est question que d'actions), nous pouvons prétendre, sur une longue période, qu'un rendement après inflation entre 2 % et 5 % est raisonnable. Tout</w:t>
      </w:r>
      <w:r w:rsidR="00D139DC">
        <w:t>e</w:t>
      </w:r>
      <w:r w:rsidR="00653ECF">
        <w:t xml:space="preserve"> offre de gestion de portefeuille qui s'éloigne considérablement de ces </w:t>
      </w:r>
      <w:r w:rsidR="00AD742E">
        <w:rPr>
          <w:noProof/>
          <w:lang w:eastAsia="fr-FR"/>
        </w:rPr>
        <mc:AlternateContent>
          <mc:Choice Requires="wps">
            <w:drawing>
              <wp:anchor distT="0" distB="0" distL="114300" distR="114300" simplePos="0" relativeHeight="253368320" behindDoc="0" locked="0" layoutInCell="1" allowOverlap="1" wp14:anchorId="0236864A" wp14:editId="0BF59696">
                <wp:simplePos x="0" y="0"/>
                <wp:positionH relativeFrom="column">
                  <wp:posOffset>5486400</wp:posOffset>
                </wp:positionH>
                <wp:positionV relativeFrom="paragraph">
                  <wp:posOffset>914400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5" name="Ellipse 925"/>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9658C6A" w14:textId="4FEFBB78" w:rsidR="00573C95" w:rsidRDefault="00573C95" w:rsidP="00AD742E">
                            <w:pPr>
                              <w:jc w:val="center"/>
                            </w:pPr>
                            <w:r>
                              <w:rPr>
                                <w:color w:val="000000" w:themeColor="text1"/>
                                <w:sz w:val="36"/>
                                <w:szCs w:val="36"/>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25" o:spid="_x0000_s1612" style="position:absolute;left:0;text-align:left;margin-left:6in;margin-top:1in;width:54pt;height:54pt;z-index:2533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" fillcolor="#82f2ff" strokecolor="black [3213]">
                <v:textbox>
                  <w:txbxContent>
                    <w:p w14:paraId="09658C6A" w14:textId="4FEFBB78" w:rsidR="001501D6" w:rsidRDefault="001501D6" w:rsidP="00AD742E">
                      <w:pPr>
                        <w:jc w:val="center"/>
                      </w:pPr>
                      <w:r>
                        <w:rPr>
                          <w:color w:val="000000" w:themeColor="text1"/>
                          <w:sz w:val="36"/>
                          <w:szCs w:val="36"/>
                        </w:rPr>
                        <w:t>5</w:t>
                      </w:r>
                    </w:p>
                  </w:txbxContent>
                </v:textbox>
                <w10:wrap type="through"/>
              </v:oval>
            </w:pict>
          </mc:Fallback>
        </mc:AlternateContent>
      </w:r>
      <w:r w:rsidR="00653ECF">
        <w:t>fourchettes devrait être accueillie avec la plus grande prudence.</w:t>
      </w:r>
    </w:p>
    <w:p w14:paraId="1C326F3B" w14:textId="6FF62E04" w:rsidR="003C161C" w:rsidRDefault="003C161C" w:rsidP="00B02630"/>
    <w:p w14:paraId="55E1DA89" w14:textId="4E069504" w:rsidR="003C161C" w:rsidRDefault="003C161C" w:rsidP="00B02630"/>
    <w:p w14:paraId="0B4D5947" w14:textId="0C54D2EA" w:rsidR="00C97991" w:rsidRPr="005D7995" w:rsidRDefault="00C97991" w:rsidP="006C34CF">
      <w:pPr>
        <w:pStyle w:val="Paragraphedeliste"/>
        <w:numPr>
          <w:ilvl w:val="0"/>
          <w:numId w:val="126"/>
        </w:numPr>
        <w:rPr>
          <w:sz w:val="36"/>
          <w:szCs w:val="36"/>
        </w:rPr>
      </w:pPr>
      <w:r w:rsidRPr="005D7995">
        <w:rPr>
          <w:sz w:val="36"/>
          <w:szCs w:val="36"/>
        </w:rPr>
        <w:t>Investissez dans ce que vous comprenez</w:t>
      </w:r>
    </w:p>
    <w:p w14:paraId="3F35745B" w14:textId="77777777" w:rsidR="00826D91" w:rsidRDefault="00826D91" w:rsidP="00B02630"/>
    <w:p w14:paraId="7938D8E4" w14:textId="7111000F" w:rsidR="00E66111" w:rsidRDefault="003D015D" w:rsidP="003D015D">
      <w:pPr>
        <w:jc w:val="both"/>
      </w:pPr>
      <w:r>
        <w:t>Ici, nous allons pig</w:t>
      </w:r>
      <w:r w:rsidR="00D139DC">
        <w:t>er</w:t>
      </w:r>
      <w:r>
        <w:t xml:space="preserve"> dans le carnet de jeu de l'Oracle d</w:t>
      </w:r>
      <w:r w:rsidR="00D139DC">
        <w:t>'</w:t>
      </w:r>
      <w:r>
        <w:t xml:space="preserve">Omaha, Warren Buffet et vous conseillez de n'investir que dans des </w:t>
      </w:r>
      <w:r w:rsidRPr="003D015D">
        <w:t>entreprise</w:t>
      </w:r>
      <w:r>
        <w:t>s</w:t>
      </w:r>
      <w:r w:rsidRPr="003D015D">
        <w:t xml:space="preserve"> </w:t>
      </w:r>
      <w:r>
        <w:t xml:space="preserve">que </w:t>
      </w:r>
      <w:r w:rsidR="004A7174" w:rsidRPr="004A7174">
        <w:rPr>
          <w:color w:val="FF6700" w:themeColor="accent3"/>
        </w:rPr>
        <w:t>VOUS COMPRENEZ</w:t>
      </w:r>
      <w:r w:rsidRPr="003D015D">
        <w:t xml:space="preserve">. </w:t>
      </w:r>
      <w:r>
        <w:t xml:space="preserve">Il suffit </w:t>
      </w:r>
      <w:r w:rsidRPr="003D015D">
        <w:t>de trouver une bonne entreprise bien gérée avec une activité</w:t>
      </w:r>
      <w:r>
        <w:t xml:space="preserve"> et des produits ou services</w:t>
      </w:r>
      <w:r w:rsidRPr="003D015D">
        <w:t xml:space="preserve"> facilement compréhensible</w:t>
      </w:r>
      <w:r>
        <w:t>s</w:t>
      </w:r>
      <w:r w:rsidRPr="003D015D">
        <w:t xml:space="preserve"> dont la valeur est </w:t>
      </w:r>
      <w:r>
        <w:t xml:space="preserve">moindre de </w:t>
      </w:r>
      <w:r w:rsidRPr="003D015D">
        <w:t>ce qu’elle devrait être.</w:t>
      </w:r>
      <w:r>
        <w:t xml:space="preserve"> </w:t>
      </w:r>
      <w:r w:rsidR="00E16400">
        <w:t>Cet excès de gros bon sens n'est pas sans intérêt.</w:t>
      </w:r>
      <w:r>
        <w:t xml:space="preserve"> Cette mise en garde s'applique également </w:t>
      </w:r>
      <w:r w:rsidR="00E16400">
        <w:t>aux</w:t>
      </w:r>
      <w:r>
        <w:t xml:space="preserve"> types d'actif </w:t>
      </w:r>
      <w:r w:rsidR="00E16400">
        <w:t xml:space="preserve">financier qui se démarquerait par leur innovation et complexité </w:t>
      </w:r>
      <w:r>
        <w:t>et dont les comportements s</w:t>
      </w:r>
      <w:r w:rsidR="00E16400">
        <w:t>eraient</w:t>
      </w:r>
      <w:r>
        <w:t xml:space="preserve"> imprévisibles</w:t>
      </w:r>
      <w:r w:rsidR="00E16400">
        <w:t xml:space="preserve"> (peu ou pas de recul historique)</w:t>
      </w:r>
      <w:r>
        <w:t>.</w:t>
      </w:r>
    </w:p>
    <w:p w14:paraId="14E5A0C9" w14:textId="7E097F3C" w:rsidR="00E66111" w:rsidRDefault="000460FF" w:rsidP="00B02630">
      <w:r>
        <w:rPr>
          <w:noProof/>
          <w:lang w:eastAsia="fr-FR"/>
        </w:rPr>
        <mc:AlternateContent>
          <mc:Choice Requires="wps">
            <w:drawing>
              <wp:anchor distT="0" distB="0" distL="114300" distR="114300" simplePos="0" relativeHeight="253366272" behindDoc="0" locked="0" layoutInCell="1" allowOverlap="1" wp14:anchorId="7883C997" wp14:editId="179CDB3E">
                <wp:simplePos x="0" y="0"/>
                <wp:positionH relativeFrom="column">
                  <wp:posOffset>7543800</wp:posOffset>
                </wp:positionH>
                <wp:positionV relativeFrom="paragraph">
                  <wp:posOffset>75565</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4" name="Ellipse 924"/>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5FD3E70" w14:textId="7671DE2E" w:rsidR="00573C95" w:rsidRDefault="00573C95" w:rsidP="000460FF">
                            <w:pPr>
                              <w:jc w:val="center"/>
                            </w:pPr>
                            <w:r>
                              <w:rPr>
                                <w:color w:val="000000" w:themeColor="text1"/>
                                <w:sz w:val="36"/>
                                <w:szCs w:val="36"/>
                              </w:rPr>
                              <w:t>6</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24" o:spid="_x0000_s1613" style="position:absolute;margin-left:594pt;margin-top:5.95pt;width:54pt;height:54pt;z-index:2533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" fillcolor="#82f2ff" strokecolor="black [3213]">
                <v:textbox>
                  <w:txbxContent>
                    <w:p w14:paraId="35FD3E70" w14:textId="7671DE2E" w:rsidR="001501D6" w:rsidRDefault="001501D6" w:rsidP="000460FF">
                      <w:pPr>
                        <w:jc w:val="center"/>
                      </w:pPr>
                      <w:r>
                        <w:rPr>
                          <w:color w:val="000000" w:themeColor="text1"/>
                          <w:sz w:val="36"/>
                          <w:szCs w:val="36"/>
                        </w:rPr>
                        <w:t>6</w:t>
                      </w:r>
                    </w:p>
                  </w:txbxContent>
                </v:textbox>
                <w10:wrap type="through"/>
              </v:oval>
            </w:pict>
          </mc:Fallback>
        </mc:AlternateContent>
      </w:r>
    </w:p>
    <w:p w14:paraId="2638ED4F" w14:textId="6306638C" w:rsidR="00E66111" w:rsidRDefault="00E66111" w:rsidP="00B02630"/>
    <w:p w14:paraId="49D47E8F" w14:textId="743DB303" w:rsidR="00EE3B6F" w:rsidRPr="005D7995" w:rsidRDefault="00EE3B6F" w:rsidP="006C34CF">
      <w:pPr>
        <w:pStyle w:val="Paragraphedeliste"/>
        <w:numPr>
          <w:ilvl w:val="0"/>
          <w:numId w:val="126"/>
        </w:numPr>
        <w:rPr>
          <w:sz w:val="36"/>
          <w:szCs w:val="36"/>
        </w:rPr>
      </w:pPr>
      <w:r w:rsidRPr="005D7995">
        <w:rPr>
          <w:sz w:val="36"/>
          <w:szCs w:val="36"/>
        </w:rPr>
        <w:t>Connaissez le</w:t>
      </w:r>
      <w:r w:rsidR="005D7995">
        <w:rPr>
          <w:sz w:val="36"/>
          <w:szCs w:val="36"/>
        </w:rPr>
        <w:t xml:space="preserve">s </w:t>
      </w:r>
      <w:r w:rsidR="004A7174">
        <w:rPr>
          <w:sz w:val="36"/>
          <w:szCs w:val="36"/>
        </w:rPr>
        <w:t>coûts</w:t>
      </w:r>
      <w:r w:rsidR="005D7995">
        <w:rPr>
          <w:sz w:val="36"/>
          <w:szCs w:val="36"/>
        </w:rPr>
        <w:t xml:space="preserve"> de gestion associés à votre portefeuille</w:t>
      </w:r>
    </w:p>
    <w:p w14:paraId="00BDADA4" w14:textId="77777777" w:rsidR="00826D91" w:rsidRDefault="00826D91" w:rsidP="00B02630"/>
    <w:p w14:paraId="0D7536A6" w14:textId="2BD38232" w:rsidR="004A7174" w:rsidRDefault="00F77125" w:rsidP="00774E7B">
      <w:pPr>
        <w:jc w:val="both"/>
      </w:pPr>
      <w:r>
        <w:t>Beaucoup trop d'épargnants n'ont pas la moindre idée d</w:t>
      </w:r>
      <w:r w:rsidR="004A7174">
        <w:t>e l'ensemble d</w:t>
      </w:r>
      <w:r>
        <w:t xml:space="preserve">u </w:t>
      </w:r>
      <w:r w:rsidR="004A7174" w:rsidRPr="004A7174">
        <w:rPr>
          <w:color w:val="FF6700" w:themeColor="accent3"/>
        </w:rPr>
        <w:t>COÛT DE GESTION</w:t>
      </w:r>
      <w:r>
        <w:t xml:space="preserve"> qui </w:t>
      </w:r>
      <w:r w:rsidR="004A7174">
        <w:t xml:space="preserve">est </w:t>
      </w:r>
      <w:r>
        <w:t>associé à leur portefeuille de placement. Pire, ils ne savent pas</w:t>
      </w:r>
      <w:r w:rsidR="00774E7B">
        <w:t xml:space="preserve"> d</w:t>
      </w:r>
      <w:r>
        <w:t>e quelle façon ces frais sont déterminés. Imaginons alors, combien docile ceux-ci dev</w:t>
      </w:r>
      <w:r w:rsidR="00774E7B">
        <w:t>iennent et peu enclin à connaître les alternatives et les offres concurrentielles.</w:t>
      </w:r>
      <w:r>
        <w:t xml:space="preserve"> </w:t>
      </w:r>
      <w:r w:rsidR="00774E7B">
        <w:t>Pourtant, on le sait, certain</w:t>
      </w:r>
      <w:r w:rsidR="00D139DC">
        <w:t>s</w:t>
      </w:r>
      <w:r w:rsidR="00774E7B">
        <w:t xml:space="preserve"> d'entre eux seront prêt</w:t>
      </w:r>
      <w:r w:rsidR="00D139DC">
        <w:t>s</w:t>
      </w:r>
      <w:r w:rsidR="00774E7B">
        <w:t xml:space="preserve"> à bien des détours pour trouver la livre de boeuf haché la moins ch</w:t>
      </w:r>
      <w:r w:rsidR="00D139DC">
        <w:t>ère</w:t>
      </w:r>
      <w:r w:rsidR="00774E7B">
        <w:t xml:space="preserve"> en ville! </w:t>
      </w:r>
      <w:r w:rsidR="00A4221D">
        <w:t>Il existe de nombreuses composantes au coût de gestion de votre portefeuille</w:t>
      </w:r>
      <w:r w:rsidR="004A7174">
        <w:t>:</w:t>
      </w:r>
    </w:p>
    <w:p w14:paraId="5B65D5A8" w14:textId="72293910" w:rsidR="004A7174" w:rsidRDefault="004A7174" w:rsidP="00774E7B">
      <w:pPr>
        <w:jc w:val="both"/>
      </w:pPr>
    </w:p>
    <w:p w14:paraId="7AF7B215" w14:textId="79E6ABE6" w:rsidR="004A7174" w:rsidRDefault="004A7174" w:rsidP="006C34CF">
      <w:pPr>
        <w:pStyle w:val="Paragraphedeliste"/>
        <w:numPr>
          <w:ilvl w:val="1"/>
          <w:numId w:val="126"/>
        </w:numPr>
        <w:jc w:val="both"/>
      </w:pPr>
      <w:r>
        <w:t>Honoraire de gestion de votre portefeuille</w:t>
      </w:r>
    </w:p>
    <w:p w14:paraId="6C3E4AB3" w14:textId="050ACA2D" w:rsidR="004A7174" w:rsidRDefault="004A7174" w:rsidP="006C34CF">
      <w:pPr>
        <w:pStyle w:val="Paragraphedeliste"/>
        <w:numPr>
          <w:ilvl w:val="1"/>
          <w:numId w:val="126"/>
        </w:numPr>
        <w:jc w:val="both"/>
      </w:pPr>
      <w:r>
        <w:t>Frais de gestion associé à la détention des fonds communs de placement</w:t>
      </w:r>
    </w:p>
    <w:p w14:paraId="0D9AF5F3" w14:textId="77777777" w:rsidR="004A7174" w:rsidRDefault="004A7174" w:rsidP="006C34CF">
      <w:pPr>
        <w:pStyle w:val="Paragraphedeliste"/>
        <w:numPr>
          <w:ilvl w:val="1"/>
          <w:numId w:val="126"/>
        </w:numPr>
        <w:jc w:val="both"/>
      </w:pPr>
      <w:r>
        <w:t>Frais de transaction</w:t>
      </w:r>
    </w:p>
    <w:p w14:paraId="292DA904" w14:textId="77777777" w:rsidR="004A7174" w:rsidRDefault="004A7174" w:rsidP="006C34CF">
      <w:pPr>
        <w:pStyle w:val="Paragraphedeliste"/>
        <w:numPr>
          <w:ilvl w:val="1"/>
          <w:numId w:val="126"/>
        </w:numPr>
        <w:jc w:val="both"/>
      </w:pPr>
      <w:r>
        <w:t>Frais de sortie</w:t>
      </w:r>
    </w:p>
    <w:p w14:paraId="215D9A48" w14:textId="0E3E7758" w:rsidR="004A7174" w:rsidRDefault="004A7174" w:rsidP="006C34CF">
      <w:pPr>
        <w:pStyle w:val="Paragraphedeliste"/>
        <w:numPr>
          <w:ilvl w:val="1"/>
          <w:numId w:val="126"/>
        </w:numPr>
        <w:jc w:val="both"/>
      </w:pPr>
      <w:r>
        <w:t xml:space="preserve">Autres </w:t>
      </w:r>
    </w:p>
    <w:p w14:paraId="5E9D92F1" w14:textId="312D677C" w:rsidR="00E16400" w:rsidRDefault="00A4221D" w:rsidP="00774E7B">
      <w:pPr>
        <w:jc w:val="both"/>
      </w:pPr>
      <w:r>
        <w:lastRenderedPageBreak/>
        <w:t xml:space="preserve">Il est important de les </w:t>
      </w:r>
      <w:r w:rsidR="004A7174">
        <w:t>décortiquer avec votre conseiller de placement et de les comparer avec ce que le marché propose.  Une réduction de pourcentage des coûts ou l'établissement d'un mode de calcul qui vous est plus favorable peuvent faire une énorme différence compte tenu de la longue durée de détention de votre portefeuille de placement.</w:t>
      </w:r>
    </w:p>
    <w:p w14:paraId="5E1B128C" w14:textId="24078485" w:rsidR="00E16400" w:rsidRDefault="000460FF" w:rsidP="00774E7B">
      <w:pPr>
        <w:jc w:val="both"/>
      </w:pPr>
      <w:r>
        <w:rPr>
          <w:noProof/>
          <w:lang w:eastAsia="fr-FR"/>
        </w:rPr>
        <mc:AlternateContent>
          <mc:Choice Requires="wps">
            <w:drawing>
              <wp:anchor distT="0" distB="0" distL="114300" distR="114300" simplePos="0" relativeHeight="253364224" behindDoc="0" locked="0" layoutInCell="1" allowOverlap="1" wp14:anchorId="06A764FC" wp14:editId="62F42FF9">
                <wp:simplePos x="0" y="0"/>
                <wp:positionH relativeFrom="column">
                  <wp:posOffset>5943600</wp:posOffset>
                </wp:positionH>
                <wp:positionV relativeFrom="paragraph">
                  <wp:posOffset>52705</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3" name="Ellipse 923"/>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52C03D2" w14:textId="7A29F086" w:rsidR="00573C95" w:rsidRDefault="00573C95" w:rsidP="000460FF">
                            <w:pPr>
                              <w:jc w:val="center"/>
                            </w:pPr>
                            <w:r>
                              <w:rPr>
                                <w:color w:val="000000" w:themeColor="text1"/>
                                <w:sz w:val="36"/>
                                <w:szCs w:val="36"/>
                              </w:rPr>
                              <w:t>7</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23" o:spid="_x0000_s1614" style="position:absolute;left:0;text-align:left;margin-left:468pt;margin-top:4.15pt;width:54pt;height:54pt;z-index:2533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" fillcolor="#82f2ff" strokecolor="black [3213]">
                <v:textbox>
                  <w:txbxContent>
                    <w:p w14:paraId="352C03D2" w14:textId="7A29F086" w:rsidR="001501D6" w:rsidRDefault="001501D6" w:rsidP="000460FF">
                      <w:pPr>
                        <w:jc w:val="center"/>
                      </w:pPr>
                      <w:r>
                        <w:rPr>
                          <w:color w:val="000000" w:themeColor="text1"/>
                          <w:sz w:val="36"/>
                          <w:szCs w:val="36"/>
                        </w:rPr>
                        <w:t>7</w:t>
                      </w:r>
                    </w:p>
                  </w:txbxContent>
                </v:textbox>
                <w10:wrap type="through"/>
              </v:oval>
            </w:pict>
          </mc:Fallback>
        </mc:AlternateContent>
      </w:r>
    </w:p>
    <w:p w14:paraId="0C393A99" w14:textId="4A125FB9" w:rsidR="004A7174" w:rsidRDefault="004A7174" w:rsidP="00774E7B">
      <w:pPr>
        <w:jc w:val="both"/>
      </w:pPr>
    </w:p>
    <w:p w14:paraId="07BB133F" w14:textId="23C0519C" w:rsidR="00826D91" w:rsidRPr="005D7995" w:rsidRDefault="00AC1CAE" w:rsidP="006C34CF">
      <w:pPr>
        <w:pStyle w:val="Paragraphedeliste"/>
        <w:numPr>
          <w:ilvl w:val="0"/>
          <w:numId w:val="126"/>
        </w:numPr>
        <w:rPr>
          <w:sz w:val="36"/>
          <w:szCs w:val="36"/>
        </w:rPr>
      </w:pPr>
      <w:r w:rsidRPr="005D7995">
        <w:rPr>
          <w:sz w:val="36"/>
          <w:szCs w:val="36"/>
        </w:rPr>
        <w:t>Priorisez l'aspect financier sur l'avantage fiscal</w:t>
      </w:r>
    </w:p>
    <w:p w14:paraId="63C357F4" w14:textId="77777777" w:rsidR="00F90447" w:rsidRDefault="00F90447" w:rsidP="00826D91"/>
    <w:p w14:paraId="1546C714" w14:textId="209816CC" w:rsidR="00FC73C5" w:rsidRDefault="00FC73C5" w:rsidP="00B72ACE">
      <w:pPr>
        <w:jc w:val="both"/>
      </w:pPr>
      <w:r>
        <w:t>On entend souvent que la fiscalité et la finance vont de pair et qu'ils se jumèlent pour déterminer le rendement net d'un placement. Est-ce exact</w:t>
      </w:r>
      <w:r w:rsidRPr="00FC73C5">
        <w:rPr>
          <w:rFonts w:ascii="Avenir Book" w:hAnsi="Avenir Book"/>
        </w:rPr>
        <w:t>?</w:t>
      </w:r>
      <w:r>
        <w:t xml:space="preserve"> Y</w:t>
      </w:r>
      <w:r w:rsidR="00D139DC">
        <w:t xml:space="preserve"> </w:t>
      </w:r>
      <w:r>
        <w:t xml:space="preserve">a-t-il des nuances à apporter </w:t>
      </w:r>
      <w:r w:rsidR="00B72ACE">
        <w:t xml:space="preserve">à </w:t>
      </w:r>
      <w:r>
        <w:t>notre manière d'évaluer leurs portées</w:t>
      </w:r>
      <w:r w:rsidRPr="00FC73C5">
        <w:rPr>
          <w:rFonts w:ascii="Avenir Book" w:hAnsi="Avenir Book"/>
        </w:rPr>
        <w:t>?</w:t>
      </w:r>
      <w:r w:rsidR="00B72ACE">
        <w:rPr>
          <w:rFonts w:ascii="Avenir Book" w:hAnsi="Avenir Book"/>
        </w:rPr>
        <w:t xml:space="preserve"> </w:t>
      </w:r>
      <w:r w:rsidR="00B72ACE" w:rsidRPr="00B72ACE">
        <w:t>Dans les faits, il est vrai qu'ultimement ce qui intéresse l'investisseur c'est le rendement financier après impact fiscal et que par conséquent</w:t>
      </w:r>
      <w:r w:rsidR="00B72ACE">
        <w:t>,</w:t>
      </w:r>
      <w:r w:rsidR="00B72ACE" w:rsidRPr="00B72ACE">
        <w:t xml:space="preserve"> pour un même rendement financier</w:t>
      </w:r>
      <w:r w:rsidR="00B72ACE">
        <w:t>,</w:t>
      </w:r>
      <w:r w:rsidR="00B72ACE" w:rsidRPr="00B72ACE">
        <w:t xml:space="preserve"> il est préférable d'opter pour le placement offrant le traitement fiscal le plus clément. </w:t>
      </w:r>
      <w:r w:rsidR="00B72ACE">
        <w:t>À ce titre</w:t>
      </w:r>
      <w:r w:rsidR="00D139DC">
        <w:t>,</w:t>
      </w:r>
      <w:r w:rsidR="00B72ACE">
        <w:t xml:space="preserve"> il convient de se rappeler les taux d'imposition qui s'appliquent aux différents types de revenus de placement:</w:t>
      </w:r>
    </w:p>
    <w:p w14:paraId="53525565" w14:textId="77777777" w:rsidR="00B72ACE" w:rsidRDefault="00B72ACE" w:rsidP="00B72ACE">
      <w:pPr>
        <w:jc w:val="both"/>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5103"/>
      </w:tblGrid>
      <w:tr w:rsidR="00B72ACE" w14:paraId="53B18816" w14:textId="77777777" w:rsidTr="00B72ACE">
        <w:tc>
          <w:tcPr>
            <w:tcW w:w="4077" w:type="dxa"/>
            <w:shd w:val="clear" w:color="auto" w:fill="6BA597"/>
          </w:tcPr>
          <w:p w14:paraId="646025B1" w14:textId="7B473EE1" w:rsidR="00B72ACE" w:rsidRDefault="00B72ACE" w:rsidP="009F10CA">
            <w:pPr>
              <w:jc w:val="center"/>
            </w:pPr>
            <w:r>
              <w:t>Type de placement</w:t>
            </w:r>
          </w:p>
        </w:tc>
        <w:tc>
          <w:tcPr>
            <w:tcW w:w="5103" w:type="dxa"/>
            <w:shd w:val="clear" w:color="auto" w:fill="6BA597"/>
          </w:tcPr>
          <w:p w14:paraId="18175F59" w14:textId="72171C27" w:rsidR="00B72ACE" w:rsidRDefault="00B72ACE" w:rsidP="00B72ACE">
            <w:pPr>
              <w:jc w:val="center"/>
            </w:pPr>
            <w:r>
              <w:t>Taux d'imposition marginal maximum</w:t>
            </w:r>
            <w:r w:rsidR="009F10CA">
              <w:rPr>
                <w:rStyle w:val="Marquenotebasdepage"/>
              </w:rPr>
              <w:footnoteReference w:customMarkFollows="1" w:id="97"/>
              <w:t>96</w:t>
            </w:r>
          </w:p>
        </w:tc>
      </w:tr>
      <w:tr w:rsidR="00B72ACE" w14:paraId="2EAADD89" w14:textId="77777777" w:rsidTr="00B72ACE">
        <w:tc>
          <w:tcPr>
            <w:tcW w:w="4077" w:type="dxa"/>
            <w:shd w:val="clear" w:color="auto" w:fill="BFBFBF" w:themeFill="background1" w:themeFillShade="BF"/>
          </w:tcPr>
          <w:p w14:paraId="5CBE9B04" w14:textId="77777777" w:rsidR="00B72ACE" w:rsidRDefault="00B72ACE" w:rsidP="009F10CA">
            <w:pPr>
              <w:jc w:val="center"/>
            </w:pPr>
          </w:p>
        </w:tc>
        <w:tc>
          <w:tcPr>
            <w:tcW w:w="5103" w:type="dxa"/>
            <w:shd w:val="clear" w:color="auto" w:fill="BFBFBF" w:themeFill="background1" w:themeFillShade="BF"/>
          </w:tcPr>
          <w:p w14:paraId="2BBA8C73" w14:textId="77777777" w:rsidR="00B72ACE" w:rsidRDefault="00B72ACE" w:rsidP="009F10CA">
            <w:pPr>
              <w:jc w:val="center"/>
            </w:pPr>
          </w:p>
        </w:tc>
      </w:tr>
      <w:tr w:rsidR="00B72ACE" w14:paraId="15AA0B3F" w14:textId="77777777" w:rsidTr="00B72ACE">
        <w:tc>
          <w:tcPr>
            <w:tcW w:w="4077" w:type="dxa"/>
            <w:shd w:val="clear" w:color="auto" w:fill="A5283C"/>
          </w:tcPr>
          <w:p w14:paraId="6C01AEBA" w14:textId="61DF5C61" w:rsidR="00B72ACE" w:rsidRPr="007F63E4" w:rsidRDefault="00B72ACE" w:rsidP="00B72ACE">
            <w:pPr>
              <w:rPr>
                <w:color w:val="FFFFFF" w:themeColor="background1"/>
              </w:rPr>
            </w:pPr>
            <w:r>
              <w:rPr>
                <w:color w:val="FFFFFF" w:themeColor="background1"/>
              </w:rPr>
              <w:t>Intérêts</w:t>
            </w:r>
          </w:p>
        </w:tc>
        <w:tc>
          <w:tcPr>
            <w:tcW w:w="5103" w:type="dxa"/>
            <w:shd w:val="clear" w:color="auto" w:fill="5475A5"/>
          </w:tcPr>
          <w:p w14:paraId="637B8BAB" w14:textId="008AD75E" w:rsidR="00B72ACE" w:rsidRPr="007F63E4" w:rsidRDefault="009F10CA" w:rsidP="009F10CA">
            <w:pPr>
              <w:jc w:val="center"/>
              <w:rPr>
                <w:color w:val="FFFFFF" w:themeColor="background1"/>
              </w:rPr>
            </w:pPr>
            <w:r>
              <w:rPr>
                <w:color w:val="FFFFFF" w:themeColor="background1"/>
              </w:rPr>
              <w:t>53,3</w:t>
            </w:r>
            <w:r w:rsidR="00B72ACE" w:rsidRPr="007F63E4">
              <w:rPr>
                <w:color w:val="FFFFFF" w:themeColor="background1"/>
              </w:rPr>
              <w:t xml:space="preserve"> %</w:t>
            </w:r>
          </w:p>
        </w:tc>
      </w:tr>
      <w:tr w:rsidR="00B72ACE" w14:paraId="6D37DDFE" w14:textId="77777777" w:rsidTr="00B72ACE">
        <w:tc>
          <w:tcPr>
            <w:tcW w:w="4077" w:type="dxa"/>
            <w:shd w:val="clear" w:color="auto" w:fill="A5283C"/>
          </w:tcPr>
          <w:p w14:paraId="377E277C" w14:textId="3123BB4A" w:rsidR="00B72ACE" w:rsidRPr="007F63E4" w:rsidRDefault="00B72ACE" w:rsidP="00B72ACE">
            <w:pPr>
              <w:rPr>
                <w:color w:val="FFFFFF" w:themeColor="background1"/>
              </w:rPr>
            </w:pPr>
            <w:r>
              <w:rPr>
                <w:color w:val="FFFFFF" w:themeColor="background1"/>
              </w:rPr>
              <w:t>Gain en capital</w:t>
            </w:r>
          </w:p>
        </w:tc>
        <w:tc>
          <w:tcPr>
            <w:tcW w:w="5103" w:type="dxa"/>
            <w:shd w:val="clear" w:color="auto" w:fill="5475A5"/>
          </w:tcPr>
          <w:p w14:paraId="2E50CF92" w14:textId="0FE71278" w:rsidR="00B72ACE" w:rsidRPr="007F63E4" w:rsidRDefault="009F10CA" w:rsidP="009F10CA">
            <w:pPr>
              <w:jc w:val="center"/>
              <w:rPr>
                <w:color w:val="FFFFFF" w:themeColor="background1"/>
              </w:rPr>
            </w:pPr>
            <w:r>
              <w:rPr>
                <w:color w:val="FFFFFF" w:themeColor="background1"/>
              </w:rPr>
              <w:t>26,65</w:t>
            </w:r>
            <w:r w:rsidR="00B72ACE" w:rsidRPr="007F63E4">
              <w:rPr>
                <w:color w:val="FFFFFF" w:themeColor="background1"/>
              </w:rPr>
              <w:t xml:space="preserve"> %</w:t>
            </w:r>
          </w:p>
        </w:tc>
      </w:tr>
      <w:tr w:rsidR="00B72ACE" w14:paraId="6EB16249" w14:textId="77777777" w:rsidTr="00B72ACE">
        <w:tc>
          <w:tcPr>
            <w:tcW w:w="4077" w:type="dxa"/>
            <w:shd w:val="clear" w:color="auto" w:fill="A5283C"/>
          </w:tcPr>
          <w:p w14:paraId="134C3DD5" w14:textId="79F100E3" w:rsidR="00B72ACE" w:rsidRPr="007F63E4" w:rsidRDefault="00B72ACE" w:rsidP="00B72ACE">
            <w:pPr>
              <w:rPr>
                <w:color w:val="FFFFFF" w:themeColor="background1"/>
              </w:rPr>
            </w:pPr>
            <w:r>
              <w:rPr>
                <w:color w:val="FFFFFF" w:themeColor="background1"/>
              </w:rPr>
              <w:t>Dividendes déterminés</w:t>
            </w:r>
          </w:p>
        </w:tc>
        <w:tc>
          <w:tcPr>
            <w:tcW w:w="5103" w:type="dxa"/>
            <w:shd w:val="clear" w:color="auto" w:fill="5475A5"/>
          </w:tcPr>
          <w:p w14:paraId="6FAD8417" w14:textId="1AE25E1C" w:rsidR="00B72ACE" w:rsidRPr="007F63E4" w:rsidRDefault="009F10CA" w:rsidP="009F10CA">
            <w:pPr>
              <w:jc w:val="center"/>
              <w:rPr>
                <w:color w:val="FFFFFF" w:themeColor="background1"/>
              </w:rPr>
            </w:pPr>
            <w:r>
              <w:rPr>
                <w:color w:val="FFFFFF" w:themeColor="background1"/>
              </w:rPr>
              <w:t>39,8</w:t>
            </w:r>
            <w:r w:rsidR="00B72ACE" w:rsidRPr="007F63E4">
              <w:rPr>
                <w:color w:val="FFFFFF" w:themeColor="background1"/>
              </w:rPr>
              <w:t xml:space="preserve"> %</w:t>
            </w:r>
          </w:p>
        </w:tc>
      </w:tr>
      <w:tr w:rsidR="00B72ACE" w14:paraId="14E9C47C" w14:textId="77777777" w:rsidTr="00B72ACE">
        <w:tc>
          <w:tcPr>
            <w:tcW w:w="4077" w:type="dxa"/>
            <w:shd w:val="clear" w:color="auto" w:fill="A5283C"/>
          </w:tcPr>
          <w:p w14:paraId="26147525" w14:textId="292E7B04" w:rsidR="00B72ACE" w:rsidRPr="007F63E4" w:rsidRDefault="00B72ACE" w:rsidP="00B72ACE">
            <w:pPr>
              <w:rPr>
                <w:color w:val="FFFFFF" w:themeColor="background1"/>
              </w:rPr>
            </w:pPr>
            <w:r>
              <w:rPr>
                <w:color w:val="FFFFFF" w:themeColor="background1"/>
              </w:rPr>
              <w:t>Dividendes ordinaires</w:t>
            </w:r>
          </w:p>
        </w:tc>
        <w:tc>
          <w:tcPr>
            <w:tcW w:w="5103" w:type="dxa"/>
            <w:shd w:val="clear" w:color="auto" w:fill="5475A5"/>
          </w:tcPr>
          <w:p w14:paraId="5BDBA8DB" w14:textId="129AF119" w:rsidR="00B72ACE" w:rsidRPr="007F63E4" w:rsidRDefault="009F10CA" w:rsidP="009F10CA">
            <w:pPr>
              <w:jc w:val="center"/>
              <w:rPr>
                <w:color w:val="FFFFFF" w:themeColor="background1"/>
              </w:rPr>
            </w:pPr>
            <w:r>
              <w:rPr>
                <w:color w:val="FFFFFF" w:themeColor="background1"/>
              </w:rPr>
              <w:t xml:space="preserve">43,8 </w:t>
            </w:r>
            <w:r w:rsidR="00B72ACE" w:rsidRPr="007F63E4">
              <w:rPr>
                <w:color w:val="FFFFFF" w:themeColor="background1"/>
              </w:rPr>
              <w:t>%</w:t>
            </w:r>
          </w:p>
        </w:tc>
      </w:tr>
    </w:tbl>
    <w:p w14:paraId="6723843D" w14:textId="77777777" w:rsidR="00B72ACE" w:rsidRDefault="00B72ACE" w:rsidP="00B72ACE"/>
    <w:p w14:paraId="15B866D0" w14:textId="38826BC8" w:rsidR="00826D91" w:rsidRDefault="00EE21F7" w:rsidP="00EE21F7">
      <w:pPr>
        <w:jc w:val="both"/>
      </w:pPr>
      <w:r>
        <w:t xml:space="preserve">Pourtant la leçon qu'il faut tirer du lien qui unit la fiscalité et la finance c'est qu'il y a un ordre à appliquer lorsque l'on évalue une proposition d'investissement. Le </w:t>
      </w:r>
      <w:r w:rsidRPr="00EE21F7">
        <w:rPr>
          <w:color w:val="FF6700" w:themeColor="accent3"/>
        </w:rPr>
        <w:t>RENDEMENT FINANCIER</w:t>
      </w:r>
      <w:r>
        <w:t xml:space="preserve"> doit tout d'abord être intrinsèquement intéressant, </w:t>
      </w:r>
      <w:r w:rsidRPr="00EE21F7">
        <w:rPr>
          <w:u w:val="single"/>
        </w:rPr>
        <w:t>par la suite</w:t>
      </w:r>
      <w:r>
        <w:t xml:space="preserve"> celui-ci peut-être </w:t>
      </w:r>
      <w:proofErr w:type="gramStart"/>
      <w:r>
        <w:t>bonifié</w:t>
      </w:r>
      <w:proofErr w:type="gramEnd"/>
      <w:r>
        <w:t xml:space="preserve"> par un </w:t>
      </w:r>
      <w:r w:rsidRPr="00EE21F7">
        <w:rPr>
          <w:color w:val="FF6700" w:themeColor="accent3"/>
        </w:rPr>
        <w:t>TRAITEMENT FISCAL</w:t>
      </w:r>
      <w:r>
        <w:t xml:space="preserve"> avantageux. Une déduction fiscale de 50 % ne peut donner un rendement</w:t>
      </w:r>
      <w:r w:rsidR="006677A6">
        <w:t xml:space="preserve"> positif à un placement dont l'investissement se volatiliserait suite à la faillite de l'émetteur du titre. L'analyse financière doit toujours précéder l'analyse fiscale.</w:t>
      </w:r>
      <w:r>
        <w:t xml:space="preserve"> </w:t>
      </w:r>
    </w:p>
    <w:p w14:paraId="5D44E3D5" w14:textId="395A6EAB" w:rsidR="00EE21F7" w:rsidRDefault="00EE21F7" w:rsidP="00EE21F7">
      <w:pPr>
        <w:jc w:val="both"/>
      </w:pPr>
    </w:p>
    <w:p w14:paraId="3002E4A9" w14:textId="1064B128" w:rsidR="001378AF" w:rsidRPr="005D7995" w:rsidRDefault="000460FF" w:rsidP="006C34CF">
      <w:pPr>
        <w:pStyle w:val="Paragraphedeliste"/>
        <w:numPr>
          <w:ilvl w:val="0"/>
          <w:numId w:val="126"/>
        </w:numPr>
        <w:rPr>
          <w:sz w:val="36"/>
          <w:szCs w:val="36"/>
        </w:rPr>
      </w:pPr>
      <w:r>
        <w:rPr>
          <w:noProof/>
          <w:lang w:eastAsia="fr-FR"/>
        </w:rPr>
        <w:lastRenderedPageBreak/>
        <mc:AlternateContent>
          <mc:Choice Requires="wps">
            <w:drawing>
              <wp:anchor distT="0" distB="0" distL="114300" distR="114300" simplePos="0" relativeHeight="253362176" behindDoc="0" locked="0" layoutInCell="1" allowOverlap="1" wp14:anchorId="3247EA19" wp14:editId="01ED072E">
                <wp:simplePos x="0" y="0"/>
                <wp:positionH relativeFrom="column">
                  <wp:posOffset>6515100</wp:posOffset>
                </wp:positionH>
                <wp:positionV relativeFrom="paragraph">
                  <wp:posOffset>-342900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2" name="Ellipse 922"/>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EFB5AAF" w14:textId="11A65588" w:rsidR="00573C95" w:rsidRDefault="00573C95" w:rsidP="000460FF">
                            <w:pPr>
                              <w:jc w:val="center"/>
                            </w:pPr>
                            <w:r>
                              <w:rPr>
                                <w:color w:val="000000" w:themeColor="text1"/>
                                <w:sz w:val="36"/>
                                <w:szCs w:val="36"/>
                              </w:rPr>
                              <w:t>8</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22" o:spid="_x0000_s1615" style="position:absolute;left:0;text-align:left;margin-left:513pt;margin-top:-26.95pt;width:54pt;height:54pt;z-index:2533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" fillcolor="#82f2ff" strokecolor="black [3213]">
                <v:textbox>
                  <w:txbxContent>
                    <w:p w14:paraId="7EFB5AAF" w14:textId="11A65588" w:rsidR="001501D6" w:rsidRDefault="001501D6" w:rsidP="000460FF">
                      <w:pPr>
                        <w:jc w:val="center"/>
                      </w:pPr>
                      <w:r>
                        <w:rPr>
                          <w:color w:val="000000" w:themeColor="text1"/>
                          <w:sz w:val="36"/>
                          <w:szCs w:val="36"/>
                        </w:rPr>
                        <w:t>8</w:t>
                      </w:r>
                    </w:p>
                  </w:txbxContent>
                </v:textbox>
                <w10:wrap type="through"/>
              </v:oval>
            </w:pict>
          </mc:Fallback>
        </mc:AlternateContent>
      </w:r>
      <w:r w:rsidR="001378AF" w:rsidRPr="005D7995">
        <w:rPr>
          <w:sz w:val="36"/>
          <w:szCs w:val="36"/>
        </w:rPr>
        <w:t>Mettez l'emphase (aussi) sur le coût de vos achats</w:t>
      </w:r>
    </w:p>
    <w:p w14:paraId="4CC18E2F" w14:textId="77777777" w:rsidR="001378AF" w:rsidRDefault="001378AF" w:rsidP="001378AF">
      <w:pPr>
        <w:ind w:left="705"/>
      </w:pPr>
    </w:p>
    <w:p w14:paraId="1A6E991A" w14:textId="22AA1304" w:rsidR="00FA6624" w:rsidRDefault="00FA6624" w:rsidP="00FA6624">
      <w:pPr>
        <w:jc w:val="both"/>
      </w:pPr>
      <w:r>
        <w:t xml:space="preserve">Lorsqu'il s'agit de faire des transactions boursières, de faire des choix quant aux titres à acheter ou à vendre, une très grande </w:t>
      </w:r>
      <w:r w:rsidR="00A01B64">
        <w:t>considération</w:t>
      </w:r>
      <w:r>
        <w:t xml:space="preserve"> est portée </w:t>
      </w:r>
      <w:r w:rsidR="00A01B64">
        <w:t>au</w:t>
      </w:r>
      <w:r>
        <w:t xml:space="preserve"> prix de vente qui est perçu au moment de la disposition du titre. Puisqu'il s'agit de la dernière étape à la matérialisation de ce que l'on espèrera être un gain, cette étape </w:t>
      </w:r>
      <w:r w:rsidR="00A01B64">
        <w:t>capte</w:t>
      </w:r>
      <w:r>
        <w:t xml:space="preserve"> toute l'attention</w:t>
      </w:r>
      <w:r w:rsidR="00A01B64">
        <w:t xml:space="preserve"> de l'investisseur</w:t>
      </w:r>
      <w:r>
        <w:t xml:space="preserve">. Pourtant le profit se définit par l'opposition, certes, du prix obtenu lors de la vente, mais aussi le </w:t>
      </w:r>
      <w:r w:rsidRPr="00FA6624">
        <w:rPr>
          <w:color w:val="FF6700" w:themeColor="accent3"/>
        </w:rPr>
        <w:t xml:space="preserve">COÛT ASSUMÉ LORS DE L'ACHAT </w:t>
      </w:r>
      <w:r>
        <w:t>du titre.</w:t>
      </w:r>
      <w:r w:rsidR="00A01B64">
        <w:t xml:space="preserve"> Il est donc tout aussi important d'être vigilant</w:t>
      </w:r>
      <w:r w:rsidR="00C0381E">
        <w:t xml:space="preserve"> et analytique lorsque vient le temps d'acheter un nouveau titre. Achetez </w:t>
      </w:r>
      <w:r w:rsidR="00D406C0">
        <w:t>les titres qui se font discrets</w:t>
      </w:r>
      <w:r w:rsidR="00C0381E">
        <w:t xml:space="preserve"> plutôt que la saveur du jour, profitez des marchés lorsqu'ils sont à la baisse</w:t>
      </w:r>
      <w:r w:rsidR="00D406C0">
        <w:t xml:space="preserve"> et tire</w:t>
      </w:r>
      <w:r w:rsidR="00A6350D">
        <w:t>z</w:t>
      </w:r>
      <w:r w:rsidR="00D406C0">
        <w:t xml:space="preserve"> avantage du rabais accordé aux "perdants".</w:t>
      </w:r>
      <w:r>
        <w:t xml:space="preserve">  </w:t>
      </w:r>
    </w:p>
    <w:p w14:paraId="7970AF19" w14:textId="6454D428" w:rsidR="00D9784A" w:rsidRDefault="00D9784A" w:rsidP="00FA6624">
      <w:pPr>
        <w:jc w:val="both"/>
      </w:pPr>
    </w:p>
    <w:p w14:paraId="72FA3A9B" w14:textId="05997E4D" w:rsidR="00D9784A" w:rsidRDefault="00D9784A" w:rsidP="00FA6624">
      <w:pPr>
        <w:jc w:val="both"/>
      </w:pPr>
    </w:p>
    <w:p w14:paraId="16BE4B5A" w14:textId="489A3AF7" w:rsidR="00D9784A" w:rsidRDefault="00D9784A" w:rsidP="00FA6624">
      <w:pPr>
        <w:jc w:val="both"/>
      </w:pPr>
      <w:r>
        <w:rPr>
          <w:noProof/>
          <w:lang w:eastAsia="fr-FR"/>
        </w:rPr>
        <mc:AlternateContent>
          <mc:Choice Requires="wps">
            <w:drawing>
              <wp:anchor distT="0" distB="0" distL="114300" distR="114300" simplePos="0" relativeHeight="253350912" behindDoc="0" locked="0" layoutInCell="1" allowOverlap="1" wp14:anchorId="5FD4F69C" wp14:editId="1038B764">
                <wp:simplePos x="0" y="0"/>
                <wp:positionH relativeFrom="column">
                  <wp:posOffset>228600</wp:posOffset>
                </wp:positionH>
                <wp:positionV relativeFrom="paragraph">
                  <wp:posOffset>22860</wp:posOffset>
                </wp:positionV>
                <wp:extent cx="5029200" cy="571500"/>
                <wp:effectExtent l="0" t="0" r="0" b="12700"/>
                <wp:wrapSquare wrapText="bothSides"/>
                <wp:docPr id="916" name="Zone de texte 916"/>
                <wp:cNvGraphicFramePr/>
                <a:graphic xmlns:a="http://schemas.openxmlformats.org/drawingml/2006/main">
                  <a:graphicData uri="http://schemas.microsoft.com/office/word/2010/wordprocessingShape">
                    <wps:wsp>
                      <wps:cNvSpPr txBox="1"/>
                      <wps:spPr>
                        <a:xfrm>
                          <a:off x="0" y="0"/>
                          <a:ext cx="50292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DB6C84" w14:textId="244985B0" w:rsidR="00573C95" w:rsidRDefault="00573C95">
                            <w:r>
                              <w:t>Réaction exagérée du marché envers les "Perdants"</w:t>
                            </w:r>
                          </w:p>
                          <w:p w14:paraId="55DA44B6" w14:textId="042CFCD2" w:rsidR="00573C95" w:rsidRDefault="00573C95">
                            <w:r>
                              <w:t>Rendement annualisé des actions américaines (1986 à juin 2014)</w:t>
                            </w:r>
                          </w:p>
                          <w:p w14:paraId="4238C68F" w14:textId="77777777" w:rsidR="00573C95" w:rsidRDefault="00573C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16" o:spid="_x0000_s1616" type="#_x0000_t202" style="position:absolute;left:0;text-align:left;margin-left:18pt;margin-top:1.8pt;width:396pt;height:45pt;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" filled="f" stroked="f">
                <v:textbox>
                  <w:txbxContent>
                    <w:p w14:paraId="13DB6C84" w14:textId="244985B0" w:rsidR="001501D6" w:rsidRDefault="001501D6">
                      <w:r>
                        <w:t>Réaction exagérée du marché envers les "Perdants"</w:t>
                      </w:r>
                    </w:p>
                    <w:p w14:paraId="55DA44B6" w14:textId="042CFCD2" w:rsidR="001501D6" w:rsidRDefault="001501D6">
                      <w:r>
                        <w:t>Rendement annualisé des actions américaines (1986 à juin 2014)</w:t>
                      </w:r>
                    </w:p>
                    <w:p w14:paraId="4238C68F" w14:textId="77777777" w:rsidR="001501D6" w:rsidRDefault="001501D6"/>
                  </w:txbxContent>
                </v:textbox>
                <w10:wrap type="square"/>
              </v:shape>
            </w:pict>
          </mc:Fallback>
        </mc:AlternateContent>
      </w:r>
    </w:p>
    <w:p w14:paraId="1D5D73BE" w14:textId="6DDAF3DE" w:rsidR="00D9784A" w:rsidRDefault="00312F72" w:rsidP="00FA6624">
      <w:pPr>
        <w:jc w:val="both"/>
      </w:pPr>
      <w:r>
        <w:rPr>
          <w:rStyle w:val="Marquenotebasdepage"/>
        </w:rPr>
        <w:footnoteReference w:customMarkFollows="1" w:id="98"/>
        <w:t>97</w:t>
      </w:r>
    </w:p>
    <w:p w14:paraId="252E14C5" w14:textId="383EFF1B" w:rsidR="00D9784A" w:rsidRDefault="00D9784A" w:rsidP="00FA6624">
      <w:pPr>
        <w:jc w:val="both"/>
      </w:pPr>
    </w:p>
    <w:p w14:paraId="73DF8DC0" w14:textId="79FBACB2" w:rsidR="00D9784A" w:rsidRDefault="00D9784A" w:rsidP="00FA6624">
      <w:pPr>
        <w:jc w:val="both"/>
      </w:pPr>
      <w:r>
        <w:rPr>
          <w:noProof/>
          <w:lang w:eastAsia="fr-FR"/>
        </w:rPr>
        <w:drawing>
          <wp:anchor distT="0" distB="0" distL="114300" distR="114300" simplePos="0" relativeHeight="253349888" behindDoc="0" locked="0" layoutInCell="1" allowOverlap="1" wp14:anchorId="031AF982" wp14:editId="471D1349">
            <wp:simplePos x="0" y="0"/>
            <wp:positionH relativeFrom="column">
              <wp:posOffset>-5829300</wp:posOffset>
            </wp:positionH>
            <wp:positionV relativeFrom="paragraph">
              <wp:posOffset>147955</wp:posOffset>
            </wp:positionV>
            <wp:extent cx="4992370" cy="1464310"/>
            <wp:effectExtent l="0" t="0" r="11430" b="8890"/>
            <wp:wrapSquare wrapText="bothSides"/>
            <wp:docPr id="915" name="Image 915" descr="Macintosh HD:Users:marcbachand:Desktop:Capture d’écran 2016-01-13 à 17.2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6-01-13 à 17.28.55.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992370" cy="14643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24DE3D4" w14:textId="77777777" w:rsidR="00D9784A" w:rsidRDefault="00D9784A" w:rsidP="00FA6624">
      <w:pPr>
        <w:jc w:val="both"/>
      </w:pPr>
    </w:p>
    <w:p w14:paraId="612A1734" w14:textId="17A04174" w:rsidR="00D9784A" w:rsidRDefault="00D9784A" w:rsidP="00FA6624">
      <w:pPr>
        <w:jc w:val="both"/>
      </w:pPr>
    </w:p>
    <w:p w14:paraId="26C901E8" w14:textId="2C32A073" w:rsidR="00D9784A" w:rsidRPr="00A01B64" w:rsidRDefault="00D9784A" w:rsidP="00FA6624">
      <w:pPr>
        <w:jc w:val="both"/>
      </w:pPr>
    </w:p>
    <w:p w14:paraId="2D5E6C54" w14:textId="77777777" w:rsidR="00FA6624" w:rsidRDefault="00FA6624" w:rsidP="007C025A"/>
    <w:p w14:paraId="16BCB5FD" w14:textId="77777777" w:rsidR="00D9784A" w:rsidRDefault="00D9784A" w:rsidP="007C025A"/>
    <w:p w14:paraId="609E7384" w14:textId="7FB65198" w:rsidR="00D9784A" w:rsidRDefault="00D9784A" w:rsidP="007C025A"/>
    <w:p w14:paraId="39C2692B" w14:textId="77777777" w:rsidR="00D9784A" w:rsidRDefault="00D9784A" w:rsidP="007C025A"/>
    <w:p w14:paraId="724964C5" w14:textId="79ADDE62" w:rsidR="00D9784A" w:rsidRDefault="00312F72" w:rsidP="007C025A">
      <w:r>
        <w:rPr>
          <w:noProof/>
          <w:lang w:eastAsia="fr-FR"/>
        </w:rPr>
        <mc:AlternateContent>
          <mc:Choice Requires="wps">
            <w:drawing>
              <wp:anchor distT="0" distB="0" distL="114300" distR="114300" simplePos="0" relativeHeight="253356032" behindDoc="0" locked="0" layoutInCell="1" allowOverlap="1" wp14:anchorId="4FF5346A" wp14:editId="1E395E20">
                <wp:simplePos x="0" y="0"/>
                <wp:positionH relativeFrom="column">
                  <wp:posOffset>-1689100</wp:posOffset>
                </wp:positionH>
                <wp:positionV relativeFrom="paragraph">
                  <wp:posOffset>139065</wp:posOffset>
                </wp:positionV>
                <wp:extent cx="1257300" cy="1028700"/>
                <wp:effectExtent l="0" t="0" r="0" b="12700"/>
                <wp:wrapSquare wrapText="bothSides"/>
                <wp:docPr id="919" name="Zone de texte 919"/>
                <wp:cNvGraphicFramePr/>
                <a:graphic xmlns:a="http://schemas.openxmlformats.org/drawingml/2006/main">
                  <a:graphicData uri="http://schemas.microsoft.com/office/word/2010/wordprocessingShape">
                    <wps:wsp>
                      <wps:cNvSpPr txBox="1"/>
                      <wps:spPr>
                        <a:xfrm>
                          <a:off x="0" y="0"/>
                          <a:ext cx="12573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424516" w14:textId="439DE78B" w:rsidR="00573C95" w:rsidRDefault="00573C95" w:rsidP="001253AD">
                            <w:pPr>
                              <w:jc w:val="center"/>
                              <w:rPr>
                                <w:sz w:val="20"/>
                                <w:szCs w:val="20"/>
                              </w:rPr>
                            </w:pPr>
                            <w:r w:rsidRPr="001253AD">
                              <w:rPr>
                                <w:sz w:val="20"/>
                                <w:szCs w:val="20"/>
                              </w:rPr>
                              <w:t>Titres "</w:t>
                            </w:r>
                            <w:r>
                              <w:rPr>
                                <w:sz w:val="20"/>
                                <w:szCs w:val="20"/>
                              </w:rPr>
                              <w:t>gagnants" dans le passé</w:t>
                            </w:r>
                          </w:p>
                          <w:p w14:paraId="756142D1" w14:textId="77777777" w:rsidR="00573C95" w:rsidRDefault="00573C95" w:rsidP="001253AD">
                            <w:pPr>
                              <w:jc w:val="center"/>
                              <w:rPr>
                                <w:sz w:val="20"/>
                                <w:szCs w:val="20"/>
                              </w:rPr>
                            </w:pPr>
                          </w:p>
                          <w:p w14:paraId="599EC39F" w14:textId="77777777" w:rsidR="00573C95" w:rsidRDefault="00573C95" w:rsidP="001253AD">
                            <w:pPr>
                              <w:jc w:val="center"/>
                              <w:rPr>
                                <w:sz w:val="20"/>
                                <w:szCs w:val="20"/>
                              </w:rPr>
                            </w:pPr>
                            <w:r>
                              <w:rPr>
                                <w:sz w:val="20"/>
                                <w:szCs w:val="20"/>
                              </w:rPr>
                              <w:t>10 % des plus grands</w:t>
                            </w:r>
                          </w:p>
                          <w:p w14:paraId="2F4D465C" w14:textId="7C101F1A" w:rsidR="00573C95" w:rsidRPr="001253AD" w:rsidRDefault="00573C95" w:rsidP="001253AD">
                            <w:pPr>
                              <w:jc w:val="center"/>
                              <w:rPr>
                                <w:sz w:val="20"/>
                                <w:szCs w:val="20"/>
                              </w:rPr>
                            </w:pPr>
                            <w:r>
                              <w:rPr>
                                <w:sz w:val="20"/>
                                <w:szCs w:val="20"/>
                              </w:rPr>
                              <w:t xml:space="preserve"> "</w:t>
                            </w:r>
                            <w:proofErr w:type="gramStart"/>
                            <w:r>
                              <w:rPr>
                                <w:sz w:val="20"/>
                                <w:szCs w:val="20"/>
                              </w:rPr>
                              <w:t>gagnants</w:t>
                            </w:r>
                            <w:proofErr w:type="gramEnd"/>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19" o:spid="_x0000_s1617" type="#_x0000_t202" style="position:absolute;margin-left:-132.95pt;margin-top:10.95pt;width:99pt;height:81pt;z-index:2533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" filled="f" stroked="f">
                <v:textbox>
                  <w:txbxContent>
                    <w:p w14:paraId="5C424516" w14:textId="439DE78B" w:rsidR="001501D6" w:rsidRDefault="001501D6" w:rsidP="001253AD">
                      <w:pPr>
                        <w:jc w:val="center"/>
                        <w:rPr>
                          <w:sz w:val="20"/>
                          <w:szCs w:val="20"/>
                        </w:rPr>
                      </w:pPr>
                      <w:r w:rsidRPr="001253AD">
                        <w:rPr>
                          <w:sz w:val="20"/>
                          <w:szCs w:val="20"/>
                        </w:rPr>
                        <w:t>Titres "</w:t>
                      </w:r>
                      <w:r>
                        <w:rPr>
                          <w:sz w:val="20"/>
                          <w:szCs w:val="20"/>
                        </w:rPr>
                        <w:t>gagnants" dans le passé</w:t>
                      </w:r>
                    </w:p>
                    <w:p w14:paraId="756142D1" w14:textId="77777777" w:rsidR="001501D6" w:rsidRDefault="001501D6" w:rsidP="001253AD">
                      <w:pPr>
                        <w:jc w:val="center"/>
                        <w:rPr>
                          <w:sz w:val="20"/>
                          <w:szCs w:val="20"/>
                        </w:rPr>
                      </w:pPr>
                    </w:p>
                    <w:p w14:paraId="599EC39F" w14:textId="77777777" w:rsidR="001501D6" w:rsidRDefault="001501D6" w:rsidP="001253AD">
                      <w:pPr>
                        <w:jc w:val="center"/>
                        <w:rPr>
                          <w:sz w:val="20"/>
                          <w:szCs w:val="20"/>
                        </w:rPr>
                      </w:pPr>
                      <w:r>
                        <w:rPr>
                          <w:sz w:val="20"/>
                          <w:szCs w:val="20"/>
                        </w:rPr>
                        <w:t>10 % des plus grands</w:t>
                      </w:r>
                    </w:p>
                    <w:p w14:paraId="2F4D465C" w14:textId="7C101F1A" w:rsidR="001501D6" w:rsidRPr="001253AD" w:rsidRDefault="001501D6" w:rsidP="001253AD">
                      <w:pPr>
                        <w:jc w:val="center"/>
                        <w:rPr>
                          <w:sz w:val="20"/>
                          <w:szCs w:val="20"/>
                        </w:rPr>
                      </w:pPr>
                      <w:r>
                        <w:rPr>
                          <w:sz w:val="20"/>
                          <w:szCs w:val="20"/>
                        </w:rPr>
                        <w:t xml:space="preserve"> "gagnants"</w:t>
                      </w:r>
                    </w:p>
                  </w:txbxContent>
                </v:textbox>
                <w10:wrap type="square"/>
              </v:shape>
            </w:pict>
          </mc:Fallback>
        </mc:AlternateContent>
      </w:r>
      <w:r>
        <w:rPr>
          <w:noProof/>
          <w:lang w:eastAsia="fr-FR"/>
        </w:rPr>
        <mc:AlternateContent>
          <mc:Choice Requires="wps">
            <w:drawing>
              <wp:anchor distT="0" distB="0" distL="114300" distR="114300" simplePos="0" relativeHeight="253353984" behindDoc="0" locked="0" layoutInCell="1" allowOverlap="1" wp14:anchorId="7E32661A" wp14:editId="2F7FD6A0">
                <wp:simplePos x="0" y="0"/>
                <wp:positionH relativeFrom="column">
                  <wp:posOffset>-2946400</wp:posOffset>
                </wp:positionH>
                <wp:positionV relativeFrom="paragraph">
                  <wp:posOffset>139065</wp:posOffset>
                </wp:positionV>
                <wp:extent cx="1257300" cy="1028700"/>
                <wp:effectExtent l="0" t="0" r="0" b="12700"/>
                <wp:wrapSquare wrapText="bothSides"/>
                <wp:docPr id="918" name="Zone de texte 918"/>
                <wp:cNvGraphicFramePr/>
                <a:graphic xmlns:a="http://schemas.openxmlformats.org/drawingml/2006/main">
                  <a:graphicData uri="http://schemas.microsoft.com/office/word/2010/wordprocessingShape">
                    <wps:wsp>
                      <wps:cNvSpPr txBox="1"/>
                      <wps:spPr>
                        <a:xfrm>
                          <a:off x="0" y="0"/>
                          <a:ext cx="12573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83C509" w14:textId="73ED8110" w:rsidR="00573C95" w:rsidRDefault="00573C95" w:rsidP="001253AD">
                            <w:pPr>
                              <w:jc w:val="center"/>
                              <w:rPr>
                                <w:sz w:val="20"/>
                                <w:szCs w:val="20"/>
                              </w:rPr>
                            </w:pPr>
                            <w:r w:rsidRPr="001253AD">
                              <w:rPr>
                                <w:sz w:val="20"/>
                                <w:szCs w:val="20"/>
                              </w:rPr>
                              <w:t>Titres "</w:t>
                            </w:r>
                            <w:r>
                              <w:rPr>
                                <w:sz w:val="20"/>
                                <w:szCs w:val="20"/>
                              </w:rPr>
                              <w:t>médians" dans le passé</w:t>
                            </w:r>
                          </w:p>
                          <w:p w14:paraId="462ADBC9" w14:textId="77777777" w:rsidR="00573C95" w:rsidRDefault="00573C95" w:rsidP="001253AD">
                            <w:pPr>
                              <w:jc w:val="center"/>
                              <w:rPr>
                                <w:sz w:val="20"/>
                                <w:szCs w:val="20"/>
                              </w:rPr>
                            </w:pPr>
                          </w:p>
                          <w:p w14:paraId="753E8EF9" w14:textId="4976DC82" w:rsidR="00573C95" w:rsidRPr="001253AD" w:rsidRDefault="00573C95" w:rsidP="001253AD">
                            <w:pPr>
                              <w:jc w:val="center"/>
                              <w:rPr>
                                <w:sz w:val="20"/>
                                <w:szCs w:val="20"/>
                              </w:rPr>
                            </w:pPr>
                            <w:r>
                              <w:rPr>
                                <w:sz w:val="20"/>
                                <w:szCs w:val="20"/>
                              </w:rPr>
                              <w:t>80 % du milieu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18" o:spid="_x0000_s1618" type="#_x0000_t202" style="position:absolute;margin-left:-231.95pt;margin-top:10.95pt;width:99pt;height:81pt;z-index:2533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" filled="f" stroked="f">
                <v:textbox>
                  <w:txbxContent>
                    <w:p w14:paraId="5C83C509" w14:textId="73ED8110" w:rsidR="001501D6" w:rsidRDefault="001501D6" w:rsidP="001253AD">
                      <w:pPr>
                        <w:jc w:val="center"/>
                        <w:rPr>
                          <w:sz w:val="20"/>
                          <w:szCs w:val="20"/>
                        </w:rPr>
                      </w:pPr>
                      <w:r w:rsidRPr="001253AD">
                        <w:rPr>
                          <w:sz w:val="20"/>
                          <w:szCs w:val="20"/>
                        </w:rPr>
                        <w:t>Titres "</w:t>
                      </w:r>
                      <w:r>
                        <w:rPr>
                          <w:sz w:val="20"/>
                          <w:szCs w:val="20"/>
                        </w:rPr>
                        <w:t>médians" dans le passé</w:t>
                      </w:r>
                    </w:p>
                    <w:p w14:paraId="462ADBC9" w14:textId="77777777" w:rsidR="001501D6" w:rsidRDefault="001501D6" w:rsidP="001253AD">
                      <w:pPr>
                        <w:jc w:val="center"/>
                        <w:rPr>
                          <w:sz w:val="20"/>
                          <w:szCs w:val="20"/>
                        </w:rPr>
                      </w:pPr>
                    </w:p>
                    <w:p w14:paraId="753E8EF9" w14:textId="4976DC82" w:rsidR="001501D6" w:rsidRPr="001253AD" w:rsidRDefault="001501D6" w:rsidP="001253AD">
                      <w:pPr>
                        <w:jc w:val="center"/>
                        <w:rPr>
                          <w:sz w:val="20"/>
                          <w:szCs w:val="20"/>
                        </w:rPr>
                      </w:pPr>
                      <w:r>
                        <w:rPr>
                          <w:sz w:val="20"/>
                          <w:szCs w:val="20"/>
                        </w:rPr>
                        <w:t>80 % du milieu</w:t>
                      </w:r>
                    </w:p>
                  </w:txbxContent>
                </v:textbox>
                <w10:wrap type="square"/>
              </v:shape>
            </w:pict>
          </mc:Fallback>
        </mc:AlternateContent>
      </w:r>
      <w:r>
        <w:rPr>
          <w:noProof/>
          <w:lang w:eastAsia="fr-FR"/>
        </w:rPr>
        <mc:AlternateContent>
          <mc:Choice Requires="wps">
            <w:drawing>
              <wp:anchor distT="0" distB="0" distL="114300" distR="114300" simplePos="0" relativeHeight="253351936" behindDoc="0" locked="0" layoutInCell="1" allowOverlap="1" wp14:anchorId="40C158EB" wp14:editId="3594AE6B">
                <wp:simplePos x="0" y="0"/>
                <wp:positionH relativeFrom="column">
                  <wp:posOffset>-4546600</wp:posOffset>
                </wp:positionH>
                <wp:positionV relativeFrom="paragraph">
                  <wp:posOffset>139065</wp:posOffset>
                </wp:positionV>
                <wp:extent cx="1257300" cy="1028700"/>
                <wp:effectExtent l="0" t="0" r="0" b="12700"/>
                <wp:wrapSquare wrapText="bothSides"/>
                <wp:docPr id="917" name="Zone de texte 917"/>
                <wp:cNvGraphicFramePr/>
                <a:graphic xmlns:a="http://schemas.openxmlformats.org/drawingml/2006/main">
                  <a:graphicData uri="http://schemas.microsoft.com/office/word/2010/wordprocessingShape">
                    <wps:wsp>
                      <wps:cNvSpPr txBox="1"/>
                      <wps:spPr>
                        <a:xfrm>
                          <a:off x="0" y="0"/>
                          <a:ext cx="12573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025D01" w14:textId="2E23D8FB" w:rsidR="00573C95" w:rsidRDefault="00573C95" w:rsidP="001253AD">
                            <w:pPr>
                              <w:jc w:val="center"/>
                              <w:rPr>
                                <w:sz w:val="20"/>
                                <w:szCs w:val="20"/>
                              </w:rPr>
                            </w:pPr>
                            <w:r w:rsidRPr="001253AD">
                              <w:rPr>
                                <w:sz w:val="20"/>
                                <w:szCs w:val="20"/>
                              </w:rPr>
                              <w:t>Titres "perdants"</w:t>
                            </w:r>
                            <w:r>
                              <w:rPr>
                                <w:sz w:val="20"/>
                                <w:szCs w:val="20"/>
                              </w:rPr>
                              <w:t xml:space="preserve"> dans le passé</w:t>
                            </w:r>
                          </w:p>
                          <w:p w14:paraId="0053E925" w14:textId="77777777" w:rsidR="00573C95" w:rsidRDefault="00573C95" w:rsidP="001253AD">
                            <w:pPr>
                              <w:jc w:val="center"/>
                              <w:rPr>
                                <w:sz w:val="20"/>
                                <w:szCs w:val="20"/>
                              </w:rPr>
                            </w:pPr>
                          </w:p>
                          <w:p w14:paraId="3047D2ED" w14:textId="3A3685E5" w:rsidR="00573C95" w:rsidRPr="001253AD" w:rsidRDefault="00573C95" w:rsidP="001253AD">
                            <w:pPr>
                              <w:jc w:val="center"/>
                              <w:rPr>
                                <w:sz w:val="20"/>
                                <w:szCs w:val="20"/>
                              </w:rPr>
                            </w:pPr>
                            <w:r>
                              <w:rPr>
                                <w:sz w:val="20"/>
                                <w:szCs w:val="20"/>
                              </w:rPr>
                              <w:t>10 % des plus grands "perdants"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17" o:spid="_x0000_s1619" type="#_x0000_t202" style="position:absolute;margin-left:-357.95pt;margin-top:10.95pt;width:99pt;height:81pt;z-index:2533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" filled="f" stroked="f">
                <v:textbox>
                  <w:txbxContent>
                    <w:p w14:paraId="01025D01" w14:textId="2E23D8FB" w:rsidR="001501D6" w:rsidRDefault="001501D6" w:rsidP="001253AD">
                      <w:pPr>
                        <w:jc w:val="center"/>
                        <w:rPr>
                          <w:sz w:val="20"/>
                          <w:szCs w:val="20"/>
                        </w:rPr>
                      </w:pPr>
                      <w:r w:rsidRPr="001253AD">
                        <w:rPr>
                          <w:sz w:val="20"/>
                          <w:szCs w:val="20"/>
                        </w:rPr>
                        <w:t>Titres "perdants"</w:t>
                      </w:r>
                      <w:r>
                        <w:rPr>
                          <w:sz w:val="20"/>
                          <w:szCs w:val="20"/>
                        </w:rPr>
                        <w:t xml:space="preserve"> dans le passé</w:t>
                      </w:r>
                    </w:p>
                    <w:p w14:paraId="0053E925" w14:textId="77777777" w:rsidR="001501D6" w:rsidRDefault="001501D6" w:rsidP="001253AD">
                      <w:pPr>
                        <w:jc w:val="center"/>
                        <w:rPr>
                          <w:sz w:val="20"/>
                          <w:szCs w:val="20"/>
                        </w:rPr>
                      </w:pPr>
                    </w:p>
                    <w:p w14:paraId="3047D2ED" w14:textId="3A3685E5" w:rsidR="001501D6" w:rsidRPr="001253AD" w:rsidRDefault="001501D6" w:rsidP="001253AD">
                      <w:pPr>
                        <w:jc w:val="center"/>
                        <w:rPr>
                          <w:sz w:val="20"/>
                          <w:szCs w:val="20"/>
                        </w:rPr>
                      </w:pPr>
                      <w:r>
                        <w:rPr>
                          <w:sz w:val="20"/>
                          <w:szCs w:val="20"/>
                        </w:rPr>
                        <w:t>10 % des plus grands "perdants"</w:t>
                      </w:r>
                    </w:p>
                  </w:txbxContent>
                </v:textbox>
                <w10:wrap type="square"/>
              </v:shape>
            </w:pict>
          </mc:Fallback>
        </mc:AlternateContent>
      </w:r>
    </w:p>
    <w:p w14:paraId="04ABC4B8" w14:textId="2C1D435C" w:rsidR="00D9784A" w:rsidRDefault="00D9784A" w:rsidP="007C025A"/>
    <w:p w14:paraId="4CA670BA" w14:textId="44502EAD" w:rsidR="00D9784A" w:rsidRDefault="00D9784A" w:rsidP="007C025A"/>
    <w:p w14:paraId="283F7E04" w14:textId="5D68F244" w:rsidR="00D9784A" w:rsidRDefault="00D9784A" w:rsidP="007C025A"/>
    <w:p w14:paraId="26D22F41" w14:textId="77777777" w:rsidR="00D9784A" w:rsidRDefault="00D9784A" w:rsidP="007C025A"/>
    <w:p w14:paraId="686B953F" w14:textId="77777777" w:rsidR="00D9784A" w:rsidRDefault="00D9784A" w:rsidP="007C025A"/>
    <w:p w14:paraId="1AFEEC66" w14:textId="40B6B3FA" w:rsidR="00DC75EA" w:rsidRDefault="007E3B17" w:rsidP="006C34CF">
      <w:pPr>
        <w:pStyle w:val="Paragraphedeliste"/>
        <w:numPr>
          <w:ilvl w:val="0"/>
          <w:numId w:val="126"/>
        </w:numPr>
      </w:pPr>
      <w:r>
        <w:rPr>
          <w:noProof/>
          <w:lang w:eastAsia="fr-FR"/>
        </w:rPr>
        <w:lastRenderedPageBreak/>
        <mc:AlternateContent>
          <mc:Choice Requires="wps">
            <w:drawing>
              <wp:anchor distT="0" distB="0" distL="114300" distR="114300" simplePos="0" relativeHeight="253417472" behindDoc="0" locked="0" layoutInCell="1" allowOverlap="1" wp14:anchorId="16C016BF" wp14:editId="246FAA19">
                <wp:simplePos x="0" y="0"/>
                <wp:positionH relativeFrom="column">
                  <wp:posOffset>6629400</wp:posOffset>
                </wp:positionH>
                <wp:positionV relativeFrom="paragraph">
                  <wp:posOffset>1028700</wp:posOffset>
                </wp:positionV>
                <wp:extent cx="2514600" cy="2857500"/>
                <wp:effectExtent l="0" t="0" r="0" b="12700"/>
                <wp:wrapSquare wrapText="bothSides"/>
                <wp:docPr id="935" name="Zone de texte 935"/>
                <wp:cNvGraphicFramePr/>
                <a:graphic xmlns:a="http://schemas.openxmlformats.org/drawingml/2006/main">
                  <a:graphicData uri="http://schemas.microsoft.com/office/word/2010/wordprocessingShape">
                    <wps:wsp>
                      <wps:cNvSpPr txBox="1"/>
                      <wps:spPr>
                        <a:xfrm>
                          <a:off x="0" y="0"/>
                          <a:ext cx="2514600" cy="2857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70230F" w14:textId="77F6311C" w:rsidR="00573C95" w:rsidRPr="004F482A" w:rsidRDefault="00573C95" w:rsidP="007E3B17">
                            <w:pPr>
                              <w:jc w:val="both"/>
                              <w:rPr>
                                <w:lang w:val="en-CA"/>
                              </w:rPr>
                            </w:pPr>
                            <w:r w:rsidRPr="004F482A">
                              <w:rPr>
                                <w:lang w:val="en-CA"/>
                              </w:rPr>
                              <w:t xml:space="preserve">L"illustration est inspirée de Thaler, R., </w:t>
                            </w:r>
                            <w:r w:rsidRPr="004F482A">
                              <w:rPr>
                                <w:i/>
                                <w:lang w:val="en-CA"/>
                              </w:rPr>
                              <w:t>"Fuller &amp; Thaler: How We Use Behavioral Finance To Invest</w:t>
                            </w:r>
                            <w:r w:rsidRPr="004F482A">
                              <w:rPr>
                                <w:bCs/>
                                <w:i/>
                                <w:lang w:val="en-CA"/>
                              </w:rPr>
                              <w:t xml:space="preserve">", </w:t>
                            </w:r>
                            <w:r w:rsidRPr="004F482A">
                              <w:rPr>
                                <w:lang w:val="en-CA"/>
                              </w:rPr>
                              <w:t>(2015).</w:t>
                            </w:r>
                          </w:p>
                          <w:p w14:paraId="3AC70179" w14:textId="77777777" w:rsidR="00573C95" w:rsidRPr="004F482A" w:rsidRDefault="00573C95" w:rsidP="007E3B17">
                            <w:pPr>
                              <w:jc w:val="both"/>
                              <w:rPr>
                                <w:lang w:val="en-CA"/>
                              </w:rPr>
                            </w:pPr>
                          </w:p>
                          <w:p w14:paraId="7F9053FF" w14:textId="77777777" w:rsidR="00573C95" w:rsidRPr="004F482A" w:rsidRDefault="00573C95" w:rsidP="007E3B17">
                            <w:pPr>
                              <w:jc w:val="both"/>
                              <w:rPr>
                                <w:lang w:val="en-CA"/>
                              </w:rPr>
                            </w:pPr>
                          </w:p>
                          <w:p w14:paraId="5EF3640E" w14:textId="35383370" w:rsidR="00573C95" w:rsidRDefault="00573C95" w:rsidP="007E3B17">
                            <w:pPr>
                              <w:jc w:val="both"/>
                            </w:pPr>
                            <w:r>
                              <w:t xml:space="preserve">Chaque bulle comporte un hyperlien qui conduit vers un texte explicatif des différents biais psychologiques. Vous devez cliquer sur le texte.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35" o:spid="_x0000_s1620" type="#_x0000_t202" style="position:absolute;left:0;text-align:left;margin-left:522pt;margin-top:81pt;width:198pt;height:225pt;z-index:2534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" filled="f" stroked="f">
                <v:textbox>
                  <w:txbxContent>
                    <w:p w14:paraId="1370230F" w14:textId="77F6311C" w:rsidR="001501D6" w:rsidRPr="004F482A" w:rsidRDefault="001501D6" w:rsidP="007E3B17">
                      <w:pPr>
                        <w:jc w:val="both"/>
                        <w:rPr>
                          <w:lang w:val="en-CA"/>
                        </w:rPr>
                      </w:pPr>
                      <w:r w:rsidRPr="004F482A">
                        <w:rPr>
                          <w:lang w:val="en-CA"/>
                        </w:rPr>
                        <w:t xml:space="preserve">L"illustration est inspirée de Thaler, R., </w:t>
                      </w:r>
                      <w:r w:rsidRPr="004F482A">
                        <w:rPr>
                          <w:i/>
                          <w:lang w:val="en-CA"/>
                        </w:rPr>
                        <w:t>"Fuller &amp; Thaler: How We Use Behavioral Finance To Invest</w:t>
                      </w:r>
                      <w:r w:rsidRPr="004F482A">
                        <w:rPr>
                          <w:bCs/>
                          <w:i/>
                          <w:lang w:val="en-CA"/>
                        </w:rPr>
                        <w:t xml:space="preserve">", </w:t>
                      </w:r>
                      <w:r w:rsidRPr="004F482A">
                        <w:rPr>
                          <w:lang w:val="en-CA"/>
                        </w:rPr>
                        <w:t>(2015).</w:t>
                      </w:r>
                    </w:p>
                    <w:p w14:paraId="3AC70179" w14:textId="77777777" w:rsidR="001501D6" w:rsidRPr="004F482A" w:rsidRDefault="001501D6" w:rsidP="007E3B17">
                      <w:pPr>
                        <w:jc w:val="both"/>
                        <w:rPr>
                          <w:lang w:val="en-CA"/>
                        </w:rPr>
                      </w:pPr>
                    </w:p>
                    <w:p w14:paraId="7F9053FF" w14:textId="77777777" w:rsidR="001501D6" w:rsidRPr="004F482A" w:rsidRDefault="001501D6" w:rsidP="007E3B17">
                      <w:pPr>
                        <w:jc w:val="both"/>
                        <w:rPr>
                          <w:lang w:val="en-CA"/>
                        </w:rPr>
                      </w:pPr>
                    </w:p>
                    <w:p w14:paraId="5EF3640E" w14:textId="35383370" w:rsidR="001501D6" w:rsidRDefault="001501D6" w:rsidP="007E3B17">
                      <w:pPr>
                        <w:jc w:val="both"/>
                      </w:pPr>
                      <w:r>
                        <w:t xml:space="preserve">Chaque bulle comporte un hyperlien qui conduit vers un texte explicatif des différents biais psychologiques. Vous devez cliquer sur le texte. </w:t>
                      </w:r>
                    </w:p>
                  </w:txbxContent>
                </v:textbox>
                <w10:wrap type="square"/>
              </v:shape>
            </w:pict>
          </mc:Fallback>
        </mc:AlternateContent>
      </w:r>
      <w:r>
        <w:rPr>
          <w:noProof/>
          <w:lang w:eastAsia="fr-FR"/>
        </w:rPr>
        <w:drawing>
          <wp:anchor distT="0" distB="0" distL="114300" distR="114300" simplePos="0" relativeHeight="253382656" behindDoc="1" locked="0" layoutInCell="1" allowOverlap="1" wp14:anchorId="2FEDFF2D" wp14:editId="3C7B22DB">
            <wp:simplePos x="0" y="0"/>
            <wp:positionH relativeFrom="column">
              <wp:posOffset>1714500</wp:posOffset>
            </wp:positionH>
            <wp:positionV relativeFrom="paragraph">
              <wp:posOffset>1600200</wp:posOffset>
            </wp:positionV>
            <wp:extent cx="3429000" cy="3480435"/>
            <wp:effectExtent l="0" t="0" r="0" b="0"/>
            <wp:wrapNone/>
            <wp:docPr id="936" name="Image 936" descr="Macintosh HD:Users:marcbachand:Desktop:Capture d’écran 2016-01-14 à 08.4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Capture d’écran 2016-01-14 à 08.48.20.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429000" cy="34804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E14EC">
        <w:rPr>
          <w:noProof/>
          <w:lang w:eastAsia="fr-FR"/>
        </w:rPr>
        <mc:AlternateContent>
          <mc:Choice Requires="wps">
            <w:drawing>
              <wp:anchor distT="0" distB="0" distL="114300" distR="114300" simplePos="0" relativeHeight="253405184" behindDoc="0" locked="0" layoutInCell="1" allowOverlap="1" wp14:anchorId="5BD55EE9" wp14:editId="343FAA01">
                <wp:simplePos x="0" y="0"/>
                <wp:positionH relativeFrom="column">
                  <wp:posOffset>0</wp:posOffset>
                </wp:positionH>
                <wp:positionV relativeFrom="paragraph">
                  <wp:posOffset>1600200</wp:posOffset>
                </wp:positionV>
                <wp:extent cx="1143000" cy="1156970"/>
                <wp:effectExtent l="0" t="0" r="25400" b="36830"/>
                <wp:wrapThrough wrapText="bothSides">
                  <wp:wrapPolygon edited="0">
                    <wp:start x="6720" y="0"/>
                    <wp:lineTo x="3360" y="1423"/>
                    <wp:lineTo x="0" y="5690"/>
                    <wp:lineTo x="0" y="16597"/>
                    <wp:lineTo x="5280" y="21813"/>
                    <wp:lineTo x="6720" y="21813"/>
                    <wp:lineTo x="14880" y="21813"/>
                    <wp:lineTo x="16320" y="21813"/>
                    <wp:lineTo x="21600" y="16597"/>
                    <wp:lineTo x="21600" y="5690"/>
                    <wp:lineTo x="18240" y="1423"/>
                    <wp:lineTo x="14880" y="0"/>
                    <wp:lineTo x="6720" y="0"/>
                  </wp:wrapPolygon>
                </wp:wrapThrough>
                <wp:docPr id="948" name="Ellipse 948"/>
                <wp:cNvGraphicFramePr/>
                <a:graphic xmlns:a="http://schemas.openxmlformats.org/drawingml/2006/main">
                  <a:graphicData uri="http://schemas.microsoft.com/office/word/2010/wordprocessingShape">
                    <wps:wsp>
                      <wps:cNvSpPr/>
                      <wps:spPr>
                        <a:xfrm>
                          <a:off x="0" y="0"/>
                          <a:ext cx="1143000" cy="1156970"/>
                        </a:xfrm>
                        <a:prstGeom prst="ellipse">
                          <a:avLst/>
                        </a:prstGeom>
                        <a:ln>
                          <a:solidFill>
                            <a:srgbClr val="000000"/>
                          </a:solidFill>
                        </a:ln>
                      </wps:spPr>
                      <wps:style>
                        <a:lnRef idx="3">
                          <a:schemeClr val="lt1"/>
                        </a:lnRef>
                        <a:fillRef idx="1">
                          <a:schemeClr val="accent3"/>
                        </a:fillRef>
                        <a:effectRef idx="1">
                          <a:schemeClr val="accent3"/>
                        </a:effectRef>
                        <a:fontRef idx="minor">
                          <a:schemeClr val="lt1"/>
                        </a:fontRef>
                      </wps:style>
                      <wps:txbx>
                        <w:txbxContent>
                          <w:p w14:paraId="08457677" w14:textId="73A93178" w:rsidR="00573C95" w:rsidRPr="00AE14EC" w:rsidRDefault="00573C95" w:rsidP="006A3AB9">
                            <w:pPr>
                              <w:jc w:val="center"/>
                              <w:rPr>
                                <w:color w:val="FFFFFF" w:themeColor="background1"/>
                                <w:sz w:val="18"/>
                                <w:szCs w:val="18"/>
                              </w:rPr>
                            </w:pPr>
                            <w:hyperlink r:id="rId221" w:history="1">
                              <w:r w:rsidRPr="00AE14EC">
                                <w:rPr>
                                  <w:rStyle w:val="Lienhypertexte"/>
                                  <w:color w:val="FFFFFF" w:themeColor="background1"/>
                                  <w:sz w:val="18"/>
                                  <w:szCs w:val="18"/>
                                  <w:u w:val="none"/>
                                </w:rPr>
                                <w:t>Effet d'ancrage</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48" o:spid="_x0000_s1621" style="position:absolute;left:0;text-align:left;margin-left:0;margin-top:126pt;width:90pt;height:91.1pt;z-index:2534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" fillcolor="#ff6700 [3206]" strokeweight="1.75pt">
                <v:textbox>
                  <w:txbxContent>
                    <w:p w14:paraId="08457677" w14:textId="73A93178" w:rsidR="001501D6" w:rsidRPr="00AE14EC" w:rsidRDefault="00E21DC3" w:rsidP="006A3AB9">
                      <w:pPr>
                        <w:jc w:val="center"/>
                        <w:rPr>
                          <w:color w:val="FFFFFF" w:themeColor="background1"/>
                          <w:sz w:val="18"/>
                          <w:szCs w:val="18"/>
                        </w:rPr>
                      </w:pPr>
                      <w:hyperlink r:id="rId222" w:history="1">
                        <w:r w:rsidR="001501D6" w:rsidRPr="00AE14EC">
                          <w:rPr>
                            <w:rStyle w:val="Lienhypertexte"/>
                            <w:color w:val="FFFFFF" w:themeColor="background1"/>
                            <w:sz w:val="18"/>
                            <w:szCs w:val="18"/>
                            <w:u w:val="none"/>
                          </w:rPr>
                          <w:t>Effet d'ancrage</w:t>
                        </w:r>
                      </w:hyperlink>
                    </w:p>
                  </w:txbxContent>
                </v:textbox>
                <w10:wrap type="through"/>
              </v:oval>
            </w:pict>
          </mc:Fallback>
        </mc:AlternateContent>
      </w:r>
      <w:r w:rsidR="00AE14EC">
        <w:rPr>
          <w:noProof/>
          <w:lang w:eastAsia="fr-FR"/>
        </w:rPr>
        <mc:AlternateContent>
          <mc:Choice Requires="wps">
            <w:drawing>
              <wp:anchor distT="0" distB="0" distL="114300" distR="114300" simplePos="0" relativeHeight="253399040" behindDoc="0" locked="0" layoutInCell="1" allowOverlap="1" wp14:anchorId="370E73FD" wp14:editId="1ABED3E9">
                <wp:simplePos x="0" y="0"/>
                <wp:positionH relativeFrom="column">
                  <wp:posOffset>1485900</wp:posOffset>
                </wp:positionH>
                <wp:positionV relativeFrom="paragraph">
                  <wp:posOffset>571500</wp:posOffset>
                </wp:positionV>
                <wp:extent cx="1485900" cy="1485900"/>
                <wp:effectExtent l="0" t="0" r="38100" b="38100"/>
                <wp:wrapThrough wrapText="bothSides">
                  <wp:wrapPolygon edited="0">
                    <wp:start x="7385" y="0"/>
                    <wp:lineTo x="4062" y="1477"/>
                    <wp:lineTo x="369" y="4800"/>
                    <wp:lineTo x="0" y="7754"/>
                    <wp:lineTo x="0" y="14400"/>
                    <wp:lineTo x="1477" y="17723"/>
                    <wp:lineTo x="1477" y="18462"/>
                    <wp:lineTo x="6277" y="21785"/>
                    <wp:lineTo x="7385" y="21785"/>
                    <wp:lineTo x="14400" y="21785"/>
                    <wp:lineTo x="15508" y="21785"/>
                    <wp:lineTo x="20308" y="18462"/>
                    <wp:lineTo x="20308" y="17723"/>
                    <wp:lineTo x="21785" y="14400"/>
                    <wp:lineTo x="21785" y="7754"/>
                    <wp:lineTo x="21415" y="4800"/>
                    <wp:lineTo x="17723" y="1477"/>
                    <wp:lineTo x="14400" y="0"/>
                    <wp:lineTo x="7385" y="0"/>
                  </wp:wrapPolygon>
                </wp:wrapThrough>
                <wp:docPr id="945" name="Ellipse 945"/>
                <wp:cNvGraphicFramePr/>
                <a:graphic xmlns:a="http://schemas.openxmlformats.org/drawingml/2006/main">
                  <a:graphicData uri="http://schemas.microsoft.com/office/word/2010/wordprocessingShape">
                    <wps:wsp>
                      <wps:cNvSpPr/>
                      <wps:spPr>
                        <a:xfrm>
                          <a:off x="0" y="0"/>
                          <a:ext cx="1485900" cy="1485900"/>
                        </a:xfrm>
                        <a:prstGeom prst="ellipse">
                          <a:avLst/>
                        </a:prstGeom>
                        <a:ln>
                          <a:solidFill>
                            <a:srgbClr val="FFFFFF"/>
                          </a:solidFill>
                        </a:ln>
                      </wps:spPr>
                      <wps:style>
                        <a:lnRef idx="3">
                          <a:schemeClr val="lt1"/>
                        </a:lnRef>
                        <a:fillRef idx="1">
                          <a:schemeClr val="dk1"/>
                        </a:fillRef>
                        <a:effectRef idx="1">
                          <a:schemeClr val="dk1"/>
                        </a:effectRef>
                        <a:fontRef idx="minor">
                          <a:schemeClr val="lt1"/>
                        </a:fontRef>
                      </wps:style>
                      <wps:txbx>
                        <w:txbxContent>
                          <w:p w14:paraId="58B48DE9" w14:textId="6260543A" w:rsidR="00573C95" w:rsidRPr="00AE14EC" w:rsidRDefault="00573C95" w:rsidP="00BB7626">
                            <w:pPr>
                              <w:jc w:val="center"/>
                              <w:rPr>
                                <w:color w:val="FFFFFF" w:themeColor="background1"/>
                                <w:sz w:val="18"/>
                                <w:szCs w:val="18"/>
                              </w:rPr>
                            </w:pPr>
                            <w:hyperlink r:id="rId223" w:history="1">
                              <w:r w:rsidRPr="00AE14EC">
                                <w:rPr>
                                  <w:rStyle w:val="Lienhypertexte"/>
                                  <w:color w:val="FFFFFF" w:themeColor="background1"/>
                                  <w:sz w:val="18"/>
                                  <w:szCs w:val="18"/>
                                  <w:u w:val="none"/>
                                </w:rPr>
                                <w:t>Plaie de la connaissance</w:t>
                              </w:r>
                            </w:hyperlink>
                            <w:r w:rsidRPr="00AE14EC">
                              <w:rPr>
                                <w:color w:val="FFFFFF" w:themeColor="background1"/>
                                <w:sz w:val="18"/>
                                <w:szCs w:val="18"/>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45" o:spid="_x0000_s1622" style="position:absolute;left:0;text-align:left;margin-left:117pt;margin-top:45pt;width:117pt;height:117pt;z-index:2533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" fillcolor="black [3200]" strokecolor="white" strokeweight="1.75pt">
                <v:textbox>
                  <w:txbxContent>
                    <w:p w14:paraId="58B48DE9" w14:textId="6260543A" w:rsidR="001501D6" w:rsidRPr="00AE14EC" w:rsidRDefault="00E21DC3" w:rsidP="00BB7626">
                      <w:pPr>
                        <w:jc w:val="center"/>
                        <w:rPr>
                          <w:color w:val="FFFFFF" w:themeColor="background1"/>
                          <w:sz w:val="18"/>
                          <w:szCs w:val="18"/>
                        </w:rPr>
                      </w:pPr>
                      <w:hyperlink r:id="rId224" w:history="1">
                        <w:r w:rsidR="001501D6" w:rsidRPr="00AE14EC">
                          <w:rPr>
                            <w:rStyle w:val="Lienhypertexte"/>
                            <w:color w:val="FFFFFF" w:themeColor="background1"/>
                            <w:sz w:val="18"/>
                            <w:szCs w:val="18"/>
                            <w:u w:val="none"/>
                          </w:rPr>
                          <w:t>Plaie de la connaissance</w:t>
                        </w:r>
                      </w:hyperlink>
                      <w:r w:rsidR="001501D6" w:rsidRPr="00AE14EC">
                        <w:rPr>
                          <w:color w:val="FFFFFF" w:themeColor="background1"/>
                          <w:sz w:val="18"/>
                          <w:szCs w:val="18"/>
                        </w:rPr>
                        <w:t xml:space="preserve"> </w:t>
                      </w:r>
                    </w:p>
                  </w:txbxContent>
                </v:textbox>
                <w10:wrap type="through"/>
              </v:oval>
            </w:pict>
          </mc:Fallback>
        </mc:AlternateContent>
      </w:r>
      <w:r w:rsidR="008531A2">
        <w:rPr>
          <w:noProof/>
          <w:lang w:eastAsia="fr-FR"/>
        </w:rPr>
        <mc:AlternateContent>
          <mc:Choice Requires="wps">
            <w:drawing>
              <wp:anchor distT="0" distB="0" distL="114300" distR="114300" simplePos="0" relativeHeight="253416448" behindDoc="0" locked="0" layoutInCell="1" allowOverlap="1" wp14:anchorId="5BA84D50" wp14:editId="0F1FA91F">
                <wp:simplePos x="0" y="0"/>
                <wp:positionH relativeFrom="column">
                  <wp:posOffset>5029200</wp:posOffset>
                </wp:positionH>
                <wp:positionV relativeFrom="paragraph">
                  <wp:posOffset>5029200</wp:posOffset>
                </wp:positionV>
                <wp:extent cx="2057400" cy="685800"/>
                <wp:effectExtent l="0" t="0" r="0" b="0"/>
                <wp:wrapSquare wrapText="bothSides"/>
                <wp:docPr id="959" name="Zone de texte 959"/>
                <wp:cNvGraphicFramePr/>
                <a:graphic xmlns:a="http://schemas.openxmlformats.org/drawingml/2006/main">
                  <a:graphicData uri="http://schemas.microsoft.com/office/word/2010/wordprocessingShape">
                    <wps:wsp>
                      <wps:cNvSpPr txBox="1"/>
                      <wps:spPr>
                        <a:xfrm>
                          <a:off x="0" y="0"/>
                          <a:ext cx="20574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447E0C" w14:textId="1182F294" w:rsidR="00573C95" w:rsidRDefault="00573C95" w:rsidP="008531A2">
                            <w:r>
                              <w:t>Réactions léthargiques à des informations imprévues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59" o:spid="_x0000_s1623" type="#_x0000_t202" style="position:absolute;left:0;text-align:left;margin-left:396pt;margin-top:396pt;width:162pt;height:54pt;z-index:2534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" filled="f" stroked="f">
                <v:textbox>
                  <w:txbxContent>
                    <w:p w14:paraId="5B447E0C" w14:textId="1182F294" w:rsidR="001501D6" w:rsidRDefault="001501D6" w:rsidP="008531A2">
                      <w:r>
                        <w:t>Réactions léthargiques à des informations imprévues</w:t>
                      </w:r>
                    </w:p>
                  </w:txbxContent>
                </v:textbox>
                <w10:wrap type="square"/>
              </v:shape>
            </w:pict>
          </mc:Fallback>
        </mc:AlternateContent>
      </w:r>
      <w:r w:rsidR="008531A2">
        <w:rPr>
          <w:noProof/>
          <w:lang w:eastAsia="fr-FR"/>
        </w:rPr>
        <mc:AlternateContent>
          <mc:Choice Requires="wps">
            <w:drawing>
              <wp:anchor distT="0" distB="0" distL="114300" distR="114300" simplePos="0" relativeHeight="253414400" behindDoc="0" locked="0" layoutInCell="1" allowOverlap="1" wp14:anchorId="7DF76367" wp14:editId="32FB1C8F">
                <wp:simplePos x="0" y="0"/>
                <wp:positionH relativeFrom="column">
                  <wp:posOffset>-457200</wp:posOffset>
                </wp:positionH>
                <wp:positionV relativeFrom="paragraph">
                  <wp:posOffset>5029200</wp:posOffset>
                </wp:positionV>
                <wp:extent cx="2057400" cy="685800"/>
                <wp:effectExtent l="0" t="0" r="0" b="0"/>
                <wp:wrapSquare wrapText="bothSides"/>
                <wp:docPr id="958" name="Zone de texte 958"/>
                <wp:cNvGraphicFramePr/>
                <a:graphic xmlns:a="http://schemas.openxmlformats.org/drawingml/2006/main">
                  <a:graphicData uri="http://schemas.microsoft.com/office/word/2010/wordprocessingShape">
                    <wps:wsp>
                      <wps:cNvSpPr txBox="1"/>
                      <wps:spPr>
                        <a:xfrm>
                          <a:off x="0" y="0"/>
                          <a:ext cx="20574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796744" w14:textId="0734E086" w:rsidR="00573C95" w:rsidRDefault="00573C95">
                            <w:r>
                              <w:t>Réactions excessives aux informations imagées et émotives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58" o:spid="_x0000_s1624" type="#_x0000_t202" style="position:absolute;left:0;text-align:left;margin-left:-35.95pt;margin-top:396pt;width:162pt;height:54pt;z-index:2534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" filled="f" stroked="f">
                <v:textbox>
                  <w:txbxContent>
                    <w:p w14:paraId="5C796744" w14:textId="0734E086" w:rsidR="001501D6" w:rsidRDefault="001501D6">
                      <w:r>
                        <w:t>Réactions excessives aux informations imagées et émotives</w:t>
                      </w:r>
                    </w:p>
                  </w:txbxContent>
                </v:textbox>
                <w10:wrap type="square"/>
              </v:shape>
            </w:pict>
          </mc:Fallback>
        </mc:AlternateContent>
      </w:r>
      <w:r w:rsidR="004B5FD7">
        <w:rPr>
          <w:noProof/>
          <w:lang w:eastAsia="fr-FR"/>
        </w:rPr>
        <w:drawing>
          <wp:anchor distT="0" distB="0" distL="114300" distR="114300" simplePos="0" relativeHeight="253409280" behindDoc="0" locked="0" layoutInCell="1" allowOverlap="1" wp14:anchorId="0914C30B" wp14:editId="28968763">
            <wp:simplePos x="0" y="0"/>
            <wp:positionH relativeFrom="column">
              <wp:posOffset>1714500</wp:posOffset>
            </wp:positionH>
            <wp:positionV relativeFrom="paragraph">
              <wp:posOffset>5829300</wp:posOffset>
            </wp:positionV>
            <wp:extent cx="457200" cy="428625"/>
            <wp:effectExtent l="0" t="0" r="0" b="3175"/>
            <wp:wrapNone/>
            <wp:docPr id="953" name="Image 953" descr="Macintosh HD:Users:marcbachand:Desktop:Capture d’écran 2016-01-14 à 09.3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rcbachand:Desktop:Capture d’écran 2016-01-14 à 09.34.30.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57200" cy="4286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B5FD7">
        <w:rPr>
          <w:noProof/>
          <w:lang w:eastAsia="fr-FR"/>
        </w:rPr>
        <w:drawing>
          <wp:anchor distT="0" distB="0" distL="114300" distR="114300" simplePos="0" relativeHeight="253408256" behindDoc="0" locked="0" layoutInCell="1" allowOverlap="1" wp14:anchorId="18FDD131" wp14:editId="55E6E762">
            <wp:simplePos x="0" y="0"/>
            <wp:positionH relativeFrom="column">
              <wp:posOffset>4114800</wp:posOffset>
            </wp:positionH>
            <wp:positionV relativeFrom="paragraph">
              <wp:posOffset>5715000</wp:posOffset>
            </wp:positionV>
            <wp:extent cx="454660" cy="605790"/>
            <wp:effectExtent l="0" t="0" r="2540" b="3810"/>
            <wp:wrapNone/>
            <wp:docPr id="952" name="Image 952" descr="Macintosh HD:Users:marcbachand:Desktop:Capture d’écran 2016-01-14 à 09.3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rcbachand:Desktop:Capture d’écran 2016-01-14 à 09.34.22.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54660" cy="6057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B5FD7">
        <w:rPr>
          <w:noProof/>
          <w:lang w:eastAsia="fr-FR"/>
        </w:rPr>
        <w:drawing>
          <wp:anchor distT="0" distB="0" distL="114300" distR="114300" simplePos="0" relativeHeight="253406208" behindDoc="0" locked="0" layoutInCell="1" allowOverlap="1" wp14:anchorId="089134BA" wp14:editId="74C74E8F">
            <wp:simplePos x="0" y="0"/>
            <wp:positionH relativeFrom="column">
              <wp:posOffset>1600200</wp:posOffset>
            </wp:positionH>
            <wp:positionV relativeFrom="paragraph">
              <wp:posOffset>5029200</wp:posOffset>
            </wp:positionV>
            <wp:extent cx="683895" cy="661035"/>
            <wp:effectExtent l="0" t="0" r="1905" b="0"/>
            <wp:wrapNone/>
            <wp:docPr id="950" name="Image 950" descr="Macintosh HD:Users:marcbachand:Desktop:Capture d’écran 2016-01-14 à 09.3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cbachand:Desktop:Capture d’écran 2016-01-14 à 09.33.58.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83895" cy="6610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B5FD7">
        <w:rPr>
          <w:noProof/>
          <w:lang w:eastAsia="fr-FR"/>
        </w:rPr>
        <w:drawing>
          <wp:anchor distT="0" distB="0" distL="114300" distR="114300" simplePos="0" relativeHeight="253407232" behindDoc="0" locked="0" layoutInCell="1" allowOverlap="1" wp14:anchorId="024D6247" wp14:editId="22D03442">
            <wp:simplePos x="0" y="0"/>
            <wp:positionH relativeFrom="column">
              <wp:posOffset>4000500</wp:posOffset>
            </wp:positionH>
            <wp:positionV relativeFrom="paragraph">
              <wp:posOffset>5029200</wp:posOffset>
            </wp:positionV>
            <wp:extent cx="683895" cy="678815"/>
            <wp:effectExtent l="0" t="0" r="1905" b="6985"/>
            <wp:wrapNone/>
            <wp:docPr id="951" name="Image 951" descr="Macintosh HD:Users:marcbachand:Desktop:Capture d’écran 2016-01-14 à 09.3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rcbachand:Desktop:Capture d’écran 2016-01-14 à 09.33.37.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83895" cy="6788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B5FD7">
        <w:rPr>
          <w:noProof/>
          <w:lang w:eastAsia="fr-FR"/>
        </w:rPr>
        <mc:AlternateContent>
          <mc:Choice Requires="wps">
            <w:drawing>
              <wp:anchor distT="0" distB="0" distL="114300" distR="114300" simplePos="0" relativeHeight="253358080" behindDoc="0" locked="0" layoutInCell="1" allowOverlap="1" wp14:anchorId="3A87AACA" wp14:editId="5897F5DD">
                <wp:simplePos x="0" y="0"/>
                <wp:positionH relativeFrom="column">
                  <wp:posOffset>6858000</wp:posOffset>
                </wp:positionH>
                <wp:positionV relativeFrom="paragraph">
                  <wp:posOffset>-342900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0" name="Ellipse 920"/>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E081E56" w14:textId="5C410CBB" w:rsidR="00573C95" w:rsidRDefault="00573C95" w:rsidP="00312F72">
                            <w:pPr>
                              <w:jc w:val="center"/>
                            </w:pPr>
                            <w:r>
                              <w:rPr>
                                <w:color w:val="000000" w:themeColor="text1"/>
                                <w:sz w:val="36"/>
                                <w:szCs w:val="36"/>
                              </w:rPr>
                              <w:t>9</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20" o:spid="_x0000_s1625" style="position:absolute;left:0;text-align:left;margin-left:540pt;margin-top:-26.95pt;width:54pt;height:54pt;z-index:2533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" fillcolor="#82f2ff" strokecolor="black [3213]">
                <v:textbox>
                  <w:txbxContent>
                    <w:p w14:paraId="4E081E56" w14:textId="5C410CBB" w:rsidR="001501D6" w:rsidRDefault="001501D6" w:rsidP="00312F72">
                      <w:pPr>
                        <w:jc w:val="center"/>
                      </w:pPr>
                      <w:r>
                        <w:rPr>
                          <w:color w:val="000000" w:themeColor="text1"/>
                          <w:sz w:val="36"/>
                          <w:szCs w:val="36"/>
                        </w:rPr>
                        <w:t>9</w:t>
                      </w:r>
                    </w:p>
                  </w:txbxContent>
                </v:textbox>
                <w10:wrap type="through"/>
              </v:oval>
            </w:pict>
          </mc:Fallback>
        </mc:AlternateContent>
      </w:r>
      <w:r w:rsidR="004433B3">
        <w:rPr>
          <w:noProof/>
          <w:lang w:eastAsia="fr-FR"/>
        </w:rPr>
        <mc:AlternateContent>
          <mc:Choice Requires="wps">
            <w:drawing>
              <wp:anchor distT="0" distB="0" distL="114300" distR="114300" simplePos="0" relativeHeight="253381632" behindDoc="0" locked="0" layoutInCell="1" allowOverlap="1" wp14:anchorId="33A2D046" wp14:editId="53B920CA">
                <wp:simplePos x="0" y="0"/>
                <wp:positionH relativeFrom="column">
                  <wp:posOffset>5257800</wp:posOffset>
                </wp:positionH>
                <wp:positionV relativeFrom="paragraph">
                  <wp:posOffset>1828800</wp:posOffset>
                </wp:positionV>
                <wp:extent cx="1397000" cy="1397000"/>
                <wp:effectExtent l="0" t="0" r="25400" b="25400"/>
                <wp:wrapThrough wrapText="bothSides">
                  <wp:wrapPolygon edited="0">
                    <wp:start x="7069" y="0"/>
                    <wp:lineTo x="4320" y="1178"/>
                    <wp:lineTo x="0" y="5105"/>
                    <wp:lineTo x="0" y="14924"/>
                    <wp:lineTo x="2356" y="18851"/>
                    <wp:lineTo x="2356" y="19244"/>
                    <wp:lineTo x="6676" y="21600"/>
                    <wp:lineTo x="7069" y="21600"/>
                    <wp:lineTo x="14531" y="21600"/>
                    <wp:lineTo x="15316" y="21600"/>
                    <wp:lineTo x="19244" y="18851"/>
                    <wp:lineTo x="21600" y="14924"/>
                    <wp:lineTo x="21600" y="5105"/>
                    <wp:lineTo x="17280" y="1178"/>
                    <wp:lineTo x="14531" y="0"/>
                    <wp:lineTo x="7069" y="0"/>
                  </wp:wrapPolygon>
                </wp:wrapThrough>
                <wp:docPr id="937" name="Ellipse 937"/>
                <wp:cNvGraphicFramePr/>
                <a:graphic xmlns:a="http://schemas.openxmlformats.org/drawingml/2006/main">
                  <a:graphicData uri="http://schemas.microsoft.com/office/word/2010/wordprocessingShape">
                    <wps:wsp>
                      <wps:cNvSpPr/>
                      <wps:spPr>
                        <a:xfrm>
                          <a:off x="0" y="0"/>
                          <a:ext cx="1397000" cy="1397000"/>
                        </a:xfrm>
                        <a:prstGeom prst="ellipse">
                          <a:avLst/>
                        </a:prstGeom>
                        <a:ln>
                          <a:solidFill>
                            <a:schemeClr val="tx1"/>
                          </a:solidFill>
                        </a:ln>
                      </wps:spPr>
                      <wps:style>
                        <a:lnRef idx="3">
                          <a:schemeClr val="lt1"/>
                        </a:lnRef>
                        <a:fillRef idx="1">
                          <a:schemeClr val="accent3"/>
                        </a:fillRef>
                        <a:effectRef idx="1">
                          <a:schemeClr val="accent3"/>
                        </a:effectRef>
                        <a:fontRef idx="minor">
                          <a:schemeClr val="lt1"/>
                        </a:fontRef>
                      </wps:style>
                      <wps:txbx>
                        <w:txbxContent>
                          <w:p w14:paraId="0A9892D4" w14:textId="51DF85C8" w:rsidR="00573C95" w:rsidRPr="00835F18" w:rsidRDefault="00573C95" w:rsidP="00C76ECE">
                            <w:pPr>
                              <w:jc w:val="center"/>
                              <w:rPr>
                                <w:sz w:val="18"/>
                                <w:szCs w:val="18"/>
                              </w:rPr>
                            </w:pPr>
                            <w:hyperlink r:id="rId229" w:history="1">
                              <w:r w:rsidRPr="00835F18">
                                <w:rPr>
                                  <w:rStyle w:val="Lienhypertexte"/>
                                  <w:color w:val="auto"/>
                                  <w:sz w:val="18"/>
                                  <w:szCs w:val="18"/>
                                  <w:u w:val="none"/>
                                </w:rPr>
                                <w:t>Aversion à la dépossession</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37" o:spid="_x0000_s1626" style="position:absolute;left:0;text-align:left;margin-left:414pt;margin-top:2in;width:110pt;height:110pt;z-index:2533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" fillcolor="#ff6700 [3206]" strokecolor="black [3213]" strokeweight="1.75pt">
                <v:textbox>
                  <w:txbxContent>
                    <w:p w14:paraId="0A9892D4" w14:textId="51DF85C8" w:rsidR="001501D6" w:rsidRPr="00835F18" w:rsidRDefault="00E21DC3" w:rsidP="00C76ECE">
                      <w:pPr>
                        <w:jc w:val="center"/>
                        <w:rPr>
                          <w:sz w:val="18"/>
                          <w:szCs w:val="18"/>
                        </w:rPr>
                      </w:pPr>
                      <w:hyperlink r:id="rId230" w:history="1">
                        <w:r w:rsidR="001501D6" w:rsidRPr="00835F18">
                          <w:rPr>
                            <w:rStyle w:val="Lienhypertexte"/>
                            <w:color w:val="auto"/>
                            <w:sz w:val="18"/>
                            <w:szCs w:val="18"/>
                            <w:u w:val="none"/>
                          </w:rPr>
                          <w:t>Aversion à la dépossession</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3392896" behindDoc="0" locked="0" layoutInCell="1" allowOverlap="1" wp14:anchorId="41271595" wp14:editId="367365B5">
                <wp:simplePos x="0" y="0"/>
                <wp:positionH relativeFrom="column">
                  <wp:posOffset>457200</wp:posOffset>
                </wp:positionH>
                <wp:positionV relativeFrom="paragraph">
                  <wp:posOffset>342900</wp:posOffset>
                </wp:positionV>
                <wp:extent cx="1371600" cy="1371600"/>
                <wp:effectExtent l="0" t="0" r="25400" b="25400"/>
                <wp:wrapThrough wrapText="bothSides">
                  <wp:wrapPolygon edited="0">
                    <wp:start x="7200" y="0"/>
                    <wp:lineTo x="4400" y="1200"/>
                    <wp:lineTo x="0" y="5200"/>
                    <wp:lineTo x="0" y="15200"/>
                    <wp:lineTo x="2800" y="19200"/>
                    <wp:lineTo x="2800" y="19600"/>
                    <wp:lineTo x="6800" y="21600"/>
                    <wp:lineTo x="7200" y="21600"/>
                    <wp:lineTo x="14400" y="21600"/>
                    <wp:lineTo x="15200" y="21600"/>
                    <wp:lineTo x="18800" y="19200"/>
                    <wp:lineTo x="21600" y="15200"/>
                    <wp:lineTo x="21600" y="5200"/>
                    <wp:lineTo x="17200" y="1200"/>
                    <wp:lineTo x="14400" y="0"/>
                    <wp:lineTo x="7200" y="0"/>
                  </wp:wrapPolygon>
                </wp:wrapThrough>
                <wp:docPr id="941" name="Ellipse 941"/>
                <wp:cNvGraphicFramePr/>
                <a:graphic xmlns:a="http://schemas.openxmlformats.org/drawingml/2006/main">
                  <a:graphicData uri="http://schemas.microsoft.com/office/word/2010/wordprocessingShape">
                    <wps:wsp>
                      <wps:cNvSpPr/>
                      <wps:spPr>
                        <a:xfrm>
                          <a:off x="0" y="0"/>
                          <a:ext cx="1371600" cy="1371600"/>
                        </a:xfrm>
                        <a:prstGeom prst="ellipse">
                          <a:avLst/>
                        </a:prstGeom>
                        <a:ln>
                          <a:solidFill>
                            <a:srgbClr val="000000"/>
                          </a:solidFill>
                        </a:ln>
                      </wps:spPr>
                      <wps:style>
                        <a:lnRef idx="3">
                          <a:schemeClr val="lt1"/>
                        </a:lnRef>
                        <a:fillRef idx="1">
                          <a:schemeClr val="accent2"/>
                        </a:fillRef>
                        <a:effectRef idx="1">
                          <a:schemeClr val="accent2"/>
                        </a:effectRef>
                        <a:fontRef idx="minor">
                          <a:schemeClr val="lt1"/>
                        </a:fontRef>
                      </wps:style>
                      <wps:txbx>
                        <w:txbxContent>
                          <w:p w14:paraId="49D031E0" w14:textId="78C94419" w:rsidR="00573C95" w:rsidRPr="00AE14EC" w:rsidRDefault="00573C95" w:rsidP="000652D3">
                            <w:pPr>
                              <w:jc w:val="center"/>
                              <w:rPr>
                                <w:color w:val="FFFFFF" w:themeColor="background1"/>
                                <w:sz w:val="18"/>
                                <w:szCs w:val="18"/>
                              </w:rPr>
                            </w:pPr>
                            <w:hyperlink r:id="rId231" w:history="1">
                              <w:r w:rsidRPr="00AE14EC">
                                <w:rPr>
                                  <w:rStyle w:val="Lienhypertexte"/>
                                  <w:color w:val="FFFFFF" w:themeColor="background1"/>
                                  <w:sz w:val="18"/>
                                  <w:szCs w:val="18"/>
                                  <w:u w:val="none"/>
                                </w:rPr>
                                <w:t>Comptabilité  mentale</w:t>
                              </w:r>
                            </w:hyperlink>
                            <w:r w:rsidRPr="00AE14EC">
                              <w:rPr>
                                <w:color w:val="FFFFFF" w:themeColor="background1"/>
                                <w:sz w:val="18"/>
                                <w:szCs w:val="18"/>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41" o:spid="_x0000_s1627" style="position:absolute;left:0;text-align:left;margin-left:36pt;margin-top:27pt;width:108pt;height:108pt;z-index:2533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" fillcolor="#71685a [3205]" strokeweight="1.75pt">
                <v:textbox>
                  <w:txbxContent>
                    <w:p w14:paraId="49D031E0" w14:textId="78C94419" w:rsidR="001501D6" w:rsidRPr="00AE14EC" w:rsidRDefault="00E21DC3" w:rsidP="000652D3">
                      <w:pPr>
                        <w:jc w:val="center"/>
                        <w:rPr>
                          <w:color w:val="FFFFFF" w:themeColor="background1"/>
                          <w:sz w:val="18"/>
                          <w:szCs w:val="18"/>
                        </w:rPr>
                      </w:pPr>
                      <w:hyperlink r:id="rId232" w:history="1">
                        <w:r w:rsidR="001501D6" w:rsidRPr="00AE14EC">
                          <w:rPr>
                            <w:rStyle w:val="Lienhypertexte"/>
                            <w:color w:val="FFFFFF" w:themeColor="background1"/>
                            <w:sz w:val="18"/>
                            <w:szCs w:val="18"/>
                            <w:u w:val="none"/>
                          </w:rPr>
                          <w:t>Comptabilité  mentale</w:t>
                        </w:r>
                      </w:hyperlink>
                      <w:r w:rsidR="001501D6" w:rsidRPr="00AE14EC">
                        <w:rPr>
                          <w:color w:val="FFFFFF" w:themeColor="background1"/>
                          <w:sz w:val="18"/>
                          <w:szCs w:val="18"/>
                        </w:rPr>
                        <w:t xml:space="preserve"> </w:t>
                      </w:r>
                    </w:p>
                  </w:txbxContent>
                </v:textbox>
                <w10:wrap type="through"/>
              </v:oval>
            </w:pict>
          </mc:Fallback>
        </mc:AlternateContent>
      </w:r>
      <w:r w:rsidR="004433B3">
        <w:rPr>
          <w:noProof/>
          <w:lang w:eastAsia="fr-FR"/>
        </w:rPr>
        <mc:AlternateContent>
          <mc:Choice Requires="wps">
            <w:drawing>
              <wp:anchor distT="0" distB="0" distL="114300" distR="114300" simplePos="0" relativeHeight="253403136" behindDoc="0" locked="0" layoutInCell="1" allowOverlap="1" wp14:anchorId="0A0AD37B" wp14:editId="100A399F">
                <wp:simplePos x="0" y="0"/>
                <wp:positionH relativeFrom="column">
                  <wp:posOffset>4343400</wp:posOffset>
                </wp:positionH>
                <wp:positionV relativeFrom="paragraph">
                  <wp:posOffset>1600200</wp:posOffset>
                </wp:positionV>
                <wp:extent cx="1143000" cy="1143000"/>
                <wp:effectExtent l="76200" t="76200" r="76200" b="76200"/>
                <wp:wrapThrough wrapText="bothSides">
                  <wp:wrapPolygon edited="0">
                    <wp:start x="5760" y="-1440"/>
                    <wp:lineTo x="-1440" y="-480"/>
                    <wp:lineTo x="-1440" y="15360"/>
                    <wp:lineTo x="4800" y="21600"/>
                    <wp:lineTo x="5280" y="22560"/>
                    <wp:lineTo x="15840" y="22560"/>
                    <wp:lineTo x="16320" y="21600"/>
                    <wp:lineTo x="22560" y="15360"/>
                    <wp:lineTo x="22560" y="6240"/>
                    <wp:lineTo x="16320" y="-480"/>
                    <wp:lineTo x="15360" y="-1440"/>
                    <wp:lineTo x="5760" y="-1440"/>
                  </wp:wrapPolygon>
                </wp:wrapThrough>
                <wp:docPr id="947" name="Ellipse 947"/>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9712273" w14:textId="1F131C74" w:rsidR="00573C95" w:rsidRPr="00AE14EC" w:rsidRDefault="00573C95" w:rsidP="006A3AB9">
                            <w:pPr>
                              <w:jc w:val="center"/>
                              <w:rPr>
                                <w:color w:val="FFFFFF" w:themeColor="background1"/>
                                <w:sz w:val="18"/>
                                <w:szCs w:val="18"/>
                              </w:rPr>
                            </w:pPr>
                            <w:hyperlink r:id="rId233" w:history="1">
                              <w:r w:rsidRPr="00AE14EC">
                                <w:rPr>
                                  <w:rStyle w:val="Lienhypertexte"/>
                                  <w:color w:val="FFFFFF" w:themeColor="background1"/>
                                  <w:sz w:val="18"/>
                                  <w:szCs w:val="18"/>
                                  <w:u w:val="none"/>
                                </w:rPr>
                                <w:t>Effet de disposition</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47" o:spid="_x0000_s1628" style="position:absolute;left:0;text-align:left;margin-left:342pt;margin-top:126pt;width:90pt;height:90pt;z-index:2534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" fillcolor="#94c600 [3204]">
                <v:fill color2="#84b100 [2884]" rotate="t" focus="100%" type="gradient">
                  <o:fill v:ext="view" type="gradientUnscaled"/>
                </v:fill>
                <v:textbox>
                  <w:txbxContent>
                    <w:p w14:paraId="69712273" w14:textId="1F131C74" w:rsidR="001501D6" w:rsidRPr="00AE14EC" w:rsidRDefault="00E21DC3" w:rsidP="006A3AB9">
                      <w:pPr>
                        <w:jc w:val="center"/>
                        <w:rPr>
                          <w:color w:val="FFFFFF" w:themeColor="background1"/>
                          <w:sz w:val="18"/>
                          <w:szCs w:val="18"/>
                        </w:rPr>
                      </w:pPr>
                      <w:hyperlink r:id="rId234" w:history="1">
                        <w:r w:rsidR="001501D6" w:rsidRPr="00AE14EC">
                          <w:rPr>
                            <w:rStyle w:val="Lienhypertexte"/>
                            <w:color w:val="FFFFFF" w:themeColor="background1"/>
                            <w:sz w:val="18"/>
                            <w:szCs w:val="18"/>
                            <w:u w:val="none"/>
                          </w:rPr>
                          <w:t>Effet de disposition</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3390848" behindDoc="0" locked="0" layoutInCell="1" allowOverlap="1" wp14:anchorId="00B17A3B" wp14:editId="369739E7">
                <wp:simplePos x="0" y="0"/>
                <wp:positionH relativeFrom="column">
                  <wp:posOffset>5029200</wp:posOffset>
                </wp:positionH>
                <wp:positionV relativeFrom="paragraph">
                  <wp:posOffset>914400</wp:posOffset>
                </wp:positionV>
                <wp:extent cx="1371600" cy="1371600"/>
                <wp:effectExtent l="0" t="0" r="25400" b="25400"/>
                <wp:wrapThrough wrapText="bothSides">
                  <wp:wrapPolygon edited="0">
                    <wp:start x="7200" y="0"/>
                    <wp:lineTo x="4400" y="1200"/>
                    <wp:lineTo x="0" y="5200"/>
                    <wp:lineTo x="0" y="15200"/>
                    <wp:lineTo x="2800" y="19200"/>
                    <wp:lineTo x="2800" y="19600"/>
                    <wp:lineTo x="6800" y="21600"/>
                    <wp:lineTo x="7200" y="21600"/>
                    <wp:lineTo x="14400" y="21600"/>
                    <wp:lineTo x="15200" y="21600"/>
                    <wp:lineTo x="18800" y="19200"/>
                    <wp:lineTo x="21600" y="15200"/>
                    <wp:lineTo x="21600" y="5200"/>
                    <wp:lineTo x="17200" y="1200"/>
                    <wp:lineTo x="14400" y="0"/>
                    <wp:lineTo x="7200" y="0"/>
                  </wp:wrapPolygon>
                </wp:wrapThrough>
                <wp:docPr id="940" name="Ellipse 940"/>
                <wp:cNvGraphicFramePr/>
                <a:graphic xmlns:a="http://schemas.openxmlformats.org/drawingml/2006/main">
                  <a:graphicData uri="http://schemas.microsoft.com/office/word/2010/wordprocessingShape">
                    <wps:wsp>
                      <wps:cNvSpPr/>
                      <wps:spPr>
                        <a:xfrm>
                          <a:off x="0" y="0"/>
                          <a:ext cx="1371600" cy="1371600"/>
                        </a:xfrm>
                        <a:prstGeom prst="ellipse">
                          <a:avLst/>
                        </a:prstGeom>
                        <a:ln>
                          <a:solidFill>
                            <a:schemeClr val="tx1"/>
                          </a:solidFill>
                        </a:ln>
                      </wps:spPr>
                      <wps:style>
                        <a:lnRef idx="3">
                          <a:schemeClr val="lt1"/>
                        </a:lnRef>
                        <a:fillRef idx="1">
                          <a:schemeClr val="accent2"/>
                        </a:fillRef>
                        <a:effectRef idx="1">
                          <a:schemeClr val="accent2"/>
                        </a:effectRef>
                        <a:fontRef idx="minor">
                          <a:schemeClr val="lt1"/>
                        </a:fontRef>
                      </wps:style>
                      <wps:txbx>
                        <w:txbxContent>
                          <w:p w14:paraId="03F35E14" w14:textId="3345E379" w:rsidR="00573C95" w:rsidRPr="00F96A67" w:rsidRDefault="00573C95" w:rsidP="000652D3">
                            <w:pPr>
                              <w:jc w:val="center"/>
                              <w:rPr>
                                <w:color w:val="FFFFFF" w:themeColor="background1"/>
                                <w:sz w:val="18"/>
                                <w:szCs w:val="18"/>
                              </w:rPr>
                            </w:pPr>
                            <w:hyperlink r:id="rId235" w:history="1">
                              <w:r w:rsidRPr="00F96A67">
                                <w:rPr>
                                  <w:rStyle w:val="Lienhypertexte"/>
                                  <w:color w:val="FFFFFF" w:themeColor="background1"/>
                                  <w:sz w:val="18"/>
                                  <w:szCs w:val="18"/>
                                  <w:u w:val="none"/>
                                </w:rPr>
                                <w:t>Biais de confirmation</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40" o:spid="_x0000_s1629" style="position:absolute;left:0;text-align:left;margin-left:396pt;margin-top:1in;width:108pt;height:108pt;z-index:2533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" fillcolor="#71685a [3205]" strokecolor="black [3213]" strokeweight="1.75pt">
                <v:textbox>
                  <w:txbxContent>
                    <w:p w14:paraId="03F35E14" w14:textId="3345E379" w:rsidR="001501D6" w:rsidRPr="00F96A67" w:rsidRDefault="00E21DC3" w:rsidP="000652D3">
                      <w:pPr>
                        <w:jc w:val="center"/>
                        <w:rPr>
                          <w:color w:val="FFFFFF" w:themeColor="background1"/>
                          <w:sz w:val="18"/>
                          <w:szCs w:val="18"/>
                        </w:rPr>
                      </w:pPr>
                      <w:hyperlink r:id="rId236" w:history="1">
                        <w:r w:rsidR="001501D6" w:rsidRPr="00F96A67">
                          <w:rPr>
                            <w:rStyle w:val="Lienhypertexte"/>
                            <w:color w:val="FFFFFF" w:themeColor="background1"/>
                            <w:sz w:val="18"/>
                            <w:szCs w:val="18"/>
                            <w:u w:val="none"/>
                          </w:rPr>
                          <w:t>Biais de confirmation</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3394944" behindDoc="0" locked="0" layoutInCell="1" allowOverlap="1" wp14:anchorId="2E9928B2" wp14:editId="1D229062">
                <wp:simplePos x="0" y="0"/>
                <wp:positionH relativeFrom="column">
                  <wp:posOffset>914400</wp:posOffset>
                </wp:positionH>
                <wp:positionV relativeFrom="paragraph">
                  <wp:posOffset>1600200</wp:posOffset>
                </wp:positionV>
                <wp:extent cx="1257300" cy="1257300"/>
                <wp:effectExtent l="0" t="0" r="38100" b="38100"/>
                <wp:wrapThrough wrapText="bothSides">
                  <wp:wrapPolygon edited="0">
                    <wp:start x="6982" y="0"/>
                    <wp:lineTo x="4364" y="1309"/>
                    <wp:lineTo x="0" y="5673"/>
                    <wp:lineTo x="0" y="16145"/>
                    <wp:lineTo x="4800" y="20945"/>
                    <wp:lineTo x="6982" y="21818"/>
                    <wp:lineTo x="14836" y="21818"/>
                    <wp:lineTo x="17018" y="20945"/>
                    <wp:lineTo x="21818" y="16145"/>
                    <wp:lineTo x="21818" y="5673"/>
                    <wp:lineTo x="17455" y="1309"/>
                    <wp:lineTo x="14836" y="0"/>
                    <wp:lineTo x="6982" y="0"/>
                  </wp:wrapPolygon>
                </wp:wrapThrough>
                <wp:docPr id="942" name="Ellipse 942"/>
                <wp:cNvGraphicFramePr/>
                <a:graphic xmlns:a="http://schemas.openxmlformats.org/drawingml/2006/main">
                  <a:graphicData uri="http://schemas.microsoft.com/office/word/2010/wordprocessingShape">
                    <wps:wsp>
                      <wps:cNvSpPr/>
                      <wps:spPr>
                        <a:xfrm>
                          <a:off x="0" y="0"/>
                          <a:ext cx="1257300" cy="1257300"/>
                        </a:xfrm>
                        <a:prstGeom prst="ellipse">
                          <a:avLst/>
                        </a:prstGeom>
                        <a:ln>
                          <a:solidFill>
                            <a:srgbClr val="000000"/>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79A37FB2" w14:textId="51EF2EA2" w:rsidR="00573C95" w:rsidRPr="00AE14EC" w:rsidRDefault="00573C95" w:rsidP="000652D3">
                            <w:pPr>
                              <w:jc w:val="center"/>
                              <w:rPr>
                                <w:sz w:val="18"/>
                                <w:szCs w:val="18"/>
                              </w:rPr>
                            </w:pPr>
                            <w:hyperlink r:id="rId237" w:history="1">
                              <w:r w:rsidRPr="00AE14EC">
                                <w:rPr>
                                  <w:rStyle w:val="Lienhypertexte"/>
                                  <w:color w:val="auto"/>
                                  <w:sz w:val="18"/>
                                  <w:szCs w:val="18"/>
                                  <w:u w:val="none"/>
                                </w:rPr>
                                <w:t>Heuristique de disponibilité</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42" o:spid="_x0000_s1630" style="position:absolute;left:0;text-align:left;margin-left:1in;margin-top:126pt;width:99pt;height:99pt;z-index:2533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" fillcolor="#956b43 [3208]" strokeweight="1.25pt">
                <v:textbox>
                  <w:txbxContent>
                    <w:p w14:paraId="79A37FB2" w14:textId="51EF2EA2" w:rsidR="001501D6" w:rsidRPr="00AE14EC" w:rsidRDefault="00E21DC3" w:rsidP="000652D3">
                      <w:pPr>
                        <w:jc w:val="center"/>
                        <w:rPr>
                          <w:sz w:val="18"/>
                          <w:szCs w:val="18"/>
                        </w:rPr>
                      </w:pPr>
                      <w:hyperlink r:id="rId238" w:history="1">
                        <w:r w:rsidR="001501D6" w:rsidRPr="00AE14EC">
                          <w:rPr>
                            <w:rStyle w:val="Lienhypertexte"/>
                            <w:color w:val="auto"/>
                            <w:sz w:val="18"/>
                            <w:szCs w:val="18"/>
                            <w:u w:val="none"/>
                          </w:rPr>
                          <w:t>Heuristique de disponibilité</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3388800" behindDoc="0" locked="0" layoutInCell="1" allowOverlap="1" wp14:anchorId="44988A53" wp14:editId="7F594A29">
                <wp:simplePos x="0" y="0"/>
                <wp:positionH relativeFrom="column">
                  <wp:posOffset>3657600</wp:posOffset>
                </wp:positionH>
                <wp:positionV relativeFrom="paragraph">
                  <wp:posOffset>1028700</wp:posOffset>
                </wp:positionV>
                <wp:extent cx="1143000" cy="1143000"/>
                <wp:effectExtent l="0" t="0" r="25400" b="25400"/>
                <wp:wrapThrough wrapText="bothSides">
                  <wp:wrapPolygon edited="0">
                    <wp:start x="6720" y="0"/>
                    <wp:lineTo x="3360" y="1440"/>
                    <wp:lineTo x="0" y="5760"/>
                    <wp:lineTo x="0" y="16800"/>
                    <wp:lineTo x="5280" y="21600"/>
                    <wp:lineTo x="6720" y="21600"/>
                    <wp:lineTo x="14880" y="21600"/>
                    <wp:lineTo x="16320" y="21600"/>
                    <wp:lineTo x="21600" y="16800"/>
                    <wp:lineTo x="21600" y="5760"/>
                    <wp:lineTo x="18240" y="1440"/>
                    <wp:lineTo x="14880" y="0"/>
                    <wp:lineTo x="6720" y="0"/>
                  </wp:wrapPolygon>
                </wp:wrapThrough>
                <wp:docPr id="939" name="Ellipse 939"/>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rgbClr val="000000"/>
                          </a:solidFill>
                        </a:ln>
                      </wps:spPr>
                      <wps:style>
                        <a:lnRef idx="3">
                          <a:schemeClr val="lt1"/>
                        </a:lnRef>
                        <a:fillRef idx="1">
                          <a:schemeClr val="accent3"/>
                        </a:fillRef>
                        <a:effectRef idx="1">
                          <a:schemeClr val="accent3"/>
                        </a:effectRef>
                        <a:fontRef idx="minor">
                          <a:schemeClr val="lt1"/>
                        </a:fontRef>
                      </wps:style>
                      <wps:txbx>
                        <w:txbxContent>
                          <w:p w14:paraId="19B190F2" w14:textId="0DAC8FDF" w:rsidR="00573C95" w:rsidRPr="00AE14EC" w:rsidRDefault="00573C95" w:rsidP="000652D3">
                            <w:pPr>
                              <w:jc w:val="center"/>
                              <w:rPr>
                                <w:color w:val="FFFFFF" w:themeColor="background1"/>
                                <w:sz w:val="18"/>
                                <w:szCs w:val="18"/>
                              </w:rPr>
                            </w:pPr>
                            <w:hyperlink r:id="rId239" w:anchor="v=onepage&amp;q=exces%20de%20confiance%20biais&amp;f=false" w:history="1">
                              <w:r w:rsidRPr="00AE14EC">
                                <w:rPr>
                                  <w:rStyle w:val="Lienhypertexte"/>
                                  <w:color w:val="FFFFFF" w:themeColor="background1"/>
                                  <w:sz w:val="18"/>
                                  <w:szCs w:val="18"/>
                                  <w:u w:val="none"/>
                                </w:rPr>
                                <w:t>Excès de confiance</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39" o:spid="_x0000_s1631" style="position:absolute;left:0;text-align:left;margin-left:4in;margin-top:81pt;width:90pt;height:90pt;z-index:2533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" fillcolor="#ff6700 [3206]" strokeweight="1.75pt">
                <v:textbox>
                  <w:txbxContent>
                    <w:p w14:paraId="19B190F2" w14:textId="0DAC8FDF" w:rsidR="001501D6" w:rsidRPr="00AE14EC" w:rsidRDefault="00E21DC3" w:rsidP="000652D3">
                      <w:pPr>
                        <w:jc w:val="center"/>
                        <w:rPr>
                          <w:color w:val="FFFFFF" w:themeColor="background1"/>
                          <w:sz w:val="18"/>
                          <w:szCs w:val="18"/>
                        </w:rPr>
                      </w:pPr>
                      <w:hyperlink r:id="rId240" w:anchor="v=onepage&amp;q=exces%20de%20confiance%20biais&amp;f=false" w:history="1">
                        <w:r w:rsidR="001501D6" w:rsidRPr="00AE14EC">
                          <w:rPr>
                            <w:rStyle w:val="Lienhypertexte"/>
                            <w:color w:val="FFFFFF" w:themeColor="background1"/>
                            <w:sz w:val="18"/>
                            <w:szCs w:val="18"/>
                            <w:u w:val="none"/>
                          </w:rPr>
                          <w:t>Excès de confiance</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3384704" behindDoc="0" locked="0" layoutInCell="1" allowOverlap="1" wp14:anchorId="2686FE0D" wp14:editId="535DDADF">
                <wp:simplePos x="0" y="0"/>
                <wp:positionH relativeFrom="column">
                  <wp:posOffset>2743200</wp:posOffset>
                </wp:positionH>
                <wp:positionV relativeFrom="paragraph">
                  <wp:posOffset>1028700</wp:posOffset>
                </wp:positionV>
                <wp:extent cx="1028700" cy="1040765"/>
                <wp:effectExtent l="0" t="0" r="38100" b="26035"/>
                <wp:wrapThrough wrapText="bothSides">
                  <wp:wrapPolygon edited="0">
                    <wp:start x="6400" y="0"/>
                    <wp:lineTo x="0" y="3690"/>
                    <wp:lineTo x="0" y="14760"/>
                    <wp:lineTo x="533" y="17396"/>
                    <wp:lineTo x="5867" y="21613"/>
                    <wp:lineTo x="6400" y="21613"/>
                    <wp:lineTo x="15467" y="21613"/>
                    <wp:lineTo x="16000" y="21613"/>
                    <wp:lineTo x="21333" y="17396"/>
                    <wp:lineTo x="21867" y="14760"/>
                    <wp:lineTo x="21867" y="3690"/>
                    <wp:lineTo x="15467" y="0"/>
                    <wp:lineTo x="6400" y="0"/>
                  </wp:wrapPolygon>
                </wp:wrapThrough>
                <wp:docPr id="938" name="Ellipse 938"/>
                <wp:cNvGraphicFramePr/>
                <a:graphic xmlns:a="http://schemas.openxmlformats.org/drawingml/2006/main">
                  <a:graphicData uri="http://schemas.microsoft.com/office/word/2010/wordprocessingShape">
                    <wps:wsp>
                      <wps:cNvSpPr/>
                      <wps:spPr>
                        <a:xfrm>
                          <a:off x="0" y="0"/>
                          <a:ext cx="1028700" cy="1040765"/>
                        </a:xfrm>
                        <a:prstGeom prst="ellipse">
                          <a:avLst/>
                        </a:prstGeom>
                        <a:ln>
                          <a:solidFill>
                            <a:srgbClr val="000000"/>
                          </a:solidFill>
                        </a:ln>
                      </wps:spPr>
                      <wps:style>
                        <a:lnRef idx="3">
                          <a:schemeClr val="lt1"/>
                        </a:lnRef>
                        <a:fillRef idx="1">
                          <a:schemeClr val="accent4"/>
                        </a:fillRef>
                        <a:effectRef idx="1">
                          <a:schemeClr val="accent4"/>
                        </a:effectRef>
                        <a:fontRef idx="minor">
                          <a:schemeClr val="lt1"/>
                        </a:fontRef>
                      </wps:style>
                      <wps:txbx>
                        <w:txbxContent>
                          <w:p w14:paraId="51070F1F" w14:textId="104EFFEE" w:rsidR="00573C95" w:rsidRPr="00AE14EC" w:rsidRDefault="00573C95" w:rsidP="000652D3">
                            <w:pPr>
                              <w:jc w:val="center"/>
                              <w:rPr>
                                <w:sz w:val="18"/>
                                <w:szCs w:val="18"/>
                              </w:rPr>
                            </w:pPr>
                            <w:hyperlink r:id="rId241" w:history="1">
                              <w:r w:rsidRPr="00AE14EC">
                                <w:rPr>
                                  <w:rStyle w:val="Lienhypertexte"/>
                                  <w:color w:val="auto"/>
                                  <w:sz w:val="18"/>
                                  <w:szCs w:val="18"/>
                                  <w:u w:val="none"/>
                                </w:rPr>
                                <w:t>Aversion à la perte</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38" o:spid="_x0000_s1632" style="position:absolute;left:0;text-align:left;margin-left:3in;margin-top:81pt;width:81pt;height:81.95pt;z-index:2533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" fillcolor="#909465 [3207]" strokeweight="1.75pt">
                <v:textbox>
                  <w:txbxContent>
                    <w:p w14:paraId="51070F1F" w14:textId="104EFFEE" w:rsidR="001501D6" w:rsidRPr="00AE14EC" w:rsidRDefault="00E21DC3" w:rsidP="000652D3">
                      <w:pPr>
                        <w:jc w:val="center"/>
                        <w:rPr>
                          <w:sz w:val="18"/>
                          <w:szCs w:val="18"/>
                        </w:rPr>
                      </w:pPr>
                      <w:hyperlink r:id="rId242" w:history="1">
                        <w:r w:rsidR="001501D6" w:rsidRPr="00AE14EC">
                          <w:rPr>
                            <w:rStyle w:val="Lienhypertexte"/>
                            <w:color w:val="auto"/>
                            <w:sz w:val="18"/>
                            <w:szCs w:val="18"/>
                            <w:u w:val="none"/>
                          </w:rPr>
                          <w:t>Aversion à la perte</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3396992" behindDoc="0" locked="0" layoutInCell="1" allowOverlap="1" wp14:anchorId="4DB1B963" wp14:editId="3A092A66">
                <wp:simplePos x="0" y="0"/>
                <wp:positionH relativeFrom="column">
                  <wp:posOffset>3086100</wp:posOffset>
                </wp:positionH>
                <wp:positionV relativeFrom="paragraph">
                  <wp:posOffset>1714500</wp:posOffset>
                </wp:positionV>
                <wp:extent cx="1143000" cy="1143000"/>
                <wp:effectExtent l="0" t="0" r="25400" b="25400"/>
                <wp:wrapThrough wrapText="bothSides">
                  <wp:wrapPolygon edited="0">
                    <wp:start x="6720" y="0"/>
                    <wp:lineTo x="3360" y="1440"/>
                    <wp:lineTo x="0" y="5760"/>
                    <wp:lineTo x="0" y="16800"/>
                    <wp:lineTo x="5280" y="21600"/>
                    <wp:lineTo x="6720" y="21600"/>
                    <wp:lineTo x="14880" y="21600"/>
                    <wp:lineTo x="16320" y="21600"/>
                    <wp:lineTo x="21600" y="16800"/>
                    <wp:lineTo x="21600" y="5760"/>
                    <wp:lineTo x="18240" y="1440"/>
                    <wp:lineTo x="14880" y="0"/>
                    <wp:lineTo x="6720" y="0"/>
                  </wp:wrapPolygon>
                </wp:wrapThrough>
                <wp:docPr id="943" name="Ellipse 943"/>
                <wp:cNvGraphicFramePr/>
                <a:graphic xmlns:a="http://schemas.openxmlformats.org/drawingml/2006/main">
                  <a:graphicData uri="http://schemas.microsoft.com/office/word/2010/wordprocessingShape">
                    <wps:wsp>
                      <wps:cNvSpPr/>
                      <wps:spPr>
                        <a:xfrm>
                          <a:off x="0" y="0"/>
                          <a:ext cx="1143000" cy="1143000"/>
                        </a:xfrm>
                        <a:prstGeom prst="ellipse">
                          <a:avLst/>
                        </a:prstGeom>
                        <a:ln/>
                      </wps:spPr>
                      <wps:style>
                        <a:lnRef idx="3">
                          <a:schemeClr val="lt1"/>
                        </a:lnRef>
                        <a:fillRef idx="1">
                          <a:schemeClr val="dk1"/>
                        </a:fillRef>
                        <a:effectRef idx="1">
                          <a:schemeClr val="dk1"/>
                        </a:effectRef>
                        <a:fontRef idx="minor">
                          <a:schemeClr val="lt1"/>
                        </a:fontRef>
                      </wps:style>
                      <wps:txbx>
                        <w:txbxContent>
                          <w:p w14:paraId="4687D825" w14:textId="55B93BF1" w:rsidR="00573C95" w:rsidRPr="00AE14EC" w:rsidRDefault="00573C95" w:rsidP="00D8001F">
                            <w:pPr>
                              <w:jc w:val="center"/>
                              <w:rPr>
                                <w:color w:val="FFFFFF" w:themeColor="background1"/>
                                <w:sz w:val="18"/>
                                <w:szCs w:val="18"/>
                              </w:rPr>
                            </w:pPr>
                            <w:hyperlink r:id="rId243" w:history="1">
                              <w:r w:rsidRPr="00AE14EC">
                                <w:rPr>
                                  <w:rStyle w:val="Lienhypertexte"/>
                                  <w:color w:val="FFFFFF" w:themeColor="background1"/>
                                  <w:sz w:val="18"/>
                                  <w:szCs w:val="18"/>
                                  <w:u w:val="none"/>
                                </w:rPr>
                                <w:t>Sophisme du joueur</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43" o:spid="_x0000_s1633" style="position:absolute;left:0;text-align:left;margin-left:243pt;margin-top:135pt;width:90pt;height:90pt;z-index:2533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" fillcolor="black [3200]" strokecolor="white [3201]" strokeweight="1.75pt">
                <v:textbox>
                  <w:txbxContent>
                    <w:p w14:paraId="4687D825" w14:textId="55B93BF1" w:rsidR="001501D6" w:rsidRPr="00AE14EC" w:rsidRDefault="00E21DC3" w:rsidP="00D8001F">
                      <w:pPr>
                        <w:jc w:val="center"/>
                        <w:rPr>
                          <w:color w:val="FFFFFF" w:themeColor="background1"/>
                          <w:sz w:val="18"/>
                          <w:szCs w:val="18"/>
                        </w:rPr>
                      </w:pPr>
                      <w:hyperlink r:id="rId244" w:history="1">
                        <w:r w:rsidR="001501D6" w:rsidRPr="00AE14EC">
                          <w:rPr>
                            <w:rStyle w:val="Lienhypertexte"/>
                            <w:color w:val="FFFFFF" w:themeColor="background1"/>
                            <w:sz w:val="18"/>
                            <w:szCs w:val="18"/>
                            <w:u w:val="none"/>
                          </w:rPr>
                          <w:t>Sophisme du joueur</w:t>
                        </w:r>
                      </w:hyperlink>
                    </w:p>
                  </w:txbxContent>
                </v:textbox>
                <w10:wrap type="through"/>
              </v:oval>
            </w:pict>
          </mc:Fallback>
        </mc:AlternateContent>
      </w:r>
      <w:r w:rsidR="00004E7B">
        <w:rPr>
          <w:noProof/>
          <w:lang w:eastAsia="fr-FR"/>
        </w:rPr>
        <mc:AlternateContent>
          <mc:Choice Requires="wps">
            <w:drawing>
              <wp:anchor distT="0" distB="0" distL="114300" distR="114300" simplePos="0" relativeHeight="253386752" behindDoc="0" locked="0" layoutInCell="1" allowOverlap="1" wp14:anchorId="79A5DA5C" wp14:editId="5C370785">
                <wp:simplePos x="0" y="0"/>
                <wp:positionH relativeFrom="column">
                  <wp:posOffset>2057400</wp:posOffset>
                </wp:positionH>
                <wp:positionV relativeFrom="paragraph">
                  <wp:posOffset>1828800</wp:posOffset>
                </wp:positionV>
                <wp:extent cx="1028700" cy="1041400"/>
                <wp:effectExtent l="76200" t="76200" r="63500" b="76200"/>
                <wp:wrapThrough wrapText="bothSides">
                  <wp:wrapPolygon edited="0">
                    <wp:start x="5867" y="-1580"/>
                    <wp:lineTo x="-1600" y="-527"/>
                    <wp:lineTo x="-1600" y="14751"/>
                    <wp:lineTo x="-533" y="16859"/>
                    <wp:lineTo x="4800" y="21600"/>
                    <wp:lineTo x="5333" y="22654"/>
                    <wp:lineTo x="15467" y="22654"/>
                    <wp:lineTo x="16000" y="21600"/>
                    <wp:lineTo x="21333" y="16859"/>
                    <wp:lineTo x="22400" y="8429"/>
                    <wp:lineTo x="22400" y="6849"/>
                    <wp:lineTo x="16533" y="-527"/>
                    <wp:lineTo x="15467" y="-1580"/>
                    <wp:lineTo x="5867" y="-1580"/>
                  </wp:wrapPolygon>
                </wp:wrapThrough>
                <wp:docPr id="946" name="Ellipse 946"/>
                <wp:cNvGraphicFramePr/>
                <a:graphic xmlns:a="http://schemas.openxmlformats.org/drawingml/2006/main">
                  <a:graphicData uri="http://schemas.microsoft.com/office/word/2010/wordprocessingShape">
                    <wps:wsp>
                      <wps:cNvSpPr/>
                      <wps:spPr>
                        <a:xfrm>
                          <a:off x="0" y="0"/>
                          <a:ext cx="1028700" cy="1041400"/>
                        </a:xfrm>
                        <a:prstGeom prst="ellipse">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4D73814" w14:textId="4D96C328" w:rsidR="00573C95" w:rsidRPr="00AE14EC" w:rsidRDefault="00573C95" w:rsidP="000652D3">
                            <w:pPr>
                              <w:jc w:val="center"/>
                              <w:rPr>
                                <w:color w:val="FFFFFF" w:themeColor="background1"/>
                                <w:sz w:val="18"/>
                                <w:szCs w:val="18"/>
                              </w:rPr>
                            </w:pPr>
                            <w:hyperlink r:id="rId245" w:history="1">
                              <w:r w:rsidRPr="00AE14EC">
                                <w:rPr>
                                  <w:rStyle w:val="Lienhypertexte"/>
                                  <w:color w:val="FFFFFF" w:themeColor="background1"/>
                                  <w:sz w:val="18"/>
                                  <w:szCs w:val="18"/>
                                  <w:u w:val="none"/>
                                </w:rPr>
                                <w:t>Loi des petits nombres</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46" o:spid="_x0000_s1634" style="position:absolute;left:0;text-align:left;margin-left:162pt;margin-top:2in;width:81pt;height:82pt;z-index:2533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" fillcolor="#94c600 [3204]">
                <v:fill color2="#84b100 [2884]" rotate="t" focus="100%" type="gradient">
                  <o:fill v:ext="view" type="gradientUnscaled"/>
                </v:fill>
                <v:textbox>
                  <w:txbxContent>
                    <w:p w14:paraId="74D73814" w14:textId="4D96C328" w:rsidR="001501D6" w:rsidRPr="00AE14EC" w:rsidRDefault="00E21DC3" w:rsidP="000652D3">
                      <w:pPr>
                        <w:jc w:val="center"/>
                        <w:rPr>
                          <w:color w:val="FFFFFF" w:themeColor="background1"/>
                          <w:sz w:val="18"/>
                          <w:szCs w:val="18"/>
                        </w:rPr>
                      </w:pPr>
                      <w:hyperlink r:id="rId246" w:history="1">
                        <w:r w:rsidR="001501D6" w:rsidRPr="00AE14EC">
                          <w:rPr>
                            <w:rStyle w:val="Lienhypertexte"/>
                            <w:color w:val="FFFFFF" w:themeColor="background1"/>
                            <w:sz w:val="18"/>
                            <w:szCs w:val="18"/>
                            <w:u w:val="none"/>
                          </w:rPr>
                          <w:t>Loi des petits nombres</w:t>
                        </w:r>
                      </w:hyperlink>
                    </w:p>
                  </w:txbxContent>
                </v:textbox>
                <w10:wrap type="through"/>
              </v:oval>
            </w:pict>
          </mc:Fallback>
        </mc:AlternateContent>
      </w:r>
      <w:r w:rsidR="00004E7B">
        <w:rPr>
          <w:noProof/>
          <w:lang w:eastAsia="fr-FR"/>
        </w:rPr>
        <mc:AlternateContent>
          <mc:Choice Requires="wps">
            <w:drawing>
              <wp:anchor distT="0" distB="0" distL="114300" distR="114300" simplePos="0" relativeHeight="253401088" behindDoc="0" locked="0" layoutInCell="1" allowOverlap="1" wp14:anchorId="4EC8F95B" wp14:editId="5C5BE7D0">
                <wp:simplePos x="0" y="0"/>
                <wp:positionH relativeFrom="column">
                  <wp:posOffset>-342900</wp:posOffset>
                </wp:positionH>
                <wp:positionV relativeFrom="paragraph">
                  <wp:posOffset>685800</wp:posOffset>
                </wp:positionV>
                <wp:extent cx="1143000" cy="1143000"/>
                <wp:effectExtent l="76200" t="76200" r="76200" b="76200"/>
                <wp:wrapThrough wrapText="bothSides">
                  <wp:wrapPolygon edited="0">
                    <wp:start x="5760" y="-1440"/>
                    <wp:lineTo x="-1440" y="-480"/>
                    <wp:lineTo x="-1440" y="15360"/>
                    <wp:lineTo x="4800" y="21600"/>
                    <wp:lineTo x="5280" y="22560"/>
                    <wp:lineTo x="15840" y="22560"/>
                    <wp:lineTo x="16320" y="21600"/>
                    <wp:lineTo x="22560" y="15360"/>
                    <wp:lineTo x="22560" y="6240"/>
                    <wp:lineTo x="16320" y="-480"/>
                    <wp:lineTo x="15360" y="-1440"/>
                    <wp:lineTo x="5760" y="-1440"/>
                  </wp:wrapPolygon>
                </wp:wrapThrough>
                <wp:docPr id="954" name="Ellipse 954"/>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DE79215" w14:textId="43E25284" w:rsidR="00573C95" w:rsidRPr="00835F18" w:rsidRDefault="00573C95" w:rsidP="00BB7626">
                            <w:pPr>
                              <w:jc w:val="center"/>
                              <w:rPr>
                                <w:sz w:val="18"/>
                                <w:szCs w:val="18"/>
                              </w:rPr>
                            </w:pPr>
                            <w:hyperlink r:id="rId247" w:history="1">
                              <w:r w:rsidRPr="00835F18">
                                <w:rPr>
                                  <w:rStyle w:val="Lienhypertexte"/>
                                  <w:color w:val="auto"/>
                                  <w:sz w:val="18"/>
                                  <w:szCs w:val="18"/>
                                  <w:u w:val="none"/>
                                </w:rPr>
                                <w:t>Biais de conformité</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54" o:spid="_x0000_s1635" style="position:absolute;left:0;text-align:left;margin-left:-26.95pt;margin-top:54pt;width:90pt;height:90pt;z-index:2534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" fillcolor="#94c600 [3204]">
                <v:fill color2="#84b100 [2884]" rotate="t" focus="100%" type="gradient">
                  <o:fill v:ext="view" type="gradientUnscaled"/>
                </v:fill>
                <v:textbox>
                  <w:txbxContent>
                    <w:p w14:paraId="1DE79215" w14:textId="43E25284" w:rsidR="001501D6" w:rsidRPr="00835F18" w:rsidRDefault="00E21DC3" w:rsidP="00BB7626">
                      <w:pPr>
                        <w:jc w:val="center"/>
                        <w:rPr>
                          <w:sz w:val="18"/>
                          <w:szCs w:val="18"/>
                        </w:rPr>
                      </w:pPr>
                      <w:hyperlink r:id="rId248" w:history="1">
                        <w:r w:rsidR="001501D6" w:rsidRPr="00835F18">
                          <w:rPr>
                            <w:rStyle w:val="Lienhypertexte"/>
                            <w:color w:val="auto"/>
                            <w:sz w:val="18"/>
                            <w:szCs w:val="18"/>
                            <w:u w:val="none"/>
                          </w:rPr>
                          <w:t>Biais de conformité</w:t>
                        </w:r>
                      </w:hyperlink>
                    </w:p>
                  </w:txbxContent>
                </v:textbox>
                <w10:wrap type="through"/>
              </v:oval>
            </w:pict>
          </mc:Fallback>
        </mc:AlternateContent>
      </w:r>
      <w:r w:rsidR="00004E7B" w:rsidRPr="00004E7B">
        <w:rPr>
          <w:sz w:val="36"/>
          <w:szCs w:val="36"/>
        </w:rPr>
        <w:t>Connaissez les tares psychologiques de l'i</w:t>
      </w:r>
      <w:r w:rsidR="004B5FD7">
        <w:rPr>
          <w:noProof/>
          <w:lang w:eastAsia="fr-FR"/>
        </w:rPr>
        <mc:AlternateContent>
          <mc:Choice Requires="wps">
            <w:drawing>
              <wp:anchor distT="0" distB="0" distL="114300" distR="114300" simplePos="0" relativeHeight="253411328" behindDoc="0" locked="0" layoutInCell="1" allowOverlap="1" wp14:anchorId="0081C43E" wp14:editId="260FEF41">
                <wp:simplePos x="0" y="0"/>
                <wp:positionH relativeFrom="column">
                  <wp:posOffset>2307590</wp:posOffset>
                </wp:positionH>
                <wp:positionV relativeFrom="paragraph">
                  <wp:posOffset>5075555</wp:posOffset>
                </wp:positionV>
                <wp:extent cx="778510" cy="282575"/>
                <wp:effectExtent l="50800" t="177800" r="0" b="174625"/>
                <wp:wrapThrough wrapText="bothSides">
                  <wp:wrapPolygon edited="0">
                    <wp:start x="20891" y="-2422"/>
                    <wp:lineTo x="3293" y="-22731"/>
                    <wp:lineTo x="-1820" y="4957"/>
                    <wp:lineTo x="660" y="21502"/>
                    <wp:lineTo x="4428" y="26785"/>
                    <wp:lineTo x="8230" y="19043"/>
                    <wp:lineTo x="22445" y="6292"/>
                    <wp:lineTo x="23404" y="1100"/>
                    <wp:lineTo x="20891" y="-2422"/>
                  </wp:wrapPolygon>
                </wp:wrapThrough>
                <wp:docPr id="955" name="Flèche vers la gauche 955"/>
                <wp:cNvGraphicFramePr/>
                <a:graphic xmlns:a="http://schemas.openxmlformats.org/drawingml/2006/main">
                  <a:graphicData uri="http://schemas.microsoft.com/office/word/2010/wordprocessingShape">
                    <wps:wsp>
                      <wps:cNvSpPr/>
                      <wps:spPr>
                        <a:xfrm rot="19982108">
                          <a:off x="0" y="0"/>
                          <a:ext cx="778510" cy="282575"/>
                        </a:xfrm>
                        <a:prstGeom prst="leftArrow">
                          <a:avLst/>
                        </a:prstGeom>
                        <a:solidFill>
                          <a:srgbClr val="71712B"/>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lèche vers la gauche 955" o:spid="_x0000_s1026" type="#_x0000_t66" style="position:absolute;margin-left:181.7pt;margin-top:399.65pt;width:61.3pt;height:22.25pt;rotation:-1767170fd;z-index:2534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" adj="3920" fillcolor="#71712b">
                <w10:wrap type="through"/>
              </v:shape>
            </w:pict>
          </mc:Fallback>
        </mc:AlternateContent>
      </w:r>
      <w:r w:rsidR="004B5FD7">
        <w:rPr>
          <w:noProof/>
          <w:lang w:eastAsia="fr-FR"/>
        </w:rPr>
        <mc:AlternateContent>
          <mc:Choice Requires="wps">
            <w:drawing>
              <wp:anchor distT="0" distB="0" distL="114300" distR="114300" simplePos="0" relativeHeight="253413376" behindDoc="0" locked="0" layoutInCell="1" allowOverlap="1" wp14:anchorId="7C8B6F60" wp14:editId="19B4FA6C">
                <wp:simplePos x="0" y="0"/>
                <wp:positionH relativeFrom="column">
                  <wp:posOffset>3218815</wp:posOffset>
                </wp:positionH>
                <wp:positionV relativeFrom="paragraph">
                  <wp:posOffset>5089525</wp:posOffset>
                </wp:positionV>
                <wp:extent cx="778510" cy="282575"/>
                <wp:effectExtent l="0" t="203200" r="34290" b="174625"/>
                <wp:wrapThrough wrapText="bothSides">
                  <wp:wrapPolygon edited="0">
                    <wp:start x="24312" y="19804"/>
                    <wp:lineTo x="23261" y="14751"/>
                    <wp:lineTo x="10054" y="2046"/>
                    <wp:lineTo x="5154" y="-5879"/>
                    <wp:lineTo x="264" y="1849"/>
                    <wp:lineTo x="354" y="6184"/>
                    <wp:lineTo x="-78" y="15818"/>
                    <wp:lineTo x="3519" y="36995"/>
                    <wp:lineTo x="9551" y="38654"/>
                    <wp:lineTo x="21867" y="23668"/>
                    <wp:lineTo x="24312" y="19804"/>
                  </wp:wrapPolygon>
                </wp:wrapThrough>
                <wp:docPr id="957" name="Flèche vers la gauche 957"/>
                <wp:cNvGraphicFramePr/>
                <a:graphic xmlns:a="http://schemas.openxmlformats.org/drawingml/2006/main">
                  <a:graphicData uri="http://schemas.microsoft.com/office/word/2010/wordprocessingShape">
                    <wps:wsp>
                      <wps:cNvSpPr/>
                      <wps:spPr>
                        <a:xfrm rot="12590239">
                          <a:off x="0" y="0"/>
                          <a:ext cx="778510" cy="282575"/>
                        </a:xfrm>
                        <a:prstGeom prst="leftArrow">
                          <a:avLst/>
                        </a:prstGeom>
                        <a:solidFill>
                          <a:srgbClr val="71712B"/>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Flèche vers la gauche 957" o:spid="_x0000_s1026" type="#_x0000_t66" style="position:absolute;margin-left:253.45pt;margin-top:400.75pt;width:61.3pt;height:22.25pt;rotation:-9841062fd;z-index:2534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" adj="3920" fillcolor="#71712b">
                <w10:wrap type="through"/>
              </v:shape>
            </w:pict>
          </mc:Fallback>
        </mc:AlternateContent>
      </w:r>
      <w:r w:rsidR="00004E7B" w:rsidRPr="00004E7B">
        <w:rPr>
          <w:sz w:val="36"/>
          <w:szCs w:val="36"/>
        </w:rPr>
        <w:t>nvestisseur</w:t>
      </w:r>
      <w:r w:rsidR="00004E7B">
        <w:rPr>
          <w:noProof/>
          <w:lang w:eastAsia="fr-FR"/>
        </w:rPr>
        <w:t xml:space="preserve"> </w:t>
      </w:r>
      <w:r w:rsidR="00DC75EA">
        <w:br w:type="page"/>
      </w:r>
    </w:p>
    <w:p w14:paraId="2D01372A" w14:textId="77777777" w:rsidR="004F66DA" w:rsidRDefault="004F66DA" w:rsidP="00456C30"/>
    <w:p w14:paraId="40BFC199" w14:textId="448E0F5E" w:rsidR="004F66DA" w:rsidRPr="005D7995" w:rsidRDefault="00456C30" w:rsidP="006C34CF">
      <w:pPr>
        <w:pStyle w:val="Paragraphedeliste"/>
        <w:numPr>
          <w:ilvl w:val="0"/>
          <w:numId w:val="126"/>
        </w:numPr>
        <w:rPr>
          <w:sz w:val="36"/>
          <w:szCs w:val="36"/>
        </w:rPr>
      </w:pPr>
      <w:r>
        <w:rPr>
          <w:noProof/>
          <w:lang w:eastAsia="fr-FR"/>
        </w:rPr>
        <mc:AlternateContent>
          <mc:Choice Requires="wps">
            <w:drawing>
              <wp:anchor distT="0" distB="0" distL="114300" distR="114300" simplePos="0" relativeHeight="253360128" behindDoc="0" locked="0" layoutInCell="1" allowOverlap="1" wp14:anchorId="2CE61C79" wp14:editId="08F7224F">
                <wp:simplePos x="0" y="0"/>
                <wp:positionH relativeFrom="column">
                  <wp:posOffset>5829300</wp:posOffset>
                </wp:positionH>
                <wp:positionV relativeFrom="paragraph">
                  <wp:posOffset>-457200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1" name="Ellipse 921"/>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3BB6DC" w14:textId="490955D3" w:rsidR="00573C95" w:rsidRDefault="00573C95" w:rsidP="00D406C0">
                            <w:pPr>
                              <w:jc w:val="center"/>
                            </w:pPr>
                            <w:r>
                              <w:rPr>
                                <w:color w:val="000000" w:themeColor="text1"/>
                                <w:sz w:val="36"/>
                                <w:szCs w:val="36"/>
                              </w:rPr>
                              <w:t>10</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id="Ellipse 921" o:spid="_x0000_s1636" style="position:absolute;left:0;text-align:left;margin-left:459pt;margin-top:-35.95pt;width:54pt;height:54pt;z-index:2533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" fillcolor="#82f2ff" strokecolor="black [3213]">
                <v:textbox>
                  <w:txbxContent>
                    <w:p w14:paraId="3D3BB6DC" w14:textId="490955D3" w:rsidR="001501D6" w:rsidRDefault="001501D6" w:rsidP="00D406C0">
                      <w:pPr>
                        <w:jc w:val="center"/>
                      </w:pPr>
                      <w:r>
                        <w:rPr>
                          <w:color w:val="000000" w:themeColor="text1"/>
                          <w:sz w:val="36"/>
                          <w:szCs w:val="36"/>
                        </w:rPr>
                        <w:t>10</w:t>
                      </w:r>
                    </w:p>
                  </w:txbxContent>
                </v:textbox>
                <w10:wrap type="through"/>
              </v:oval>
            </w:pict>
          </mc:Fallback>
        </mc:AlternateContent>
      </w:r>
      <w:r w:rsidR="004F66DA" w:rsidRPr="005D7995">
        <w:rPr>
          <w:sz w:val="36"/>
          <w:szCs w:val="36"/>
        </w:rPr>
        <w:t>C</w:t>
      </w:r>
      <w:r w:rsidR="004C4AB9">
        <w:rPr>
          <w:sz w:val="36"/>
          <w:szCs w:val="36"/>
        </w:rPr>
        <w:t>ultivez vo</w:t>
      </w:r>
      <w:r w:rsidR="00972AA1">
        <w:rPr>
          <w:sz w:val="36"/>
          <w:szCs w:val="36"/>
        </w:rPr>
        <w:t xml:space="preserve">tre </w:t>
      </w:r>
      <w:r w:rsidR="004C4AB9">
        <w:rPr>
          <w:sz w:val="36"/>
          <w:szCs w:val="36"/>
        </w:rPr>
        <w:t>s</w:t>
      </w:r>
      <w:r w:rsidR="00972AA1">
        <w:rPr>
          <w:sz w:val="36"/>
          <w:szCs w:val="36"/>
        </w:rPr>
        <w:t>avoir</w:t>
      </w:r>
      <w:r w:rsidR="004C4AB9">
        <w:rPr>
          <w:sz w:val="36"/>
          <w:szCs w:val="36"/>
        </w:rPr>
        <w:t xml:space="preserve"> et  </w:t>
      </w:r>
      <w:r w:rsidR="00007553">
        <w:rPr>
          <w:sz w:val="36"/>
          <w:szCs w:val="36"/>
        </w:rPr>
        <w:t>vos connaissances</w:t>
      </w:r>
    </w:p>
    <w:p w14:paraId="6C2E36A1" w14:textId="77777777" w:rsidR="00D406C0" w:rsidRDefault="00D406C0"/>
    <w:p w14:paraId="33FB4136" w14:textId="2ED303D6" w:rsidR="003713E5" w:rsidRDefault="003713E5" w:rsidP="003713E5">
      <w:pPr>
        <w:jc w:val="both"/>
      </w:pPr>
      <w:r>
        <w:t>À l'ère du Web où les outils d'apprentissage sont nombreux et accessibles à un coût nul, les occasions d'apprendre sur le sujet</w:t>
      </w:r>
      <w:r w:rsidR="00424C74">
        <w:t xml:space="preserve"> des placements et des finances personnelles</w:t>
      </w:r>
      <w:r>
        <w:t xml:space="preserve"> n'ont jamais été aussi nombreuses. Ne serait-ce que le présent ouvrage qui se veut explicatif, accessible à tous et convergent vers de multiples autres plates-formes de connaissances en la matière. L'atteinte d'un niveau de connaissance et de compétence de base permet à la population en général d'interagir, de poser des questions, de communiquer de façon efficace avec les différents conseillers qui graviteront autour des affaires financières des individus. Cette quête personnalisée de </w:t>
      </w:r>
      <w:r w:rsidRPr="003713E5">
        <w:rPr>
          <w:color w:val="FF6700" w:themeColor="accent3"/>
        </w:rPr>
        <w:t>SAVOIR</w:t>
      </w:r>
      <w:r>
        <w:t xml:space="preserve"> donne des outils de connaissance et d'autodéfense en matière de </w:t>
      </w:r>
      <w:r w:rsidRPr="00CB2539">
        <w:rPr>
          <w:color w:val="FF6700" w:themeColor="accent3"/>
        </w:rPr>
        <w:t>LITTÉRATIE FINANCIÈRE</w:t>
      </w:r>
      <w:r>
        <w:t xml:space="preserve">, plus jeune ils seront maitrisés, plus grands en seront les avantages soutirés par les épargnants. </w:t>
      </w:r>
    </w:p>
    <w:p w14:paraId="5F67BFB8" w14:textId="2E43DC26" w:rsidR="009D2AA3" w:rsidRDefault="0013429B">
      <w:r>
        <w:rPr>
          <w:noProof/>
          <w:lang w:eastAsia="fr-FR"/>
        </w:rPr>
        <w:drawing>
          <wp:anchor distT="0" distB="0" distL="114300" distR="114300" simplePos="0" relativeHeight="253418496" behindDoc="0" locked="0" layoutInCell="1" allowOverlap="1" wp14:anchorId="40F1F2CC" wp14:editId="7C616522">
            <wp:simplePos x="0" y="0"/>
            <wp:positionH relativeFrom="column">
              <wp:posOffset>3200400</wp:posOffset>
            </wp:positionH>
            <wp:positionV relativeFrom="paragraph">
              <wp:posOffset>137160</wp:posOffset>
            </wp:positionV>
            <wp:extent cx="4343400" cy="2795905"/>
            <wp:effectExtent l="0" t="0" r="0" b="0"/>
            <wp:wrapSquare wrapText="bothSides"/>
            <wp:docPr id="956" name="Image 956" descr="Macintosh HD:Users:marcbachand:Desktop:mooc_promo_entete.jpg">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mooc_promo_entete.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343400" cy="27959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3420544" behindDoc="1" locked="0" layoutInCell="1" allowOverlap="1" wp14:anchorId="16038F4C" wp14:editId="5D0A27A6">
            <wp:simplePos x="0" y="0"/>
            <wp:positionH relativeFrom="column">
              <wp:posOffset>2286000</wp:posOffset>
            </wp:positionH>
            <wp:positionV relativeFrom="paragraph">
              <wp:posOffset>22860</wp:posOffset>
            </wp:positionV>
            <wp:extent cx="685800" cy="681990"/>
            <wp:effectExtent l="0" t="0" r="0" b="3810"/>
            <wp:wrapNone/>
            <wp:docPr id="621" name="Image 621" descr="Macintosh HD:Users:marcbachand:Desktop:Capture d’écran 2015-06-08 à 17.04.54.png">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617FC64" w14:textId="107687C9" w:rsidR="009D2AA3" w:rsidRDefault="009D2AA3"/>
    <w:p w14:paraId="0BCF6565" w14:textId="40A6F65D" w:rsidR="00B76772" w:rsidRDefault="00573C95">
      <w:pPr>
        <w:rPr>
          <w:color w:val="FF6700" w:themeColor="accent3"/>
        </w:rPr>
      </w:pPr>
      <w:hyperlink r:id="rId252" w:history="1">
        <w:r w:rsidR="009D2AA3" w:rsidRPr="009D2AA3">
          <w:rPr>
            <w:rStyle w:val="Lienhypertexte"/>
            <w:color w:val="FF6700" w:themeColor="accent3"/>
          </w:rPr>
          <w:t>Pour vous inscrire au MOOC</w:t>
        </w:r>
      </w:hyperlink>
    </w:p>
    <w:p w14:paraId="528F62FC" w14:textId="77777777" w:rsidR="00B76772" w:rsidRDefault="00B76772">
      <w:pPr>
        <w:rPr>
          <w:color w:val="FF6700" w:themeColor="accent3"/>
        </w:rPr>
      </w:pPr>
    </w:p>
    <w:p w14:paraId="61D53E21" w14:textId="77777777" w:rsidR="00B76772" w:rsidRDefault="00B76772">
      <w:pPr>
        <w:rPr>
          <w:color w:val="FF6700" w:themeColor="accent3"/>
        </w:rPr>
      </w:pPr>
    </w:p>
    <w:p w14:paraId="4CBD56FF" w14:textId="276F7DE8" w:rsidR="00B76772" w:rsidRDefault="00B76772">
      <w:pPr>
        <w:rPr>
          <w:color w:val="FF6700" w:themeColor="accent3"/>
        </w:rPr>
      </w:pPr>
    </w:p>
    <w:p w14:paraId="16BF5AC4" w14:textId="556C835A" w:rsidR="00B76772" w:rsidRDefault="00B76772">
      <w:pPr>
        <w:rPr>
          <w:color w:val="FF6700" w:themeColor="accent3"/>
        </w:rPr>
      </w:pPr>
    </w:p>
    <w:p w14:paraId="7D70DAB6" w14:textId="77777777" w:rsidR="0013429B" w:rsidRDefault="0013429B">
      <w:pPr>
        <w:rPr>
          <w:color w:val="FF6700" w:themeColor="accent3"/>
        </w:rPr>
      </w:pPr>
    </w:p>
    <w:p w14:paraId="6D8360CA" w14:textId="77777777" w:rsidR="0013429B" w:rsidRDefault="0013429B">
      <w:pPr>
        <w:rPr>
          <w:color w:val="FF6700" w:themeColor="accent3"/>
        </w:rPr>
      </w:pPr>
    </w:p>
    <w:p w14:paraId="64251C24" w14:textId="77777777" w:rsidR="0013429B" w:rsidRDefault="0013429B">
      <w:pPr>
        <w:rPr>
          <w:color w:val="FF6700" w:themeColor="accent3"/>
        </w:rPr>
      </w:pPr>
    </w:p>
    <w:p w14:paraId="30A6495A" w14:textId="48B300D0" w:rsidR="008E355C" w:rsidRPr="009D2AA3" w:rsidRDefault="008E355C">
      <w:pPr>
        <w:rPr>
          <w:color w:val="FF6700" w:themeColor="accent3"/>
        </w:rPr>
      </w:pPr>
      <w:r w:rsidRPr="009D2AA3">
        <w:rPr>
          <w:color w:val="FF6700" w:themeColor="accent3"/>
        </w:rPr>
        <w:br w:type="page"/>
      </w:r>
    </w:p>
    <w:p w14:paraId="2DD23EE9" w14:textId="77777777" w:rsidR="00682370" w:rsidRDefault="00682370" w:rsidP="00D53642">
      <w:pPr>
        <w:pStyle w:val="Titre"/>
        <w:sectPr w:rsidR="00682370" w:rsidSect="00924DFB">
          <w:footerReference w:type="even" r:id="rId253"/>
          <w:footerReference w:type="default" r:id="rId254"/>
          <w:pgSz w:w="15840" w:h="12240" w:orient="landscape"/>
          <w:pgMar w:top="1417" w:right="1417" w:bottom="1417" w:left="1417" w:header="708" w:footer="708" w:gutter="0"/>
          <w:cols w:space="708"/>
          <w:docGrid w:linePitch="360"/>
        </w:sectPr>
      </w:pPr>
    </w:p>
    <w:p w14:paraId="447384D4" w14:textId="13718B5C" w:rsidR="00D53642" w:rsidRDefault="00D53642" w:rsidP="00D53642">
      <w:pPr>
        <w:pStyle w:val="Titre"/>
      </w:pPr>
      <w:r>
        <w:lastRenderedPageBreak/>
        <w:t>I</w:t>
      </w:r>
      <w:r w:rsidR="004E38CE">
        <w:t>NFOGRAPHIE</w:t>
      </w:r>
    </w:p>
    <w:p w14:paraId="6F18463D" w14:textId="2575A5F7" w:rsidR="00682370" w:rsidRDefault="00FC3250">
      <w:r>
        <w:rPr>
          <w:noProof/>
          <w:lang w:eastAsia="fr-FR"/>
        </w:rPr>
        <w:drawing>
          <wp:anchor distT="0" distB="0" distL="114300" distR="114300" simplePos="0" relativeHeight="253421568" behindDoc="0" locked="0" layoutInCell="1" allowOverlap="1" wp14:anchorId="54380009" wp14:editId="2D6CB8FE">
            <wp:simplePos x="0" y="0"/>
            <wp:positionH relativeFrom="column">
              <wp:posOffset>685800</wp:posOffset>
            </wp:positionH>
            <wp:positionV relativeFrom="paragraph">
              <wp:posOffset>26670</wp:posOffset>
            </wp:positionV>
            <wp:extent cx="4521200" cy="8242300"/>
            <wp:effectExtent l="0" t="0" r="0" b="12700"/>
            <wp:wrapNone/>
            <wp:docPr id="622" name="Image 622" descr="Macintosh HD:Users:marcbachand:Desktop:Infographie 2 sujet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Infographie 2 sujet 7.pn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521200" cy="8242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14B8481" w14:textId="77777777" w:rsidR="00682370" w:rsidRDefault="00682370"/>
    <w:p w14:paraId="19270389" w14:textId="7D40AAC0" w:rsidR="00682370" w:rsidRDefault="00682370"/>
    <w:p w14:paraId="08BF5ADE" w14:textId="77777777" w:rsidR="00682370" w:rsidRDefault="00682370"/>
    <w:p w14:paraId="300D9DB0" w14:textId="77777777" w:rsidR="00682370" w:rsidRDefault="00682370"/>
    <w:p w14:paraId="156734C5" w14:textId="77777777" w:rsidR="00682370" w:rsidRDefault="00682370"/>
    <w:p w14:paraId="33601626" w14:textId="77777777" w:rsidR="00682370" w:rsidRDefault="00682370"/>
    <w:p w14:paraId="083E8C92" w14:textId="77777777" w:rsidR="00682370" w:rsidRDefault="00682370"/>
    <w:p w14:paraId="62A36B91" w14:textId="77777777" w:rsidR="00682370" w:rsidRDefault="00682370"/>
    <w:p w14:paraId="32629229" w14:textId="77777777" w:rsidR="00682370" w:rsidRDefault="00682370"/>
    <w:p w14:paraId="0A8E0BBC" w14:textId="77777777" w:rsidR="00682370" w:rsidRDefault="00682370"/>
    <w:p w14:paraId="0664E0CD" w14:textId="77777777" w:rsidR="00682370" w:rsidRDefault="00682370"/>
    <w:p w14:paraId="6710C01C" w14:textId="6ABB22B7" w:rsidR="00682370" w:rsidRDefault="00682370"/>
    <w:p w14:paraId="08A6CF63" w14:textId="204F8387" w:rsidR="00682370" w:rsidRDefault="00682370"/>
    <w:p w14:paraId="2055457F" w14:textId="77777777" w:rsidR="00682370" w:rsidRDefault="00682370"/>
    <w:p w14:paraId="0257E7D1" w14:textId="77777777" w:rsidR="00682370" w:rsidRDefault="00682370"/>
    <w:p w14:paraId="0164E5C4" w14:textId="77777777" w:rsidR="00682370" w:rsidRDefault="00682370"/>
    <w:p w14:paraId="16CF4376" w14:textId="77777777" w:rsidR="00682370" w:rsidRDefault="00682370"/>
    <w:p w14:paraId="285BB345" w14:textId="77777777" w:rsidR="00682370" w:rsidRDefault="00682370"/>
    <w:p w14:paraId="60F927A0" w14:textId="77777777" w:rsidR="00682370" w:rsidRDefault="00682370"/>
    <w:p w14:paraId="51721511" w14:textId="77777777" w:rsidR="00682370" w:rsidRDefault="00682370"/>
    <w:p w14:paraId="209F1541" w14:textId="77777777" w:rsidR="00682370" w:rsidRDefault="00682370"/>
    <w:p w14:paraId="11FF1D8E" w14:textId="77777777" w:rsidR="00682370" w:rsidRDefault="00682370"/>
    <w:p w14:paraId="031D9A3F" w14:textId="77777777" w:rsidR="00682370" w:rsidRDefault="00682370"/>
    <w:p w14:paraId="21B30535" w14:textId="77777777" w:rsidR="00682370" w:rsidRDefault="00682370"/>
    <w:p w14:paraId="6BDB7D13" w14:textId="77777777" w:rsidR="00682370" w:rsidRDefault="00682370"/>
    <w:p w14:paraId="5E5A22EF" w14:textId="77777777" w:rsidR="00682370" w:rsidRDefault="00682370"/>
    <w:p w14:paraId="42FB0D5B" w14:textId="77777777" w:rsidR="00682370" w:rsidRDefault="00682370"/>
    <w:p w14:paraId="343C306E" w14:textId="77777777" w:rsidR="00682370" w:rsidRDefault="00682370"/>
    <w:p w14:paraId="041AB3AC" w14:textId="77777777" w:rsidR="00682370" w:rsidRDefault="00682370"/>
    <w:p w14:paraId="0F6B7A72" w14:textId="77777777" w:rsidR="00682370" w:rsidRDefault="00682370"/>
    <w:p w14:paraId="53D9AEC3" w14:textId="77777777" w:rsidR="00682370" w:rsidRDefault="00682370">
      <w:pPr>
        <w:sectPr w:rsidR="00682370" w:rsidSect="00682370">
          <w:pgSz w:w="12240" w:h="15840"/>
          <w:pgMar w:top="1417" w:right="1417" w:bottom="1417" w:left="1417" w:header="708" w:footer="708" w:gutter="0"/>
          <w:cols w:space="708"/>
          <w:docGrid w:linePitch="360"/>
        </w:sectPr>
      </w:pPr>
    </w:p>
    <w:p w14:paraId="51FB8678" w14:textId="44A908CC" w:rsidR="00D53642" w:rsidRDefault="00D53642" w:rsidP="00F818D2">
      <w:pPr>
        <w:pStyle w:val="Titre"/>
      </w:pPr>
      <w:r>
        <w:lastRenderedPageBreak/>
        <w:t>L</w:t>
      </w:r>
      <w:r w:rsidR="004E38CE">
        <w:t>ISTE DES ABRÉVIATIONS</w:t>
      </w:r>
    </w:p>
    <w:p w14:paraId="3BD0582D" w14:textId="77777777" w:rsidR="00D53642" w:rsidRDefault="00D53642" w:rsidP="00D53642">
      <w:r>
        <w:t>ACVM</w:t>
      </w:r>
      <w:r>
        <w:tab/>
        <w:t>Autorités canadiennes en valeurs mobilières</w:t>
      </w:r>
    </w:p>
    <w:p w14:paraId="5A00B10C" w14:textId="77777777" w:rsidR="00D53642" w:rsidRDefault="00D53642" w:rsidP="00D53642">
      <w:r>
        <w:t>AE</w:t>
      </w:r>
      <w:r>
        <w:tab/>
      </w:r>
      <w:r>
        <w:tab/>
        <w:t>Assurance emploi</w:t>
      </w:r>
    </w:p>
    <w:p w14:paraId="539CFC66" w14:textId="77777777" w:rsidR="00D53642" w:rsidRDefault="00D53642" w:rsidP="00D53642">
      <w:r w:rsidRPr="00AD50FD">
        <w:t>AMF</w:t>
      </w:r>
      <w:r>
        <w:tab/>
      </w:r>
      <w:r>
        <w:tab/>
        <w:t>Autorité des marchés financiers</w:t>
      </w:r>
    </w:p>
    <w:p w14:paraId="490D3615" w14:textId="77777777" w:rsidR="00D53642" w:rsidRDefault="00D53642" w:rsidP="00D53642">
      <w:r>
        <w:t>ARC</w:t>
      </w:r>
      <w:r>
        <w:tab/>
      </w:r>
      <w:r>
        <w:tab/>
        <w:t>Agence du revenu du Canada</w:t>
      </w:r>
    </w:p>
    <w:p w14:paraId="37184D43" w14:textId="77777777" w:rsidR="008B31B5" w:rsidRDefault="008B31B5" w:rsidP="008B31B5">
      <w:pPr>
        <w:rPr>
          <w:rFonts w:asciiTheme="majorHAnsi" w:hAnsiTheme="majorHAnsi"/>
        </w:rPr>
      </w:pPr>
      <w:r>
        <w:rPr>
          <w:rFonts w:asciiTheme="majorHAnsi" w:hAnsiTheme="majorHAnsi"/>
        </w:rPr>
        <w:t>CCQ</w:t>
      </w:r>
      <w:r>
        <w:rPr>
          <w:rFonts w:asciiTheme="majorHAnsi" w:hAnsiTheme="majorHAnsi"/>
        </w:rPr>
        <w:tab/>
      </w:r>
      <w:r>
        <w:rPr>
          <w:rFonts w:asciiTheme="majorHAnsi" w:hAnsiTheme="majorHAnsi"/>
        </w:rPr>
        <w:tab/>
        <w:t>Code civil du Québec</w:t>
      </w:r>
    </w:p>
    <w:p w14:paraId="7E29FF61" w14:textId="77777777" w:rsidR="008B31B5" w:rsidRDefault="008B31B5" w:rsidP="008B31B5">
      <w:pPr>
        <w:rPr>
          <w:rFonts w:asciiTheme="majorHAnsi" w:hAnsiTheme="majorHAnsi"/>
        </w:rPr>
      </w:pPr>
      <w:r>
        <w:rPr>
          <w:rFonts w:asciiTheme="majorHAnsi" w:hAnsiTheme="majorHAnsi"/>
        </w:rPr>
        <w:t>CÉLI</w:t>
      </w:r>
      <w:r>
        <w:rPr>
          <w:rFonts w:asciiTheme="majorHAnsi" w:hAnsiTheme="majorHAnsi"/>
        </w:rPr>
        <w:tab/>
      </w:r>
      <w:r>
        <w:rPr>
          <w:rFonts w:asciiTheme="majorHAnsi" w:hAnsiTheme="majorHAnsi"/>
        </w:rPr>
        <w:tab/>
        <w:t>Compte d'épargne libre d'impôt</w:t>
      </w:r>
    </w:p>
    <w:p w14:paraId="5B9F7D92" w14:textId="77777777" w:rsidR="008B31B5" w:rsidRDefault="008B31B5" w:rsidP="008B31B5">
      <w:r>
        <w:t>CNT</w:t>
      </w:r>
      <w:r>
        <w:tab/>
      </w:r>
      <w:r>
        <w:tab/>
        <w:t>Commission des normes du travail</w:t>
      </w:r>
    </w:p>
    <w:p w14:paraId="1598EA7C" w14:textId="77777777" w:rsidR="008B31B5" w:rsidRDefault="008B31B5" w:rsidP="008B31B5">
      <w:pPr>
        <w:rPr>
          <w:rFonts w:asciiTheme="majorHAnsi" w:hAnsiTheme="majorHAnsi"/>
        </w:rPr>
      </w:pPr>
      <w:r>
        <w:rPr>
          <w:rFonts w:asciiTheme="majorHAnsi" w:hAnsiTheme="majorHAnsi"/>
        </w:rPr>
        <w:t>CPG</w:t>
      </w:r>
      <w:r>
        <w:rPr>
          <w:rFonts w:asciiTheme="majorHAnsi" w:hAnsiTheme="majorHAnsi"/>
        </w:rPr>
        <w:tab/>
      </w:r>
      <w:r>
        <w:rPr>
          <w:rFonts w:asciiTheme="majorHAnsi" w:hAnsiTheme="majorHAnsi"/>
        </w:rPr>
        <w:tab/>
        <w:t>Certificat de placement garanti</w:t>
      </w:r>
    </w:p>
    <w:p w14:paraId="41337E9F" w14:textId="77777777" w:rsidR="008B31B5" w:rsidRPr="00CC3349" w:rsidRDefault="008B31B5" w:rsidP="008B31B5">
      <w:pPr>
        <w:rPr>
          <w:rFonts w:asciiTheme="majorHAnsi" w:hAnsiTheme="majorHAnsi"/>
        </w:rPr>
      </w:pPr>
      <w:r w:rsidRPr="00CC3349">
        <w:rPr>
          <w:rFonts w:asciiTheme="majorHAnsi" w:hAnsiTheme="majorHAnsi"/>
        </w:rPr>
        <w:t>CRI</w:t>
      </w:r>
      <w:r>
        <w:rPr>
          <w:rFonts w:asciiTheme="majorHAnsi" w:hAnsiTheme="majorHAnsi"/>
        </w:rPr>
        <w:tab/>
      </w:r>
      <w:r>
        <w:rPr>
          <w:rFonts w:asciiTheme="majorHAnsi" w:hAnsiTheme="majorHAnsi"/>
        </w:rPr>
        <w:tab/>
        <w:t>Compte de retraite immobilisé</w:t>
      </w:r>
    </w:p>
    <w:p w14:paraId="0B1C5B8D" w14:textId="77777777" w:rsidR="008B31B5" w:rsidRPr="00AD50FD" w:rsidRDefault="008B31B5" w:rsidP="008B31B5">
      <w:r>
        <w:t>CSF</w:t>
      </w:r>
      <w:r>
        <w:tab/>
      </w:r>
      <w:r>
        <w:tab/>
        <w:t xml:space="preserve">Chambre de la sécurité financière  </w:t>
      </w:r>
    </w:p>
    <w:p w14:paraId="0B64644B" w14:textId="77777777" w:rsidR="008B31B5" w:rsidRDefault="008B31B5" w:rsidP="008B31B5">
      <w:r>
        <w:t>CSST</w:t>
      </w:r>
      <w:r>
        <w:tab/>
      </w:r>
      <w:r>
        <w:tab/>
        <w:t>Commission de la santé et de la sécurité au travail</w:t>
      </w:r>
    </w:p>
    <w:p w14:paraId="230590AF" w14:textId="77777777" w:rsidR="008B31B5" w:rsidRDefault="008B31B5" w:rsidP="008B31B5">
      <w:pPr>
        <w:rPr>
          <w:rFonts w:asciiTheme="majorHAnsi" w:hAnsiTheme="majorHAnsi"/>
        </w:rPr>
      </w:pPr>
      <w:r>
        <w:rPr>
          <w:rFonts w:asciiTheme="majorHAnsi" w:hAnsiTheme="majorHAnsi"/>
        </w:rPr>
        <w:t>FE</w:t>
      </w:r>
      <w:r>
        <w:rPr>
          <w:rFonts w:asciiTheme="majorHAnsi" w:hAnsiTheme="majorHAnsi"/>
        </w:rPr>
        <w:tab/>
      </w:r>
      <w:r>
        <w:rPr>
          <w:rFonts w:asciiTheme="majorHAnsi" w:hAnsiTheme="majorHAnsi"/>
        </w:rPr>
        <w:tab/>
        <w:t>Facteur d'équivalence</w:t>
      </w:r>
    </w:p>
    <w:p w14:paraId="27058C2B" w14:textId="77777777" w:rsidR="008B31B5" w:rsidRDefault="008B31B5" w:rsidP="008B31B5">
      <w:pPr>
        <w:rPr>
          <w:rFonts w:asciiTheme="majorHAnsi" w:hAnsiTheme="majorHAnsi"/>
        </w:rPr>
      </w:pPr>
      <w:r>
        <w:rPr>
          <w:rFonts w:asciiTheme="majorHAnsi" w:hAnsiTheme="majorHAnsi"/>
        </w:rPr>
        <w:t>FERR</w:t>
      </w:r>
      <w:r>
        <w:rPr>
          <w:rFonts w:asciiTheme="majorHAnsi" w:hAnsiTheme="majorHAnsi"/>
        </w:rPr>
        <w:tab/>
      </w:r>
      <w:r>
        <w:rPr>
          <w:rFonts w:asciiTheme="majorHAnsi" w:hAnsiTheme="majorHAnsi"/>
        </w:rPr>
        <w:tab/>
        <w:t>Fonds enregistré de revenu de retraite</w:t>
      </w:r>
    </w:p>
    <w:p w14:paraId="4E983925" w14:textId="77777777" w:rsidR="008B31B5" w:rsidRDefault="008B31B5" w:rsidP="008B31B5">
      <w:pPr>
        <w:rPr>
          <w:rFonts w:asciiTheme="majorHAnsi" w:hAnsiTheme="majorHAnsi"/>
        </w:rPr>
      </w:pPr>
      <w:r w:rsidRPr="00CC3349">
        <w:rPr>
          <w:rFonts w:asciiTheme="majorHAnsi" w:hAnsiTheme="majorHAnsi"/>
        </w:rPr>
        <w:t>FRV</w:t>
      </w:r>
      <w:r>
        <w:rPr>
          <w:rFonts w:asciiTheme="majorHAnsi" w:hAnsiTheme="majorHAnsi"/>
        </w:rPr>
        <w:tab/>
      </w:r>
      <w:r>
        <w:rPr>
          <w:rFonts w:asciiTheme="majorHAnsi" w:hAnsiTheme="majorHAnsi"/>
        </w:rPr>
        <w:tab/>
        <w:t>Fonds de revenu viager</w:t>
      </w:r>
    </w:p>
    <w:p w14:paraId="4A9FCCEA" w14:textId="77777777" w:rsidR="008B31B5" w:rsidRDefault="008B31B5" w:rsidP="008B31B5">
      <w:r>
        <w:t>FSS</w:t>
      </w:r>
      <w:r>
        <w:tab/>
      </w:r>
      <w:r>
        <w:tab/>
        <w:t>Fonds des services de santé</w:t>
      </w:r>
    </w:p>
    <w:p w14:paraId="4DC226C5" w14:textId="77777777" w:rsidR="008B31B5" w:rsidRDefault="008B31B5" w:rsidP="008B31B5">
      <w:r>
        <w:t>IPC</w:t>
      </w:r>
      <w:r>
        <w:tab/>
      </w:r>
      <w:r>
        <w:tab/>
        <w:t>Indice des prix à la consommation</w:t>
      </w:r>
    </w:p>
    <w:p w14:paraId="4F653F1E" w14:textId="77777777" w:rsidR="008B31B5" w:rsidRDefault="008B31B5" w:rsidP="008B31B5">
      <w:pPr>
        <w:rPr>
          <w:rFonts w:asciiTheme="majorHAnsi" w:hAnsiTheme="majorHAnsi"/>
        </w:rPr>
      </w:pPr>
      <w:r>
        <w:rPr>
          <w:rFonts w:asciiTheme="majorHAnsi" w:hAnsiTheme="majorHAnsi"/>
        </w:rPr>
        <w:t>LIR</w:t>
      </w:r>
      <w:r>
        <w:rPr>
          <w:rFonts w:asciiTheme="majorHAnsi" w:hAnsiTheme="majorHAnsi"/>
        </w:rPr>
        <w:tab/>
      </w:r>
      <w:r>
        <w:rPr>
          <w:rFonts w:asciiTheme="majorHAnsi" w:hAnsiTheme="majorHAnsi"/>
        </w:rPr>
        <w:tab/>
        <w:t>Loi de l'impôt sur le revenu</w:t>
      </w:r>
    </w:p>
    <w:p w14:paraId="1F7D8B82" w14:textId="77777777" w:rsidR="008B31B5" w:rsidRDefault="008B31B5" w:rsidP="008B31B5">
      <w:r>
        <w:t>MGA</w:t>
      </w:r>
      <w:r>
        <w:tab/>
      </w:r>
      <w:r>
        <w:tab/>
        <w:t>Maximum des gains admissibles</w:t>
      </w:r>
    </w:p>
    <w:p w14:paraId="1D05B6A0" w14:textId="77777777" w:rsidR="008B31B5" w:rsidRDefault="008B31B5" w:rsidP="008B31B5">
      <w:r>
        <w:rPr>
          <w:rFonts w:asciiTheme="majorHAnsi" w:hAnsiTheme="majorHAnsi"/>
        </w:rPr>
        <w:t>PAE</w:t>
      </w:r>
      <w:r>
        <w:rPr>
          <w:rFonts w:asciiTheme="majorHAnsi" w:hAnsiTheme="majorHAnsi"/>
        </w:rPr>
        <w:tab/>
      </w:r>
      <w:r>
        <w:rPr>
          <w:rFonts w:asciiTheme="majorHAnsi" w:hAnsiTheme="majorHAnsi"/>
        </w:rPr>
        <w:tab/>
        <w:t>P</w:t>
      </w:r>
      <w:r>
        <w:t>aiements d'aide aux études</w:t>
      </w:r>
    </w:p>
    <w:p w14:paraId="34CD9B4F" w14:textId="77777777" w:rsidR="008B31B5" w:rsidRDefault="008B31B5" w:rsidP="008B31B5">
      <w:pPr>
        <w:rPr>
          <w:rFonts w:asciiTheme="majorHAnsi" w:hAnsiTheme="majorHAnsi"/>
        </w:rPr>
      </w:pPr>
      <w:r>
        <w:rPr>
          <w:rFonts w:asciiTheme="majorHAnsi" w:hAnsiTheme="majorHAnsi"/>
        </w:rPr>
        <w:t>PSV</w:t>
      </w:r>
      <w:r>
        <w:rPr>
          <w:rFonts w:asciiTheme="majorHAnsi" w:hAnsiTheme="majorHAnsi"/>
        </w:rPr>
        <w:tab/>
      </w:r>
      <w:r>
        <w:rPr>
          <w:rFonts w:asciiTheme="majorHAnsi" w:hAnsiTheme="majorHAnsi"/>
        </w:rPr>
        <w:tab/>
        <w:t>Pension de la Sécurité de la vieillesse</w:t>
      </w:r>
    </w:p>
    <w:p w14:paraId="7ED2D3F2" w14:textId="77777777" w:rsidR="008B31B5" w:rsidRDefault="008B31B5" w:rsidP="008B31B5">
      <w:pPr>
        <w:rPr>
          <w:rFonts w:asciiTheme="majorHAnsi" w:hAnsiTheme="majorHAnsi"/>
        </w:rPr>
      </w:pPr>
      <w:r>
        <w:rPr>
          <w:rFonts w:asciiTheme="majorHAnsi" w:hAnsiTheme="majorHAnsi"/>
        </w:rPr>
        <w:t>RAP</w:t>
      </w:r>
      <w:r>
        <w:rPr>
          <w:rFonts w:asciiTheme="majorHAnsi" w:hAnsiTheme="majorHAnsi"/>
        </w:rPr>
        <w:tab/>
      </w:r>
      <w:r>
        <w:rPr>
          <w:rFonts w:asciiTheme="majorHAnsi" w:hAnsiTheme="majorHAnsi"/>
        </w:rPr>
        <w:tab/>
        <w:t>Régime d'accession à la propriété</w:t>
      </w:r>
    </w:p>
    <w:p w14:paraId="33E280BD" w14:textId="77777777" w:rsidR="008B31B5" w:rsidRDefault="008B31B5" w:rsidP="008B31B5">
      <w:pPr>
        <w:rPr>
          <w:rFonts w:asciiTheme="majorHAnsi" w:hAnsiTheme="majorHAnsi"/>
        </w:rPr>
      </w:pPr>
      <w:r>
        <w:rPr>
          <w:rFonts w:asciiTheme="majorHAnsi" w:hAnsiTheme="majorHAnsi"/>
        </w:rPr>
        <w:t>RCR</w:t>
      </w:r>
      <w:r>
        <w:rPr>
          <w:rFonts w:asciiTheme="majorHAnsi" w:hAnsiTheme="majorHAnsi"/>
        </w:rPr>
        <w:tab/>
      </w:r>
      <w:r>
        <w:rPr>
          <w:rFonts w:asciiTheme="majorHAnsi" w:hAnsiTheme="majorHAnsi"/>
        </w:rPr>
        <w:tab/>
        <w:t>Régimes complémentaires de retraite</w:t>
      </w:r>
    </w:p>
    <w:p w14:paraId="7143FC51" w14:textId="77777777" w:rsidR="008B31B5" w:rsidRDefault="008B31B5" w:rsidP="008B31B5">
      <w:pPr>
        <w:rPr>
          <w:rFonts w:asciiTheme="majorHAnsi" w:hAnsiTheme="majorHAnsi"/>
        </w:rPr>
      </w:pPr>
      <w:r w:rsidRPr="00CC3349">
        <w:rPr>
          <w:rFonts w:asciiTheme="majorHAnsi" w:hAnsiTheme="majorHAnsi"/>
        </w:rPr>
        <w:t>REÉÉ</w:t>
      </w:r>
      <w:r>
        <w:rPr>
          <w:rFonts w:asciiTheme="majorHAnsi" w:hAnsiTheme="majorHAnsi"/>
        </w:rPr>
        <w:tab/>
      </w:r>
      <w:r>
        <w:rPr>
          <w:rFonts w:asciiTheme="majorHAnsi" w:hAnsiTheme="majorHAnsi"/>
        </w:rPr>
        <w:tab/>
        <w:t>Régime enregistré d’épargne-étude</w:t>
      </w:r>
    </w:p>
    <w:p w14:paraId="502AD927" w14:textId="77777777" w:rsidR="008B31B5" w:rsidRPr="00CC3349" w:rsidRDefault="008B31B5" w:rsidP="008B31B5">
      <w:pPr>
        <w:rPr>
          <w:rFonts w:asciiTheme="majorHAnsi" w:hAnsiTheme="majorHAnsi"/>
        </w:rPr>
      </w:pPr>
      <w:r>
        <w:rPr>
          <w:rFonts w:asciiTheme="majorHAnsi" w:hAnsiTheme="majorHAnsi"/>
        </w:rPr>
        <w:t>REÉI</w:t>
      </w:r>
      <w:r>
        <w:rPr>
          <w:rFonts w:asciiTheme="majorHAnsi" w:hAnsiTheme="majorHAnsi"/>
        </w:rPr>
        <w:tab/>
      </w:r>
      <w:r>
        <w:rPr>
          <w:rFonts w:asciiTheme="majorHAnsi" w:hAnsiTheme="majorHAnsi"/>
        </w:rPr>
        <w:tab/>
        <w:t>Régime enregistré d’épargne-invalidité</w:t>
      </w:r>
    </w:p>
    <w:p w14:paraId="30769C69" w14:textId="77777777" w:rsidR="008B31B5" w:rsidRDefault="008B31B5" w:rsidP="008B31B5">
      <w:pPr>
        <w:rPr>
          <w:rFonts w:asciiTheme="majorHAnsi" w:hAnsiTheme="majorHAnsi"/>
        </w:rPr>
      </w:pPr>
      <w:r>
        <w:rPr>
          <w:rFonts w:asciiTheme="majorHAnsi" w:hAnsiTheme="majorHAnsi"/>
        </w:rPr>
        <w:t>REEP</w:t>
      </w:r>
      <w:r>
        <w:rPr>
          <w:rFonts w:asciiTheme="majorHAnsi" w:hAnsiTheme="majorHAnsi"/>
        </w:rPr>
        <w:tab/>
      </w:r>
      <w:r>
        <w:rPr>
          <w:rFonts w:asciiTheme="majorHAnsi" w:hAnsiTheme="majorHAnsi"/>
        </w:rPr>
        <w:tab/>
        <w:t>Régime d'encouragement à l'éducation permanente</w:t>
      </w:r>
    </w:p>
    <w:p w14:paraId="33BA60D5" w14:textId="77777777" w:rsidR="008B31B5" w:rsidRDefault="008B31B5" w:rsidP="008B31B5">
      <w:pPr>
        <w:rPr>
          <w:rFonts w:asciiTheme="majorHAnsi" w:hAnsiTheme="majorHAnsi"/>
        </w:rPr>
      </w:pPr>
      <w:r>
        <w:rPr>
          <w:rFonts w:asciiTheme="majorHAnsi" w:hAnsiTheme="majorHAnsi"/>
        </w:rPr>
        <w:t>REÉR</w:t>
      </w:r>
      <w:r>
        <w:rPr>
          <w:rFonts w:asciiTheme="majorHAnsi" w:hAnsiTheme="majorHAnsi"/>
        </w:rPr>
        <w:tab/>
      </w:r>
      <w:r>
        <w:rPr>
          <w:rFonts w:asciiTheme="majorHAnsi" w:hAnsiTheme="majorHAnsi"/>
        </w:rPr>
        <w:tab/>
        <w:t xml:space="preserve">Régime enregistré d'épargne-retraite </w:t>
      </w:r>
    </w:p>
    <w:p w14:paraId="07222825" w14:textId="77777777" w:rsidR="008B31B5" w:rsidRDefault="008B31B5" w:rsidP="008B31B5">
      <w:r>
        <w:t>RI</w:t>
      </w:r>
      <w:r>
        <w:tab/>
      </w:r>
      <w:r>
        <w:tab/>
        <w:t>Revenu imposable</w:t>
      </w:r>
    </w:p>
    <w:p w14:paraId="524F1529" w14:textId="77777777" w:rsidR="008B31B5" w:rsidRDefault="008B31B5" w:rsidP="008B31B5">
      <w:pPr>
        <w:rPr>
          <w:rFonts w:asciiTheme="majorHAnsi" w:hAnsiTheme="majorHAnsi"/>
        </w:rPr>
      </w:pPr>
      <w:r>
        <w:rPr>
          <w:rFonts w:asciiTheme="majorHAnsi" w:hAnsiTheme="majorHAnsi"/>
        </w:rPr>
        <w:t>RPA</w:t>
      </w:r>
      <w:r>
        <w:rPr>
          <w:rFonts w:asciiTheme="majorHAnsi" w:hAnsiTheme="majorHAnsi"/>
        </w:rPr>
        <w:tab/>
      </w:r>
      <w:r>
        <w:rPr>
          <w:rFonts w:asciiTheme="majorHAnsi" w:hAnsiTheme="majorHAnsi"/>
        </w:rPr>
        <w:tab/>
        <w:t>Régime de pension agréé</w:t>
      </w:r>
    </w:p>
    <w:p w14:paraId="1505AC3C" w14:textId="2C7EC1E9" w:rsidR="008B31B5" w:rsidRDefault="008B31B5" w:rsidP="008B31B5">
      <w:pPr>
        <w:rPr>
          <w:rFonts w:asciiTheme="majorHAnsi" w:hAnsiTheme="majorHAnsi"/>
        </w:rPr>
      </w:pPr>
      <w:r>
        <w:rPr>
          <w:rFonts w:asciiTheme="majorHAnsi" w:hAnsiTheme="majorHAnsi"/>
        </w:rPr>
        <w:lastRenderedPageBreak/>
        <w:t>RPACD</w:t>
      </w:r>
      <w:r>
        <w:rPr>
          <w:rFonts w:asciiTheme="majorHAnsi" w:hAnsiTheme="majorHAnsi"/>
        </w:rPr>
        <w:tab/>
        <w:t>Régime de pension agréé à cotisation déterminée</w:t>
      </w:r>
    </w:p>
    <w:p w14:paraId="15AD2A21" w14:textId="676F1B7F" w:rsidR="008B31B5" w:rsidRDefault="008B31B5" w:rsidP="008B31B5">
      <w:pPr>
        <w:rPr>
          <w:rFonts w:asciiTheme="majorHAnsi" w:hAnsiTheme="majorHAnsi"/>
        </w:rPr>
      </w:pPr>
      <w:r>
        <w:rPr>
          <w:rFonts w:asciiTheme="majorHAnsi" w:hAnsiTheme="majorHAnsi"/>
        </w:rPr>
        <w:t>RPAPD</w:t>
      </w:r>
      <w:r>
        <w:rPr>
          <w:rFonts w:asciiTheme="majorHAnsi" w:hAnsiTheme="majorHAnsi"/>
        </w:rPr>
        <w:tab/>
        <w:t>Régime de pension agréé à prestation déterminée</w:t>
      </w:r>
    </w:p>
    <w:p w14:paraId="42E6676D" w14:textId="77777777" w:rsidR="008B31B5" w:rsidRDefault="008B31B5" w:rsidP="008B31B5">
      <w:pPr>
        <w:rPr>
          <w:rFonts w:asciiTheme="majorHAnsi" w:hAnsiTheme="majorHAnsi"/>
        </w:rPr>
      </w:pPr>
      <w:r>
        <w:rPr>
          <w:rFonts w:asciiTheme="majorHAnsi" w:hAnsiTheme="majorHAnsi"/>
        </w:rPr>
        <w:t>RPC</w:t>
      </w:r>
      <w:r>
        <w:rPr>
          <w:rFonts w:asciiTheme="majorHAnsi" w:hAnsiTheme="majorHAnsi"/>
        </w:rPr>
        <w:tab/>
      </w:r>
      <w:r>
        <w:rPr>
          <w:rFonts w:asciiTheme="majorHAnsi" w:hAnsiTheme="majorHAnsi"/>
        </w:rPr>
        <w:tab/>
        <w:t>Régime de pensions du Canada</w:t>
      </w:r>
    </w:p>
    <w:p w14:paraId="454A1959" w14:textId="77777777" w:rsidR="008B31B5" w:rsidRPr="00CC3349" w:rsidRDefault="008B31B5" w:rsidP="008B31B5">
      <w:pPr>
        <w:rPr>
          <w:rFonts w:asciiTheme="majorHAnsi" w:hAnsiTheme="majorHAnsi"/>
        </w:rPr>
      </w:pPr>
      <w:r w:rsidRPr="00CC3349">
        <w:rPr>
          <w:rFonts w:asciiTheme="majorHAnsi" w:hAnsiTheme="majorHAnsi"/>
        </w:rPr>
        <w:t>RPDB</w:t>
      </w:r>
      <w:r>
        <w:rPr>
          <w:rFonts w:asciiTheme="majorHAnsi" w:hAnsiTheme="majorHAnsi"/>
        </w:rPr>
        <w:tab/>
      </w:r>
      <w:r>
        <w:rPr>
          <w:rFonts w:asciiTheme="majorHAnsi" w:hAnsiTheme="majorHAnsi"/>
        </w:rPr>
        <w:tab/>
      </w:r>
      <w:r w:rsidRPr="00B02079">
        <w:rPr>
          <w:rFonts w:asciiTheme="majorHAnsi" w:hAnsiTheme="majorHAnsi"/>
        </w:rPr>
        <w:t>Régime de participation différée aux bénéfices</w:t>
      </w:r>
    </w:p>
    <w:p w14:paraId="396291BF" w14:textId="77777777" w:rsidR="00D53642" w:rsidRDefault="00D53642" w:rsidP="00D53642">
      <w:pPr>
        <w:rPr>
          <w:rFonts w:asciiTheme="majorHAnsi" w:hAnsiTheme="majorHAnsi"/>
        </w:rPr>
      </w:pPr>
      <w:r>
        <w:rPr>
          <w:rFonts w:asciiTheme="majorHAnsi" w:hAnsiTheme="majorHAnsi"/>
        </w:rPr>
        <w:t>RRQ (La)</w:t>
      </w:r>
      <w:r>
        <w:rPr>
          <w:rFonts w:asciiTheme="majorHAnsi" w:hAnsiTheme="majorHAnsi"/>
        </w:rPr>
        <w:tab/>
        <w:t>Régie des rentes du Québec</w:t>
      </w:r>
    </w:p>
    <w:p w14:paraId="157E124C" w14:textId="77777777" w:rsidR="00D53642" w:rsidRDefault="00D53642" w:rsidP="00D53642">
      <w:pPr>
        <w:rPr>
          <w:rFonts w:asciiTheme="majorHAnsi" w:hAnsiTheme="majorHAnsi"/>
        </w:rPr>
      </w:pPr>
      <w:r>
        <w:rPr>
          <w:rFonts w:asciiTheme="majorHAnsi" w:hAnsiTheme="majorHAnsi"/>
        </w:rPr>
        <w:t>RRQ (Le)</w:t>
      </w:r>
      <w:r>
        <w:rPr>
          <w:rFonts w:asciiTheme="majorHAnsi" w:hAnsiTheme="majorHAnsi"/>
        </w:rPr>
        <w:tab/>
        <w:t>Régime de rentes du Québec</w:t>
      </w:r>
    </w:p>
    <w:p w14:paraId="1A8B1F61" w14:textId="77777777" w:rsidR="008B31B5" w:rsidRDefault="008B31B5" w:rsidP="008B31B5">
      <w:r>
        <w:t>RVÉR</w:t>
      </w:r>
      <w:r>
        <w:tab/>
      </w:r>
      <w:r>
        <w:tab/>
        <w:t>Régime volontaire d’épargne retraite</w:t>
      </w:r>
    </w:p>
    <w:p w14:paraId="310173E4" w14:textId="77777777" w:rsidR="008B31B5" w:rsidRDefault="008B31B5" w:rsidP="008B31B5">
      <w:r>
        <w:t>SCHL</w:t>
      </w:r>
      <w:r>
        <w:tab/>
      </w:r>
      <w:r>
        <w:tab/>
        <w:t>Société canadienne d'hypothèques et de logement</w:t>
      </w:r>
    </w:p>
    <w:p w14:paraId="30D4A740" w14:textId="77777777" w:rsidR="008B31B5" w:rsidRDefault="008B31B5" w:rsidP="008B31B5">
      <w:r>
        <w:t>SENC</w:t>
      </w:r>
      <w:r>
        <w:tab/>
      </w:r>
      <w:r>
        <w:tab/>
        <w:t>Société en nom collectif</w:t>
      </w:r>
    </w:p>
    <w:p w14:paraId="1C03F4CD" w14:textId="77777777" w:rsidR="00D53642" w:rsidRDefault="00D53642" w:rsidP="00D53642">
      <w:pPr>
        <w:rPr>
          <w:rFonts w:asciiTheme="majorHAnsi" w:hAnsiTheme="majorHAnsi"/>
        </w:rPr>
      </w:pPr>
      <w:r>
        <w:rPr>
          <w:rFonts w:asciiTheme="majorHAnsi" w:hAnsiTheme="majorHAnsi"/>
        </w:rPr>
        <w:t>SRG</w:t>
      </w:r>
      <w:r>
        <w:rPr>
          <w:rFonts w:asciiTheme="majorHAnsi" w:hAnsiTheme="majorHAnsi"/>
        </w:rPr>
        <w:tab/>
      </w:r>
      <w:r>
        <w:rPr>
          <w:rFonts w:asciiTheme="majorHAnsi" w:hAnsiTheme="majorHAnsi"/>
        </w:rPr>
        <w:tab/>
      </w:r>
      <w:r>
        <w:t>Supplément de revenu garanti</w:t>
      </w:r>
    </w:p>
    <w:p w14:paraId="57E3A849" w14:textId="77777777" w:rsidR="00D53642" w:rsidRDefault="00D53642" w:rsidP="00D53642">
      <w:r>
        <w:t>TEMI</w:t>
      </w:r>
      <w:r>
        <w:tab/>
      </w:r>
      <w:r>
        <w:tab/>
        <w:t>Taux effectifs marginaux d'impôt</w:t>
      </w:r>
    </w:p>
    <w:p w14:paraId="53BBD9B4" w14:textId="77777777" w:rsidR="00D53642" w:rsidRDefault="00D53642" w:rsidP="00D53642">
      <w:r>
        <w:t>TMI</w:t>
      </w:r>
      <w:r>
        <w:tab/>
      </w:r>
      <w:r>
        <w:tab/>
        <w:t>Taux marginal d’impôt</w:t>
      </w:r>
    </w:p>
    <w:sectPr w:rsidR="00D53642" w:rsidSect="00682370">
      <w:pgSz w:w="15840" w:h="12240"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94CDB7" w14:textId="77777777" w:rsidR="00573C95" w:rsidRDefault="00573C95" w:rsidP="00C05621">
      <w:r>
        <w:separator/>
      </w:r>
    </w:p>
  </w:endnote>
  <w:endnote w:type="continuationSeparator" w:id="0">
    <w:p w14:paraId="5F6EFCE8" w14:textId="77777777" w:rsidR="00573C95" w:rsidRDefault="00573C95" w:rsidP="00C056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charset w:val="4E"/>
    <w:family w:val="auto"/>
    <w:pitch w:val="variable"/>
    <w:sig w:usb0="E00002FF" w:usb1="6AC7FDFB" w:usb2="00000012" w:usb3="00000000" w:csb0="0002009F" w:csb1="00000000"/>
  </w:font>
  <w:font w:name="Century Gothic">
    <w:panose1 w:val="020B050202020202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Avenir Next Regular">
    <w:panose1 w:val="020B0503020202020204"/>
    <w:charset w:val="00"/>
    <w:family w:val="auto"/>
    <w:pitch w:val="variable"/>
    <w:sig w:usb0="8000002F" w:usb1="5000204A" w:usb2="00000000" w:usb3="00000000" w:csb0="0000009B" w:csb1="00000000"/>
  </w:font>
  <w:font w:name="Avenir Book">
    <w:panose1 w:val="02000503020000020003"/>
    <w:charset w:val="00"/>
    <w:family w:val="auto"/>
    <w:pitch w:val="variable"/>
    <w:sig w:usb0="800000AF" w:usb1="5000204A" w:usb2="00000000" w:usb3="00000000" w:csb0="0000009B" w:csb1="00000000"/>
  </w:font>
  <w:font w:name="Zapf Dingbats">
    <w:panose1 w:val="05020102010704020609"/>
    <w:charset w:val="02"/>
    <w:family w:val="auto"/>
    <w:pitch w:val="variable"/>
    <w:sig w:usb0="00000000" w:usb1="10000000" w:usb2="00000000" w:usb3="00000000" w:csb0="80000000" w:csb1="00000000"/>
  </w:font>
  <w:font w:name="Verdana">
    <w:panose1 w:val="020B0604030504040204"/>
    <w:charset w:val="00"/>
    <w:family w:val="auto"/>
    <w:pitch w:val="variable"/>
    <w:sig w:usb0="A10006FF" w:usb1="4000205B" w:usb2="00000010" w:usb3="00000000" w:csb0="0000019F" w:csb1="00000000"/>
  </w:font>
  <w:font w:name="American Typewriter Light">
    <w:panose1 w:val="02090304020004020304"/>
    <w:charset w:val="00"/>
    <w:family w:val="auto"/>
    <w:pitch w:val="variable"/>
    <w:sig w:usb0="A000006F" w:usb1="00000019" w:usb2="00000000" w:usb3="00000000" w:csb0="0000011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8A9012" w14:textId="77777777" w:rsidR="00573C95" w:rsidRDefault="00573C95" w:rsidP="000425A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2C9E7F68" w14:textId="77777777" w:rsidR="00573C95" w:rsidRDefault="00573C95" w:rsidP="00C05621">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1F5BFA" w14:textId="77777777" w:rsidR="00573C95" w:rsidRPr="000A7D9D" w:rsidRDefault="00573C95" w:rsidP="002A6D59">
    <w:pPr>
      <w:pStyle w:val="Pieddepage"/>
      <w:framePr w:wrap="around" w:vAnchor="text" w:hAnchor="margin" w:xAlign="right" w:y="1"/>
      <w:rPr>
        <w:rStyle w:val="Numrodepage"/>
        <w:sz w:val="28"/>
        <w:szCs w:val="28"/>
      </w:rPr>
    </w:pPr>
    <w:r w:rsidRPr="000A7D9D">
      <w:rPr>
        <w:rStyle w:val="Numrodepage"/>
        <w:sz w:val="28"/>
        <w:szCs w:val="28"/>
      </w:rPr>
      <w:fldChar w:fldCharType="begin"/>
    </w:r>
    <w:r w:rsidRPr="000A7D9D">
      <w:rPr>
        <w:rStyle w:val="Numrodepage"/>
        <w:sz w:val="28"/>
        <w:szCs w:val="28"/>
      </w:rPr>
      <w:instrText xml:space="preserve">PAGE  </w:instrText>
    </w:r>
    <w:r w:rsidRPr="000A7D9D">
      <w:rPr>
        <w:rStyle w:val="Numrodepage"/>
        <w:sz w:val="28"/>
        <w:szCs w:val="28"/>
      </w:rPr>
      <w:fldChar w:fldCharType="separate"/>
    </w:r>
    <w:r w:rsidR="002D7D2F">
      <w:rPr>
        <w:rStyle w:val="Numrodepage"/>
        <w:noProof/>
        <w:sz w:val="28"/>
        <w:szCs w:val="28"/>
      </w:rPr>
      <w:t>266</w:t>
    </w:r>
    <w:r w:rsidRPr="000A7D9D">
      <w:rPr>
        <w:rStyle w:val="Numrodepage"/>
        <w:sz w:val="28"/>
        <w:szCs w:val="28"/>
      </w:rPr>
      <w:fldChar w:fldCharType="end"/>
    </w:r>
  </w:p>
  <w:p w14:paraId="3A27FE6F" w14:textId="77777777" w:rsidR="00573C95" w:rsidRDefault="00573C95" w:rsidP="00C05621">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785A81" w14:textId="77777777" w:rsidR="00573C95" w:rsidRDefault="00573C95" w:rsidP="00C05621">
      <w:r>
        <w:separator/>
      </w:r>
    </w:p>
  </w:footnote>
  <w:footnote w:type="continuationSeparator" w:id="0">
    <w:p w14:paraId="696C21C0" w14:textId="77777777" w:rsidR="00573C95" w:rsidRDefault="00573C95" w:rsidP="00C05621">
      <w:r>
        <w:continuationSeparator/>
      </w:r>
    </w:p>
  </w:footnote>
  <w:footnote w:id="1">
    <w:p w14:paraId="4CBC8B3F" w14:textId="28037791" w:rsidR="00573C95" w:rsidRPr="001804CB" w:rsidRDefault="00573C95">
      <w:pPr>
        <w:pStyle w:val="Notedebasdepage"/>
        <w:rPr>
          <w:sz w:val="18"/>
          <w:szCs w:val="18"/>
        </w:rPr>
      </w:pPr>
      <w:r w:rsidRPr="001804CB">
        <w:rPr>
          <w:rStyle w:val="Marquenotebasdepage"/>
          <w:sz w:val="18"/>
          <w:szCs w:val="18"/>
        </w:rPr>
        <w:footnoteRef/>
      </w:r>
      <w:r w:rsidRPr="001804CB">
        <w:rPr>
          <w:sz w:val="18"/>
          <w:szCs w:val="18"/>
        </w:rPr>
        <w:t xml:space="preserve"> Nous posons l'hypothèse que l'épargne est effectuée en début d'année </w:t>
      </w:r>
    </w:p>
  </w:footnote>
  <w:footnote w:id="2">
    <w:p w14:paraId="03847AFD" w14:textId="78668F3A" w:rsidR="00573C95" w:rsidRPr="001804CB" w:rsidRDefault="00573C95">
      <w:pPr>
        <w:pStyle w:val="Notedebasdepage"/>
        <w:rPr>
          <w:sz w:val="18"/>
          <w:szCs w:val="18"/>
        </w:rPr>
      </w:pPr>
      <w:r w:rsidRPr="001804CB">
        <w:rPr>
          <w:rStyle w:val="Marquenotebasdepage"/>
          <w:sz w:val="18"/>
          <w:szCs w:val="18"/>
        </w:rPr>
        <w:footnoteRef/>
      </w:r>
      <w:r w:rsidRPr="001804CB">
        <w:rPr>
          <w:sz w:val="18"/>
          <w:szCs w:val="18"/>
        </w:rPr>
        <w:t xml:space="preserve"> 57,69 $ par semaine (si cette façon de dire réussit à "faire vendre" des voitures pourquoi ne pas l'utiliser pour motiver l'épargne)</w:t>
      </w:r>
    </w:p>
  </w:footnote>
  <w:footnote w:id="3">
    <w:p w14:paraId="1D2DF801" w14:textId="39B068EE" w:rsidR="00573C95" w:rsidRPr="001516CA" w:rsidRDefault="00573C95" w:rsidP="001516CA">
      <w:pPr>
        <w:pStyle w:val="Notedebasdepage"/>
        <w:rPr>
          <w:sz w:val="18"/>
          <w:szCs w:val="18"/>
        </w:rPr>
      </w:pPr>
      <w:r w:rsidRPr="001516CA">
        <w:rPr>
          <w:rStyle w:val="Marquenotebasdepage"/>
          <w:sz w:val="18"/>
          <w:szCs w:val="18"/>
        </w:rPr>
        <w:t>3</w:t>
      </w:r>
      <w:r w:rsidRPr="001516CA">
        <w:rPr>
          <w:sz w:val="18"/>
          <w:szCs w:val="18"/>
        </w:rPr>
        <w:t xml:space="preserve"> Le montant de l'épargne total est identique, soit 111 000</w:t>
      </w:r>
      <w:r>
        <w:rPr>
          <w:sz w:val="18"/>
          <w:szCs w:val="18"/>
        </w:rPr>
        <w:t xml:space="preserve"> </w:t>
      </w:r>
      <w:r w:rsidRPr="00EA5BE0">
        <w:rPr>
          <w:rFonts w:ascii="Avenir Book" w:hAnsi="Avenir Book"/>
          <w:sz w:val="18"/>
          <w:szCs w:val="18"/>
        </w:rPr>
        <w:t>?</w:t>
      </w:r>
      <w:r w:rsidRPr="001516CA">
        <w:rPr>
          <w:sz w:val="18"/>
          <w:szCs w:val="18"/>
        </w:rPr>
        <w:t xml:space="preserve"> (3 000 $ * 37) ou (</w:t>
      </w:r>
      <w:r>
        <w:rPr>
          <w:sz w:val="18"/>
          <w:szCs w:val="18"/>
        </w:rPr>
        <w:t>7 4</w:t>
      </w:r>
      <w:r w:rsidRPr="001516CA">
        <w:rPr>
          <w:sz w:val="18"/>
          <w:szCs w:val="18"/>
        </w:rPr>
        <w:t>00 $ * 15)</w:t>
      </w:r>
    </w:p>
    <w:p w14:paraId="3354E3EF" w14:textId="071758EE" w:rsidR="00573C95" w:rsidRDefault="00573C95">
      <w:pPr>
        <w:pStyle w:val="Notedebasdepage"/>
      </w:pPr>
    </w:p>
  </w:footnote>
  <w:footnote w:id="4">
    <w:p w14:paraId="07C2674E" w14:textId="33EA008E" w:rsidR="00573C95" w:rsidRDefault="00573C95">
      <w:pPr>
        <w:pStyle w:val="Notedebasdepage"/>
      </w:pPr>
    </w:p>
  </w:footnote>
  <w:footnote w:id="5">
    <w:p w14:paraId="365FBF4E" w14:textId="1C65F431" w:rsidR="00573C95" w:rsidRDefault="00573C95">
      <w:pPr>
        <w:pStyle w:val="Notedebasdepage"/>
      </w:pPr>
      <w:r>
        <w:rPr>
          <w:rStyle w:val="Marquenotebasdepage"/>
        </w:rPr>
        <w:t>4</w:t>
      </w:r>
      <w:r>
        <w:t xml:space="preserve"> </w:t>
      </w:r>
      <w:r w:rsidRPr="00FA7684">
        <w:rPr>
          <w:sz w:val="18"/>
          <w:szCs w:val="18"/>
        </w:rPr>
        <w:t>D’Amours</w:t>
      </w:r>
      <w:r>
        <w:rPr>
          <w:sz w:val="18"/>
          <w:szCs w:val="18"/>
        </w:rPr>
        <w:t>, A.</w:t>
      </w:r>
      <w:r w:rsidRPr="00FA7684">
        <w:rPr>
          <w:sz w:val="18"/>
          <w:szCs w:val="18"/>
        </w:rPr>
        <w:t xml:space="preserve"> et coll.</w:t>
      </w:r>
      <w:r>
        <w:rPr>
          <w:sz w:val="18"/>
          <w:szCs w:val="18"/>
        </w:rPr>
        <w:t xml:space="preserve"> (2013)</w:t>
      </w:r>
      <w:r w:rsidRPr="00FA7684">
        <w:rPr>
          <w:sz w:val="18"/>
          <w:szCs w:val="18"/>
        </w:rPr>
        <w:t xml:space="preserve">, </w:t>
      </w:r>
      <w:r w:rsidRPr="00FA7684">
        <w:rPr>
          <w:i/>
          <w:sz w:val="18"/>
          <w:szCs w:val="18"/>
        </w:rPr>
        <w:t>Innover pour pérenniser le système de retraite</w:t>
      </w:r>
      <w:r w:rsidRPr="00FA7684">
        <w:rPr>
          <w:sz w:val="18"/>
          <w:szCs w:val="18"/>
        </w:rPr>
        <w:t xml:space="preserve">, </w:t>
      </w:r>
      <w:hyperlink r:id="rId1" w:history="1">
        <w:r w:rsidRPr="00701CD6">
          <w:rPr>
            <w:rStyle w:val="Lienhypertexte"/>
            <w:color w:val="FF6700" w:themeColor="accent3"/>
            <w:sz w:val="18"/>
            <w:szCs w:val="18"/>
          </w:rPr>
          <w:t>http://www.rrq.gouv.qc.ca/SiteCollectionDocuments/www.rrq.gouv.qc/Francais/publications/rapport_comite/Rapport.pdf</w:t>
        </w:r>
      </w:hyperlink>
      <w:r>
        <w:rPr>
          <w:sz w:val="18"/>
          <w:szCs w:val="18"/>
        </w:rPr>
        <w:t>,(Page</w:t>
      </w:r>
      <w:r w:rsidRPr="00FA7684">
        <w:rPr>
          <w:sz w:val="18"/>
          <w:szCs w:val="18"/>
        </w:rPr>
        <w:t xml:space="preserve"> consulté</w:t>
      </w:r>
      <w:r>
        <w:rPr>
          <w:sz w:val="18"/>
          <w:szCs w:val="18"/>
        </w:rPr>
        <w:t>e</w:t>
      </w:r>
      <w:r w:rsidRPr="00FA7684">
        <w:rPr>
          <w:sz w:val="18"/>
          <w:szCs w:val="18"/>
        </w:rPr>
        <w:t xml:space="preserve"> le 10 juin 2015</w:t>
      </w:r>
      <w:r>
        <w:rPr>
          <w:sz w:val="18"/>
          <w:szCs w:val="18"/>
        </w:rPr>
        <w:t>).</w:t>
      </w:r>
    </w:p>
  </w:footnote>
  <w:footnote w:id="6">
    <w:p w14:paraId="780E1475" w14:textId="60301B45" w:rsidR="00573C95" w:rsidRDefault="00573C95">
      <w:pPr>
        <w:pStyle w:val="Notedebasdepage"/>
      </w:pPr>
      <w:r>
        <w:rPr>
          <w:rStyle w:val="Marquenotebasdepage"/>
        </w:rPr>
        <w:t>5</w:t>
      </w:r>
      <w:r>
        <w:t xml:space="preserve"> </w:t>
      </w:r>
      <w:r w:rsidRPr="00FA7684">
        <w:rPr>
          <w:sz w:val="18"/>
          <w:szCs w:val="18"/>
        </w:rPr>
        <w:t>D’Amours</w:t>
      </w:r>
      <w:r>
        <w:rPr>
          <w:sz w:val="18"/>
          <w:szCs w:val="18"/>
        </w:rPr>
        <w:t>, A.</w:t>
      </w:r>
      <w:r w:rsidRPr="00FA7684">
        <w:rPr>
          <w:sz w:val="18"/>
          <w:szCs w:val="18"/>
        </w:rPr>
        <w:t xml:space="preserve"> et coll.</w:t>
      </w:r>
      <w:r>
        <w:rPr>
          <w:sz w:val="18"/>
          <w:szCs w:val="18"/>
        </w:rPr>
        <w:t xml:space="preserve"> (2013)</w:t>
      </w:r>
      <w:r w:rsidRPr="00FA7684">
        <w:rPr>
          <w:sz w:val="18"/>
          <w:szCs w:val="18"/>
        </w:rPr>
        <w:t xml:space="preserve">, </w:t>
      </w:r>
      <w:r w:rsidRPr="00FA7684">
        <w:rPr>
          <w:i/>
          <w:sz w:val="18"/>
          <w:szCs w:val="18"/>
        </w:rPr>
        <w:t>Innover pour pérenniser le système de retraite</w:t>
      </w:r>
      <w:r w:rsidRPr="00FA7684">
        <w:rPr>
          <w:sz w:val="18"/>
          <w:szCs w:val="18"/>
        </w:rPr>
        <w:t xml:space="preserve">, </w:t>
      </w:r>
      <w:hyperlink r:id="rId2" w:history="1">
        <w:r w:rsidRPr="00701CD6">
          <w:rPr>
            <w:rStyle w:val="Lienhypertexte"/>
            <w:color w:val="FF6700" w:themeColor="accent3"/>
            <w:sz w:val="18"/>
            <w:szCs w:val="18"/>
          </w:rPr>
          <w:t>http://www.rrq.gouv.qc.ca/SiteCollectionDocuments/www.rrq.gouv.qc/Francais/publications/rapport_comite/Rapport.pdf</w:t>
        </w:r>
      </w:hyperlink>
      <w:r>
        <w:rPr>
          <w:sz w:val="18"/>
          <w:szCs w:val="18"/>
        </w:rPr>
        <w:t>,(Page</w:t>
      </w:r>
      <w:r w:rsidRPr="00FA7684">
        <w:rPr>
          <w:sz w:val="18"/>
          <w:szCs w:val="18"/>
        </w:rPr>
        <w:t xml:space="preserve"> consulté</w:t>
      </w:r>
      <w:r>
        <w:rPr>
          <w:sz w:val="18"/>
          <w:szCs w:val="18"/>
        </w:rPr>
        <w:t>e</w:t>
      </w:r>
      <w:r w:rsidRPr="00FA7684">
        <w:rPr>
          <w:sz w:val="18"/>
          <w:szCs w:val="18"/>
        </w:rPr>
        <w:t xml:space="preserve"> le 1</w:t>
      </w:r>
      <w:r>
        <w:rPr>
          <w:sz w:val="18"/>
          <w:szCs w:val="18"/>
        </w:rPr>
        <w:t>2</w:t>
      </w:r>
      <w:r w:rsidRPr="00FA7684">
        <w:rPr>
          <w:sz w:val="18"/>
          <w:szCs w:val="18"/>
        </w:rPr>
        <w:t xml:space="preserve"> juin 2015</w:t>
      </w:r>
      <w:r>
        <w:rPr>
          <w:sz w:val="18"/>
          <w:szCs w:val="18"/>
        </w:rPr>
        <w:t>).</w:t>
      </w:r>
    </w:p>
  </w:footnote>
  <w:footnote w:id="7">
    <w:p w14:paraId="2605F1DA" w14:textId="0ABD0B24" w:rsidR="00573C95" w:rsidRDefault="00573C95">
      <w:pPr>
        <w:pStyle w:val="Notedebasdepage"/>
      </w:pPr>
      <w:r>
        <w:rPr>
          <w:rStyle w:val="Marquenotebasdepage"/>
        </w:rPr>
        <w:t>6</w:t>
      </w:r>
      <w:r>
        <w:t xml:space="preserve"> </w:t>
      </w:r>
      <w:r w:rsidRPr="00950CE8">
        <w:rPr>
          <w:sz w:val="18"/>
          <w:szCs w:val="18"/>
        </w:rPr>
        <w:t>Ouellet, G.</w:t>
      </w:r>
      <w:r>
        <w:rPr>
          <w:sz w:val="18"/>
          <w:szCs w:val="18"/>
        </w:rPr>
        <w:t>,</w:t>
      </w:r>
      <w:r w:rsidRPr="00950CE8">
        <w:rPr>
          <w:sz w:val="18"/>
          <w:szCs w:val="18"/>
        </w:rPr>
        <w:t xml:space="preserve"> Bégin, P</w:t>
      </w:r>
      <w:r>
        <w:rPr>
          <w:sz w:val="18"/>
          <w:szCs w:val="18"/>
        </w:rPr>
        <w:t>.</w:t>
      </w:r>
      <w:r>
        <w:t xml:space="preserve"> </w:t>
      </w:r>
      <w:r w:rsidRPr="00FA7684">
        <w:rPr>
          <w:sz w:val="18"/>
          <w:szCs w:val="18"/>
        </w:rPr>
        <w:t xml:space="preserve">et </w:t>
      </w:r>
      <w:r>
        <w:rPr>
          <w:sz w:val="18"/>
          <w:szCs w:val="18"/>
        </w:rPr>
        <w:t>Plamondon, P. (2010)</w:t>
      </w:r>
      <w:r w:rsidRPr="00FA7684">
        <w:rPr>
          <w:sz w:val="18"/>
          <w:szCs w:val="18"/>
        </w:rPr>
        <w:t>,</w:t>
      </w:r>
      <w:r>
        <w:rPr>
          <w:sz w:val="18"/>
          <w:szCs w:val="18"/>
        </w:rPr>
        <w:t xml:space="preserve"> RRQ, </w:t>
      </w:r>
      <w:r>
        <w:rPr>
          <w:i/>
          <w:sz w:val="18"/>
          <w:szCs w:val="18"/>
        </w:rPr>
        <w:t>Portrait du marché de la retraite au Québec</w:t>
      </w:r>
      <w:r w:rsidRPr="00FA7684">
        <w:rPr>
          <w:sz w:val="18"/>
          <w:szCs w:val="18"/>
        </w:rPr>
        <w:t xml:space="preserve">, </w:t>
      </w:r>
      <w:hyperlink r:id="rId3" w:history="1">
        <w:r w:rsidRPr="00701CD6">
          <w:rPr>
            <w:rStyle w:val="Lienhypertexte"/>
            <w:color w:val="FF6700" w:themeColor="accent3"/>
            <w:sz w:val="18"/>
            <w:szCs w:val="18"/>
          </w:rPr>
          <w:t>http://www.rrq.gouv.qc.ca/SiteCollectionDocuments/www.rrq.gouv.qc/Francais/publications/etudes/portrait_march_quebec.pdf</w:t>
        </w:r>
      </w:hyperlink>
      <w:r>
        <w:rPr>
          <w:sz w:val="18"/>
          <w:szCs w:val="18"/>
        </w:rPr>
        <w:t>, (Page</w:t>
      </w:r>
      <w:r w:rsidRPr="00FA7684">
        <w:rPr>
          <w:sz w:val="18"/>
          <w:szCs w:val="18"/>
        </w:rPr>
        <w:t xml:space="preserve"> consulté</w:t>
      </w:r>
      <w:r>
        <w:rPr>
          <w:sz w:val="18"/>
          <w:szCs w:val="18"/>
        </w:rPr>
        <w:t>e</w:t>
      </w:r>
      <w:r w:rsidRPr="00FA7684">
        <w:rPr>
          <w:sz w:val="18"/>
          <w:szCs w:val="18"/>
        </w:rPr>
        <w:t xml:space="preserve"> le 1</w:t>
      </w:r>
      <w:r>
        <w:rPr>
          <w:sz w:val="18"/>
          <w:szCs w:val="18"/>
        </w:rPr>
        <w:t>5</w:t>
      </w:r>
      <w:r w:rsidRPr="00FA7684">
        <w:rPr>
          <w:sz w:val="18"/>
          <w:szCs w:val="18"/>
        </w:rPr>
        <w:t xml:space="preserve"> juin 2015</w:t>
      </w:r>
      <w:r>
        <w:rPr>
          <w:sz w:val="18"/>
          <w:szCs w:val="18"/>
        </w:rPr>
        <w:t>).</w:t>
      </w:r>
    </w:p>
  </w:footnote>
  <w:footnote w:id="8">
    <w:p w14:paraId="43BB6D0D" w14:textId="1045AE84" w:rsidR="00573C95" w:rsidRDefault="00573C95">
      <w:pPr>
        <w:pStyle w:val="Notedebasdepage"/>
      </w:pPr>
    </w:p>
  </w:footnote>
  <w:footnote w:id="9">
    <w:p w14:paraId="59DF7EB1" w14:textId="51EEB144" w:rsidR="00573C95" w:rsidRPr="00961D3C" w:rsidRDefault="00573C95">
      <w:pPr>
        <w:pStyle w:val="Notedebasdepage"/>
        <w:rPr>
          <w:sz w:val="18"/>
          <w:szCs w:val="18"/>
        </w:rPr>
      </w:pPr>
      <w:r>
        <w:rPr>
          <w:rStyle w:val="Marquenotebasdepage"/>
        </w:rPr>
        <w:t>7</w:t>
      </w:r>
      <w:r>
        <w:t xml:space="preserve"> </w:t>
      </w:r>
      <w:r w:rsidRPr="00961D3C">
        <w:rPr>
          <w:sz w:val="18"/>
          <w:szCs w:val="18"/>
        </w:rPr>
        <w:t>(72 000 $ - 71 592 $)* 15 % = 61 $ et (82 000 $ - 71 592 $)* 15 % = 1 561 $</w:t>
      </w:r>
    </w:p>
  </w:footnote>
  <w:footnote w:id="10">
    <w:p w14:paraId="04E06BFE" w14:textId="183C11E8" w:rsidR="00573C95" w:rsidRDefault="00573C95">
      <w:pPr>
        <w:pStyle w:val="Notedebasdepage"/>
      </w:pPr>
    </w:p>
  </w:footnote>
  <w:footnote w:id="11">
    <w:p w14:paraId="18E4529D" w14:textId="5FEF837B" w:rsidR="00573C95" w:rsidRDefault="00573C95">
      <w:pPr>
        <w:pStyle w:val="Notedebasdepage"/>
      </w:pPr>
      <w:r>
        <w:rPr>
          <w:rStyle w:val="Marquenotebasdepage"/>
        </w:rPr>
        <w:t>8</w:t>
      </w:r>
      <w:r>
        <w:t xml:space="preserve"> </w:t>
      </w:r>
      <w:r w:rsidRPr="00961D3C">
        <w:rPr>
          <w:sz w:val="18"/>
          <w:szCs w:val="18"/>
        </w:rPr>
        <w:t>(8</w:t>
      </w:r>
      <w:r>
        <w:rPr>
          <w:sz w:val="18"/>
          <w:szCs w:val="18"/>
        </w:rPr>
        <w:t>0</w:t>
      </w:r>
      <w:r w:rsidRPr="00961D3C">
        <w:rPr>
          <w:sz w:val="18"/>
          <w:szCs w:val="18"/>
        </w:rPr>
        <w:t xml:space="preserve"> 000 $ - 71 592 $)* 15 % = 1 </w:t>
      </w:r>
      <w:r>
        <w:rPr>
          <w:sz w:val="18"/>
          <w:szCs w:val="18"/>
        </w:rPr>
        <w:t>2</w:t>
      </w:r>
      <w:r w:rsidRPr="00961D3C">
        <w:rPr>
          <w:sz w:val="18"/>
          <w:szCs w:val="18"/>
        </w:rPr>
        <w:t>61 $</w:t>
      </w:r>
    </w:p>
  </w:footnote>
  <w:footnote w:id="12">
    <w:p w14:paraId="0E4CA287" w14:textId="5DA34908" w:rsidR="00573C95" w:rsidRPr="003F2ECE" w:rsidRDefault="00573C95" w:rsidP="003F2ECE">
      <w:pPr>
        <w:pStyle w:val="Notedebasdepage"/>
        <w:jc w:val="both"/>
        <w:rPr>
          <w:sz w:val="18"/>
          <w:szCs w:val="18"/>
        </w:rPr>
      </w:pPr>
      <w:r>
        <w:rPr>
          <w:rStyle w:val="Marquenotebasdepage"/>
        </w:rPr>
        <w:t>9</w:t>
      </w:r>
      <w:r>
        <w:t xml:space="preserve"> </w:t>
      </w:r>
      <w:r w:rsidRPr="003F2ECE">
        <w:rPr>
          <w:sz w:val="18"/>
          <w:szCs w:val="18"/>
        </w:rPr>
        <w:t>Inclus les prestations complémentaires pour les gens à très faible revenu. Pour cette portion du SRG (620 $/année pour un célibataire), le remboursement est de 25 % pour chaque dollar de revenu (sauf SRG, PSV et premier 3 500 $ de revenu d'emploi)  qui excède 2 000 $ (célibataire). La prestation complémentaire devient nulle lorsque le revenu atteint 4 480 $ (célibataire). À des fin</w:t>
      </w:r>
      <w:r>
        <w:rPr>
          <w:sz w:val="18"/>
          <w:szCs w:val="18"/>
        </w:rPr>
        <w:t>s</w:t>
      </w:r>
      <w:r w:rsidRPr="003F2ECE">
        <w:rPr>
          <w:sz w:val="18"/>
          <w:szCs w:val="18"/>
        </w:rPr>
        <w:t xml:space="preserve"> de simplification, nous n'avons pas tenu compte dans nos différents calculs de la particularité du taux de remboursement de 25 % pour la portion des prestations complémentaires. </w:t>
      </w:r>
    </w:p>
  </w:footnote>
  <w:footnote w:id="13">
    <w:p w14:paraId="62B9A448" w14:textId="0B4198CC" w:rsidR="00573C95" w:rsidRPr="003A42CD" w:rsidRDefault="00573C95">
      <w:pPr>
        <w:pStyle w:val="Notedebasdepage"/>
        <w:rPr>
          <w:sz w:val="18"/>
          <w:szCs w:val="18"/>
        </w:rPr>
      </w:pPr>
      <w:r>
        <w:rPr>
          <w:rStyle w:val="Marquenotebasdepage"/>
        </w:rPr>
        <w:t>10</w:t>
      </w:r>
      <w:r>
        <w:t xml:space="preserve"> </w:t>
      </w:r>
      <w:r w:rsidRPr="003A42CD">
        <w:rPr>
          <w:sz w:val="18"/>
          <w:szCs w:val="18"/>
        </w:rPr>
        <w:t xml:space="preserve">(2 555 $ &lt; 3 500 $ exemption sur revenu d'emploi) + (4 555 $ - 3 500 $ = </w:t>
      </w:r>
      <w:r w:rsidRPr="003A42CD">
        <w:rPr>
          <w:sz w:val="18"/>
          <w:szCs w:val="18"/>
          <w:u w:val="single"/>
        </w:rPr>
        <w:t>1 055 $</w:t>
      </w:r>
      <w:r w:rsidRPr="003A42CD">
        <w:rPr>
          <w:sz w:val="18"/>
          <w:szCs w:val="18"/>
        </w:rPr>
        <w:t>)</w:t>
      </w:r>
    </w:p>
    <w:p w14:paraId="05F05895" w14:textId="6E8F7B2F" w:rsidR="00573C95" w:rsidRDefault="00573C95">
      <w:pPr>
        <w:pStyle w:val="Notedebasdepage"/>
      </w:pPr>
      <w:r>
        <w:rPr>
          <w:sz w:val="18"/>
          <w:szCs w:val="18"/>
        </w:rPr>
        <w:t xml:space="preserve">     </w:t>
      </w:r>
      <w:r w:rsidRPr="00F20781">
        <w:rPr>
          <w:sz w:val="18"/>
          <w:szCs w:val="18"/>
        </w:rPr>
        <w:t xml:space="preserve">5 040 $/2 * 50 % = </w:t>
      </w:r>
      <w:r w:rsidRPr="003A42CD">
        <w:rPr>
          <w:sz w:val="18"/>
          <w:szCs w:val="18"/>
          <w:u w:val="single"/>
        </w:rPr>
        <w:t>1 260 $</w:t>
      </w:r>
    </w:p>
  </w:footnote>
  <w:footnote w:id="14">
    <w:p w14:paraId="7D5F2940" w14:textId="1A86A045" w:rsidR="00573C95" w:rsidRDefault="00573C95">
      <w:pPr>
        <w:pStyle w:val="Notedebasdepage"/>
      </w:pPr>
      <w:r>
        <w:rPr>
          <w:rStyle w:val="Marquenotebasdepage"/>
        </w:rPr>
        <w:t>11</w:t>
      </w:r>
      <w:r>
        <w:t xml:space="preserve"> </w:t>
      </w:r>
      <w:r w:rsidRPr="00E46A76">
        <w:rPr>
          <w:sz w:val="18"/>
          <w:szCs w:val="18"/>
        </w:rPr>
        <w:t xml:space="preserve">Le montant net d'impôt (puisque celui-ci est nul) de 37 494 $ correspondrait à un revenu brut d'environ 50 000 $ pour un célibataire de moins de 65 </w:t>
      </w:r>
      <w:r>
        <w:rPr>
          <w:sz w:val="18"/>
          <w:szCs w:val="18"/>
        </w:rPr>
        <w:t xml:space="preserve">       </w:t>
      </w:r>
      <w:r w:rsidRPr="00E46A76">
        <w:rPr>
          <w:sz w:val="18"/>
          <w:szCs w:val="18"/>
        </w:rPr>
        <w:t>ans.</w:t>
      </w:r>
    </w:p>
  </w:footnote>
  <w:footnote w:id="15">
    <w:p w14:paraId="14D8AF75" w14:textId="31AB76DE" w:rsidR="00573C95" w:rsidRDefault="00573C95">
      <w:pPr>
        <w:pStyle w:val="Notedebasdepage"/>
      </w:pPr>
      <w:r>
        <w:rPr>
          <w:rStyle w:val="Marquenotebasdepage"/>
        </w:rPr>
        <w:t>12</w:t>
      </w:r>
      <w:r>
        <w:t xml:space="preserve"> </w:t>
      </w:r>
      <w:r w:rsidRPr="00142C2F">
        <w:rPr>
          <w:sz w:val="18"/>
          <w:szCs w:val="18"/>
        </w:rPr>
        <w:t>Ne tenant compte que du crédit personnel de base</w:t>
      </w:r>
      <w:r>
        <w:rPr>
          <w:sz w:val="18"/>
          <w:szCs w:val="18"/>
        </w:rPr>
        <w:t xml:space="preserve">. Le crédit d'impôt pour solidarité n'a pas été considéré dans le calcul. </w:t>
      </w:r>
    </w:p>
  </w:footnote>
  <w:footnote w:id="16">
    <w:p w14:paraId="5F5D7382" w14:textId="53799063" w:rsidR="00573C95" w:rsidRDefault="00573C95">
      <w:pPr>
        <w:pStyle w:val="Notedebasdepage"/>
      </w:pPr>
      <w:r>
        <w:rPr>
          <w:rStyle w:val="Marquenotebasdepage"/>
        </w:rPr>
        <w:t>13</w:t>
      </w:r>
      <w:r>
        <w:t xml:space="preserve"> </w:t>
      </w:r>
      <w:r w:rsidRPr="00496D28">
        <w:rPr>
          <w:sz w:val="18"/>
          <w:szCs w:val="18"/>
        </w:rPr>
        <w:t>9 173 $ (maximum pour célibataire) - 50 % (6 000 $ + 2 200 $). À des fins de simplification, nous n'avons pas tenu compte dans nos différents calculs de la particularité du taux de remboursement de 25 % pour la portion des prestations complémentaires du SRG.</w:t>
      </w:r>
    </w:p>
  </w:footnote>
  <w:footnote w:id="17">
    <w:p w14:paraId="50CAAA42" w14:textId="0029380B" w:rsidR="00573C95" w:rsidRDefault="00573C95">
      <w:pPr>
        <w:pStyle w:val="Notedebasdepage"/>
      </w:pPr>
      <w:r>
        <w:rPr>
          <w:rStyle w:val="Marquenotebasdepage"/>
        </w:rPr>
        <w:t>14</w:t>
      </w:r>
      <w:r>
        <w:t xml:space="preserve"> </w:t>
      </w:r>
      <w:r>
        <w:rPr>
          <w:sz w:val="18"/>
          <w:szCs w:val="18"/>
        </w:rPr>
        <w:t xml:space="preserve">Site Web de la RRQ, </w:t>
      </w:r>
      <w:r>
        <w:rPr>
          <w:i/>
          <w:sz w:val="18"/>
          <w:szCs w:val="18"/>
        </w:rPr>
        <w:t>Le Régime animé</w:t>
      </w:r>
      <w:r w:rsidRPr="00FA7684">
        <w:rPr>
          <w:sz w:val="18"/>
          <w:szCs w:val="18"/>
        </w:rPr>
        <w:t xml:space="preserve">, </w:t>
      </w:r>
      <w:hyperlink r:id="rId4" w:history="1">
        <w:r w:rsidRPr="000D1C19">
          <w:rPr>
            <w:rStyle w:val="Lienhypertexte"/>
            <w:color w:val="FF6700" w:themeColor="accent3"/>
            <w:sz w:val="18"/>
            <w:szCs w:val="18"/>
          </w:rPr>
          <w:t>http://www.rrq.gouv.qc.ca/fr/regie/historique/Pages/regime_anime.aspx</w:t>
        </w:r>
      </w:hyperlink>
      <w:r>
        <w:rPr>
          <w:sz w:val="18"/>
          <w:szCs w:val="18"/>
        </w:rPr>
        <w:t>, (Page</w:t>
      </w:r>
      <w:r w:rsidRPr="00FA7684">
        <w:rPr>
          <w:sz w:val="18"/>
          <w:szCs w:val="18"/>
        </w:rPr>
        <w:t xml:space="preserve"> consulté</w:t>
      </w:r>
      <w:r>
        <w:rPr>
          <w:sz w:val="18"/>
          <w:szCs w:val="18"/>
        </w:rPr>
        <w:t>e</w:t>
      </w:r>
      <w:r w:rsidRPr="00FA7684">
        <w:rPr>
          <w:sz w:val="18"/>
          <w:szCs w:val="18"/>
        </w:rPr>
        <w:t xml:space="preserve"> le </w:t>
      </w:r>
      <w:r>
        <w:rPr>
          <w:sz w:val="18"/>
          <w:szCs w:val="18"/>
        </w:rPr>
        <w:t>29</w:t>
      </w:r>
      <w:r w:rsidRPr="00FA7684">
        <w:rPr>
          <w:sz w:val="18"/>
          <w:szCs w:val="18"/>
        </w:rPr>
        <w:t xml:space="preserve"> juin 2015</w:t>
      </w:r>
      <w:r>
        <w:rPr>
          <w:sz w:val="18"/>
          <w:szCs w:val="18"/>
        </w:rPr>
        <w:t>).</w:t>
      </w:r>
    </w:p>
  </w:footnote>
  <w:footnote w:id="18">
    <w:p w14:paraId="34D29478" w14:textId="77777777" w:rsidR="00573C95" w:rsidRDefault="00573C95" w:rsidP="00C52A85">
      <w:pPr>
        <w:pStyle w:val="Notedebasdepage"/>
      </w:pPr>
      <w:r>
        <w:rPr>
          <w:rStyle w:val="Marquenotebasdepage"/>
        </w:rPr>
        <w:t>16</w:t>
      </w:r>
      <w:r>
        <w:t xml:space="preserve"> </w:t>
      </w:r>
      <w:r w:rsidRPr="006A491B">
        <w:rPr>
          <w:sz w:val="18"/>
          <w:szCs w:val="18"/>
        </w:rPr>
        <w:t>Langis,</w:t>
      </w:r>
      <w:r w:rsidRPr="00950CE8">
        <w:rPr>
          <w:sz w:val="18"/>
          <w:szCs w:val="18"/>
        </w:rPr>
        <w:t xml:space="preserve"> G.</w:t>
      </w:r>
      <w:r>
        <w:rPr>
          <w:sz w:val="18"/>
          <w:szCs w:val="18"/>
        </w:rPr>
        <w:t xml:space="preserve"> (2013)</w:t>
      </w:r>
      <w:r w:rsidRPr="00FA7684">
        <w:rPr>
          <w:sz w:val="18"/>
          <w:szCs w:val="18"/>
        </w:rPr>
        <w:t>,</w:t>
      </w:r>
      <w:r>
        <w:rPr>
          <w:sz w:val="18"/>
          <w:szCs w:val="18"/>
        </w:rPr>
        <w:t xml:space="preserve"> RRQ, </w:t>
      </w:r>
      <w:r>
        <w:rPr>
          <w:i/>
          <w:sz w:val="18"/>
          <w:szCs w:val="18"/>
        </w:rPr>
        <w:t>Évaluation actuarielle du Régime des rentes du Québec au 31 décembre 2012</w:t>
      </w:r>
      <w:r w:rsidRPr="00FA7684">
        <w:rPr>
          <w:sz w:val="18"/>
          <w:szCs w:val="18"/>
        </w:rPr>
        <w:t xml:space="preserve">, </w:t>
      </w:r>
      <w:hyperlink r:id="rId5" w:history="1">
        <w:r w:rsidRPr="006A491B">
          <w:rPr>
            <w:rStyle w:val="Lienhypertexte"/>
            <w:color w:val="FF6700" w:themeColor="accent3"/>
            <w:sz w:val="18"/>
            <w:szCs w:val="18"/>
          </w:rPr>
          <w:t>http://www.rrq.gouv.qc.ca/SiteCollectionDocuments/www.rrq.gouv.qc/Francais/publications/regime_rentes/EA2012.pdf</w:t>
        </w:r>
      </w:hyperlink>
      <w:r>
        <w:rPr>
          <w:sz w:val="18"/>
          <w:szCs w:val="18"/>
        </w:rPr>
        <w:t>, (Page</w:t>
      </w:r>
      <w:r w:rsidRPr="00FA7684">
        <w:rPr>
          <w:sz w:val="18"/>
          <w:szCs w:val="18"/>
        </w:rPr>
        <w:t xml:space="preserve"> consulté</w:t>
      </w:r>
      <w:r>
        <w:rPr>
          <w:sz w:val="18"/>
          <w:szCs w:val="18"/>
        </w:rPr>
        <w:t>e</w:t>
      </w:r>
      <w:r w:rsidRPr="00FA7684">
        <w:rPr>
          <w:sz w:val="18"/>
          <w:szCs w:val="18"/>
        </w:rPr>
        <w:t xml:space="preserve"> le </w:t>
      </w:r>
      <w:r>
        <w:rPr>
          <w:sz w:val="18"/>
          <w:szCs w:val="18"/>
        </w:rPr>
        <w:t>29</w:t>
      </w:r>
      <w:r w:rsidRPr="00FA7684">
        <w:rPr>
          <w:sz w:val="18"/>
          <w:szCs w:val="18"/>
        </w:rPr>
        <w:t xml:space="preserve"> juin 2015</w:t>
      </w:r>
      <w:r>
        <w:rPr>
          <w:sz w:val="18"/>
          <w:szCs w:val="18"/>
        </w:rPr>
        <w:t>).</w:t>
      </w:r>
    </w:p>
    <w:p w14:paraId="0D96820F" w14:textId="77777777" w:rsidR="00573C95" w:rsidRDefault="00573C95" w:rsidP="00C52A85">
      <w:pPr>
        <w:pStyle w:val="Notedebasdepage"/>
      </w:pPr>
    </w:p>
  </w:footnote>
  <w:footnote w:id="19">
    <w:p w14:paraId="6B6B64EB" w14:textId="6A5DFC45" w:rsidR="00573C95" w:rsidRDefault="00573C95">
      <w:pPr>
        <w:pStyle w:val="Notedebasdepage"/>
      </w:pPr>
      <w:r>
        <w:rPr>
          <w:rStyle w:val="Marquenotebasdepage"/>
        </w:rPr>
        <w:t>17</w:t>
      </w:r>
      <w:r>
        <w:t xml:space="preserve"> </w:t>
      </w:r>
      <w:r w:rsidRPr="006A491B">
        <w:rPr>
          <w:sz w:val="18"/>
          <w:szCs w:val="18"/>
        </w:rPr>
        <w:t>La</w:t>
      </w:r>
      <w:r>
        <w:rPr>
          <w:sz w:val="18"/>
          <w:szCs w:val="18"/>
        </w:rPr>
        <w:t>tulippe</w:t>
      </w:r>
      <w:r w:rsidRPr="006A491B">
        <w:rPr>
          <w:sz w:val="18"/>
          <w:szCs w:val="18"/>
        </w:rPr>
        <w:t>,</w:t>
      </w:r>
      <w:r w:rsidRPr="00950CE8">
        <w:rPr>
          <w:sz w:val="18"/>
          <w:szCs w:val="18"/>
        </w:rPr>
        <w:t xml:space="preserve"> </w:t>
      </w:r>
      <w:r>
        <w:rPr>
          <w:sz w:val="18"/>
          <w:szCs w:val="18"/>
        </w:rPr>
        <w:t>D</w:t>
      </w:r>
      <w:r w:rsidRPr="00950CE8">
        <w:rPr>
          <w:sz w:val="18"/>
          <w:szCs w:val="18"/>
        </w:rPr>
        <w:t>.</w:t>
      </w:r>
      <w:r>
        <w:rPr>
          <w:sz w:val="18"/>
          <w:szCs w:val="18"/>
        </w:rPr>
        <w:t xml:space="preserve"> (2013)</w:t>
      </w:r>
      <w:r w:rsidRPr="00FA7684">
        <w:rPr>
          <w:sz w:val="18"/>
          <w:szCs w:val="18"/>
        </w:rPr>
        <w:t>,</w:t>
      </w:r>
      <w:r>
        <w:rPr>
          <w:sz w:val="18"/>
          <w:szCs w:val="18"/>
        </w:rPr>
        <w:t xml:space="preserve"> CIRANO, </w:t>
      </w:r>
      <w:r>
        <w:rPr>
          <w:i/>
          <w:sz w:val="18"/>
          <w:szCs w:val="18"/>
        </w:rPr>
        <w:t>Bonification du RRQ Mirage ou solution à privilégier</w:t>
      </w:r>
      <w:proofErr w:type="gramStart"/>
      <w:r w:rsidRPr="005618D6">
        <w:rPr>
          <w:rFonts w:ascii="Avenir Book" w:hAnsi="Avenir Book"/>
          <w:i/>
          <w:sz w:val="18"/>
          <w:szCs w:val="18"/>
        </w:rPr>
        <w:t>?</w:t>
      </w:r>
      <w:r>
        <w:rPr>
          <w:rFonts w:ascii="Avenir Book" w:hAnsi="Avenir Book"/>
          <w:i/>
          <w:sz w:val="18"/>
          <w:szCs w:val="18"/>
        </w:rPr>
        <w:t>,</w:t>
      </w:r>
      <w:proofErr w:type="gramEnd"/>
      <w:r w:rsidRPr="00FA7684">
        <w:rPr>
          <w:sz w:val="18"/>
          <w:szCs w:val="18"/>
        </w:rPr>
        <w:t xml:space="preserve"> </w:t>
      </w:r>
      <w:hyperlink r:id="rId6" w:history="1">
        <w:r w:rsidRPr="005618D6">
          <w:rPr>
            <w:rStyle w:val="Lienhypertexte"/>
            <w:color w:val="FF6700" w:themeColor="accent3"/>
            <w:sz w:val="18"/>
            <w:szCs w:val="18"/>
          </w:rPr>
          <w:t>http://www.cirano.qc.ca/pdf/publication/2013DT-01.pdf</w:t>
        </w:r>
      </w:hyperlink>
      <w:r>
        <w:rPr>
          <w:sz w:val="18"/>
          <w:szCs w:val="18"/>
        </w:rPr>
        <w:t>, (Page</w:t>
      </w:r>
      <w:r w:rsidRPr="00FA7684">
        <w:rPr>
          <w:sz w:val="18"/>
          <w:szCs w:val="18"/>
        </w:rPr>
        <w:t xml:space="preserve"> consulté</w:t>
      </w:r>
      <w:r>
        <w:rPr>
          <w:sz w:val="18"/>
          <w:szCs w:val="18"/>
        </w:rPr>
        <w:t>e</w:t>
      </w:r>
      <w:r w:rsidRPr="00FA7684">
        <w:rPr>
          <w:sz w:val="18"/>
          <w:szCs w:val="18"/>
        </w:rPr>
        <w:t xml:space="preserve"> le </w:t>
      </w:r>
      <w:r>
        <w:rPr>
          <w:sz w:val="18"/>
          <w:szCs w:val="18"/>
        </w:rPr>
        <w:t>29</w:t>
      </w:r>
      <w:r w:rsidRPr="00FA7684">
        <w:rPr>
          <w:sz w:val="18"/>
          <w:szCs w:val="18"/>
        </w:rPr>
        <w:t xml:space="preserve"> juin 2015</w:t>
      </w:r>
      <w:r>
        <w:rPr>
          <w:sz w:val="18"/>
          <w:szCs w:val="18"/>
        </w:rPr>
        <w:t>).</w:t>
      </w:r>
    </w:p>
  </w:footnote>
  <w:footnote w:id="20">
    <w:p w14:paraId="1BF0FDFE" w14:textId="0EFF4128" w:rsidR="00573C95" w:rsidRDefault="00573C95" w:rsidP="00C356C8">
      <w:pPr>
        <w:pStyle w:val="Notedebasdepage"/>
      </w:pPr>
      <w:r>
        <w:rPr>
          <w:rStyle w:val="Marquenotebasdepage"/>
        </w:rPr>
        <w:t>17</w:t>
      </w:r>
      <w:r>
        <w:t xml:space="preserve"> </w:t>
      </w:r>
      <w:r>
        <w:rPr>
          <w:sz w:val="18"/>
          <w:szCs w:val="18"/>
        </w:rPr>
        <w:t xml:space="preserve">RRQ, Site d'accueil de la RRQ, </w:t>
      </w:r>
      <w:hyperlink r:id="rId7" w:history="1">
        <w:r w:rsidRPr="00726FF1">
          <w:rPr>
            <w:rStyle w:val="Lienhypertexte"/>
            <w:color w:val="FF6700" w:themeColor="accent3"/>
            <w:sz w:val="18"/>
            <w:szCs w:val="18"/>
          </w:rPr>
          <w:t>http://www.rrq.gouv.qc.ca/fr/accueil/Pages/accueil.aspx</w:t>
        </w:r>
      </w:hyperlink>
      <w:r>
        <w:rPr>
          <w:sz w:val="18"/>
          <w:szCs w:val="18"/>
        </w:rPr>
        <w:t>, (Page</w:t>
      </w:r>
      <w:r w:rsidRPr="00FA7684">
        <w:rPr>
          <w:sz w:val="18"/>
          <w:szCs w:val="18"/>
        </w:rPr>
        <w:t xml:space="preserve"> consulté</w:t>
      </w:r>
      <w:r>
        <w:rPr>
          <w:sz w:val="18"/>
          <w:szCs w:val="18"/>
        </w:rPr>
        <w:t>e</w:t>
      </w:r>
      <w:r w:rsidRPr="00FA7684">
        <w:rPr>
          <w:sz w:val="18"/>
          <w:szCs w:val="18"/>
        </w:rPr>
        <w:t xml:space="preserve"> le </w:t>
      </w:r>
      <w:r>
        <w:rPr>
          <w:sz w:val="18"/>
          <w:szCs w:val="18"/>
        </w:rPr>
        <w:t xml:space="preserve">14 juillet </w:t>
      </w:r>
      <w:r w:rsidRPr="00FA7684">
        <w:rPr>
          <w:sz w:val="18"/>
          <w:szCs w:val="18"/>
        </w:rPr>
        <w:t>2015</w:t>
      </w:r>
      <w:r>
        <w:rPr>
          <w:sz w:val="18"/>
          <w:szCs w:val="18"/>
        </w:rPr>
        <w:t>).</w:t>
      </w:r>
    </w:p>
    <w:p w14:paraId="665DB7D6" w14:textId="430B19FE" w:rsidR="00573C95" w:rsidRDefault="00573C95">
      <w:pPr>
        <w:pStyle w:val="Notedebasdepage"/>
      </w:pPr>
    </w:p>
  </w:footnote>
  <w:footnote w:id="21">
    <w:p w14:paraId="3CB8B597" w14:textId="2C4FCDBD" w:rsidR="00573C95" w:rsidRPr="00E31373" w:rsidRDefault="00573C95">
      <w:pPr>
        <w:pStyle w:val="Notedebasdepage"/>
        <w:rPr>
          <w:sz w:val="20"/>
          <w:szCs w:val="20"/>
        </w:rPr>
      </w:pPr>
      <w:r>
        <w:rPr>
          <w:rStyle w:val="Marquenotebasdepage"/>
        </w:rPr>
        <w:t>18</w:t>
      </w:r>
      <w:r>
        <w:t xml:space="preserve"> </w:t>
      </w:r>
      <w:r w:rsidRPr="00E31373">
        <w:rPr>
          <w:sz w:val="18"/>
          <w:szCs w:val="18"/>
        </w:rPr>
        <w:t>Des mesures transitoires sont présentement en vigueur. Le plein effet de cette réduction se matérialisera à compter de 2016</w:t>
      </w:r>
    </w:p>
  </w:footnote>
  <w:footnote w:id="22">
    <w:p w14:paraId="69C347A3" w14:textId="70142FC0" w:rsidR="00573C95" w:rsidRPr="003C1C19" w:rsidRDefault="00573C95">
      <w:pPr>
        <w:pStyle w:val="Notedebasdepage"/>
        <w:rPr>
          <w:sz w:val="18"/>
          <w:szCs w:val="18"/>
        </w:rPr>
      </w:pPr>
      <w:r>
        <w:rPr>
          <w:rStyle w:val="Marquenotebasdepage"/>
        </w:rPr>
        <w:t>19</w:t>
      </w:r>
      <w:r>
        <w:t xml:space="preserve"> </w:t>
      </w:r>
      <w:r w:rsidRPr="003C1C19">
        <w:rPr>
          <w:sz w:val="18"/>
          <w:szCs w:val="18"/>
        </w:rPr>
        <w:t xml:space="preserve">Moyenne pour la période 2009-2013 - Lammam, C. et </w:t>
      </w:r>
      <w:r w:rsidRPr="00E83500">
        <w:rPr>
          <w:i/>
          <w:sz w:val="18"/>
          <w:szCs w:val="18"/>
        </w:rPr>
        <w:t>coll.</w:t>
      </w:r>
      <w:r>
        <w:rPr>
          <w:sz w:val="18"/>
          <w:szCs w:val="18"/>
        </w:rPr>
        <w:t xml:space="preserve"> (2015)</w:t>
      </w:r>
      <w:r w:rsidRPr="003C1C19">
        <w:rPr>
          <w:sz w:val="18"/>
          <w:szCs w:val="18"/>
        </w:rPr>
        <w:t xml:space="preserve">, Institut Fraser, </w:t>
      </w:r>
      <w:r w:rsidRPr="003C1C19">
        <w:rPr>
          <w:i/>
          <w:sz w:val="18"/>
          <w:szCs w:val="18"/>
        </w:rPr>
        <w:t>Comparaison de la rémunération dans les secteurs public et privé au Québec</w:t>
      </w:r>
      <w:r w:rsidRPr="003C1C19">
        <w:rPr>
          <w:sz w:val="18"/>
          <w:szCs w:val="18"/>
        </w:rPr>
        <w:t>,</w:t>
      </w:r>
      <w:r>
        <w:rPr>
          <w:sz w:val="18"/>
          <w:szCs w:val="18"/>
        </w:rPr>
        <w:t xml:space="preserve"> </w:t>
      </w:r>
      <w:hyperlink r:id="rId8" w:history="1">
        <w:r w:rsidRPr="003C1C19">
          <w:rPr>
            <w:rStyle w:val="Lienhypertexte"/>
            <w:color w:val="FF6700" w:themeColor="accent3"/>
            <w:sz w:val="18"/>
            <w:szCs w:val="18"/>
          </w:rPr>
          <w:t>http://www.fraserinstitute.org/uploadedFiles/fraser-ca/Content/research-news/research/publications/comparaison-de-la-remuneration-dans-le-secteurs-public-et-prive-au-quebec.pdf</w:t>
        </w:r>
      </w:hyperlink>
      <w:r>
        <w:rPr>
          <w:sz w:val="18"/>
          <w:szCs w:val="18"/>
        </w:rPr>
        <w:t>,</w:t>
      </w:r>
      <w:r w:rsidRPr="003C1C19">
        <w:rPr>
          <w:sz w:val="18"/>
          <w:szCs w:val="18"/>
        </w:rPr>
        <w:t xml:space="preserve"> (</w:t>
      </w:r>
      <w:r>
        <w:rPr>
          <w:sz w:val="18"/>
          <w:szCs w:val="18"/>
        </w:rPr>
        <w:t>Page consultée</w:t>
      </w:r>
      <w:r w:rsidRPr="003C1C19">
        <w:rPr>
          <w:sz w:val="18"/>
          <w:szCs w:val="18"/>
        </w:rPr>
        <w:t xml:space="preserve"> le 14 juillet 2015)</w:t>
      </w:r>
      <w:r>
        <w:rPr>
          <w:sz w:val="18"/>
          <w:szCs w:val="18"/>
        </w:rPr>
        <w:t>.</w:t>
      </w:r>
    </w:p>
  </w:footnote>
  <w:footnote w:id="23">
    <w:p w14:paraId="4D9B1539" w14:textId="764FA4A2" w:rsidR="00573C95" w:rsidRPr="00E0406B" w:rsidRDefault="00573C95">
      <w:pPr>
        <w:pStyle w:val="Notedebasdepage"/>
        <w:rPr>
          <w:sz w:val="18"/>
          <w:szCs w:val="18"/>
        </w:rPr>
      </w:pPr>
      <w:r>
        <w:rPr>
          <w:rStyle w:val="Marquenotebasdepage"/>
        </w:rPr>
        <w:t>20</w:t>
      </w:r>
      <w:r>
        <w:t xml:space="preserve"> </w:t>
      </w:r>
      <w:r w:rsidRPr="00E0406B">
        <w:rPr>
          <w:sz w:val="18"/>
          <w:szCs w:val="18"/>
        </w:rPr>
        <w:t xml:space="preserve">Pour consulter votre relevé de participation au RRQ </w:t>
      </w:r>
      <w:hyperlink r:id="rId9" w:history="1">
        <w:r w:rsidRPr="00E0406B">
          <w:rPr>
            <w:rStyle w:val="Lienhypertexte"/>
            <w:color w:val="FF6700" w:themeColor="accent3"/>
            <w:sz w:val="18"/>
            <w:szCs w:val="18"/>
          </w:rPr>
          <w:t>http://www.rrq.gouv.qc.ca/fr/services/services_en_ligne/Pages/releve_participation.aspx</w:t>
        </w:r>
      </w:hyperlink>
    </w:p>
  </w:footnote>
  <w:footnote w:id="24">
    <w:p w14:paraId="127E49CE" w14:textId="77777777" w:rsidR="00573C95" w:rsidRDefault="00573C95" w:rsidP="005C1662">
      <w:pPr>
        <w:pStyle w:val="Notedebasdepage"/>
      </w:pPr>
      <w:r>
        <w:rPr>
          <w:rStyle w:val="Marquenotebasdepage"/>
        </w:rPr>
        <w:t>21</w:t>
      </w:r>
      <w:r>
        <w:t xml:space="preserve"> </w:t>
      </w:r>
      <w:r w:rsidRPr="005C1662">
        <w:rPr>
          <w:sz w:val="18"/>
          <w:szCs w:val="18"/>
        </w:rPr>
        <w:t>53 600 $/41 100 $ * 23 500 $</w:t>
      </w:r>
    </w:p>
  </w:footnote>
  <w:footnote w:id="25">
    <w:p w14:paraId="11E21238" w14:textId="77777777" w:rsidR="00573C95" w:rsidRPr="005C1662" w:rsidRDefault="00573C95" w:rsidP="005C1662">
      <w:pPr>
        <w:pStyle w:val="Notedebasdepage"/>
        <w:rPr>
          <w:sz w:val="18"/>
          <w:szCs w:val="18"/>
        </w:rPr>
      </w:pPr>
      <w:r>
        <w:rPr>
          <w:rStyle w:val="Marquenotebasdepage"/>
        </w:rPr>
        <w:t>22</w:t>
      </w:r>
      <w:r>
        <w:t xml:space="preserve"> </w:t>
      </w:r>
      <w:r w:rsidRPr="005C1662">
        <w:rPr>
          <w:sz w:val="18"/>
          <w:szCs w:val="18"/>
        </w:rPr>
        <w:t>Ne peut excéder le MGA 2015, soit 53 600 $</w:t>
      </w:r>
    </w:p>
  </w:footnote>
  <w:footnote w:id="26">
    <w:p w14:paraId="6BC71B73" w14:textId="4020DD9E" w:rsidR="00573C95" w:rsidRPr="00D20A69" w:rsidRDefault="00573C95">
      <w:pPr>
        <w:pStyle w:val="Notedebasdepage"/>
        <w:rPr>
          <w:sz w:val="18"/>
          <w:szCs w:val="18"/>
        </w:rPr>
      </w:pPr>
      <w:r>
        <w:rPr>
          <w:rStyle w:val="Marquenotebasdepage"/>
        </w:rPr>
        <w:t>23</w:t>
      </w:r>
      <w:r>
        <w:t xml:space="preserve"> </w:t>
      </w:r>
      <w:r w:rsidRPr="00D20A69">
        <w:rPr>
          <w:sz w:val="18"/>
          <w:szCs w:val="18"/>
        </w:rPr>
        <w:t>(65 - 18) * 15 % = 7,05 arrondissement à 7</w:t>
      </w:r>
    </w:p>
  </w:footnote>
  <w:footnote w:id="27">
    <w:p w14:paraId="3094F828" w14:textId="24CBAAFB" w:rsidR="00573C95" w:rsidRPr="00985932" w:rsidRDefault="00573C95" w:rsidP="00985932">
      <w:pPr>
        <w:pStyle w:val="Notedebasdepage"/>
      </w:pPr>
      <w:r>
        <w:rPr>
          <w:rStyle w:val="Marquenotebasdepage"/>
        </w:rPr>
        <w:t>24</w:t>
      </w:r>
      <w:r>
        <w:t xml:space="preserve"> </w:t>
      </w:r>
      <w:r w:rsidRPr="00985932">
        <w:rPr>
          <w:sz w:val="18"/>
          <w:szCs w:val="18"/>
        </w:rPr>
        <w:t xml:space="preserve">Le défunt doit avoir versé des cotisations pour le tiers des années soumises à cotisations, avec un minimum de 3 années </w:t>
      </w:r>
      <w:r w:rsidRPr="00985932">
        <w:rPr>
          <w:b/>
          <w:u w:val="single"/>
        </w:rPr>
        <w:t>ou</w:t>
      </w:r>
      <w:r w:rsidRPr="00985932">
        <w:rPr>
          <w:sz w:val="18"/>
          <w:szCs w:val="18"/>
        </w:rPr>
        <w:t xml:space="preserve"> </w:t>
      </w:r>
      <w:r>
        <w:rPr>
          <w:sz w:val="18"/>
          <w:szCs w:val="18"/>
        </w:rPr>
        <w:t>avoir cotisé un minimum de</w:t>
      </w:r>
      <w:r w:rsidRPr="00985932">
        <w:rPr>
          <w:sz w:val="18"/>
          <w:szCs w:val="18"/>
        </w:rPr>
        <w:t xml:space="preserve"> 10 années</w:t>
      </w:r>
      <w:r w:rsidRPr="00985932">
        <w:t>.</w:t>
      </w:r>
    </w:p>
    <w:p w14:paraId="6FE35C3C" w14:textId="0BAC5084" w:rsidR="00573C95" w:rsidRDefault="00573C95">
      <w:pPr>
        <w:pStyle w:val="Notedebasdepage"/>
      </w:pPr>
    </w:p>
  </w:footnote>
  <w:footnote w:id="28">
    <w:p w14:paraId="7D0DE9FF" w14:textId="33B6A7DF" w:rsidR="00573C95" w:rsidRDefault="00573C95">
      <w:pPr>
        <w:pStyle w:val="Notedebasdepage"/>
      </w:pPr>
      <w:r>
        <w:rPr>
          <w:rStyle w:val="Marquenotebasdepage"/>
        </w:rPr>
        <w:t>25</w:t>
      </w:r>
      <w:r>
        <w:t xml:space="preserve"> </w:t>
      </w:r>
      <w:r w:rsidRPr="006B0DED">
        <w:rPr>
          <w:sz w:val="18"/>
          <w:szCs w:val="18"/>
        </w:rPr>
        <w:t>Même critère que pour la rente de conjoint survivant</w:t>
      </w:r>
      <w:r>
        <w:rPr>
          <w:sz w:val="18"/>
          <w:szCs w:val="18"/>
        </w:rPr>
        <w:t>.</w:t>
      </w:r>
    </w:p>
  </w:footnote>
  <w:footnote w:id="29">
    <w:p w14:paraId="70D7CD87" w14:textId="2B169E85" w:rsidR="00573C95" w:rsidRDefault="00573C95">
      <w:pPr>
        <w:pStyle w:val="Notedebasdepage"/>
      </w:pPr>
      <w:r>
        <w:rPr>
          <w:rStyle w:val="Marquenotebasdepage"/>
        </w:rPr>
        <w:t>26</w:t>
      </w:r>
      <w:r>
        <w:t xml:space="preserve"> </w:t>
      </w:r>
      <w:r w:rsidRPr="006B0DED">
        <w:rPr>
          <w:sz w:val="18"/>
          <w:szCs w:val="18"/>
        </w:rPr>
        <w:t>Même critère que pour la rente de conjoint survivant</w:t>
      </w:r>
      <w:r>
        <w:rPr>
          <w:sz w:val="18"/>
          <w:szCs w:val="18"/>
        </w:rPr>
        <w:t>.</w:t>
      </w:r>
      <w:r w:rsidRPr="00AE2255">
        <w:t xml:space="preserve"> </w:t>
      </w:r>
    </w:p>
  </w:footnote>
  <w:footnote w:id="30">
    <w:p w14:paraId="36B924D3" w14:textId="2A13077A" w:rsidR="00573C95" w:rsidRDefault="00573C95">
      <w:pPr>
        <w:pStyle w:val="Notedebasdepage"/>
      </w:pPr>
      <w:r>
        <w:rPr>
          <w:rStyle w:val="Marquenotebasdepage"/>
        </w:rPr>
        <w:t>27</w:t>
      </w:r>
      <w:r>
        <w:t xml:space="preserve"> </w:t>
      </w:r>
      <w:r>
        <w:rPr>
          <w:sz w:val="18"/>
          <w:szCs w:val="18"/>
        </w:rPr>
        <w:t>Brassard,</w:t>
      </w:r>
      <w:r w:rsidRPr="003C1C19">
        <w:rPr>
          <w:sz w:val="18"/>
          <w:szCs w:val="18"/>
        </w:rPr>
        <w:t xml:space="preserve"> </w:t>
      </w:r>
      <w:r>
        <w:rPr>
          <w:sz w:val="18"/>
          <w:szCs w:val="18"/>
        </w:rPr>
        <w:t>E</w:t>
      </w:r>
      <w:r w:rsidRPr="003C1C19">
        <w:rPr>
          <w:sz w:val="18"/>
          <w:szCs w:val="18"/>
        </w:rPr>
        <w:t xml:space="preserve">. et </w:t>
      </w:r>
      <w:r w:rsidRPr="00E83500">
        <w:rPr>
          <w:i/>
          <w:sz w:val="18"/>
          <w:szCs w:val="18"/>
        </w:rPr>
        <w:t>coll.</w:t>
      </w:r>
      <w:r>
        <w:rPr>
          <w:sz w:val="18"/>
          <w:szCs w:val="18"/>
        </w:rPr>
        <w:t xml:space="preserve"> (2014)</w:t>
      </w:r>
      <w:r w:rsidRPr="003C1C19">
        <w:rPr>
          <w:sz w:val="18"/>
          <w:szCs w:val="18"/>
        </w:rPr>
        <w:t xml:space="preserve">, </w:t>
      </w:r>
      <w:r w:rsidRPr="008E7D08">
        <w:rPr>
          <w:bCs/>
          <w:i/>
          <w:sz w:val="18"/>
          <w:szCs w:val="18"/>
        </w:rPr>
        <w:t>La décision salaire-dividende : une mise à jour</w:t>
      </w:r>
      <w:r w:rsidRPr="003C1C19">
        <w:rPr>
          <w:sz w:val="18"/>
          <w:szCs w:val="18"/>
        </w:rPr>
        <w:t>,</w:t>
      </w:r>
      <w:r>
        <w:rPr>
          <w:sz w:val="18"/>
          <w:szCs w:val="18"/>
        </w:rPr>
        <w:t xml:space="preserve"> Congrès 2014 de l’APFF.</w:t>
      </w:r>
    </w:p>
  </w:footnote>
  <w:footnote w:id="31">
    <w:p w14:paraId="630F9C9D" w14:textId="4449CE1E" w:rsidR="00573C95" w:rsidRDefault="00573C95" w:rsidP="00206C3E">
      <w:pPr>
        <w:pStyle w:val="Notedebasdepage"/>
      </w:pPr>
      <w:r>
        <w:rPr>
          <w:rStyle w:val="Marquenotebasdepage"/>
        </w:rPr>
        <w:t>28</w:t>
      </w:r>
      <w:r>
        <w:t xml:space="preserve"> </w:t>
      </w:r>
      <w:r w:rsidRPr="00FA7684">
        <w:rPr>
          <w:sz w:val="18"/>
          <w:szCs w:val="18"/>
        </w:rPr>
        <w:t>D’Amours</w:t>
      </w:r>
      <w:r>
        <w:rPr>
          <w:sz w:val="18"/>
          <w:szCs w:val="18"/>
        </w:rPr>
        <w:t>, A.</w:t>
      </w:r>
      <w:r w:rsidRPr="00FA7684">
        <w:rPr>
          <w:sz w:val="18"/>
          <w:szCs w:val="18"/>
        </w:rPr>
        <w:t xml:space="preserve"> et coll.</w:t>
      </w:r>
      <w:r>
        <w:rPr>
          <w:sz w:val="18"/>
          <w:szCs w:val="18"/>
        </w:rPr>
        <w:t xml:space="preserve"> (2013)</w:t>
      </w:r>
      <w:r w:rsidRPr="00FA7684">
        <w:rPr>
          <w:sz w:val="18"/>
          <w:szCs w:val="18"/>
        </w:rPr>
        <w:t xml:space="preserve">, </w:t>
      </w:r>
      <w:r w:rsidRPr="00FA7684">
        <w:rPr>
          <w:i/>
          <w:sz w:val="18"/>
          <w:szCs w:val="18"/>
        </w:rPr>
        <w:t>Innover pour pérenniser le système de retraite</w:t>
      </w:r>
      <w:r w:rsidRPr="00FA7684">
        <w:rPr>
          <w:sz w:val="18"/>
          <w:szCs w:val="18"/>
        </w:rPr>
        <w:t xml:space="preserve">, </w:t>
      </w:r>
      <w:hyperlink r:id="rId10" w:history="1">
        <w:r w:rsidRPr="00701CD6">
          <w:rPr>
            <w:rStyle w:val="Lienhypertexte"/>
            <w:color w:val="FF6700" w:themeColor="accent3"/>
            <w:sz w:val="18"/>
            <w:szCs w:val="18"/>
          </w:rPr>
          <w:t>http://www.rrq.gouv.qc.ca/SiteCollectionDocuments/www.rrq.gouv.qc/Francais/publications/rapport_comite/Rapport.pdf</w:t>
        </w:r>
      </w:hyperlink>
      <w:proofErr w:type="gramStart"/>
      <w:r>
        <w:rPr>
          <w:sz w:val="18"/>
          <w:szCs w:val="18"/>
        </w:rPr>
        <w:t>,(</w:t>
      </w:r>
      <w:proofErr w:type="gramEnd"/>
      <w:r>
        <w:rPr>
          <w:sz w:val="18"/>
          <w:szCs w:val="18"/>
        </w:rPr>
        <w:t>C</w:t>
      </w:r>
      <w:r w:rsidRPr="00FA7684">
        <w:rPr>
          <w:sz w:val="18"/>
          <w:szCs w:val="18"/>
        </w:rPr>
        <w:t>onsulté</w:t>
      </w:r>
      <w:r>
        <w:rPr>
          <w:sz w:val="18"/>
          <w:szCs w:val="18"/>
        </w:rPr>
        <w:t>e,</w:t>
      </w:r>
      <w:r w:rsidRPr="00FA7684">
        <w:rPr>
          <w:sz w:val="18"/>
          <w:szCs w:val="18"/>
        </w:rPr>
        <w:t xml:space="preserve"> 10 </w:t>
      </w:r>
      <w:r>
        <w:rPr>
          <w:sz w:val="18"/>
          <w:szCs w:val="18"/>
        </w:rPr>
        <w:t>juin 2015)</w:t>
      </w:r>
    </w:p>
    <w:p w14:paraId="2FB12C07" w14:textId="0E1552A1" w:rsidR="00573C95" w:rsidRDefault="00573C95">
      <w:pPr>
        <w:pStyle w:val="Notedebasdepage"/>
      </w:pPr>
    </w:p>
  </w:footnote>
  <w:footnote w:id="32">
    <w:p w14:paraId="15D8E924" w14:textId="72CB03BF" w:rsidR="00573C95" w:rsidRPr="00215C7D" w:rsidRDefault="00573C95">
      <w:pPr>
        <w:pStyle w:val="Notedebasdepage"/>
        <w:rPr>
          <w:sz w:val="18"/>
          <w:szCs w:val="18"/>
        </w:rPr>
      </w:pPr>
      <w:r>
        <w:rPr>
          <w:rStyle w:val="Marquenotebasdepage"/>
        </w:rPr>
        <w:t>29</w:t>
      </w:r>
      <w:r>
        <w:t xml:space="preserve"> </w:t>
      </w:r>
      <w:r w:rsidRPr="00215C7D">
        <w:rPr>
          <w:sz w:val="18"/>
          <w:szCs w:val="18"/>
        </w:rPr>
        <w:t xml:space="preserve">Le régime est assujetti à la Loi sur les régimes de retraite du gouvernement et des organismes publics. Cette loi vise le même genre de protection et </w:t>
      </w:r>
      <w:r>
        <w:rPr>
          <w:sz w:val="18"/>
          <w:szCs w:val="18"/>
        </w:rPr>
        <w:t xml:space="preserve">comporte des </w:t>
      </w:r>
      <w:r w:rsidRPr="00215C7D">
        <w:rPr>
          <w:sz w:val="18"/>
          <w:szCs w:val="18"/>
        </w:rPr>
        <w:t>restrictions</w:t>
      </w:r>
      <w:r>
        <w:rPr>
          <w:sz w:val="18"/>
          <w:szCs w:val="18"/>
        </w:rPr>
        <w:t xml:space="preserve"> similaires à celles résultantes de </w:t>
      </w:r>
      <w:r w:rsidRPr="00215C7D">
        <w:rPr>
          <w:sz w:val="18"/>
          <w:szCs w:val="18"/>
        </w:rPr>
        <w:t>la LRCR</w:t>
      </w:r>
      <w:r>
        <w:rPr>
          <w:sz w:val="18"/>
          <w:szCs w:val="18"/>
        </w:rPr>
        <w:t>.</w:t>
      </w:r>
    </w:p>
  </w:footnote>
  <w:footnote w:id="33">
    <w:p w14:paraId="0B5FE18E" w14:textId="07203C25" w:rsidR="00573C95" w:rsidRDefault="00573C95" w:rsidP="00317FB3">
      <w:pPr>
        <w:pStyle w:val="Notedebasdepage"/>
      </w:pPr>
      <w:r>
        <w:rPr>
          <w:rStyle w:val="Marquenotebasdepage"/>
        </w:rPr>
        <w:t>30</w:t>
      </w:r>
      <w:r>
        <w:t xml:space="preserve"> </w:t>
      </w:r>
      <w:r w:rsidRPr="00317FB3">
        <w:rPr>
          <w:sz w:val="18"/>
          <w:szCs w:val="18"/>
        </w:rPr>
        <w:t>Extrait de</w:t>
      </w:r>
      <w:r>
        <w:t xml:space="preserve"> </w:t>
      </w:r>
      <w:r>
        <w:rPr>
          <w:sz w:val="18"/>
          <w:szCs w:val="18"/>
        </w:rPr>
        <w:t xml:space="preserve"> IQPF (2014), </w:t>
      </w:r>
      <w:r>
        <w:rPr>
          <w:i/>
          <w:sz w:val="18"/>
          <w:szCs w:val="18"/>
        </w:rPr>
        <w:t xml:space="preserve">La Collection de l'IQPF Module 7- section 5.4.13, </w:t>
      </w:r>
      <w:r>
        <w:rPr>
          <w:sz w:val="18"/>
          <w:szCs w:val="18"/>
        </w:rPr>
        <w:t>(Page</w:t>
      </w:r>
      <w:r w:rsidRPr="00FA7684">
        <w:rPr>
          <w:sz w:val="18"/>
          <w:szCs w:val="18"/>
        </w:rPr>
        <w:t xml:space="preserve"> consulté</w:t>
      </w:r>
      <w:r>
        <w:rPr>
          <w:sz w:val="18"/>
          <w:szCs w:val="18"/>
        </w:rPr>
        <w:t>e</w:t>
      </w:r>
      <w:r w:rsidRPr="00FA7684">
        <w:rPr>
          <w:sz w:val="18"/>
          <w:szCs w:val="18"/>
        </w:rPr>
        <w:t xml:space="preserve"> le </w:t>
      </w:r>
      <w:r>
        <w:rPr>
          <w:sz w:val="18"/>
          <w:szCs w:val="18"/>
        </w:rPr>
        <w:t>8 septembre</w:t>
      </w:r>
      <w:r w:rsidRPr="00FA7684">
        <w:rPr>
          <w:sz w:val="18"/>
          <w:szCs w:val="18"/>
        </w:rPr>
        <w:t xml:space="preserve"> 2015</w:t>
      </w:r>
      <w:r>
        <w:rPr>
          <w:sz w:val="18"/>
          <w:szCs w:val="18"/>
        </w:rPr>
        <w:t>).</w:t>
      </w:r>
    </w:p>
    <w:p w14:paraId="24289EF2" w14:textId="5712E81F" w:rsidR="00573C95" w:rsidRDefault="00573C95">
      <w:pPr>
        <w:pStyle w:val="Notedebasdepage"/>
      </w:pPr>
    </w:p>
  </w:footnote>
  <w:footnote w:id="34">
    <w:p w14:paraId="1BB15FD2" w14:textId="17F67A72" w:rsidR="00573C95" w:rsidRDefault="00573C95">
      <w:pPr>
        <w:pStyle w:val="Notedebasdepage"/>
      </w:pPr>
      <w:r>
        <w:rPr>
          <w:rStyle w:val="Marquenotebasdepage"/>
        </w:rPr>
        <w:t>31</w:t>
      </w:r>
      <w:r>
        <w:t xml:space="preserve"> </w:t>
      </w:r>
      <w:r>
        <w:rPr>
          <w:sz w:val="18"/>
          <w:szCs w:val="18"/>
        </w:rPr>
        <w:t>Rubin</w:t>
      </w:r>
      <w:r w:rsidRPr="003C1C19">
        <w:rPr>
          <w:sz w:val="18"/>
          <w:szCs w:val="18"/>
        </w:rPr>
        <w:t xml:space="preserve">, </w:t>
      </w:r>
      <w:r>
        <w:rPr>
          <w:sz w:val="18"/>
          <w:szCs w:val="18"/>
        </w:rPr>
        <w:t>J</w:t>
      </w:r>
      <w:r w:rsidRPr="003C1C19">
        <w:rPr>
          <w:sz w:val="18"/>
          <w:szCs w:val="18"/>
        </w:rPr>
        <w:t>.</w:t>
      </w:r>
      <w:r>
        <w:rPr>
          <w:sz w:val="18"/>
          <w:szCs w:val="18"/>
        </w:rPr>
        <w:t xml:space="preserve"> (2015)</w:t>
      </w:r>
      <w:r w:rsidRPr="003C1C19">
        <w:rPr>
          <w:sz w:val="18"/>
          <w:szCs w:val="18"/>
        </w:rPr>
        <w:t xml:space="preserve">, </w:t>
      </w:r>
      <w:r>
        <w:rPr>
          <w:sz w:val="18"/>
          <w:szCs w:val="18"/>
        </w:rPr>
        <w:t>Placements CI</w:t>
      </w:r>
      <w:r w:rsidRPr="003C1C19">
        <w:rPr>
          <w:sz w:val="18"/>
          <w:szCs w:val="18"/>
        </w:rPr>
        <w:t xml:space="preserve">, </w:t>
      </w:r>
      <w:r>
        <w:rPr>
          <w:i/>
          <w:sz w:val="18"/>
          <w:szCs w:val="18"/>
        </w:rPr>
        <w:t>Budget fédéral 2015</w:t>
      </w:r>
      <w:r w:rsidRPr="003C1C19">
        <w:rPr>
          <w:sz w:val="18"/>
          <w:szCs w:val="18"/>
        </w:rPr>
        <w:t>,</w:t>
      </w:r>
      <w:r>
        <w:rPr>
          <w:sz w:val="18"/>
          <w:szCs w:val="18"/>
        </w:rPr>
        <w:t xml:space="preserve"> </w:t>
      </w:r>
      <w:hyperlink r:id="rId11" w:history="1">
        <w:r w:rsidRPr="00714F67">
          <w:rPr>
            <w:rStyle w:val="Lienhypertexte"/>
            <w:color w:val="FF6700" w:themeColor="accent3"/>
            <w:sz w:val="18"/>
            <w:szCs w:val="18"/>
          </w:rPr>
          <w:t>http://www.ci.com/web/pdf/ci_fed_budget_2015_f.pdf</w:t>
        </w:r>
      </w:hyperlink>
      <w:r>
        <w:rPr>
          <w:sz w:val="18"/>
          <w:szCs w:val="18"/>
        </w:rPr>
        <w:t>,</w:t>
      </w:r>
      <w:r w:rsidRPr="003C1C19">
        <w:rPr>
          <w:sz w:val="18"/>
          <w:szCs w:val="18"/>
        </w:rPr>
        <w:t xml:space="preserve"> (</w:t>
      </w:r>
      <w:r>
        <w:rPr>
          <w:sz w:val="18"/>
          <w:szCs w:val="18"/>
        </w:rPr>
        <w:t>Page consultée</w:t>
      </w:r>
      <w:r w:rsidRPr="003C1C19">
        <w:rPr>
          <w:sz w:val="18"/>
          <w:szCs w:val="18"/>
        </w:rPr>
        <w:t xml:space="preserve"> le 1</w:t>
      </w:r>
      <w:r>
        <w:rPr>
          <w:sz w:val="18"/>
          <w:szCs w:val="18"/>
        </w:rPr>
        <w:t>0 septembre</w:t>
      </w:r>
      <w:r w:rsidRPr="003C1C19">
        <w:rPr>
          <w:sz w:val="18"/>
          <w:szCs w:val="18"/>
        </w:rPr>
        <w:t xml:space="preserve"> juillet 2015)</w:t>
      </w:r>
      <w:r>
        <w:rPr>
          <w:sz w:val="18"/>
          <w:szCs w:val="18"/>
        </w:rPr>
        <w:t>.</w:t>
      </w:r>
    </w:p>
  </w:footnote>
  <w:footnote w:id="35">
    <w:p w14:paraId="0C32C2ED" w14:textId="52534BF5" w:rsidR="00573C95" w:rsidRDefault="00573C95" w:rsidP="002B08ED">
      <w:pPr>
        <w:pStyle w:val="Notedebasdepage"/>
      </w:pPr>
      <w:r>
        <w:rPr>
          <w:rStyle w:val="Marquenotebasdepage"/>
        </w:rPr>
        <w:t>32</w:t>
      </w:r>
      <w:r>
        <w:t xml:space="preserve"> </w:t>
      </w:r>
      <w:r>
        <w:rPr>
          <w:sz w:val="18"/>
          <w:szCs w:val="18"/>
        </w:rPr>
        <w:t>AGF</w:t>
      </w:r>
      <w:r w:rsidRPr="003C1C19">
        <w:rPr>
          <w:sz w:val="18"/>
          <w:szCs w:val="18"/>
        </w:rPr>
        <w:t>.</w:t>
      </w:r>
      <w:r>
        <w:rPr>
          <w:sz w:val="18"/>
          <w:szCs w:val="18"/>
        </w:rPr>
        <w:t xml:space="preserve"> (2015)</w:t>
      </w:r>
      <w:r w:rsidRPr="003C1C19">
        <w:rPr>
          <w:sz w:val="18"/>
          <w:szCs w:val="18"/>
        </w:rPr>
        <w:t xml:space="preserve">, </w:t>
      </w:r>
      <w:r>
        <w:rPr>
          <w:i/>
          <w:sz w:val="18"/>
          <w:szCs w:val="18"/>
        </w:rPr>
        <w:t>FERR immobilisé</w:t>
      </w:r>
      <w:r w:rsidRPr="003C1C19">
        <w:rPr>
          <w:sz w:val="18"/>
          <w:szCs w:val="18"/>
        </w:rPr>
        <w:t>,</w:t>
      </w:r>
      <w:r>
        <w:rPr>
          <w:sz w:val="18"/>
          <w:szCs w:val="18"/>
        </w:rPr>
        <w:t xml:space="preserve"> </w:t>
      </w:r>
      <w:hyperlink r:id="rId12" w:history="1">
        <w:r w:rsidRPr="002B08ED">
          <w:rPr>
            <w:rStyle w:val="Lienhypertexte"/>
            <w:color w:val="FF6700" w:themeColor="accent3"/>
            <w:sz w:val="18"/>
            <w:szCs w:val="18"/>
          </w:rPr>
          <w:t>https://www.agf.com/static/fr/learning-centre/income-for-retirement/locked-in-rrifs/index.html</w:t>
        </w:r>
      </w:hyperlink>
      <w:r>
        <w:rPr>
          <w:sz w:val="18"/>
          <w:szCs w:val="18"/>
        </w:rPr>
        <w:t xml:space="preserve">, </w:t>
      </w:r>
      <w:r w:rsidRPr="003C1C19">
        <w:rPr>
          <w:sz w:val="18"/>
          <w:szCs w:val="18"/>
        </w:rPr>
        <w:t>(</w:t>
      </w:r>
      <w:r>
        <w:rPr>
          <w:sz w:val="18"/>
          <w:szCs w:val="18"/>
        </w:rPr>
        <w:t>Page consultée</w:t>
      </w:r>
      <w:r w:rsidRPr="003C1C19">
        <w:rPr>
          <w:sz w:val="18"/>
          <w:szCs w:val="18"/>
        </w:rPr>
        <w:t xml:space="preserve"> le 1</w:t>
      </w:r>
      <w:r>
        <w:rPr>
          <w:sz w:val="18"/>
          <w:szCs w:val="18"/>
        </w:rPr>
        <w:t>0 septembre</w:t>
      </w:r>
      <w:r w:rsidRPr="003C1C19">
        <w:rPr>
          <w:sz w:val="18"/>
          <w:szCs w:val="18"/>
        </w:rPr>
        <w:t xml:space="preserve"> 2015)</w:t>
      </w:r>
      <w:r>
        <w:rPr>
          <w:sz w:val="18"/>
          <w:szCs w:val="18"/>
        </w:rPr>
        <w:t>.</w:t>
      </w:r>
    </w:p>
    <w:p w14:paraId="7D879516" w14:textId="3074CC21" w:rsidR="00573C95" w:rsidRDefault="00573C95">
      <w:pPr>
        <w:pStyle w:val="Notedebasdepage"/>
      </w:pPr>
    </w:p>
  </w:footnote>
  <w:footnote w:id="36">
    <w:p w14:paraId="71031690" w14:textId="7D01B07F" w:rsidR="00573C95" w:rsidRDefault="00573C95" w:rsidP="00A81AC1">
      <w:pPr>
        <w:pStyle w:val="Notedebasdepage"/>
      </w:pPr>
      <w:r>
        <w:rPr>
          <w:rStyle w:val="Marquenotebasdepage"/>
        </w:rPr>
        <w:t>33</w:t>
      </w:r>
      <w:r>
        <w:t xml:space="preserve"> </w:t>
      </w:r>
      <w:r>
        <w:rPr>
          <w:sz w:val="18"/>
          <w:szCs w:val="18"/>
        </w:rPr>
        <w:t>RRQ</w:t>
      </w:r>
      <w:r w:rsidRPr="003C1C19">
        <w:rPr>
          <w:sz w:val="18"/>
          <w:szCs w:val="18"/>
        </w:rPr>
        <w:t>.</w:t>
      </w:r>
      <w:r>
        <w:rPr>
          <w:sz w:val="18"/>
          <w:szCs w:val="18"/>
        </w:rPr>
        <w:t xml:space="preserve"> (2015)</w:t>
      </w:r>
      <w:r w:rsidRPr="003C1C19">
        <w:rPr>
          <w:sz w:val="18"/>
          <w:szCs w:val="18"/>
        </w:rPr>
        <w:t xml:space="preserve">, </w:t>
      </w:r>
      <w:r>
        <w:rPr>
          <w:i/>
          <w:sz w:val="18"/>
          <w:szCs w:val="18"/>
        </w:rPr>
        <w:t>Paiements au comptant</w:t>
      </w:r>
      <w:r w:rsidRPr="003C1C19">
        <w:rPr>
          <w:sz w:val="18"/>
          <w:szCs w:val="18"/>
        </w:rPr>
        <w:t>,</w:t>
      </w:r>
      <w:r>
        <w:rPr>
          <w:sz w:val="18"/>
          <w:szCs w:val="18"/>
        </w:rPr>
        <w:t xml:space="preserve"> </w:t>
      </w:r>
      <w:hyperlink r:id="rId13" w:anchor="9" w:history="1">
        <w:r w:rsidRPr="00A81AC1">
          <w:rPr>
            <w:rStyle w:val="Lienhypertexte"/>
            <w:color w:val="FF6700" w:themeColor="accent3"/>
            <w:sz w:val="18"/>
            <w:szCs w:val="18"/>
          </w:rPr>
          <w:t>http://www.rrq.gouv.qc.ca/fr/programmes/rcr/rcd/Pages/paiements_au_comptant.aspx - 9</w:t>
        </w:r>
      </w:hyperlink>
      <w:r>
        <w:rPr>
          <w:sz w:val="18"/>
          <w:szCs w:val="18"/>
        </w:rPr>
        <w:t xml:space="preserve">, </w:t>
      </w:r>
      <w:r w:rsidRPr="003C1C19">
        <w:rPr>
          <w:sz w:val="18"/>
          <w:szCs w:val="18"/>
        </w:rPr>
        <w:t>(</w:t>
      </w:r>
      <w:r>
        <w:rPr>
          <w:sz w:val="18"/>
          <w:szCs w:val="18"/>
        </w:rPr>
        <w:t>Page consultée</w:t>
      </w:r>
      <w:r w:rsidRPr="003C1C19">
        <w:rPr>
          <w:sz w:val="18"/>
          <w:szCs w:val="18"/>
        </w:rPr>
        <w:t xml:space="preserve"> le 1</w:t>
      </w:r>
      <w:r>
        <w:rPr>
          <w:sz w:val="18"/>
          <w:szCs w:val="18"/>
        </w:rPr>
        <w:t>5 septembre</w:t>
      </w:r>
      <w:r w:rsidRPr="003C1C19">
        <w:rPr>
          <w:sz w:val="18"/>
          <w:szCs w:val="18"/>
        </w:rPr>
        <w:t xml:space="preserve"> 2015)</w:t>
      </w:r>
      <w:r>
        <w:rPr>
          <w:sz w:val="18"/>
          <w:szCs w:val="18"/>
        </w:rPr>
        <w:t>.</w:t>
      </w:r>
    </w:p>
    <w:p w14:paraId="24198D9B" w14:textId="3477BFBA" w:rsidR="00573C95" w:rsidRDefault="00573C95">
      <w:pPr>
        <w:pStyle w:val="Notedebasdepage"/>
      </w:pPr>
    </w:p>
  </w:footnote>
  <w:footnote w:id="37">
    <w:p w14:paraId="5CE5B07F" w14:textId="24093F9D" w:rsidR="00573C95" w:rsidRDefault="00573C95">
      <w:pPr>
        <w:pStyle w:val="Notedebasdepage"/>
      </w:pPr>
      <w:r>
        <w:rPr>
          <w:rStyle w:val="Marquenotebasdepage"/>
        </w:rPr>
        <w:t>34</w:t>
      </w:r>
      <w:r>
        <w:t xml:space="preserve"> </w:t>
      </w:r>
      <w:r w:rsidRPr="00A6726B">
        <w:rPr>
          <w:sz w:val="18"/>
          <w:szCs w:val="18"/>
        </w:rPr>
        <w:t xml:space="preserve">Ne vous laissez pas déconcentrer par mon aptitude à pouvoir faire </w:t>
      </w:r>
      <w:r>
        <w:rPr>
          <w:sz w:val="18"/>
          <w:szCs w:val="18"/>
        </w:rPr>
        <w:t xml:space="preserve">une </w:t>
      </w:r>
      <w:r w:rsidRPr="00A6726B">
        <w:rPr>
          <w:sz w:val="18"/>
          <w:szCs w:val="18"/>
        </w:rPr>
        <w:t>telle prédiction</w:t>
      </w:r>
      <w:r>
        <w:rPr>
          <w:sz w:val="18"/>
          <w:szCs w:val="18"/>
        </w:rPr>
        <w:t>.</w:t>
      </w:r>
    </w:p>
  </w:footnote>
  <w:footnote w:id="38">
    <w:p w14:paraId="6A4E01E2" w14:textId="052D985B" w:rsidR="00573C95" w:rsidRDefault="00573C95">
      <w:pPr>
        <w:pStyle w:val="Notedebasdepage"/>
      </w:pPr>
      <w:r>
        <w:rPr>
          <w:rStyle w:val="Marquenotebasdepage"/>
        </w:rPr>
        <w:t>35</w:t>
      </w:r>
      <w:r>
        <w:t xml:space="preserve"> </w:t>
      </w:r>
      <w:r w:rsidRPr="0029323D">
        <w:rPr>
          <w:sz w:val="18"/>
          <w:szCs w:val="18"/>
        </w:rPr>
        <w:t>Le rendement est calculé à 100 % sur le solde de début et à 50 % sur les cotisations de l'année</w:t>
      </w:r>
      <w:r>
        <w:t>.</w:t>
      </w:r>
    </w:p>
  </w:footnote>
  <w:footnote w:id="39">
    <w:p w14:paraId="1A9894BC" w14:textId="2611EED8" w:rsidR="00573C95" w:rsidRDefault="00573C95" w:rsidP="001B1119">
      <w:pPr>
        <w:pStyle w:val="Notedebasdepage"/>
      </w:pPr>
      <w:r>
        <w:rPr>
          <w:rStyle w:val="Marquenotebasdepage"/>
        </w:rPr>
        <w:t>36</w:t>
      </w:r>
      <w:r>
        <w:t xml:space="preserve"> </w:t>
      </w:r>
      <w:r w:rsidRPr="0029323D">
        <w:rPr>
          <w:sz w:val="18"/>
          <w:szCs w:val="18"/>
        </w:rPr>
        <w:t xml:space="preserve">Le rendement est calculé à 100 % sur le solde de début </w:t>
      </w:r>
      <w:r>
        <w:rPr>
          <w:sz w:val="18"/>
          <w:szCs w:val="18"/>
        </w:rPr>
        <w:t xml:space="preserve">auquel on soustrait </w:t>
      </w:r>
      <w:r w:rsidRPr="0029323D">
        <w:rPr>
          <w:sz w:val="18"/>
          <w:szCs w:val="18"/>
        </w:rPr>
        <w:t>50 %</w:t>
      </w:r>
      <w:r>
        <w:rPr>
          <w:sz w:val="18"/>
          <w:szCs w:val="18"/>
        </w:rPr>
        <w:t xml:space="preserve"> du rendement</w:t>
      </w:r>
      <w:r w:rsidRPr="0029323D">
        <w:rPr>
          <w:sz w:val="18"/>
          <w:szCs w:val="18"/>
        </w:rPr>
        <w:t xml:space="preserve"> sur les</w:t>
      </w:r>
      <w:r>
        <w:rPr>
          <w:sz w:val="18"/>
          <w:szCs w:val="18"/>
        </w:rPr>
        <w:t xml:space="preserve"> retraits</w:t>
      </w:r>
      <w:r>
        <w:t>.</w:t>
      </w:r>
    </w:p>
    <w:p w14:paraId="58CDE291" w14:textId="70316F3C" w:rsidR="00573C95" w:rsidRDefault="00573C95">
      <w:pPr>
        <w:pStyle w:val="Notedebasdepage"/>
      </w:pPr>
    </w:p>
  </w:footnote>
  <w:footnote w:id="40">
    <w:p w14:paraId="0DE1FC5F" w14:textId="15E94476" w:rsidR="00573C95" w:rsidRPr="009246A2" w:rsidRDefault="00573C95">
      <w:pPr>
        <w:pStyle w:val="Notedebasdepage"/>
        <w:rPr>
          <w:sz w:val="18"/>
          <w:szCs w:val="18"/>
        </w:rPr>
      </w:pPr>
      <w:r>
        <w:rPr>
          <w:rStyle w:val="Marquenotebasdepage"/>
        </w:rPr>
        <w:t>37</w:t>
      </w:r>
      <w:r>
        <w:t xml:space="preserve"> </w:t>
      </w:r>
      <w:r w:rsidRPr="009246A2">
        <w:rPr>
          <w:sz w:val="18"/>
          <w:szCs w:val="18"/>
        </w:rPr>
        <w:t>Normalement, nous sommes au fait de ce qui se passe dans le présent, mais incertain du futur.</w:t>
      </w:r>
    </w:p>
  </w:footnote>
  <w:footnote w:id="41">
    <w:p w14:paraId="087EEC19" w14:textId="2BD4F2D9" w:rsidR="00573C95" w:rsidRPr="008972DF" w:rsidRDefault="00573C95">
      <w:pPr>
        <w:pStyle w:val="Notedebasdepage"/>
        <w:rPr>
          <w:sz w:val="18"/>
          <w:szCs w:val="18"/>
        </w:rPr>
      </w:pPr>
      <w:r>
        <w:rPr>
          <w:rStyle w:val="Marquenotebasdepage"/>
        </w:rPr>
        <w:t>38</w:t>
      </w:r>
      <w:r>
        <w:t xml:space="preserve"> </w:t>
      </w:r>
      <w:r w:rsidRPr="008972DF">
        <w:rPr>
          <w:sz w:val="18"/>
          <w:szCs w:val="18"/>
        </w:rPr>
        <w:t>Ce montant correspond à 1/9 des cotisations maximales admissibles pour un RPACD (en 2015, 25 370 $/9)</w:t>
      </w:r>
    </w:p>
  </w:footnote>
  <w:footnote w:id="42">
    <w:p w14:paraId="0E50401A" w14:textId="78515283" w:rsidR="00573C95" w:rsidRDefault="00573C95">
      <w:pPr>
        <w:pStyle w:val="Notedebasdepage"/>
      </w:pPr>
      <w:r>
        <w:rPr>
          <w:rStyle w:val="Marquenotebasdepage"/>
        </w:rPr>
        <w:t>39</w:t>
      </w:r>
      <w:r>
        <w:t xml:space="preserve"> </w:t>
      </w:r>
      <w:r>
        <w:rPr>
          <w:sz w:val="18"/>
          <w:szCs w:val="18"/>
        </w:rPr>
        <w:t xml:space="preserve">IQPF (2014), </w:t>
      </w:r>
      <w:r>
        <w:rPr>
          <w:i/>
          <w:sz w:val="18"/>
          <w:szCs w:val="18"/>
        </w:rPr>
        <w:t xml:space="preserve">La Collection de l'IQPF Module 7- section 5.4.8, </w:t>
      </w:r>
      <w:r>
        <w:rPr>
          <w:sz w:val="18"/>
          <w:szCs w:val="18"/>
        </w:rPr>
        <w:t>(Page</w:t>
      </w:r>
      <w:r w:rsidRPr="00FA7684">
        <w:rPr>
          <w:sz w:val="18"/>
          <w:szCs w:val="18"/>
        </w:rPr>
        <w:t xml:space="preserve"> consulté</w:t>
      </w:r>
      <w:r>
        <w:rPr>
          <w:sz w:val="18"/>
          <w:szCs w:val="18"/>
        </w:rPr>
        <w:t>e</w:t>
      </w:r>
      <w:r w:rsidRPr="00FA7684">
        <w:rPr>
          <w:sz w:val="18"/>
          <w:szCs w:val="18"/>
        </w:rPr>
        <w:t xml:space="preserve"> le </w:t>
      </w:r>
      <w:r>
        <w:rPr>
          <w:sz w:val="18"/>
          <w:szCs w:val="18"/>
        </w:rPr>
        <w:t>17 septembre</w:t>
      </w:r>
      <w:r w:rsidRPr="00FA7684">
        <w:rPr>
          <w:sz w:val="18"/>
          <w:szCs w:val="18"/>
        </w:rPr>
        <w:t xml:space="preserve"> 2015</w:t>
      </w:r>
      <w:r>
        <w:rPr>
          <w:sz w:val="18"/>
          <w:szCs w:val="18"/>
        </w:rPr>
        <w:t>).</w:t>
      </w:r>
    </w:p>
  </w:footnote>
  <w:footnote w:id="43">
    <w:p w14:paraId="383401F0" w14:textId="2FBFA0F5" w:rsidR="00573C95" w:rsidRDefault="00573C95">
      <w:pPr>
        <w:pStyle w:val="Notedebasdepage"/>
      </w:pPr>
      <w:r>
        <w:rPr>
          <w:rStyle w:val="Marquenotebasdepage"/>
        </w:rPr>
        <w:t>40</w:t>
      </w:r>
      <w:r>
        <w:t xml:space="preserve"> </w:t>
      </w:r>
      <w:r w:rsidRPr="008014C6">
        <w:rPr>
          <w:sz w:val="18"/>
          <w:szCs w:val="18"/>
        </w:rPr>
        <w:t>Prenez pou</w:t>
      </w:r>
      <w:r>
        <w:rPr>
          <w:sz w:val="18"/>
          <w:szCs w:val="18"/>
        </w:rPr>
        <w:t>r</w:t>
      </w:r>
      <w:r w:rsidRPr="008014C6">
        <w:rPr>
          <w:sz w:val="18"/>
          <w:szCs w:val="18"/>
        </w:rPr>
        <w:t xml:space="preserve"> acquis que par le plus troublant des hasards toutes les dates sont un 1</w:t>
      </w:r>
      <w:r w:rsidRPr="008014C6">
        <w:rPr>
          <w:sz w:val="18"/>
          <w:szCs w:val="18"/>
          <w:vertAlign w:val="superscript"/>
        </w:rPr>
        <w:t>er</w:t>
      </w:r>
      <w:r w:rsidRPr="008014C6">
        <w:rPr>
          <w:sz w:val="18"/>
          <w:szCs w:val="18"/>
        </w:rPr>
        <w:t xml:space="preserve"> janvier et que Pierre a participé au RPAPD dès le tout début. Pierre prend sa retraite aujourd’hui….</w:t>
      </w:r>
      <w:r>
        <w:rPr>
          <w:sz w:val="18"/>
          <w:szCs w:val="18"/>
        </w:rPr>
        <w:t>le</w:t>
      </w:r>
      <w:r w:rsidRPr="008014C6">
        <w:rPr>
          <w:sz w:val="18"/>
          <w:szCs w:val="18"/>
        </w:rPr>
        <w:t xml:space="preserve"> 1</w:t>
      </w:r>
      <w:r w:rsidRPr="008014C6">
        <w:rPr>
          <w:sz w:val="18"/>
          <w:szCs w:val="18"/>
          <w:vertAlign w:val="superscript"/>
        </w:rPr>
        <w:t>er</w:t>
      </w:r>
      <w:r w:rsidRPr="008014C6">
        <w:rPr>
          <w:sz w:val="18"/>
          <w:szCs w:val="18"/>
        </w:rPr>
        <w:t xml:space="preserve"> janvier.</w:t>
      </w:r>
    </w:p>
  </w:footnote>
  <w:footnote w:id="44">
    <w:p w14:paraId="095A99F3" w14:textId="213FF78E" w:rsidR="00573C95" w:rsidRDefault="00573C95">
      <w:pPr>
        <w:pStyle w:val="Notedebasdepage"/>
      </w:pPr>
      <w:r>
        <w:rPr>
          <w:rStyle w:val="Marquenotebasdepage"/>
        </w:rPr>
        <w:t>41</w:t>
      </w:r>
      <w:r>
        <w:t xml:space="preserve"> </w:t>
      </w:r>
      <w:r w:rsidRPr="00B245F3">
        <w:rPr>
          <w:sz w:val="18"/>
          <w:szCs w:val="18"/>
        </w:rPr>
        <w:t>Le régime prévoit qu’il n’y a pas de pénalité actuarielle si le contribuable répond à au moins une des conditions suivantes : Âgé de 60 ans ou 32 années de service ou atteint le facteur 90 (âge + années de service)</w:t>
      </w:r>
    </w:p>
  </w:footnote>
  <w:footnote w:id="45">
    <w:p w14:paraId="36C5EB93" w14:textId="77777777" w:rsidR="00573C95" w:rsidRPr="004F482A" w:rsidRDefault="00573C95" w:rsidP="00582D65">
      <w:pPr>
        <w:pStyle w:val="Notedebasdepage"/>
        <w:rPr>
          <w:lang w:val="en-CA"/>
        </w:rPr>
      </w:pPr>
      <w:r w:rsidRPr="004F482A">
        <w:rPr>
          <w:rStyle w:val="Marquenotebasdepage"/>
          <w:lang w:val="en-CA"/>
        </w:rPr>
        <w:t>42</w:t>
      </w:r>
      <w:r w:rsidRPr="004F482A">
        <w:rPr>
          <w:lang w:val="en-CA"/>
        </w:rPr>
        <w:t xml:space="preserve"> </w:t>
      </w:r>
      <w:r w:rsidRPr="004F482A">
        <w:rPr>
          <w:sz w:val="18"/>
          <w:szCs w:val="18"/>
          <w:lang w:val="en-CA"/>
        </w:rPr>
        <w:t xml:space="preserve">Thaler, R. </w:t>
      </w:r>
      <w:proofErr w:type="gramStart"/>
      <w:r w:rsidRPr="004F482A">
        <w:rPr>
          <w:sz w:val="18"/>
          <w:szCs w:val="18"/>
          <w:lang w:val="en-CA"/>
        </w:rPr>
        <w:t>et</w:t>
      </w:r>
      <w:proofErr w:type="gramEnd"/>
      <w:r w:rsidRPr="004F482A">
        <w:rPr>
          <w:sz w:val="18"/>
          <w:szCs w:val="18"/>
          <w:lang w:val="en-CA"/>
        </w:rPr>
        <w:t xml:space="preserve"> Sunstein, C. (2008), </w:t>
      </w:r>
      <w:r w:rsidRPr="004F482A">
        <w:rPr>
          <w:bCs/>
          <w:i/>
          <w:sz w:val="18"/>
          <w:szCs w:val="18"/>
          <w:lang w:val="en-CA"/>
        </w:rPr>
        <w:t>Nudge</w:t>
      </w:r>
      <w:r w:rsidRPr="004F482A">
        <w:rPr>
          <w:sz w:val="18"/>
          <w:szCs w:val="18"/>
          <w:lang w:val="en-CA"/>
        </w:rPr>
        <w:t>, New York; Penguin Book, 312 p.</w:t>
      </w:r>
    </w:p>
  </w:footnote>
  <w:footnote w:id="46">
    <w:p w14:paraId="7271757A" w14:textId="67C96800" w:rsidR="00573C95" w:rsidRDefault="00573C95">
      <w:pPr>
        <w:pStyle w:val="Notedebasdepage"/>
      </w:pPr>
      <w:r>
        <w:rPr>
          <w:rStyle w:val="Marquenotebasdepage"/>
        </w:rPr>
        <w:t>43</w:t>
      </w:r>
      <w:r>
        <w:t xml:space="preserve"> </w:t>
      </w:r>
      <w:r w:rsidRPr="00BE4AB3">
        <w:rPr>
          <w:rFonts w:asciiTheme="majorHAnsi" w:hAnsiTheme="majorHAnsi"/>
          <w:sz w:val="18"/>
          <w:szCs w:val="18"/>
        </w:rPr>
        <w:t>L</w:t>
      </w:r>
      <w:r w:rsidRPr="00BE4AB3">
        <w:rPr>
          <w:rFonts w:asciiTheme="majorHAnsi" w:hAnsiTheme="majorHAnsi" w:cs="Verdana"/>
          <w:sz w:val="18"/>
          <w:szCs w:val="18"/>
        </w:rPr>
        <w:t xml:space="preserve">a désignation d'un conjoint de fait à titre de bénéficiaire du régime devient caduque en cas de fin de vie commune (affaire </w:t>
      </w:r>
      <w:r w:rsidRPr="00BE4AB3">
        <w:rPr>
          <w:rFonts w:asciiTheme="majorHAnsi" w:hAnsiTheme="majorHAnsi" w:cs="Verdana"/>
          <w:i/>
          <w:iCs/>
          <w:sz w:val="18"/>
          <w:szCs w:val="18"/>
        </w:rPr>
        <w:t>Goudreault c. Goudreault</w:t>
      </w:r>
      <w:r w:rsidRPr="00BE4AB3">
        <w:rPr>
          <w:rFonts w:asciiTheme="majorHAnsi" w:hAnsiTheme="majorHAnsi" w:cs="Verdana"/>
          <w:sz w:val="18"/>
          <w:szCs w:val="18"/>
        </w:rPr>
        <w:t>, C.S. La Tuque, n</w:t>
      </w:r>
      <w:r w:rsidRPr="00BE4AB3">
        <w:rPr>
          <w:rFonts w:asciiTheme="majorHAnsi" w:hAnsiTheme="majorHAnsi" w:cs="Verdana"/>
          <w:sz w:val="18"/>
          <w:szCs w:val="18"/>
          <w:vertAlign w:val="superscript"/>
        </w:rPr>
        <w:t>o</w:t>
      </w:r>
      <w:r w:rsidRPr="00BE4AB3">
        <w:rPr>
          <w:rFonts w:asciiTheme="majorHAnsi" w:hAnsiTheme="majorHAnsi" w:cs="Verdana"/>
          <w:sz w:val="18"/>
          <w:szCs w:val="18"/>
        </w:rPr>
        <w:t xml:space="preserve"> 425-05-000083-970).</w:t>
      </w:r>
    </w:p>
  </w:footnote>
  <w:footnote w:id="47">
    <w:p w14:paraId="09145D7B" w14:textId="7DA51452" w:rsidR="00573C95" w:rsidRPr="00F422A8" w:rsidRDefault="00573C95">
      <w:pPr>
        <w:pStyle w:val="Notedebasdepage"/>
        <w:rPr>
          <w:sz w:val="18"/>
          <w:szCs w:val="18"/>
        </w:rPr>
      </w:pPr>
      <w:r>
        <w:rPr>
          <w:rStyle w:val="Marquenotebasdepage"/>
        </w:rPr>
        <w:t>44</w:t>
      </w:r>
      <w:r>
        <w:t xml:space="preserve"> </w:t>
      </w:r>
      <w:r w:rsidRPr="00F422A8">
        <w:rPr>
          <w:sz w:val="18"/>
          <w:szCs w:val="18"/>
        </w:rPr>
        <w:t xml:space="preserve">Ce taux est souvent utilisé pour exprimer la relation qui existe entre les revenus durant la vie active et les revenus nécessaires à la retraite. Ce taux est différent pour chaque individu et doit faire l'objet d'une analyse budgétaire détaillée. Nous discuterons plus en détail de ce concept dans d'autres </w:t>
      </w:r>
      <w:r>
        <w:rPr>
          <w:sz w:val="18"/>
          <w:szCs w:val="18"/>
        </w:rPr>
        <w:t>parties</w:t>
      </w:r>
      <w:r w:rsidRPr="00F422A8">
        <w:rPr>
          <w:sz w:val="18"/>
          <w:szCs w:val="18"/>
        </w:rPr>
        <w:t xml:space="preserve"> de l'ouvrage</w:t>
      </w:r>
    </w:p>
  </w:footnote>
  <w:footnote w:id="48">
    <w:p w14:paraId="0D9D312A" w14:textId="34D0504E" w:rsidR="00573C95" w:rsidRPr="0046583C" w:rsidRDefault="00573C95">
      <w:pPr>
        <w:pStyle w:val="Notedebasdepage"/>
        <w:rPr>
          <w:sz w:val="18"/>
          <w:szCs w:val="18"/>
        </w:rPr>
      </w:pPr>
      <w:r>
        <w:rPr>
          <w:rStyle w:val="Marquenotebasdepage"/>
        </w:rPr>
        <w:t>45</w:t>
      </w:r>
      <w:r>
        <w:t xml:space="preserve"> </w:t>
      </w:r>
      <w:r w:rsidRPr="0046583C">
        <w:rPr>
          <w:sz w:val="18"/>
          <w:szCs w:val="18"/>
        </w:rPr>
        <w:t xml:space="preserve">Afin de ne pas alourdir inutilement la démonstration, je n'ai pas tenu compte de l'effet de la PSV et du RRQ sur la constitution du revenu de retraite. En tenant compte du filet social, le montant de 38 888 $ serait plus élevé. </w:t>
      </w:r>
    </w:p>
  </w:footnote>
  <w:footnote w:id="49">
    <w:p w14:paraId="683DC35B" w14:textId="183506A1" w:rsidR="00573C95" w:rsidRDefault="00573C95">
      <w:pPr>
        <w:pStyle w:val="Notedebasdepage"/>
      </w:pPr>
      <w:r>
        <w:rPr>
          <w:rStyle w:val="Marquenotebasdepage"/>
        </w:rPr>
        <w:t>46</w:t>
      </w:r>
      <w:r>
        <w:t xml:space="preserve"> </w:t>
      </w:r>
      <w:r>
        <w:rPr>
          <w:sz w:val="18"/>
          <w:szCs w:val="18"/>
        </w:rPr>
        <w:t>Godbout,</w:t>
      </w:r>
      <w:r w:rsidRPr="003C1C19">
        <w:rPr>
          <w:sz w:val="18"/>
          <w:szCs w:val="18"/>
        </w:rPr>
        <w:t xml:space="preserve"> </w:t>
      </w:r>
      <w:r>
        <w:rPr>
          <w:sz w:val="18"/>
          <w:szCs w:val="18"/>
        </w:rPr>
        <w:t>L</w:t>
      </w:r>
      <w:r w:rsidRPr="003C1C19">
        <w:rPr>
          <w:sz w:val="18"/>
          <w:szCs w:val="18"/>
        </w:rPr>
        <w:t>.</w:t>
      </w:r>
      <w:r>
        <w:rPr>
          <w:sz w:val="18"/>
          <w:szCs w:val="18"/>
        </w:rPr>
        <w:t>, St-Cerny, S.</w:t>
      </w:r>
      <w:r w:rsidRPr="003C1C19">
        <w:rPr>
          <w:sz w:val="18"/>
          <w:szCs w:val="18"/>
        </w:rPr>
        <w:t xml:space="preserve"> et</w:t>
      </w:r>
      <w:r>
        <w:rPr>
          <w:sz w:val="18"/>
          <w:szCs w:val="18"/>
        </w:rPr>
        <w:t xml:space="preserve"> Babineau, M-A</w:t>
      </w:r>
      <w:r w:rsidRPr="00E83500">
        <w:rPr>
          <w:i/>
          <w:sz w:val="18"/>
          <w:szCs w:val="18"/>
        </w:rPr>
        <w:t>.</w:t>
      </w:r>
      <w:r>
        <w:rPr>
          <w:sz w:val="18"/>
          <w:szCs w:val="18"/>
        </w:rPr>
        <w:t xml:space="preserve"> (2009)</w:t>
      </w:r>
      <w:r w:rsidRPr="003C1C19">
        <w:rPr>
          <w:sz w:val="18"/>
          <w:szCs w:val="18"/>
        </w:rPr>
        <w:t xml:space="preserve">, </w:t>
      </w:r>
      <w:r w:rsidRPr="008E7D08">
        <w:rPr>
          <w:bCs/>
          <w:i/>
          <w:sz w:val="18"/>
          <w:szCs w:val="18"/>
        </w:rPr>
        <w:t>L</w:t>
      </w:r>
      <w:r>
        <w:rPr>
          <w:bCs/>
          <w:i/>
          <w:sz w:val="18"/>
          <w:szCs w:val="18"/>
        </w:rPr>
        <w:t xml:space="preserve">es aides fiscales à l'épargne-retraite: pourquoi et pourqui </w:t>
      </w:r>
      <w:proofErr w:type="gramStart"/>
      <w:r w:rsidRPr="00C06EED">
        <w:rPr>
          <w:rFonts w:ascii="Avenir Book" w:hAnsi="Avenir Book"/>
          <w:bCs/>
          <w:i/>
          <w:sz w:val="18"/>
          <w:szCs w:val="18"/>
        </w:rPr>
        <w:t>?</w:t>
      </w:r>
      <w:r w:rsidRPr="003C1C19">
        <w:rPr>
          <w:sz w:val="18"/>
          <w:szCs w:val="18"/>
        </w:rPr>
        <w:t>,</w:t>
      </w:r>
      <w:proofErr w:type="gramEnd"/>
      <w:r>
        <w:rPr>
          <w:sz w:val="18"/>
          <w:szCs w:val="18"/>
        </w:rPr>
        <w:t xml:space="preserve"> Revue fiscale et successorale de l’APFF, Vol 29, no 3, 2009.</w:t>
      </w:r>
    </w:p>
  </w:footnote>
  <w:footnote w:id="50">
    <w:p w14:paraId="489842C8" w14:textId="3A49630B" w:rsidR="00573C95" w:rsidRDefault="00573C95">
      <w:pPr>
        <w:pStyle w:val="Notedebasdepage"/>
      </w:pPr>
      <w:r>
        <w:rPr>
          <w:rStyle w:val="Marquenotebasdepage"/>
        </w:rPr>
        <w:t>47</w:t>
      </w:r>
      <w:r>
        <w:t xml:space="preserve"> </w:t>
      </w:r>
      <w:r w:rsidRPr="00AF69FC">
        <w:rPr>
          <w:sz w:val="18"/>
          <w:szCs w:val="18"/>
        </w:rPr>
        <w:t>Plusieurs autres exemples</w:t>
      </w:r>
      <w:r>
        <w:rPr>
          <w:sz w:val="18"/>
          <w:szCs w:val="18"/>
        </w:rPr>
        <w:t xml:space="preserve"> de régimes de retraite </w:t>
      </w:r>
      <w:r w:rsidRPr="00AF69FC">
        <w:rPr>
          <w:sz w:val="18"/>
          <w:szCs w:val="18"/>
        </w:rPr>
        <w:t xml:space="preserve"> auraient</w:t>
      </w:r>
      <w:r>
        <w:rPr>
          <w:sz w:val="18"/>
          <w:szCs w:val="18"/>
        </w:rPr>
        <w:t xml:space="preserve"> </w:t>
      </w:r>
      <w:r w:rsidRPr="00AF69FC">
        <w:rPr>
          <w:sz w:val="18"/>
          <w:szCs w:val="18"/>
        </w:rPr>
        <w:t>pu être utilisés pour appuyer nos propos.</w:t>
      </w:r>
    </w:p>
  </w:footnote>
  <w:footnote w:id="51">
    <w:p w14:paraId="1E9D245F" w14:textId="441F329A" w:rsidR="00573C95" w:rsidRDefault="00573C95" w:rsidP="008261F7">
      <w:r>
        <w:rPr>
          <w:rStyle w:val="Marquenotebasdepage"/>
        </w:rPr>
        <w:t>48</w:t>
      </w:r>
      <w:r>
        <w:t xml:space="preserve"> </w:t>
      </w:r>
      <w:r w:rsidRPr="008261F7">
        <w:rPr>
          <w:sz w:val="18"/>
          <w:szCs w:val="18"/>
        </w:rPr>
        <w:t xml:space="preserve">Selon les conditions qui s'appliquaient avant l'adoption en décembre 2014 de la </w:t>
      </w:r>
      <w:hyperlink r:id="rId14" w:history="1">
        <w:r w:rsidRPr="008261F7">
          <w:rPr>
            <w:sz w:val="18"/>
            <w:szCs w:val="18"/>
          </w:rPr>
          <w:t>Loi favorisant la santé financière et la pérennité des régimes de retraite à prestations déterminées du secteur municipal</w:t>
        </w:r>
      </w:hyperlink>
      <w:r>
        <w:rPr>
          <w:sz w:val="18"/>
          <w:szCs w:val="18"/>
        </w:rPr>
        <w:t>.</w:t>
      </w:r>
    </w:p>
  </w:footnote>
  <w:footnote w:id="52">
    <w:p w14:paraId="7AF0BCE1" w14:textId="09E57EC1" w:rsidR="00573C95" w:rsidRDefault="00573C95">
      <w:pPr>
        <w:pStyle w:val="Notedebasdepage"/>
      </w:pPr>
      <w:r>
        <w:rPr>
          <w:rStyle w:val="Marquenotebasdepage"/>
        </w:rPr>
        <w:t>49</w:t>
      </w:r>
      <w:r>
        <w:t xml:space="preserve"> </w:t>
      </w:r>
      <w:r w:rsidRPr="00270788">
        <w:rPr>
          <w:sz w:val="18"/>
          <w:szCs w:val="18"/>
        </w:rPr>
        <w:t>Nous avons utilisé un taux de rendement de 4 %</w:t>
      </w:r>
      <w:r>
        <w:rPr>
          <w:sz w:val="18"/>
          <w:szCs w:val="18"/>
        </w:rPr>
        <w:t xml:space="preserve"> et nous avons arrondi les résultats.</w:t>
      </w:r>
    </w:p>
  </w:footnote>
  <w:footnote w:id="53">
    <w:p w14:paraId="0A71EF37" w14:textId="5BD7D6FA" w:rsidR="00573C95" w:rsidRPr="00466F4A" w:rsidRDefault="00573C95">
      <w:pPr>
        <w:pStyle w:val="Notedebasdepage"/>
      </w:pPr>
      <w:r>
        <w:rPr>
          <w:rStyle w:val="Marquenotebasdepage"/>
        </w:rPr>
        <w:t>50</w:t>
      </w:r>
      <w:r>
        <w:t xml:space="preserve"> </w:t>
      </w:r>
      <w:r w:rsidRPr="00466F4A">
        <w:rPr>
          <w:sz w:val="18"/>
          <w:szCs w:val="18"/>
        </w:rPr>
        <w:t xml:space="preserve">L'Heureux-Dubé, C., Bisson, C. et Côté, F. (2013), </w:t>
      </w:r>
      <w:r w:rsidRPr="00466F4A">
        <w:rPr>
          <w:i/>
          <w:sz w:val="18"/>
          <w:szCs w:val="18"/>
        </w:rPr>
        <w:t xml:space="preserve">Le député au coeur de notre démocratie: pour une rémunération juste et équitable, </w:t>
      </w:r>
      <w:hyperlink r:id="rId15" w:history="1">
        <w:r w:rsidRPr="00466F4A">
          <w:rPr>
            <w:rStyle w:val="Lienhypertexte"/>
            <w:color w:val="FF6700" w:themeColor="accent3"/>
            <w:sz w:val="18"/>
            <w:szCs w:val="18"/>
          </w:rPr>
          <w:t>http://www.assnat.qc.ca/fr/actualites-salle-presse/communiques/CommuniquePresse-2737.html</w:t>
        </w:r>
      </w:hyperlink>
      <w:r w:rsidRPr="00466F4A">
        <w:rPr>
          <w:sz w:val="18"/>
          <w:szCs w:val="18"/>
        </w:rPr>
        <w:t>, (page consultée le 30 septembre 2015)</w:t>
      </w:r>
    </w:p>
  </w:footnote>
  <w:footnote w:id="54">
    <w:p w14:paraId="393C48CB" w14:textId="460160BD" w:rsidR="00573C95" w:rsidRPr="004F482A" w:rsidRDefault="00573C95">
      <w:pPr>
        <w:pStyle w:val="Notedebasdepage"/>
        <w:rPr>
          <w:lang w:val="en-CA"/>
        </w:rPr>
      </w:pPr>
      <w:r w:rsidRPr="004F482A">
        <w:rPr>
          <w:rStyle w:val="Marquenotebasdepage"/>
          <w:lang w:val="en-CA"/>
        </w:rPr>
        <w:t>51</w:t>
      </w:r>
      <w:r w:rsidRPr="004F482A">
        <w:rPr>
          <w:lang w:val="en-CA"/>
        </w:rPr>
        <w:t xml:space="preserve"> </w:t>
      </w:r>
      <w:proofErr w:type="gramStart"/>
      <w:r w:rsidRPr="004F482A">
        <w:rPr>
          <w:sz w:val="18"/>
          <w:szCs w:val="18"/>
          <w:lang w:val="en-CA"/>
        </w:rPr>
        <w:t xml:space="preserve">Thaler, R. (2015), </w:t>
      </w:r>
      <w:r w:rsidRPr="004F482A">
        <w:rPr>
          <w:bCs/>
          <w:i/>
          <w:sz w:val="18"/>
          <w:szCs w:val="18"/>
          <w:lang w:val="en-CA"/>
        </w:rPr>
        <w:t>Misbehaving</w:t>
      </w:r>
      <w:r w:rsidRPr="004F482A">
        <w:rPr>
          <w:sz w:val="18"/>
          <w:szCs w:val="18"/>
          <w:lang w:val="en-CA"/>
        </w:rPr>
        <w:t>, New York; W.W. Norton &amp; Company, 415 p.</w:t>
      </w:r>
      <w:proofErr w:type="gramEnd"/>
    </w:p>
  </w:footnote>
  <w:footnote w:id="55">
    <w:p w14:paraId="3D3C025F" w14:textId="1E2CFFB0" w:rsidR="00573C95" w:rsidRPr="00475F21" w:rsidRDefault="00573C95">
      <w:pPr>
        <w:pStyle w:val="Notedebasdepage"/>
        <w:rPr>
          <w:sz w:val="18"/>
          <w:szCs w:val="18"/>
        </w:rPr>
      </w:pPr>
      <w:r>
        <w:rPr>
          <w:rStyle w:val="Marquenotebasdepage"/>
        </w:rPr>
        <w:t>52</w:t>
      </w:r>
      <w:r>
        <w:t xml:space="preserve"> </w:t>
      </w:r>
      <w:r>
        <w:rPr>
          <w:sz w:val="18"/>
          <w:szCs w:val="18"/>
        </w:rPr>
        <w:t>Nous avons utilisé un taux de rendement de 5 % et des taux d’imposition marginal maximum d’imposition de 50 %.</w:t>
      </w:r>
    </w:p>
  </w:footnote>
  <w:footnote w:id="56">
    <w:p w14:paraId="3DF9B139" w14:textId="33320A9D" w:rsidR="00573C95" w:rsidRDefault="00573C95">
      <w:pPr>
        <w:pStyle w:val="Notedebasdepage"/>
      </w:pPr>
      <w:r>
        <w:rPr>
          <w:rStyle w:val="Marquenotebasdepage"/>
        </w:rPr>
        <w:t>53</w:t>
      </w:r>
      <w:r>
        <w:t xml:space="preserve"> </w:t>
      </w:r>
      <w:r>
        <w:rPr>
          <w:sz w:val="18"/>
          <w:szCs w:val="18"/>
        </w:rPr>
        <w:t>Nous avons utilisé un taux de rendement de 5 % et des taux d’imposition marginal maximum d’imposition de 30 % lors de la cotisation, de 45 % pour les revenus générés par le REÉR et de 50 % lors du retrait.</w:t>
      </w:r>
    </w:p>
  </w:footnote>
  <w:footnote w:id="57">
    <w:p w14:paraId="7DE1D902" w14:textId="50E21EAA" w:rsidR="00573C95" w:rsidRDefault="00573C95">
      <w:pPr>
        <w:pStyle w:val="Notedebasdepage"/>
      </w:pPr>
      <w:r>
        <w:rPr>
          <w:rStyle w:val="Marquenotebasdepage"/>
        </w:rPr>
        <w:t>54</w:t>
      </w:r>
      <w:r>
        <w:t xml:space="preserve"> </w:t>
      </w:r>
      <w:r>
        <w:rPr>
          <w:sz w:val="18"/>
          <w:szCs w:val="18"/>
        </w:rPr>
        <w:t>Nous avons utilisé un taux de rendement de 5 % et des taux d’imposition marginal maximum d’imposition de 50 % lors de la cotisation et les revenus générés par le REÉR et de 40 % lors du retrait.</w:t>
      </w:r>
    </w:p>
  </w:footnote>
  <w:footnote w:id="58">
    <w:p w14:paraId="2659546E" w14:textId="735F9BB3" w:rsidR="00573C95" w:rsidRDefault="00573C95">
      <w:pPr>
        <w:pStyle w:val="Notedebasdepage"/>
      </w:pPr>
      <w:r>
        <w:rPr>
          <w:rStyle w:val="Marquenotebasdepage"/>
        </w:rPr>
        <w:t>55</w:t>
      </w:r>
      <w:r>
        <w:t xml:space="preserve"> </w:t>
      </w:r>
      <w:r>
        <w:rPr>
          <w:sz w:val="18"/>
          <w:szCs w:val="18"/>
        </w:rPr>
        <w:t>Nous avons utilisé un taux de rendement de 5 % (la nature des revenus est exclusivement du gain en capital) et des taux d’imposition marginal maximum d’imposition de 50 % lors de la cotisation, de 25 % pour les revenus générés par le REÉR et de 50 % lors du retrait.</w:t>
      </w:r>
    </w:p>
  </w:footnote>
  <w:footnote w:id="59">
    <w:p w14:paraId="108944DC" w14:textId="2108F98C" w:rsidR="00573C95" w:rsidRDefault="00573C95">
      <w:pPr>
        <w:pStyle w:val="Notedebasdepage"/>
      </w:pPr>
      <w:r>
        <w:rPr>
          <w:rStyle w:val="Marquenotebasdepage"/>
        </w:rPr>
        <w:t>56</w:t>
      </w:r>
      <w:r>
        <w:t xml:space="preserve"> </w:t>
      </w:r>
      <w:r w:rsidRPr="00865E91">
        <w:rPr>
          <w:sz w:val="18"/>
          <w:szCs w:val="18"/>
        </w:rPr>
        <w:t>Dans le cas d’un même rendement financier.</w:t>
      </w:r>
    </w:p>
  </w:footnote>
  <w:footnote w:id="60">
    <w:p w14:paraId="1E745E33" w14:textId="41E77BD1" w:rsidR="00573C95" w:rsidRPr="001A2555" w:rsidRDefault="00573C95">
      <w:pPr>
        <w:pStyle w:val="Notedebasdepage"/>
        <w:rPr>
          <w:sz w:val="18"/>
          <w:szCs w:val="18"/>
        </w:rPr>
      </w:pPr>
      <w:r>
        <w:rPr>
          <w:rStyle w:val="Marquenotebasdepage"/>
        </w:rPr>
        <w:t>57</w:t>
      </w:r>
      <w:r>
        <w:t xml:space="preserve"> </w:t>
      </w:r>
      <w:r w:rsidRPr="00986116">
        <w:rPr>
          <w:sz w:val="18"/>
          <w:szCs w:val="18"/>
        </w:rPr>
        <w:t>Nous u</w:t>
      </w:r>
      <w:r>
        <w:rPr>
          <w:sz w:val="18"/>
          <w:szCs w:val="18"/>
        </w:rPr>
        <w:t>tilisons l'hypothèse que le contribuable a un revenu imposable de 150 000 $</w:t>
      </w:r>
    </w:p>
  </w:footnote>
  <w:footnote w:id="61">
    <w:p w14:paraId="6F1A71B1" w14:textId="7884715D" w:rsidR="00573C95" w:rsidRPr="00510AC3" w:rsidRDefault="00573C95">
      <w:pPr>
        <w:pStyle w:val="Notedebasdepage"/>
        <w:rPr>
          <w:sz w:val="18"/>
          <w:szCs w:val="18"/>
        </w:rPr>
      </w:pPr>
      <w:r w:rsidRPr="00510AC3">
        <w:rPr>
          <w:rStyle w:val="Marquenotebasdepage"/>
        </w:rPr>
        <w:t>58</w:t>
      </w:r>
      <w:r w:rsidRPr="00510AC3">
        <w:rPr>
          <w:sz w:val="18"/>
          <w:szCs w:val="18"/>
        </w:rPr>
        <w:t xml:space="preserve"> Les impôts ont été calculés en utilisant les tables du planiguide 2014 de Raymond Chabot. Ils ne tiennent compte que du crédit personnel de base.</w:t>
      </w:r>
    </w:p>
  </w:footnote>
  <w:footnote w:id="62">
    <w:p w14:paraId="5FD97374" w14:textId="39CA0810" w:rsidR="00573C95" w:rsidRPr="004D666B" w:rsidRDefault="00573C95">
      <w:pPr>
        <w:pStyle w:val="Notedebasdepage"/>
        <w:rPr>
          <w:sz w:val="18"/>
          <w:szCs w:val="18"/>
        </w:rPr>
      </w:pPr>
      <w:r>
        <w:rPr>
          <w:rStyle w:val="Marquenotebasdepage"/>
        </w:rPr>
        <w:t>59</w:t>
      </w:r>
      <w:r>
        <w:t xml:space="preserve"> </w:t>
      </w:r>
      <w:r w:rsidRPr="004D666B">
        <w:rPr>
          <w:sz w:val="18"/>
          <w:szCs w:val="18"/>
        </w:rPr>
        <w:t>Puisque pour les conjoints mariés, le REÉR est déjà inclus dans le patrimoine familial et</w:t>
      </w:r>
      <w:r>
        <w:rPr>
          <w:sz w:val="18"/>
          <w:szCs w:val="18"/>
        </w:rPr>
        <w:t>,</w:t>
      </w:r>
      <w:r w:rsidRPr="004D666B">
        <w:rPr>
          <w:sz w:val="18"/>
          <w:szCs w:val="18"/>
        </w:rPr>
        <w:t xml:space="preserve"> qu'en cas de divorce</w:t>
      </w:r>
      <w:r>
        <w:rPr>
          <w:sz w:val="18"/>
          <w:szCs w:val="18"/>
        </w:rPr>
        <w:t>,</w:t>
      </w:r>
      <w:r w:rsidRPr="004D666B">
        <w:rPr>
          <w:sz w:val="18"/>
          <w:szCs w:val="18"/>
        </w:rPr>
        <w:t xml:space="preserve"> il sera partagé en part égale entre les conjoints. Ce qui n'est pas le cas pour les conjoints de fait.</w:t>
      </w:r>
    </w:p>
  </w:footnote>
  <w:footnote w:id="63">
    <w:p w14:paraId="271996F9" w14:textId="204A92A7" w:rsidR="00573C95" w:rsidRPr="00BA5A1D" w:rsidRDefault="00573C95">
      <w:pPr>
        <w:pStyle w:val="Notedebasdepage"/>
        <w:rPr>
          <w:sz w:val="18"/>
          <w:szCs w:val="18"/>
        </w:rPr>
      </w:pPr>
      <w:r>
        <w:rPr>
          <w:rStyle w:val="Marquenotebasdepage"/>
        </w:rPr>
        <w:t>60</w:t>
      </w:r>
      <w:r>
        <w:t xml:space="preserve"> </w:t>
      </w:r>
      <w:r w:rsidRPr="00BA5A1D">
        <w:rPr>
          <w:sz w:val="18"/>
          <w:szCs w:val="18"/>
        </w:rPr>
        <w:t xml:space="preserve">Bureau du directeur parlementaire du budget (2014), </w:t>
      </w:r>
      <w:r w:rsidRPr="00BA5A1D">
        <w:rPr>
          <w:i/>
          <w:sz w:val="18"/>
          <w:szCs w:val="18"/>
        </w:rPr>
        <w:t>Analyse des recettes et de l'impact distributif des changements fiscaux fédéraux: 2005 à 2014</w:t>
      </w:r>
      <w:r w:rsidRPr="00BA5A1D">
        <w:rPr>
          <w:sz w:val="18"/>
          <w:szCs w:val="18"/>
        </w:rPr>
        <w:t xml:space="preserve">, </w:t>
      </w:r>
      <w:hyperlink r:id="rId16" w:history="1">
        <w:r w:rsidRPr="00BA5A1D">
          <w:rPr>
            <w:rStyle w:val="Lienhypertexte"/>
            <w:color w:val="FF6700" w:themeColor="accent3"/>
            <w:sz w:val="18"/>
            <w:szCs w:val="18"/>
          </w:rPr>
          <w:t>http://www.pbo-dpb.gc.ca/web/default/files/files/files/Fiscal_Impact_and_Incidence_FR.pdf</w:t>
        </w:r>
      </w:hyperlink>
      <w:r w:rsidRPr="00BA5A1D">
        <w:rPr>
          <w:sz w:val="18"/>
          <w:szCs w:val="18"/>
        </w:rPr>
        <w:t>, (page consultée le 20 octobre 2015).</w:t>
      </w:r>
    </w:p>
  </w:footnote>
  <w:footnote w:id="64">
    <w:p w14:paraId="4C922711" w14:textId="1F81C857" w:rsidR="00573C95" w:rsidRDefault="00573C95">
      <w:pPr>
        <w:pStyle w:val="Notedebasdepage"/>
      </w:pPr>
      <w:r>
        <w:rPr>
          <w:rStyle w:val="Marquenotebasdepage"/>
        </w:rPr>
        <w:t>61</w:t>
      </w:r>
      <w:r>
        <w:t xml:space="preserve"> </w:t>
      </w:r>
      <w:r w:rsidRPr="007969F3">
        <w:rPr>
          <w:sz w:val="18"/>
          <w:szCs w:val="18"/>
        </w:rPr>
        <w:t>Toutes les informations sont fixées en dollars actuels</w:t>
      </w:r>
    </w:p>
  </w:footnote>
  <w:footnote w:id="65">
    <w:p w14:paraId="57730A63" w14:textId="38CC0843" w:rsidR="00573C95" w:rsidRDefault="00573C95">
      <w:pPr>
        <w:pStyle w:val="Notedebasdepage"/>
        <w:rPr>
          <w:sz w:val="18"/>
          <w:szCs w:val="18"/>
        </w:rPr>
      </w:pPr>
      <w:r>
        <w:rPr>
          <w:rStyle w:val="Marquenotebasdepage"/>
        </w:rPr>
        <w:t>62</w:t>
      </w:r>
      <w:r>
        <w:t xml:space="preserve"> </w:t>
      </w:r>
      <w:r>
        <w:rPr>
          <w:sz w:val="18"/>
          <w:szCs w:val="18"/>
        </w:rPr>
        <w:t>1003 399 $ - 615 000 $ = 388 399 $ (gain en capital) * 25 % (taux d'impôt) = 97 100 $ (impôt)</w:t>
      </w:r>
    </w:p>
    <w:p w14:paraId="72C98A50" w14:textId="4CDDBE6B" w:rsidR="00573C95" w:rsidRPr="00B903F8" w:rsidRDefault="00573C95">
      <w:pPr>
        <w:pStyle w:val="Notedebasdepage"/>
        <w:rPr>
          <w:sz w:val="18"/>
          <w:szCs w:val="18"/>
        </w:rPr>
      </w:pPr>
      <w:r>
        <w:rPr>
          <w:sz w:val="18"/>
          <w:szCs w:val="18"/>
        </w:rPr>
        <w:t>1 003 399 (montant encaissé) - 97 100 $ (impôt) - 615 000 $ (emprunt à rembourser) = 291 299 $ (placement défiscalisé)</w:t>
      </w:r>
    </w:p>
  </w:footnote>
  <w:footnote w:id="66">
    <w:p w14:paraId="39483712" w14:textId="1C0FF357" w:rsidR="00573C95" w:rsidRPr="003340A3" w:rsidRDefault="00573C95">
      <w:pPr>
        <w:pStyle w:val="Notedebasdepage"/>
        <w:rPr>
          <w:sz w:val="18"/>
          <w:szCs w:val="18"/>
        </w:rPr>
      </w:pPr>
      <w:r>
        <w:rPr>
          <w:rStyle w:val="Marquenotebasdepage"/>
        </w:rPr>
        <w:t>63</w:t>
      </w:r>
      <w:r>
        <w:t xml:space="preserve"> </w:t>
      </w:r>
      <w:r w:rsidRPr="003340A3">
        <w:rPr>
          <w:sz w:val="18"/>
          <w:szCs w:val="18"/>
        </w:rPr>
        <w:t>(80 000 $ - 71 482 $) = 8 518 $ de revenu brut à combler. Puisque le capital n'est pas imposable, il faut retrancher l'impôt  (taux moyen à 80 000 $ = environ 30 %), donc 8 518 * 70 % =5 962 $</w:t>
      </w:r>
    </w:p>
  </w:footnote>
  <w:footnote w:id="67">
    <w:p w14:paraId="2C5347CA" w14:textId="68035A68" w:rsidR="00573C95" w:rsidRPr="00FA3591" w:rsidRDefault="00573C95">
      <w:pPr>
        <w:pStyle w:val="Notedebasdepage"/>
        <w:rPr>
          <w:sz w:val="18"/>
          <w:szCs w:val="18"/>
        </w:rPr>
      </w:pPr>
      <w:r>
        <w:rPr>
          <w:rStyle w:val="Marquenotebasdepage"/>
        </w:rPr>
        <w:t>64</w:t>
      </w:r>
      <w:r>
        <w:t xml:space="preserve"> </w:t>
      </w:r>
      <w:r w:rsidRPr="00FA3591">
        <w:rPr>
          <w:i/>
          <w:sz w:val="18"/>
          <w:szCs w:val="18"/>
        </w:rPr>
        <w:t xml:space="preserve">Le seul moyen de se délivrer de la tentation, c'est d'y céder </w:t>
      </w:r>
      <w:r w:rsidRPr="00FA3591">
        <w:rPr>
          <w:sz w:val="18"/>
          <w:szCs w:val="18"/>
        </w:rPr>
        <w:t>(Oscar Wilde)</w:t>
      </w:r>
    </w:p>
  </w:footnote>
  <w:footnote w:id="68">
    <w:p w14:paraId="5EFE6B28" w14:textId="45FA6A16" w:rsidR="00573C95" w:rsidRDefault="00573C95">
      <w:pPr>
        <w:pStyle w:val="Notedebasdepage"/>
      </w:pPr>
      <w:r>
        <w:rPr>
          <w:rStyle w:val="Marquenotebasdepage"/>
        </w:rPr>
        <w:t>65</w:t>
      </w:r>
      <w:r>
        <w:t xml:space="preserve"> </w:t>
      </w:r>
      <w:r w:rsidRPr="008C38AB">
        <w:rPr>
          <w:sz w:val="18"/>
          <w:szCs w:val="18"/>
        </w:rPr>
        <w:t>Par ailleurs, vou</w:t>
      </w:r>
      <w:r w:rsidRPr="00157F7C">
        <w:rPr>
          <w:sz w:val="18"/>
          <w:szCs w:val="18"/>
        </w:rPr>
        <w:t xml:space="preserve">s êtes considéré comme l’acheteur d’une première maison si au cours de la </w:t>
      </w:r>
      <w:r w:rsidRPr="00157F7C">
        <w:rPr>
          <w:sz w:val="18"/>
          <w:szCs w:val="18"/>
          <w:u w:val="single"/>
        </w:rPr>
        <w:t>période de quatre ans</w:t>
      </w:r>
      <w:r w:rsidRPr="00157F7C">
        <w:rPr>
          <w:sz w:val="18"/>
          <w:szCs w:val="18"/>
        </w:rPr>
        <w:t xml:space="preserve">, vous n’avez pas </w:t>
      </w:r>
      <w:proofErr w:type="gramStart"/>
      <w:r w:rsidRPr="00157F7C">
        <w:rPr>
          <w:sz w:val="18"/>
          <w:szCs w:val="18"/>
        </w:rPr>
        <w:t>demeurez</w:t>
      </w:r>
      <w:proofErr w:type="gramEnd"/>
      <w:r w:rsidRPr="00157F7C">
        <w:rPr>
          <w:sz w:val="18"/>
          <w:szCs w:val="18"/>
        </w:rPr>
        <w:t xml:space="preserve"> dans une habitation dont vous ou votre</w:t>
      </w:r>
      <w:r>
        <w:rPr>
          <w:sz w:val="18"/>
          <w:szCs w:val="18"/>
        </w:rPr>
        <w:t xml:space="preserve"> conjoint étiez</w:t>
      </w:r>
      <w:r w:rsidRPr="00157F7C">
        <w:rPr>
          <w:sz w:val="18"/>
          <w:szCs w:val="18"/>
        </w:rPr>
        <w:t xml:space="preserve"> propriétaire.</w:t>
      </w:r>
    </w:p>
  </w:footnote>
  <w:footnote w:id="69">
    <w:p w14:paraId="1E510C77" w14:textId="1816D952" w:rsidR="00573C95" w:rsidRPr="00C02107" w:rsidRDefault="00573C95">
      <w:pPr>
        <w:pStyle w:val="Notedebasdepage"/>
        <w:rPr>
          <w:sz w:val="18"/>
          <w:szCs w:val="18"/>
        </w:rPr>
      </w:pPr>
      <w:r>
        <w:rPr>
          <w:rStyle w:val="Marquenotebasdepage"/>
        </w:rPr>
        <w:t>66</w:t>
      </w:r>
      <w:r>
        <w:t xml:space="preserve"> </w:t>
      </w:r>
      <w:r>
        <w:rPr>
          <w:sz w:val="18"/>
          <w:szCs w:val="18"/>
        </w:rPr>
        <w:t>Raymond Chabot Grant Thornton (2014),</w:t>
      </w:r>
      <w:r w:rsidRPr="00BA5A1D">
        <w:rPr>
          <w:sz w:val="18"/>
          <w:szCs w:val="18"/>
        </w:rPr>
        <w:t xml:space="preserve"> </w:t>
      </w:r>
      <w:r>
        <w:rPr>
          <w:i/>
          <w:sz w:val="18"/>
          <w:szCs w:val="18"/>
        </w:rPr>
        <w:t>Le Planiguide fiscal 2014-2015</w:t>
      </w:r>
      <w:r w:rsidRPr="006A2BB1">
        <w:rPr>
          <w:i/>
          <w:iCs/>
          <w:sz w:val="18"/>
          <w:szCs w:val="18"/>
        </w:rPr>
        <w:t>,</w:t>
      </w:r>
      <w:r w:rsidRPr="006A2BB1">
        <w:rPr>
          <w:i/>
          <w:iCs/>
          <w:color w:val="FF6700" w:themeColor="accent3"/>
          <w:sz w:val="18"/>
          <w:szCs w:val="18"/>
        </w:rPr>
        <w:t xml:space="preserve"> </w:t>
      </w:r>
      <w:hyperlink r:id="rId17" w:history="1">
        <w:r w:rsidRPr="006A2BB1">
          <w:rPr>
            <w:rStyle w:val="Lienhypertexte"/>
            <w:i/>
            <w:iCs/>
            <w:color w:val="FF6700" w:themeColor="accent3"/>
            <w:sz w:val="18"/>
            <w:szCs w:val="18"/>
          </w:rPr>
          <w:t>http://www.planiguide.ca/planiguide/</w:t>
        </w:r>
      </w:hyperlink>
      <w:r>
        <w:rPr>
          <w:i/>
          <w:sz w:val="18"/>
          <w:szCs w:val="18"/>
        </w:rPr>
        <w:t>,</w:t>
      </w:r>
      <w:r w:rsidRPr="00BA5A1D">
        <w:rPr>
          <w:sz w:val="18"/>
          <w:szCs w:val="18"/>
        </w:rPr>
        <w:t xml:space="preserve"> (page consultée le 2</w:t>
      </w:r>
      <w:r>
        <w:rPr>
          <w:sz w:val="18"/>
          <w:szCs w:val="18"/>
        </w:rPr>
        <w:t>6</w:t>
      </w:r>
      <w:r w:rsidRPr="00BA5A1D">
        <w:rPr>
          <w:sz w:val="18"/>
          <w:szCs w:val="18"/>
        </w:rPr>
        <w:t xml:space="preserve"> octobre 2015).</w:t>
      </w:r>
    </w:p>
  </w:footnote>
  <w:footnote w:id="70">
    <w:p w14:paraId="2B57772E" w14:textId="6D917CD9" w:rsidR="00573C95" w:rsidRDefault="00573C95">
      <w:pPr>
        <w:pStyle w:val="Notedebasdepage"/>
      </w:pPr>
      <w:r>
        <w:rPr>
          <w:rStyle w:val="Marquenotebasdepage"/>
        </w:rPr>
        <w:t>67</w:t>
      </w:r>
      <w:r>
        <w:t xml:space="preserve"> </w:t>
      </w:r>
      <w:r w:rsidRPr="00C36A45">
        <w:rPr>
          <w:sz w:val="18"/>
          <w:szCs w:val="18"/>
        </w:rPr>
        <w:t>Tous les scénarios octroient un même rendement au CÉLI et au REÉR</w:t>
      </w:r>
    </w:p>
  </w:footnote>
  <w:footnote w:id="71">
    <w:p w14:paraId="4D5B32B9" w14:textId="69F41159" w:rsidR="00573C95" w:rsidRPr="004427DB" w:rsidRDefault="00573C95">
      <w:pPr>
        <w:pStyle w:val="Notedebasdepage"/>
        <w:rPr>
          <w:sz w:val="18"/>
          <w:szCs w:val="18"/>
        </w:rPr>
      </w:pPr>
      <w:r>
        <w:rPr>
          <w:rStyle w:val="Marquenotebasdepage"/>
        </w:rPr>
        <w:t>68</w:t>
      </w:r>
      <w:r>
        <w:t xml:space="preserve"> </w:t>
      </w:r>
      <w:r w:rsidRPr="004427DB">
        <w:rPr>
          <w:sz w:val="18"/>
          <w:szCs w:val="18"/>
        </w:rPr>
        <w:t xml:space="preserve">Brassard, E. (2014), </w:t>
      </w:r>
      <w:r w:rsidRPr="004427DB">
        <w:rPr>
          <w:i/>
          <w:sz w:val="18"/>
          <w:szCs w:val="18"/>
        </w:rPr>
        <w:t>La vraie nature du REÉR</w:t>
      </w:r>
      <w:r w:rsidRPr="004427DB">
        <w:rPr>
          <w:sz w:val="18"/>
          <w:szCs w:val="18"/>
        </w:rPr>
        <w:t xml:space="preserve">, </w:t>
      </w:r>
      <w:hyperlink r:id="rId18" w:history="1">
        <w:r w:rsidRPr="008B787C">
          <w:rPr>
            <w:rStyle w:val="Lienhypertexte"/>
            <w:color w:val="FF6700" w:themeColor="accent3"/>
            <w:sz w:val="18"/>
            <w:szCs w:val="18"/>
          </w:rPr>
          <w:t>Page Web de la vraie nature du REER/Extrait de la revue Stratège juin 2014.pdf</w:t>
        </w:r>
      </w:hyperlink>
      <w:r w:rsidRPr="004427DB">
        <w:rPr>
          <w:sz w:val="18"/>
          <w:szCs w:val="18"/>
        </w:rPr>
        <w:t>,</w:t>
      </w:r>
      <w:r>
        <w:rPr>
          <w:sz w:val="18"/>
          <w:szCs w:val="18"/>
        </w:rPr>
        <w:t xml:space="preserve"> Revue Stratégie de l’APFF, juin 2014, </w:t>
      </w:r>
      <w:r w:rsidRPr="004427DB">
        <w:rPr>
          <w:sz w:val="18"/>
          <w:szCs w:val="18"/>
        </w:rPr>
        <w:t>(Page consultée le 27 octobre 2015).</w:t>
      </w:r>
    </w:p>
  </w:footnote>
  <w:footnote w:id="72">
    <w:p w14:paraId="0163285F" w14:textId="75EB4D10" w:rsidR="00573C95" w:rsidRPr="00C21A24" w:rsidRDefault="00573C95">
      <w:pPr>
        <w:pStyle w:val="Notedebasdepage"/>
        <w:rPr>
          <w:color w:val="000000" w:themeColor="text1"/>
          <w:sz w:val="18"/>
          <w:szCs w:val="18"/>
        </w:rPr>
      </w:pPr>
      <w:r>
        <w:rPr>
          <w:rStyle w:val="Marquenotebasdepage"/>
        </w:rPr>
        <w:t>69</w:t>
      </w:r>
      <w:r>
        <w:t xml:space="preserve"> </w:t>
      </w:r>
      <w:r w:rsidRPr="00C21A24">
        <w:rPr>
          <w:sz w:val="18"/>
          <w:szCs w:val="18"/>
        </w:rPr>
        <w:t xml:space="preserve">Question Retraite, chroniques éducatives, </w:t>
      </w:r>
      <w:r w:rsidRPr="00C21A24">
        <w:rPr>
          <w:i/>
          <w:sz w:val="18"/>
          <w:szCs w:val="18"/>
        </w:rPr>
        <w:t xml:space="preserve">Règle du 72, doublez votre mise, </w:t>
      </w:r>
      <w:hyperlink r:id="rId19" w:history="1">
        <w:r w:rsidRPr="00C21A24">
          <w:rPr>
            <w:rStyle w:val="Lienhypertexte"/>
            <w:color w:val="FF6700" w:themeColor="accent3"/>
            <w:sz w:val="18"/>
            <w:szCs w:val="18"/>
          </w:rPr>
          <w:t>http://www.questionretraite.qc.ca/fr/chroniques/regle-du-72-doublez-votre-mise/</w:t>
        </w:r>
      </w:hyperlink>
      <w:r w:rsidRPr="00C21A24">
        <w:rPr>
          <w:color w:val="000000" w:themeColor="text1"/>
          <w:sz w:val="18"/>
          <w:szCs w:val="18"/>
        </w:rPr>
        <w:t>, (Page consultée le 30 octobre 2015).</w:t>
      </w:r>
    </w:p>
  </w:footnote>
  <w:footnote w:id="73">
    <w:p w14:paraId="6C533C59" w14:textId="51258AB9" w:rsidR="00573C95" w:rsidRDefault="00573C95">
      <w:pPr>
        <w:pStyle w:val="Notedebasdepage"/>
      </w:pPr>
      <w:r>
        <w:rPr>
          <w:rStyle w:val="Marquenotebasdepage"/>
        </w:rPr>
        <w:t>70</w:t>
      </w:r>
      <w:r>
        <w:t xml:space="preserve"> </w:t>
      </w:r>
      <w:r w:rsidRPr="005425C3">
        <w:rPr>
          <w:sz w:val="18"/>
          <w:szCs w:val="18"/>
        </w:rPr>
        <w:t>25 % puisque seulement la moitié des gains en capital est imposable (50 % * 50 % = 25 %).</w:t>
      </w:r>
    </w:p>
  </w:footnote>
  <w:footnote w:id="74">
    <w:p w14:paraId="7275E4DA" w14:textId="37905FB4" w:rsidR="00573C95" w:rsidRDefault="00573C95">
      <w:pPr>
        <w:pStyle w:val="Notedebasdepage"/>
      </w:pPr>
      <w:r>
        <w:rPr>
          <w:rStyle w:val="Marquenotebasdepage"/>
        </w:rPr>
        <w:t>71</w:t>
      </w:r>
      <w:r>
        <w:t xml:space="preserve"> </w:t>
      </w:r>
      <w:r w:rsidRPr="005425C3">
        <w:rPr>
          <w:sz w:val="18"/>
          <w:szCs w:val="18"/>
        </w:rPr>
        <w:t>Nous prenons l’hypothèse que le remboursement d’impôt a été immédiatement réinvesti, comme il se doit, dans un CÉLI. Donc sans impact fiscal au moment de son retrait.</w:t>
      </w:r>
    </w:p>
  </w:footnote>
  <w:footnote w:id="75">
    <w:p w14:paraId="4E8352EF" w14:textId="5CC22852" w:rsidR="00573C95" w:rsidRPr="003B1BC8" w:rsidRDefault="00573C95" w:rsidP="003B1BC8">
      <w:pPr>
        <w:pStyle w:val="Notedebasdepage"/>
        <w:rPr>
          <w:lang w:val="fr-CA"/>
        </w:rPr>
      </w:pPr>
      <w:r>
        <w:rPr>
          <w:rStyle w:val="Marquenotebasdepage"/>
        </w:rPr>
        <w:t>72</w:t>
      </w:r>
      <w:r>
        <w:t xml:space="preserve"> </w:t>
      </w:r>
      <w:r w:rsidRPr="003B1BC8">
        <w:rPr>
          <w:sz w:val="18"/>
          <w:szCs w:val="18"/>
          <w:lang w:val="fr-CA"/>
        </w:rPr>
        <w:t xml:space="preserve">Abacus Data, pour l’Association des banquiers canadiens (ABC), </w:t>
      </w:r>
      <w:r w:rsidRPr="003B1BC8">
        <w:rPr>
          <w:i/>
          <w:iCs/>
          <w:sz w:val="18"/>
          <w:szCs w:val="18"/>
          <w:lang w:val="fr-CA"/>
        </w:rPr>
        <w:t>Annual Tracking Survey: Assessment of Canada’s Banks</w:t>
      </w:r>
      <w:r w:rsidRPr="003B1BC8">
        <w:rPr>
          <w:sz w:val="18"/>
          <w:szCs w:val="18"/>
          <w:lang w:val="fr-CA"/>
        </w:rPr>
        <w:t>, d</w:t>
      </w:r>
      <w:r>
        <w:rPr>
          <w:sz w:val="18"/>
          <w:szCs w:val="18"/>
          <w:lang w:val="fr-CA"/>
        </w:rPr>
        <w:t>é</w:t>
      </w:r>
      <w:r w:rsidRPr="003B1BC8">
        <w:rPr>
          <w:sz w:val="18"/>
          <w:szCs w:val="18"/>
          <w:lang w:val="fr-CA"/>
        </w:rPr>
        <w:t>cembre 2014.</w:t>
      </w:r>
    </w:p>
    <w:p w14:paraId="5E48ECDC" w14:textId="3918C619" w:rsidR="00573C95" w:rsidRDefault="00573C95">
      <w:pPr>
        <w:pStyle w:val="Notedebasdepage"/>
      </w:pPr>
    </w:p>
  </w:footnote>
  <w:footnote w:id="76">
    <w:p w14:paraId="2A7885D0" w14:textId="13220AE1" w:rsidR="00573C95" w:rsidRPr="00A32800" w:rsidRDefault="00573C95">
      <w:pPr>
        <w:pStyle w:val="Notedebasdepage"/>
        <w:rPr>
          <w:sz w:val="18"/>
          <w:szCs w:val="18"/>
        </w:rPr>
      </w:pPr>
      <w:r>
        <w:rPr>
          <w:rStyle w:val="Marquenotebasdepage"/>
        </w:rPr>
        <w:t>73</w:t>
      </w:r>
      <w:r>
        <w:t xml:space="preserve"> </w:t>
      </w:r>
      <w:r w:rsidRPr="00A32800">
        <w:rPr>
          <w:sz w:val="18"/>
          <w:szCs w:val="18"/>
        </w:rPr>
        <w:t xml:space="preserve">Agence de la consommation en matière financière du Canada (ACFC), </w:t>
      </w:r>
      <w:r w:rsidRPr="00A32800">
        <w:rPr>
          <w:i/>
          <w:sz w:val="18"/>
          <w:szCs w:val="18"/>
        </w:rPr>
        <w:t>La calculatrice de paiements de carte de crédit,</w:t>
      </w:r>
      <w:r>
        <w:rPr>
          <w:i/>
          <w:sz w:val="18"/>
          <w:szCs w:val="18"/>
        </w:rPr>
        <w:t xml:space="preserve"> </w:t>
      </w:r>
      <w:hyperlink r:id="rId20" w:history="1">
        <w:r w:rsidRPr="00A32800">
          <w:rPr>
            <w:rStyle w:val="Lienhypertexte"/>
            <w:i/>
            <w:iCs/>
            <w:color w:val="FF6700" w:themeColor="accent3"/>
            <w:sz w:val="18"/>
            <w:szCs w:val="18"/>
          </w:rPr>
          <w:t>http://itools-ioutils.fcac-acfc.gc.ca/CCPC-CPCC/CCPC-CPCC-fra.aspx</w:t>
        </w:r>
      </w:hyperlink>
      <w:r>
        <w:rPr>
          <w:i/>
          <w:sz w:val="18"/>
          <w:szCs w:val="18"/>
        </w:rPr>
        <w:t>,</w:t>
      </w:r>
      <w:r w:rsidRPr="00A32800">
        <w:rPr>
          <w:i/>
          <w:sz w:val="18"/>
          <w:szCs w:val="18"/>
        </w:rPr>
        <w:t xml:space="preserve"> </w:t>
      </w:r>
      <w:r w:rsidRPr="00A32800">
        <w:rPr>
          <w:sz w:val="18"/>
          <w:szCs w:val="18"/>
        </w:rPr>
        <w:t>(</w:t>
      </w:r>
      <w:r>
        <w:rPr>
          <w:sz w:val="18"/>
          <w:szCs w:val="18"/>
        </w:rPr>
        <w:t>P</w:t>
      </w:r>
      <w:r w:rsidRPr="00A32800">
        <w:rPr>
          <w:sz w:val="18"/>
          <w:szCs w:val="18"/>
        </w:rPr>
        <w:t>age consultée le 16 novembre 2015).</w:t>
      </w:r>
    </w:p>
  </w:footnote>
  <w:footnote w:id="77">
    <w:p w14:paraId="7E784A6C" w14:textId="6F832446" w:rsidR="00573C95" w:rsidRPr="00DB3C17" w:rsidRDefault="00573C95" w:rsidP="00C9066E">
      <w:pPr>
        <w:pStyle w:val="Notedebasdepage"/>
        <w:jc w:val="both"/>
        <w:rPr>
          <w:sz w:val="18"/>
          <w:szCs w:val="18"/>
        </w:rPr>
      </w:pPr>
      <w:r>
        <w:rPr>
          <w:rStyle w:val="Marquenotebasdepage"/>
        </w:rPr>
        <w:t>74</w:t>
      </w:r>
      <w:r>
        <w:t xml:space="preserve"> </w:t>
      </w:r>
      <w:r>
        <w:rPr>
          <w:sz w:val="18"/>
          <w:szCs w:val="18"/>
        </w:rPr>
        <w:t xml:space="preserve">Dans le cas d'une perte, suite à l'opération de vente à découvert, celle-ci se doit d'être financée par l'usage d'une marge de crédit accordée par le courtier. Ici, le marché à la baisse ne s'est pas concrétisé et l'investisseur a du rembourser des actions au moment où elles avaient une JVM de 22 000 $ (le 23 août) alors que celles-ci avaient fait l'objet préalablement  d'une vente pour une somme de 20 000 $ (le 12 mai). Dans le cas d'une valeur à la baisse, disons que les actions auraient eu une valeur de 16 000 $, au 23 août, la transaction se serait soldée par un profit de 4 000 $.  </w:t>
      </w:r>
    </w:p>
  </w:footnote>
  <w:footnote w:id="78">
    <w:p w14:paraId="345C0CE0" w14:textId="0C52EC1B" w:rsidR="00573C95" w:rsidRPr="00A32800" w:rsidRDefault="00573C95" w:rsidP="003F5DED">
      <w:pPr>
        <w:pStyle w:val="Notedebasdepage"/>
        <w:rPr>
          <w:sz w:val="18"/>
          <w:szCs w:val="18"/>
        </w:rPr>
      </w:pPr>
      <w:r>
        <w:rPr>
          <w:rStyle w:val="Marquenotebasdepage"/>
        </w:rPr>
        <w:t>75</w:t>
      </w:r>
      <w:r>
        <w:t xml:space="preserve"> </w:t>
      </w:r>
      <w:r>
        <w:rPr>
          <w:sz w:val="18"/>
          <w:szCs w:val="18"/>
        </w:rPr>
        <w:t>Crédit</w:t>
      </w:r>
      <w:r w:rsidRPr="00A32800">
        <w:rPr>
          <w:sz w:val="18"/>
          <w:szCs w:val="18"/>
        </w:rPr>
        <w:t xml:space="preserve"> </w:t>
      </w:r>
      <w:r>
        <w:rPr>
          <w:sz w:val="18"/>
          <w:szCs w:val="18"/>
        </w:rPr>
        <w:t>Finance</w:t>
      </w:r>
      <w:r w:rsidRPr="00A32800">
        <w:rPr>
          <w:sz w:val="18"/>
          <w:szCs w:val="18"/>
        </w:rPr>
        <w:t>,</w:t>
      </w:r>
      <w:r>
        <w:rPr>
          <w:i/>
          <w:iCs/>
          <w:sz w:val="18"/>
          <w:szCs w:val="18"/>
        </w:rPr>
        <w:t xml:space="preserve"> Demande de prêt consommateur: 5 critères importants pour les banquiers,  </w:t>
      </w:r>
      <w:hyperlink r:id="rId21" w:history="1">
        <w:r w:rsidRPr="003F5DED">
          <w:rPr>
            <w:rStyle w:val="Lienhypertexte"/>
            <w:i/>
            <w:iCs/>
            <w:color w:val="FF6700" w:themeColor="accent3"/>
            <w:sz w:val="18"/>
            <w:szCs w:val="18"/>
          </w:rPr>
          <w:t>http://www.creditfinanceplus.com/fr/articles/pret-consommateur-criteres-banques-demande.php</w:t>
        </w:r>
      </w:hyperlink>
      <w:r>
        <w:rPr>
          <w:i/>
          <w:sz w:val="18"/>
          <w:szCs w:val="18"/>
        </w:rPr>
        <w:t>,</w:t>
      </w:r>
      <w:r w:rsidRPr="00A32800">
        <w:rPr>
          <w:i/>
          <w:sz w:val="18"/>
          <w:szCs w:val="18"/>
        </w:rPr>
        <w:t xml:space="preserve"> </w:t>
      </w:r>
      <w:r w:rsidRPr="00A32800">
        <w:rPr>
          <w:sz w:val="18"/>
          <w:szCs w:val="18"/>
        </w:rPr>
        <w:t>(</w:t>
      </w:r>
      <w:r>
        <w:rPr>
          <w:sz w:val="18"/>
          <w:szCs w:val="18"/>
        </w:rPr>
        <w:t>P</w:t>
      </w:r>
      <w:r w:rsidRPr="00A32800">
        <w:rPr>
          <w:sz w:val="18"/>
          <w:szCs w:val="18"/>
        </w:rPr>
        <w:t xml:space="preserve">age consultée le </w:t>
      </w:r>
      <w:r>
        <w:rPr>
          <w:sz w:val="18"/>
          <w:szCs w:val="18"/>
        </w:rPr>
        <w:t>21</w:t>
      </w:r>
      <w:r w:rsidRPr="00A32800">
        <w:rPr>
          <w:sz w:val="18"/>
          <w:szCs w:val="18"/>
        </w:rPr>
        <w:t xml:space="preserve"> novembre 2015).</w:t>
      </w:r>
    </w:p>
    <w:p w14:paraId="1D6C9AC1" w14:textId="55F29298" w:rsidR="00573C95" w:rsidRDefault="00573C95">
      <w:pPr>
        <w:pStyle w:val="Notedebasdepage"/>
      </w:pPr>
    </w:p>
  </w:footnote>
  <w:footnote w:id="79">
    <w:p w14:paraId="58DCF69D" w14:textId="3BF8A881" w:rsidR="00573C95" w:rsidRPr="00B15E80" w:rsidRDefault="00573C95">
      <w:pPr>
        <w:pStyle w:val="Notedebasdepage"/>
        <w:rPr>
          <w:sz w:val="18"/>
          <w:szCs w:val="18"/>
        </w:rPr>
      </w:pPr>
      <w:r>
        <w:rPr>
          <w:rStyle w:val="Marquenotebasdepage"/>
        </w:rPr>
        <w:t>76</w:t>
      </w:r>
      <w:r>
        <w:t xml:space="preserve"> </w:t>
      </w:r>
      <w:r>
        <w:rPr>
          <w:sz w:val="18"/>
          <w:szCs w:val="18"/>
        </w:rPr>
        <w:t xml:space="preserve">Malheureusement, nous aurions pu, ici,  utiliser comme parfait synonyme le terme </w:t>
      </w:r>
      <w:r w:rsidRPr="00B15E80">
        <w:rPr>
          <w:color w:val="FF6700" w:themeColor="accent3"/>
          <w:sz w:val="18"/>
          <w:szCs w:val="18"/>
        </w:rPr>
        <w:t>"PIÈGE"</w:t>
      </w:r>
      <w:r>
        <w:rPr>
          <w:sz w:val="18"/>
          <w:szCs w:val="18"/>
        </w:rPr>
        <w:t>.</w:t>
      </w:r>
    </w:p>
  </w:footnote>
  <w:footnote w:id="80">
    <w:p w14:paraId="6DADA703" w14:textId="27F9257A" w:rsidR="00573C95" w:rsidRPr="004427DB" w:rsidRDefault="00573C95" w:rsidP="00B12A7B">
      <w:pPr>
        <w:pStyle w:val="Notedebasdepage"/>
        <w:rPr>
          <w:sz w:val="18"/>
          <w:szCs w:val="18"/>
        </w:rPr>
      </w:pPr>
      <w:r>
        <w:rPr>
          <w:rStyle w:val="Marquenotebasdepage"/>
        </w:rPr>
        <w:t>77</w:t>
      </w:r>
      <w:r>
        <w:t xml:space="preserve"> </w:t>
      </w:r>
      <w:r>
        <w:rPr>
          <w:sz w:val="18"/>
          <w:szCs w:val="18"/>
        </w:rPr>
        <w:t>Crawford, A., Faruqui, U.,</w:t>
      </w:r>
      <w:r w:rsidRPr="004427DB">
        <w:rPr>
          <w:sz w:val="18"/>
          <w:szCs w:val="18"/>
        </w:rPr>
        <w:t xml:space="preserve"> (20</w:t>
      </w:r>
      <w:r>
        <w:rPr>
          <w:sz w:val="18"/>
          <w:szCs w:val="18"/>
        </w:rPr>
        <w:t>12</w:t>
      </w:r>
      <w:r w:rsidRPr="004427DB">
        <w:rPr>
          <w:sz w:val="18"/>
          <w:szCs w:val="18"/>
        </w:rPr>
        <w:t>),</w:t>
      </w:r>
      <w:r>
        <w:rPr>
          <w:sz w:val="18"/>
          <w:szCs w:val="18"/>
        </w:rPr>
        <w:t xml:space="preserve"> </w:t>
      </w:r>
      <w:r w:rsidRPr="00B12A7B">
        <w:rPr>
          <w:i/>
          <w:sz w:val="18"/>
          <w:szCs w:val="18"/>
          <w:lang w:val="fr-CA"/>
        </w:rPr>
        <w:t>Quels facteurs ex</w:t>
      </w:r>
      <w:r>
        <w:rPr>
          <w:i/>
          <w:sz w:val="18"/>
          <w:szCs w:val="18"/>
          <w:lang w:val="fr-CA"/>
        </w:rPr>
        <w:t>pliquent</w:t>
      </w:r>
      <w:r w:rsidRPr="00B12A7B">
        <w:rPr>
          <w:i/>
          <w:sz w:val="18"/>
          <w:szCs w:val="18"/>
          <w:lang w:val="fr-CA"/>
        </w:rPr>
        <w:t xml:space="preserve"> les tendances observ</w:t>
      </w:r>
      <w:r>
        <w:rPr>
          <w:i/>
          <w:sz w:val="18"/>
          <w:szCs w:val="18"/>
          <w:lang w:val="fr-CA"/>
        </w:rPr>
        <w:t>ées dans l'évolution</w:t>
      </w:r>
      <w:r w:rsidRPr="00B12A7B">
        <w:rPr>
          <w:i/>
          <w:sz w:val="18"/>
          <w:szCs w:val="18"/>
          <w:lang w:val="fr-CA"/>
        </w:rPr>
        <w:t xml:space="preserve"> de la dette des m</w:t>
      </w:r>
      <w:r>
        <w:rPr>
          <w:i/>
          <w:sz w:val="18"/>
          <w:szCs w:val="18"/>
          <w:lang w:val="fr-CA"/>
        </w:rPr>
        <w:t>é</w:t>
      </w:r>
      <w:r w:rsidRPr="00B12A7B">
        <w:rPr>
          <w:i/>
          <w:sz w:val="18"/>
          <w:szCs w:val="18"/>
          <w:lang w:val="fr-CA"/>
        </w:rPr>
        <w:t>nages cana</w:t>
      </w:r>
      <w:r>
        <w:rPr>
          <w:i/>
          <w:sz w:val="18"/>
          <w:szCs w:val="18"/>
          <w:lang w:val="fr-CA"/>
        </w:rPr>
        <w:t>di</w:t>
      </w:r>
      <w:r w:rsidRPr="00B12A7B">
        <w:rPr>
          <w:i/>
          <w:sz w:val="18"/>
          <w:szCs w:val="18"/>
          <w:lang w:val="fr-CA"/>
        </w:rPr>
        <w:t>ens</w:t>
      </w:r>
      <w:proofErr w:type="gramStart"/>
      <w:r w:rsidRPr="00B12A7B">
        <w:rPr>
          <w:rFonts w:ascii="Avenir Book" w:hAnsi="Avenir Book"/>
          <w:i/>
          <w:sz w:val="18"/>
          <w:szCs w:val="18"/>
          <w:lang w:val="fr-CA"/>
        </w:rPr>
        <w:t>?</w:t>
      </w:r>
      <w:r>
        <w:rPr>
          <w:rFonts w:ascii="Avenir Book" w:hAnsi="Avenir Book"/>
          <w:i/>
          <w:sz w:val="18"/>
          <w:szCs w:val="18"/>
          <w:lang w:val="fr-CA"/>
        </w:rPr>
        <w:t>,</w:t>
      </w:r>
      <w:proofErr w:type="gramEnd"/>
      <w:r>
        <w:rPr>
          <w:rFonts w:ascii="Avenir Book" w:hAnsi="Avenir Book"/>
          <w:i/>
          <w:sz w:val="18"/>
          <w:szCs w:val="18"/>
          <w:lang w:val="fr-CA"/>
        </w:rPr>
        <w:t xml:space="preserve"> </w:t>
      </w:r>
      <w:hyperlink r:id="rId22" w:history="1">
        <w:r w:rsidRPr="00B12A7B">
          <w:rPr>
            <w:rStyle w:val="Lienhypertexte"/>
            <w:rFonts w:ascii="Avenir Book" w:hAnsi="Avenir Book"/>
            <w:i/>
            <w:iCs/>
            <w:color w:val="FF6700" w:themeColor="accent3"/>
            <w:sz w:val="18"/>
            <w:szCs w:val="18"/>
            <w:lang w:val="fr-CA"/>
          </w:rPr>
          <w:t>http://www.banqueducanada.ca/wp-content/uploads/2012/02/revue-bdc-hiver11-12-crawford.pdf</w:t>
        </w:r>
      </w:hyperlink>
      <w:r w:rsidRPr="004427DB">
        <w:rPr>
          <w:sz w:val="18"/>
          <w:szCs w:val="18"/>
        </w:rPr>
        <w:t>,</w:t>
      </w:r>
      <w:r>
        <w:rPr>
          <w:sz w:val="18"/>
          <w:szCs w:val="18"/>
        </w:rPr>
        <w:t xml:space="preserve"> Revue de la Banque du Canada, hiver 2011-2012, </w:t>
      </w:r>
      <w:r w:rsidRPr="004427DB">
        <w:rPr>
          <w:sz w:val="18"/>
          <w:szCs w:val="18"/>
        </w:rPr>
        <w:t xml:space="preserve">(Page consultée le </w:t>
      </w:r>
      <w:r>
        <w:rPr>
          <w:sz w:val="18"/>
          <w:szCs w:val="18"/>
        </w:rPr>
        <w:t>26 novembre</w:t>
      </w:r>
      <w:r w:rsidRPr="004427DB">
        <w:rPr>
          <w:sz w:val="18"/>
          <w:szCs w:val="18"/>
        </w:rPr>
        <w:t xml:space="preserve"> 2015).</w:t>
      </w:r>
    </w:p>
    <w:p w14:paraId="5A46EE86" w14:textId="14DB5773" w:rsidR="00573C95" w:rsidRPr="007F4228" w:rsidRDefault="00573C95">
      <w:pPr>
        <w:pStyle w:val="Notedebasdepage"/>
        <w:rPr>
          <w:sz w:val="18"/>
          <w:szCs w:val="18"/>
        </w:rPr>
      </w:pPr>
    </w:p>
  </w:footnote>
  <w:footnote w:id="81">
    <w:p w14:paraId="1D7BC967" w14:textId="5157DE82" w:rsidR="00573C95" w:rsidRDefault="00573C95">
      <w:pPr>
        <w:pStyle w:val="Notedebasdepage"/>
        <w:rPr>
          <w:sz w:val="18"/>
          <w:szCs w:val="18"/>
        </w:rPr>
      </w:pPr>
      <w:r>
        <w:rPr>
          <w:rStyle w:val="Marquenotebasdepage"/>
        </w:rPr>
        <w:t>78</w:t>
      </w:r>
      <w:r>
        <w:t xml:space="preserve"> </w:t>
      </w:r>
      <w:r w:rsidRPr="003B4543">
        <w:rPr>
          <w:sz w:val="18"/>
          <w:szCs w:val="18"/>
        </w:rPr>
        <w:t>Par exemple,</w:t>
      </w:r>
      <w:r>
        <w:rPr>
          <w:sz w:val="18"/>
          <w:szCs w:val="18"/>
        </w:rPr>
        <w:t xml:space="preserve"> 440 $/mois pendant 12 mois = 5 280 $</w:t>
      </w:r>
    </w:p>
    <w:p w14:paraId="1B2ABB15" w14:textId="7EBEE3A9" w:rsidR="00573C95" w:rsidRDefault="00573C95">
      <w:pPr>
        <w:pStyle w:val="Notedebasdepage"/>
        <w:rPr>
          <w:sz w:val="18"/>
          <w:szCs w:val="18"/>
        </w:rPr>
      </w:pPr>
      <w:r>
        <w:rPr>
          <w:sz w:val="18"/>
          <w:szCs w:val="18"/>
        </w:rPr>
        <w:tab/>
      </w:r>
      <w:r>
        <w:rPr>
          <w:sz w:val="18"/>
          <w:szCs w:val="18"/>
        </w:rPr>
        <w:tab/>
        <w:t>220 $/14 jours pendant 365 jours = 5 735 $</w:t>
      </w:r>
    </w:p>
    <w:p w14:paraId="4A7B7EDE" w14:textId="7C30C280" w:rsidR="00573C95" w:rsidRPr="003B4543" w:rsidRDefault="00573C95">
      <w:pPr>
        <w:pStyle w:val="Notedebasdepage"/>
        <w:rPr>
          <w:sz w:val="18"/>
          <w:szCs w:val="18"/>
        </w:rPr>
      </w:pPr>
      <w:r>
        <w:rPr>
          <w:sz w:val="18"/>
          <w:szCs w:val="18"/>
        </w:rPr>
        <w:tab/>
      </w:r>
      <w:r>
        <w:rPr>
          <w:sz w:val="18"/>
          <w:szCs w:val="18"/>
        </w:rPr>
        <w:tab/>
        <w:t>5 735 $ - 5 280 $ = 455 $</w:t>
      </w:r>
    </w:p>
  </w:footnote>
  <w:footnote w:id="82">
    <w:p w14:paraId="784CBD79" w14:textId="1EBED4CD" w:rsidR="00573C95" w:rsidRDefault="00573C95">
      <w:pPr>
        <w:pStyle w:val="Notedebasdepage"/>
      </w:pPr>
      <w:r>
        <w:rPr>
          <w:rStyle w:val="Marquenotebasdepage"/>
        </w:rPr>
        <w:t>79</w:t>
      </w:r>
      <w:r>
        <w:t xml:space="preserve"> </w:t>
      </w:r>
      <w:r w:rsidRPr="00DB3BFC">
        <w:rPr>
          <w:sz w:val="18"/>
          <w:szCs w:val="18"/>
        </w:rPr>
        <w:t>T</w:t>
      </w:r>
      <w:r w:rsidRPr="00DB3BFC">
        <w:rPr>
          <w:sz w:val="18"/>
          <w:szCs w:val="18"/>
          <w:lang w:val="fr-CA"/>
        </w:rPr>
        <w:t>ra</w:t>
      </w:r>
      <w:r>
        <w:rPr>
          <w:sz w:val="18"/>
          <w:szCs w:val="18"/>
          <w:lang w:val="fr-CA"/>
        </w:rPr>
        <w:t>duction de l'IQPF, S</w:t>
      </w:r>
      <w:r w:rsidRPr="00DB3BFC">
        <w:rPr>
          <w:sz w:val="18"/>
          <w:szCs w:val="18"/>
          <w:lang w:val="fr-CA"/>
        </w:rPr>
        <w:t xml:space="preserve">ource : J.E. Grable et R. H. Lyton, « Financial Risk Tolerance Revisited: The Development of a Risk Assessment Instrument », (1999) 8 </w:t>
      </w:r>
      <w:r w:rsidRPr="00DB3BFC">
        <w:rPr>
          <w:i/>
          <w:iCs/>
          <w:sz w:val="18"/>
          <w:szCs w:val="18"/>
          <w:lang w:val="fr-CA"/>
        </w:rPr>
        <w:t xml:space="preserve">Financial Services Review </w:t>
      </w:r>
      <w:r w:rsidRPr="00DB3BFC">
        <w:rPr>
          <w:sz w:val="18"/>
          <w:szCs w:val="18"/>
          <w:lang w:val="fr-CA"/>
        </w:rPr>
        <w:t>163.</w:t>
      </w:r>
    </w:p>
  </w:footnote>
  <w:footnote w:id="83">
    <w:p w14:paraId="71A8AD99" w14:textId="77777777" w:rsidR="00573C95" w:rsidRPr="007134C1" w:rsidRDefault="00573C95" w:rsidP="00C21FB0">
      <w:pPr>
        <w:pStyle w:val="Notedebasdepage"/>
        <w:rPr>
          <w:sz w:val="18"/>
          <w:szCs w:val="18"/>
        </w:rPr>
      </w:pPr>
      <w:r>
        <w:rPr>
          <w:rStyle w:val="Marquenotebasdepage"/>
        </w:rPr>
        <w:t>80</w:t>
      </w:r>
      <w:r>
        <w:t xml:space="preserve"> </w:t>
      </w:r>
      <w:r w:rsidRPr="007134C1">
        <w:rPr>
          <w:sz w:val="18"/>
          <w:szCs w:val="18"/>
        </w:rPr>
        <w:t>Dans l'optique où l'investisseur aurait des aptitudes expertes en matière de placement et qu'il mènerait toutes ses transaction</w:t>
      </w:r>
      <w:r>
        <w:rPr>
          <w:sz w:val="18"/>
          <w:szCs w:val="18"/>
        </w:rPr>
        <w:t>s</w:t>
      </w:r>
      <w:r w:rsidRPr="007134C1">
        <w:rPr>
          <w:sz w:val="18"/>
          <w:szCs w:val="18"/>
        </w:rPr>
        <w:t xml:space="preserve"> de manière autonome, le processus, avec les adaptations pertinentes, demeurerait un outil de gestion et de réflexion </w:t>
      </w:r>
      <w:r>
        <w:rPr>
          <w:sz w:val="18"/>
          <w:szCs w:val="18"/>
        </w:rPr>
        <w:t>très utile</w:t>
      </w:r>
      <w:r w:rsidRPr="007134C1">
        <w:rPr>
          <w:sz w:val="18"/>
          <w:szCs w:val="18"/>
        </w:rPr>
        <w:t>.</w:t>
      </w:r>
    </w:p>
  </w:footnote>
  <w:footnote w:id="84">
    <w:p w14:paraId="56CCBAAD" w14:textId="12406B79" w:rsidR="00573C95" w:rsidRPr="00C939CA" w:rsidRDefault="00573C95">
      <w:pPr>
        <w:pStyle w:val="Notedebasdepage"/>
        <w:rPr>
          <w:sz w:val="18"/>
          <w:szCs w:val="18"/>
        </w:rPr>
      </w:pPr>
      <w:r>
        <w:rPr>
          <w:rStyle w:val="Marquenotebasdepage"/>
        </w:rPr>
        <w:t>81</w:t>
      </w:r>
      <w:r>
        <w:t xml:space="preserve"> </w:t>
      </w:r>
      <w:r>
        <w:rPr>
          <w:sz w:val="18"/>
          <w:szCs w:val="18"/>
        </w:rPr>
        <w:t xml:space="preserve">Cliche, J-F., le Soleil (15 octobre 2015), </w:t>
      </w:r>
      <w:r w:rsidRPr="00CB1216">
        <w:rPr>
          <w:i/>
          <w:sz w:val="18"/>
          <w:szCs w:val="18"/>
        </w:rPr>
        <w:t>"</w:t>
      </w:r>
      <w:r w:rsidRPr="00CB1216">
        <w:rPr>
          <w:bCs/>
          <w:i/>
          <w:sz w:val="18"/>
          <w:szCs w:val="18"/>
        </w:rPr>
        <w:t>L’économie à mettre dans le même panier que la psycho…",</w:t>
      </w:r>
      <w:r>
        <w:rPr>
          <w:bCs/>
          <w:i/>
          <w:sz w:val="18"/>
          <w:szCs w:val="18"/>
        </w:rPr>
        <w:t xml:space="preserve"> </w:t>
      </w:r>
      <w:hyperlink r:id="rId23" w:history="1">
        <w:r w:rsidRPr="00CB1216">
          <w:rPr>
            <w:rStyle w:val="Lienhypertexte"/>
            <w:i/>
            <w:iCs/>
            <w:color w:val="FF6700" w:themeColor="accent3"/>
            <w:sz w:val="18"/>
            <w:szCs w:val="18"/>
          </w:rPr>
          <w:t>http://blogues.lapresse.ca/sciences/2015/10/15/mettez-leconomie-dans-le-meme-panier-que-la-psycho/</w:t>
        </w:r>
      </w:hyperlink>
      <w:r>
        <w:rPr>
          <w:bCs/>
          <w:i/>
          <w:sz w:val="18"/>
          <w:szCs w:val="18"/>
        </w:rPr>
        <w:t>, (Page consultée le 22 décembre 2015).</w:t>
      </w:r>
    </w:p>
  </w:footnote>
  <w:footnote w:id="85">
    <w:p w14:paraId="6CC7A439" w14:textId="77F2FD46" w:rsidR="00573C95" w:rsidRPr="0066535C" w:rsidRDefault="00573C95">
      <w:pPr>
        <w:pStyle w:val="Notedebasdepage"/>
        <w:rPr>
          <w:sz w:val="18"/>
          <w:szCs w:val="18"/>
        </w:rPr>
      </w:pPr>
      <w:r>
        <w:rPr>
          <w:rStyle w:val="Marquenotebasdepage"/>
        </w:rPr>
        <w:t>82</w:t>
      </w:r>
      <w:r>
        <w:t xml:space="preserve"> </w:t>
      </w:r>
      <w:r w:rsidRPr="004476F1">
        <w:rPr>
          <w:sz w:val="18"/>
          <w:szCs w:val="18"/>
        </w:rPr>
        <w:t>Bachand,</w:t>
      </w:r>
      <w:r>
        <w:rPr>
          <w:sz w:val="18"/>
          <w:szCs w:val="18"/>
        </w:rPr>
        <w:t xml:space="preserve"> N. et coll., </w:t>
      </w:r>
      <w:r w:rsidRPr="004476F1">
        <w:rPr>
          <w:sz w:val="18"/>
          <w:szCs w:val="18"/>
        </w:rPr>
        <w:t>IQPF, FPSC,</w:t>
      </w:r>
      <w:r>
        <w:rPr>
          <w:sz w:val="18"/>
          <w:szCs w:val="18"/>
        </w:rPr>
        <w:t xml:space="preserve"> (30 avril 2015) </w:t>
      </w:r>
      <w:r w:rsidRPr="00CB1216">
        <w:rPr>
          <w:i/>
          <w:sz w:val="18"/>
          <w:szCs w:val="18"/>
        </w:rPr>
        <w:t>"</w:t>
      </w:r>
      <w:r>
        <w:rPr>
          <w:i/>
          <w:sz w:val="18"/>
          <w:szCs w:val="18"/>
        </w:rPr>
        <w:t>Normes d'hypothèses de projection</w:t>
      </w:r>
      <w:r w:rsidRPr="00CB1216">
        <w:rPr>
          <w:bCs/>
          <w:i/>
          <w:sz w:val="18"/>
          <w:szCs w:val="18"/>
        </w:rPr>
        <w:t>",</w:t>
      </w:r>
      <w:r>
        <w:rPr>
          <w:bCs/>
          <w:i/>
          <w:sz w:val="18"/>
          <w:szCs w:val="18"/>
        </w:rPr>
        <w:t xml:space="preserve"> </w:t>
      </w:r>
      <w:hyperlink r:id="rId24" w:history="1">
        <w:r w:rsidRPr="004476F1">
          <w:rPr>
            <w:rStyle w:val="Lienhypertexte"/>
            <w:i/>
            <w:iCs/>
            <w:color w:val="FF6700" w:themeColor="accent3"/>
            <w:sz w:val="18"/>
            <w:szCs w:val="18"/>
          </w:rPr>
          <w:t>http://www.iqpf.org/userfiles/File/outils/IQPF-normes-projection2015(1).pdf</w:t>
        </w:r>
      </w:hyperlink>
      <w:r>
        <w:rPr>
          <w:bCs/>
          <w:i/>
          <w:sz w:val="18"/>
          <w:szCs w:val="18"/>
        </w:rPr>
        <w:t>, (Page consultée le 6 janvier 2016).</w:t>
      </w:r>
    </w:p>
  </w:footnote>
  <w:footnote w:id="86">
    <w:p w14:paraId="3669F18A" w14:textId="68F9BAE5" w:rsidR="00573C95" w:rsidRDefault="00573C95">
      <w:pPr>
        <w:pStyle w:val="Notedebasdepage"/>
      </w:pPr>
      <w:r>
        <w:rPr>
          <w:rStyle w:val="Marquenotebasdepage"/>
        </w:rPr>
        <w:t>85</w:t>
      </w:r>
      <w:r>
        <w:t xml:space="preserve"> </w:t>
      </w:r>
      <w:r w:rsidRPr="00F95841">
        <w:rPr>
          <w:sz w:val="18"/>
          <w:szCs w:val="18"/>
        </w:rPr>
        <w:t xml:space="preserve">RBC, </w:t>
      </w:r>
      <w:r w:rsidRPr="00F95841">
        <w:rPr>
          <w:i/>
          <w:sz w:val="18"/>
          <w:szCs w:val="18"/>
        </w:rPr>
        <w:t>"</w:t>
      </w:r>
      <w:r>
        <w:rPr>
          <w:i/>
          <w:sz w:val="18"/>
          <w:szCs w:val="18"/>
        </w:rPr>
        <w:t>Comprendre les cycles boursiers et économiques</w:t>
      </w:r>
      <w:r w:rsidRPr="00CB1216">
        <w:rPr>
          <w:bCs/>
          <w:i/>
          <w:sz w:val="18"/>
          <w:szCs w:val="18"/>
        </w:rPr>
        <w:t>",</w:t>
      </w:r>
      <w:r>
        <w:rPr>
          <w:bCs/>
          <w:i/>
          <w:sz w:val="18"/>
          <w:szCs w:val="18"/>
        </w:rPr>
        <w:t xml:space="preserve"> </w:t>
      </w:r>
      <w:hyperlink r:id="rId25" w:history="1">
        <w:r w:rsidRPr="00F95841">
          <w:rPr>
            <w:rStyle w:val="Lienhypertexte"/>
            <w:i/>
            <w:iCs/>
            <w:color w:val="FF6700" w:themeColor="accent3"/>
            <w:sz w:val="18"/>
            <w:szCs w:val="18"/>
          </w:rPr>
          <w:t>http://fonds.rbcgma.com/RBC:olbopda_fq/pdf/Understanding_Economic_fr.pdf</w:t>
        </w:r>
      </w:hyperlink>
      <w:r>
        <w:rPr>
          <w:bCs/>
          <w:i/>
          <w:sz w:val="18"/>
          <w:szCs w:val="18"/>
        </w:rPr>
        <w:t>, (Page consultée le 8 janvier 2016).</w:t>
      </w:r>
    </w:p>
  </w:footnote>
  <w:footnote w:id="87">
    <w:p w14:paraId="4DDCBB11" w14:textId="3E7855FC" w:rsidR="00573C95" w:rsidRDefault="00573C95" w:rsidP="00D24A7F">
      <w:pPr>
        <w:pStyle w:val="Notedebasdepage"/>
      </w:pPr>
      <w:r>
        <w:rPr>
          <w:rStyle w:val="Marquenotebasdepage"/>
        </w:rPr>
        <w:t>86</w:t>
      </w:r>
      <w:r>
        <w:t xml:space="preserve"> </w:t>
      </w:r>
      <w:r w:rsidRPr="00D24A7F">
        <w:rPr>
          <w:sz w:val="18"/>
          <w:szCs w:val="18"/>
        </w:rPr>
        <w:t>Schoeffler, A.,</w:t>
      </w:r>
      <w:r>
        <w:t xml:space="preserve"> </w:t>
      </w:r>
      <w:r w:rsidRPr="00D24A7F">
        <w:rPr>
          <w:sz w:val="18"/>
          <w:szCs w:val="18"/>
        </w:rPr>
        <w:t>Cafedelabourse,</w:t>
      </w:r>
      <w:r w:rsidRPr="00F95841">
        <w:rPr>
          <w:sz w:val="18"/>
          <w:szCs w:val="18"/>
        </w:rPr>
        <w:t xml:space="preserve"> </w:t>
      </w:r>
      <w:r w:rsidRPr="00F95841">
        <w:rPr>
          <w:i/>
          <w:sz w:val="18"/>
          <w:szCs w:val="18"/>
        </w:rPr>
        <w:t>"</w:t>
      </w:r>
      <w:r>
        <w:rPr>
          <w:i/>
          <w:sz w:val="18"/>
          <w:szCs w:val="18"/>
        </w:rPr>
        <w:t>Tour du monde des indices boursiers mondiaux</w:t>
      </w:r>
      <w:r w:rsidRPr="00CB1216">
        <w:rPr>
          <w:bCs/>
          <w:i/>
          <w:sz w:val="18"/>
          <w:szCs w:val="18"/>
        </w:rPr>
        <w:t>",</w:t>
      </w:r>
      <w:hyperlink r:id="rId26" w:history="1">
        <w:r w:rsidRPr="000076FA">
          <w:rPr>
            <w:rStyle w:val="Lienhypertexte"/>
            <w:i/>
            <w:iCs/>
            <w:color w:val="FF6700" w:themeColor="accent3"/>
            <w:sz w:val="18"/>
            <w:szCs w:val="18"/>
          </w:rPr>
          <w:t>https://www.cafedelabourse.com/dossiers/article/tour-du-monde-des-indices-boursiers-mondiaux</w:t>
        </w:r>
      </w:hyperlink>
      <w:r>
        <w:rPr>
          <w:bCs/>
          <w:i/>
          <w:sz w:val="18"/>
          <w:szCs w:val="18"/>
        </w:rPr>
        <w:t>, (Page consultée le 11 janvier 2016).</w:t>
      </w:r>
    </w:p>
    <w:p w14:paraId="0867044E" w14:textId="35EBE896" w:rsidR="00573C95" w:rsidRDefault="00573C95">
      <w:pPr>
        <w:pStyle w:val="Notedebasdepage"/>
      </w:pPr>
    </w:p>
  </w:footnote>
  <w:footnote w:id="88">
    <w:p w14:paraId="3A1BB91E" w14:textId="557598D9" w:rsidR="00573C95" w:rsidRPr="006E0A12" w:rsidRDefault="00573C95">
      <w:pPr>
        <w:pStyle w:val="Notedebasdepage"/>
        <w:rPr>
          <w:sz w:val="18"/>
          <w:szCs w:val="18"/>
        </w:rPr>
      </w:pPr>
      <w:r>
        <w:rPr>
          <w:rStyle w:val="Marquenotebasdepage"/>
        </w:rPr>
        <w:t>87</w:t>
      </w:r>
      <w:r>
        <w:t xml:space="preserve"> </w:t>
      </w:r>
      <w:r w:rsidRPr="006E0A12">
        <w:rPr>
          <w:sz w:val="18"/>
          <w:szCs w:val="18"/>
        </w:rPr>
        <w:t>Les calculs de rendement sont effectués sur une base annuelle et tiennent compte du réinvestissement des dividendes, mais ne sont pas ajustés pour tenir compte  de l'effet de l'inflation.</w:t>
      </w:r>
      <w:r>
        <w:rPr>
          <w:sz w:val="18"/>
          <w:szCs w:val="18"/>
        </w:rPr>
        <w:t xml:space="preserve"> Les calculs ont été effectués à même la calculatrice de rendement "Dow Jones Return Calculator".</w:t>
      </w:r>
    </w:p>
  </w:footnote>
  <w:footnote w:id="89">
    <w:p w14:paraId="534A5314" w14:textId="395E7DE7" w:rsidR="00573C95" w:rsidRPr="00071DFB" w:rsidRDefault="00573C95" w:rsidP="00071DFB">
      <w:pPr>
        <w:pStyle w:val="Notedebasdepage"/>
        <w:rPr>
          <w:color w:val="FF6700" w:themeColor="accent3"/>
          <w:sz w:val="18"/>
          <w:szCs w:val="18"/>
        </w:rPr>
      </w:pPr>
      <w:r>
        <w:rPr>
          <w:rStyle w:val="Marquenotebasdepage"/>
        </w:rPr>
        <w:t>88</w:t>
      </w:r>
      <w:r>
        <w:t xml:space="preserve"> </w:t>
      </w:r>
      <w:r w:rsidRPr="006E0A12">
        <w:rPr>
          <w:sz w:val="18"/>
          <w:szCs w:val="18"/>
        </w:rPr>
        <w:t>Les calculs de rendement sont effectués sur une base annuelle et tiennent compte du réinvestissement des dividendes</w:t>
      </w:r>
      <w:r>
        <w:rPr>
          <w:sz w:val="18"/>
          <w:szCs w:val="18"/>
        </w:rPr>
        <w:t xml:space="preserve"> (depuis 1999)</w:t>
      </w:r>
      <w:r w:rsidRPr="006E0A12">
        <w:rPr>
          <w:sz w:val="18"/>
          <w:szCs w:val="18"/>
        </w:rPr>
        <w:t>, mais ne sont pas ajustés pour tenir compte  de l'effet de l'inflation.</w:t>
      </w:r>
      <w:r>
        <w:rPr>
          <w:sz w:val="18"/>
          <w:szCs w:val="18"/>
        </w:rPr>
        <w:t xml:space="preserve"> Les calculs proviennent de </w:t>
      </w:r>
      <w:hyperlink r:id="rId27" w:history="1">
        <w:r w:rsidRPr="00071DFB">
          <w:rPr>
            <w:rStyle w:val="Lienhypertexte"/>
            <w:color w:val="FF6700" w:themeColor="accent3"/>
            <w:sz w:val="18"/>
            <w:szCs w:val="18"/>
          </w:rPr>
          <w:t>http://financeandinvestments.blogspot.ca/2015/01/historical-returns-for-nasdaq-100-1986.html</w:t>
        </w:r>
      </w:hyperlink>
    </w:p>
    <w:p w14:paraId="4EC42596" w14:textId="7B6AD500" w:rsidR="00573C95" w:rsidRDefault="00573C95">
      <w:pPr>
        <w:pStyle w:val="Notedebasdepage"/>
      </w:pPr>
    </w:p>
  </w:footnote>
  <w:footnote w:id="90">
    <w:p w14:paraId="33D78CAD" w14:textId="7796BFE6" w:rsidR="00573C95" w:rsidRDefault="00573C95">
      <w:pPr>
        <w:pStyle w:val="Notedebasdepage"/>
      </w:pPr>
      <w:r>
        <w:rPr>
          <w:rStyle w:val="Marquenotebasdepage"/>
        </w:rPr>
        <w:t>89</w:t>
      </w:r>
      <w:r>
        <w:t xml:space="preserve"> </w:t>
      </w:r>
      <w:r w:rsidRPr="006E0A12">
        <w:rPr>
          <w:sz w:val="18"/>
          <w:szCs w:val="18"/>
        </w:rPr>
        <w:t>Les calculs de rendement sont effectués sur une base annuelle et tiennent compte du réinvestissement des dividendes, mais ne sont pas ajustés pour tenir compte  de l'effet de l'inflation.</w:t>
      </w:r>
      <w:r>
        <w:rPr>
          <w:sz w:val="18"/>
          <w:szCs w:val="18"/>
        </w:rPr>
        <w:t xml:space="preserve"> Les calculs ont été effectués à même la calculatrice de rendement "</w:t>
      </w:r>
      <w:r w:rsidRPr="00FF37E0">
        <w:rPr>
          <w:sz w:val="18"/>
          <w:szCs w:val="18"/>
        </w:rPr>
        <w:t>t</w:t>
      </w:r>
      <w:r w:rsidRPr="00FF37E0">
        <w:rPr>
          <w:bCs/>
          <w:sz w:val="18"/>
          <w:szCs w:val="18"/>
        </w:rPr>
        <w:t xml:space="preserve">he S&amp;P 500 Dividends Reinvested Price Calculator </w:t>
      </w:r>
      <w:r>
        <w:rPr>
          <w:sz w:val="18"/>
          <w:szCs w:val="18"/>
        </w:rPr>
        <w:t>".</w:t>
      </w:r>
    </w:p>
  </w:footnote>
  <w:footnote w:id="91">
    <w:p w14:paraId="6F2F2481" w14:textId="17E63867" w:rsidR="00573C95" w:rsidRDefault="00573C95">
      <w:pPr>
        <w:pStyle w:val="Notedebasdepage"/>
      </w:pPr>
      <w:r>
        <w:rPr>
          <w:rStyle w:val="Marquenotebasdepage"/>
        </w:rPr>
        <w:t>90</w:t>
      </w:r>
      <w:r>
        <w:t xml:space="preserve"> </w:t>
      </w:r>
      <w:r w:rsidRPr="006E0A12">
        <w:rPr>
          <w:sz w:val="18"/>
          <w:szCs w:val="18"/>
        </w:rPr>
        <w:t>Les calculs de rendement sont effectués sur une base annuelle et tiennent compte du réinvestissement des dividendes, mais ne sont pas ajustés pour tenir compte  de l'effet de l'inflation.</w:t>
      </w:r>
      <w:r>
        <w:rPr>
          <w:sz w:val="18"/>
          <w:szCs w:val="18"/>
        </w:rPr>
        <w:t xml:space="preserve"> Les calculs proviennent de </w:t>
      </w:r>
      <w:hyperlink r:id="rId28" w:history="1">
        <w:r w:rsidRPr="00B30007">
          <w:rPr>
            <w:rStyle w:val="Lienhypertexte"/>
            <w:color w:val="FF6700" w:themeColor="accent3"/>
            <w:sz w:val="18"/>
            <w:szCs w:val="18"/>
          </w:rPr>
          <w:t>http://www.taxtips.ca/stocksandbonds/investmentreturns.htm</w:t>
        </w:r>
      </w:hyperlink>
    </w:p>
  </w:footnote>
  <w:footnote w:id="92">
    <w:p w14:paraId="6A717139" w14:textId="383AB9A9" w:rsidR="00573C95" w:rsidRPr="00A2463D" w:rsidRDefault="00573C95">
      <w:pPr>
        <w:pStyle w:val="Notedebasdepage"/>
        <w:rPr>
          <w:color w:val="FF6700" w:themeColor="accent3"/>
        </w:rPr>
      </w:pPr>
      <w:r>
        <w:rPr>
          <w:rStyle w:val="Marquenotebasdepage"/>
        </w:rPr>
        <w:t>91</w:t>
      </w:r>
      <w:r>
        <w:t xml:space="preserve"> </w:t>
      </w:r>
      <w:r w:rsidRPr="006E0A12">
        <w:rPr>
          <w:sz w:val="18"/>
          <w:szCs w:val="18"/>
        </w:rPr>
        <w:t>Les calculs de rendement sont effectués sur une base annuelle et tiennent compte du réinvestissement des dividendes, mais ne sont pas ajustés pour tenir compte  de l'effet de l'inflation.</w:t>
      </w:r>
      <w:r>
        <w:rPr>
          <w:sz w:val="18"/>
          <w:szCs w:val="18"/>
        </w:rPr>
        <w:t xml:space="preserve"> </w:t>
      </w:r>
      <w:r w:rsidRPr="00652459">
        <w:rPr>
          <w:sz w:val="18"/>
          <w:szCs w:val="18"/>
          <w:u w:val="single"/>
        </w:rPr>
        <w:t>La période couverte est celle de décembre 1987 à mai 2014</w:t>
      </w:r>
      <w:r>
        <w:rPr>
          <w:sz w:val="18"/>
          <w:szCs w:val="18"/>
        </w:rPr>
        <w:t xml:space="preserve">. Les calculs proviennent de </w:t>
      </w:r>
      <w:hyperlink r:id="rId29" w:history="1">
        <w:r w:rsidRPr="00A2463D">
          <w:rPr>
            <w:rStyle w:val="Lienhypertexte"/>
            <w:color w:val="FF6700" w:themeColor="accent3"/>
            <w:sz w:val="18"/>
            <w:szCs w:val="18"/>
          </w:rPr>
          <w:t>http://valueandopportunity.com/2014/06/10/the-german-dax-at-10-000-looking-back/</w:t>
        </w:r>
      </w:hyperlink>
    </w:p>
  </w:footnote>
  <w:footnote w:id="93">
    <w:p w14:paraId="40DF9232" w14:textId="1F18E1F3" w:rsidR="00573C95" w:rsidRDefault="00573C95">
      <w:pPr>
        <w:pStyle w:val="Notedebasdepage"/>
        <w:rPr>
          <w:bCs/>
          <w:i/>
          <w:sz w:val="18"/>
          <w:szCs w:val="18"/>
        </w:rPr>
      </w:pPr>
      <w:r>
        <w:rPr>
          <w:rStyle w:val="Marquenotebasdepage"/>
        </w:rPr>
        <w:t>92</w:t>
      </w:r>
      <w:r>
        <w:t xml:space="preserve"> </w:t>
      </w:r>
      <w:r w:rsidRPr="00D24A7F">
        <w:rPr>
          <w:sz w:val="18"/>
          <w:szCs w:val="18"/>
        </w:rPr>
        <w:t>S</w:t>
      </w:r>
      <w:r>
        <w:rPr>
          <w:sz w:val="18"/>
          <w:szCs w:val="18"/>
        </w:rPr>
        <w:t>haw</w:t>
      </w:r>
      <w:r w:rsidRPr="00D24A7F">
        <w:rPr>
          <w:sz w:val="18"/>
          <w:szCs w:val="18"/>
        </w:rPr>
        <w:t xml:space="preserve">, </w:t>
      </w:r>
      <w:r>
        <w:rPr>
          <w:sz w:val="18"/>
          <w:szCs w:val="18"/>
        </w:rPr>
        <w:t>D</w:t>
      </w:r>
      <w:r w:rsidRPr="00D24A7F">
        <w:rPr>
          <w:sz w:val="18"/>
          <w:szCs w:val="18"/>
        </w:rPr>
        <w:t>.,</w:t>
      </w:r>
      <w:r>
        <w:t xml:space="preserve"> </w:t>
      </w:r>
      <w:r>
        <w:rPr>
          <w:sz w:val="18"/>
          <w:szCs w:val="18"/>
        </w:rPr>
        <w:t>Parlement du Canada</w:t>
      </w:r>
      <w:r w:rsidRPr="00D24A7F">
        <w:rPr>
          <w:sz w:val="18"/>
          <w:szCs w:val="18"/>
        </w:rPr>
        <w:t>,</w:t>
      </w:r>
      <w:r w:rsidRPr="00F95841">
        <w:rPr>
          <w:sz w:val="18"/>
          <w:szCs w:val="18"/>
        </w:rPr>
        <w:t xml:space="preserve"> </w:t>
      </w:r>
      <w:r w:rsidRPr="00F95841">
        <w:rPr>
          <w:i/>
          <w:sz w:val="18"/>
          <w:szCs w:val="18"/>
        </w:rPr>
        <w:t>"</w:t>
      </w:r>
      <w:r w:rsidRPr="00D274C8">
        <w:rPr>
          <w:rFonts w:ascii="Arial" w:hAnsi="Arial" w:cs="Arial"/>
          <w:sz w:val="32"/>
          <w:szCs w:val="32"/>
        </w:rPr>
        <w:t xml:space="preserve"> </w:t>
      </w:r>
      <w:r w:rsidRPr="00D274C8">
        <w:rPr>
          <w:i/>
          <w:sz w:val="18"/>
          <w:szCs w:val="18"/>
        </w:rPr>
        <w:t>La productivité et son influence croissante sur le niveau et la qualité de la vie des Canadiens</w:t>
      </w:r>
      <w:r w:rsidRPr="00CB1216">
        <w:rPr>
          <w:bCs/>
          <w:i/>
          <w:sz w:val="18"/>
          <w:szCs w:val="18"/>
        </w:rPr>
        <w:t>",</w:t>
      </w:r>
      <w:r w:rsidRPr="00D274C8">
        <w:t xml:space="preserve"> </w:t>
      </w:r>
      <w:hyperlink r:id="rId30" w:history="1">
        <w:r w:rsidRPr="00D274C8">
          <w:rPr>
            <w:rStyle w:val="Lienhypertexte"/>
            <w:i/>
            <w:iCs/>
            <w:color w:val="FF6700" w:themeColor="accent3"/>
            <w:sz w:val="18"/>
            <w:szCs w:val="18"/>
          </w:rPr>
          <w:t>http://www.parl.gc.ca/content/lop/researchpublications/prb0315-f.htm</w:t>
        </w:r>
      </w:hyperlink>
      <w:r>
        <w:rPr>
          <w:bCs/>
          <w:i/>
          <w:sz w:val="18"/>
          <w:szCs w:val="18"/>
        </w:rPr>
        <w:t>, (Page consultée le 12 janvier 2016).</w:t>
      </w:r>
    </w:p>
    <w:p w14:paraId="7FF37B66" w14:textId="77777777" w:rsidR="00573C95" w:rsidRDefault="00573C95">
      <w:pPr>
        <w:pStyle w:val="Notedebasdepage"/>
      </w:pPr>
    </w:p>
  </w:footnote>
  <w:footnote w:id="94">
    <w:p w14:paraId="28333F67" w14:textId="36A9B790" w:rsidR="00573C95" w:rsidRDefault="00573C95" w:rsidP="0038478E">
      <w:pPr>
        <w:pStyle w:val="Notedebasdepage"/>
      </w:pPr>
      <w:r>
        <w:rPr>
          <w:rStyle w:val="Marquenotebasdepage"/>
        </w:rPr>
        <w:t>93</w:t>
      </w:r>
      <w:r>
        <w:t xml:space="preserve"> </w:t>
      </w:r>
      <w:r>
        <w:rPr>
          <w:sz w:val="18"/>
          <w:szCs w:val="18"/>
        </w:rPr>
        <w:t>Perspective Monde</w:t>
      </w:r>
      <w:r w:rsidRPr="00D24A7F">
        <w:rPr>
          <w:sz w:val="18"/>
          <w:szCs w:val="18"/>
        </w:rPr>
        <w:t>,</w:t>
      </w:r>
      <w:r>
        <w:t xml:space="preserve"> </w:t>
      </w:r>
      <w:r>
        <w:rPr>
          <w:sz w:val="18"/>
          <w:szCs w:val="18"/>
        </w:rPr>
        <w:t>Université de Sherbrooke,</w:t>
      </w:r>
      <w:r w:rsidRPr="00F95841">
        <w:rPr>
          <w:sz w:val="18"/>
          <w:szCs w:val="18"/>
        </w:rPr>
        <w:t xml:space="preserve"> </w:t>
      </w:r>
      <w:r w:rsidRPr="00F95841">
        <w:rPr>
          <w:i/>
          <w:sz w:val="18"/>
          <w:szCs w:val="18"/>
        </w:rPr>
        <w:t>"</w:t>
      </w:r>
      <w:r>
        <w:rPr>
          <w:i/>
          <w:sz w:val="18"/>
          <w:szCs w:val="18"/>
        </w:rPr>
        <w:t>Espérance de vie à la naissance (année) Canada</w:t>
      </w:r>
      <w:r w:rsidRPr="00CB1216">
        <w:rPr>
          <w:bCs/>
          <w:i/>
          <w:sz w:val="18"/>
          <w:szCs w:val="18"/>
        </w:rPr>
        <w:t>",</w:t>
      </w:r>
      <w:r w:rsidRPr="00D274C8">
        <w:t xml:space="preserve"> </w:t>
      </w:r>
      <w:hyperlink r:id="rId31" w:history="1">
        <w:r w:rsidRPr="0038478E">
          <w:rPr>
            <w:rStyle w:val="Lienhypertexte"/>
            <w:color w:val="FF6700" w:themeColor="accent3"/>
            <w:sz w:val="18"/>
            <w:szCs w:val="18"/>
          </w:rPr>
          <w:t>http://perspective.usherbrooke.ca/bilan/tend/CAN/fr/SP.DYN.LE00.IN.html</w:t>
        </w:r>
      </w:hyperlink>
      <w:r>
        <w:rPr>
          <w:bCs/>
          <w:i/>
          <w:sz w:val="18"/>
          <w:szCs w:val="18"/>
        </w:rPr>
        <w:t>, (Page consultée le 12 janvier 2016).</w:t>
      </w:r>
    </w:p>
    <w:p w14:paraId="6B8F9506" w14:textId="1A74411E" w:rsidR="00573C95" w:rsidRDefault="00573C95">
      <w:pPr>
        <w:pStyle w:val="Notedebasdepage"/>
      </w:pPr>
    </w:p>
  </w:footnote>
  <w:footnote w:id="95">
    <w:p w14:paraId="6C1BC222" w14:textId="77777777" w:rsidR="00573C95" w:rsidRPr="006E0A12" w:rsidRDefault="00573C95" w:rsidP="00A34F20">
      <w:pPr>
        <w:pStyle w:val="Notedebasdepage"/>
        <w:rPr>
          <w:sz w:val="18"/>
          <w:szCs w:val="18"/>
        </w:rPr>
      </w:pPr>
      <w:r>
        <w:rPr>
          <w:rStyle w:val="Marquenotebasdepage"/>
        </w:rPr>
        <w:t>94</w:t>
      </w:r>
      <w:r>
        <w:t xml:space="preserve"> </w:t>
      </w:r>
      <w:r w:rsidRPr="006E0A12">
        <w:rPr>
          <w:sz w:val="18"/>
          <w:szCs w:val="18"/>
        </w:rPr>
        <w:t>Les calculs de rendement sont effectués sur une base annuelle et tiennent compte du réinvestissement des dividendes, mais ne sont pas ajustés pour tenir compte  de l'effet de l'inflation.</w:t>
      </w:r>
      <w:r>
        <w:rPr>
          <w:sz w:val="18"/>
          <w:szCs w:val="18"/>
        </w:rPr>
        <w:t xml:space="preserve"> Les calculs ont été effectués à même la calculatrice de rendement "Dow Jones Return Calculator".</w:t>
      </w:r>
    </w:p>
    <w:p w14:paraId="58C4BAC6" w14:textId="7EACD789" w:rsidR="00573C95" w:rsidRDefault="00573C95">
      <w:pPr>
        <w:pStyle w:val="Notedebasdepage"/>
      </w:pPr>
    </w:p>
  </w:footnote>
  <w:footnote w:id="96">
    <w:p w14:paraId="39DBF21E" w14:textId="1FD6E0CA" w:rsidR="00573C95" w:rsidRPr="00E66111" w:rsidRDefault="00573C95">
      <w:pPr>
        <w:pStyle w:val="Notedebasdepage"/>
        <w:rPr>
          <w:sz w:val="18"/>
          <w:szCs w:val="18"/>
        </w:rPr>
      </w:pPr>
      <w:r>
        <w:rPr>
          <w:rStyle w:val="Marquenotebasdepage"/>
        </w:rPr>
        <w:t>95</w:t>
      </w:r>
      <w:r>
        <w:t xml:space="preserve"> </w:t>
      </w:r>
      <w:r>
        <w:rPr>
          <w:sz w:val="18"/>
          <w:szCs w:val="18"/>
        </w:rPr>
        <w:t xml:space="preserve">Toutes les informations, sauf l'établissement des frais de gestion qui est un estimé général des pratiques de tarification en cours, sont extraits des sites </w:t>
      </w:r>
      <w:hyperlink r:id="rId32" w:history="1">
        <w:r w:rsidRPr="00B30007">
          <w:rPr>
            <w:rStyle w:val="Lienhypertexte"/>
            <w:color w:val="FF6700" w:themeColor="accent3"/>
            <w:sz w:val="18"/>
            <w:szCs w:val="18"/>
          </w:rPr>
          <w:t>http://www.taxtips.ca/stocksandbonds/investmentreturns.htm</w:t>
        </w:r>
      </w:hyperlink>
      <w:r>
        <w:rPr>
          <w:rStyle w:val="Lienhypertexte"/>
          <w:color w:val="FF6700" w:themeColor="accent3"/>
          <w:sz w:val="18"/>
          <w:szCs w:val="18"/>
        </w:rPr>
        <w:t xml:space="preserve"> </w:t>
      </w:r>
      <w:r>
        <w:rPr>
          <w:rStyle w:val="Lienhypertexte"/>
          <w:color w:val="auto"/>
          <w:sz w:val="18"/>
          <w:szCs w:val="18"/>
          <w:u w:val="none"/>
        </w:rPr>
        <w:t xml:space="preserve">et </w:t>
      </w:r>
      <w:hyperlink r:id="rId33" w:history="1">
        <w:r w:rsidRPr="00E66111">
          <w:rPr>
            <w:rStyle w:val="Lienhypertexte"/>
            <w:color w:val="FF6700" w:themeColor="accent3"/>
            <w:sz w:val="18"/>
            <w:szCs w:val="18"/>
          </w:rPr>
          <w:t>http://dqydj.net/sp-500-return-calculator/</w:t>
        </w:r>
      </w:hyperlink>
    </w:p>
  </w:footnote>
  <w:footnote w:id="97">
    <w:p w14:paraId="7B9FE62C" w14:textId="626AF09F" w:rsidR="00573C95" w:rsidRDefault="00573C95">
      <w:pPr>
        <w:pStyle w:val="Notedebasdepage"/>
      </w:pPr>
      <w:r>
        <w:rPr>
          <w:rStyle w:val="Marquenotebasdepage"/>
        </w:rPr>
        <w:t>96</w:t>
      </w:r>
      <w:r>
        <w:t xml:space="preserve"> </w:t>
      </w:r>
      <w:r>
        <w:rPr>
          <w:sz w:val="18"/>
          <w:szCs w:val="18"/>
        </w:rPr>
        <w:t>CQFF</w:t>
      </w:r>
      <w:r w:rsidRPr="00D24A7F">
        <w:rPr>
          <w:sz w:val="18"/>
          <w:szCs w:val="18"/>
        </w:rPr>
        <w:t>,</w:t>
      </w:r>
      <w:r>
        <w:rPr>
          <w:sz w:val="18"/>
          <w:szCs w:val="18"/>
        </w:rPr>
        <w:t xml:space="preserve"> (à jour au 9 décembre 2015), </w:t>
      </w:r>
      <w:r w:rsidRPr="00F95841">
        <w:rPr>
          <w:i/>
          <w:sz w:val="18"/>
          <w:szCs w:val="18"/>
        </w:rPr>
        <w:t>"</w:t>
      </w:r>
      <w:r w:rsidRPr="009F10CA">
        <w:rPr>
          <w:i/>
          <w:sz w:val="18"/>
          <w:szCs w:val="18"/>
          <w:lang w:val="fr-CA"/>
        </w:rPr>
        <w:t>Taux marginaux d</w:t>
      </w:r>
      <w:r>
        <w:rPr>
          <w:i/>
          <w:sz w:val="18"/>
          <w:szCs w:val="18"/>
          <w:lang w:val="fr-CA"/>
        </w:rPr>
        <w:t>é</w:t>
      </w:r>
      <w:r w:rsidRPr="009F10CA">
        <w:rPr>
          <w:i/>
          <w:sz w:val="18"/>
          <w:szCs w:val="18"/>
          <w:lang w:val="fr-CA"/>
        </w:rPr>
        <w:t>compos</w:t>
      </w:r>
      <w:r>
        <w:rPr>
          <w:i/>
          <w:sz w:val="18"/>
          <w:szCs w:val="18"/>
          <w:lang w:val="fr-CA"/>
        </w:rPr>
        <w:t>é</w:t>
      </w:r>
      <w:r w:rsidRPr="009F10CA">
        <w:rPr>
          <w:i/>
          <w:sz w:val="18"/>
          <w:szCs w:val="18"/>
          <w:lang w:val="fr-CA"/>
        </w:rPr>
        <w:t>s f</w:t>
      </w:r>
      <w:r>
        <w:rPr>
          <w:i/>
          <w:sz w:val="18"/>
          <w:szCs w:val="18"/>
          <w:lang w:val="fr-CA"/>
        </w:rPr>
        <w:t>é</w:t>
      </w:r>
      <w:r w:rsidRPr="009F10CA">
        <w:rPr>
          <w:i/>
          <w:sz w:val="18"/>
          <w:szCs w:val="18"/>
          <w:lang w:val="fr-CA"/>
        </w:rPr>
        <w:t>d</w:t>
      </w:r>
      <w:r>
        <w:rPr>
          <w:i/>
          <w:sz w:val="18"/>
          <w:szCs w:val="18"/>
          <w:lang w:val="fr-CA"/>
        </w:rPr>
        <w:t>é</w:t>
      </w:r>
      <w:r w:rsidRPr="009F10CA">
        <w:rPr>
          <w:i/>
          <w:sz w:val="18"/>
          <w:szCs w:val="18"/>
          <w:lang w:val="fr-CA"/>
        </w:rPr>
        <w:t xml:space="preserve">ral et provincial pour 2016 </w:t>
      </w:r>
      <w:r>
        <w:rPr>
          <w:i/>
          <w:sz w:val="18"/>
          <w:szCs w:val="18"/>
          <w:lang w:val="fr-CA"/>
        </w:rPr>
        <w:t>à</w:t>
      </w:r>
      <w:r w:rsidRPr="009F10CA">
        <w:rPr>
          <w:i/>
          <w:sz w:val="18"/>
          <w:szCs w:val="18"/>
          <w:lang w:val="fr-CA"/>
        </w:rPr>
        <w:t xml:space="preserve"> l’</w:t>
      </w:r>
      <w:r>
        <w:rPr>
          <w:i/>
          <w:sz w:val="18"/>
          <w:szCs w:val="18"/>
          <w:lang w:val="fr-CA"/>
        </w:rPr>
        <w:t>é</w:t>
      </w:r>
      <w:r w:rsidRPr="009F10CA">
        <w:rPr>
          <w:i/>
          <w:sz w:val="18"/>
          <w:szCs w:val="18"/>
          <w:lang w:val="fr-CA"/>
        </w:rPr>
        <w:t>gard de diff</w:t>
      </w:r>
      <w:r>
        <w:rPr>
          <w:i/>
          <w:sz w:val="18"/>
          <w:szCs w:val="18"/>
          <w:lang w:val="fr-CA"/>
        </w:rPr>
        <w:t>é</w:t>
      </w:r>
      <w:r w:rsidRPr="009F10CA">
        <w:rPr>
          <w:i/>
          <w:sz w:val="18"/>
          <w:szCs w:val="18"/>
          <w:lang w:val="fr-CA"/>
        </w:rPr>
        <w:t>rents types de revenus</w:t>
      </w:r>
      <w:r w:rsidRPr="00CB1216">
        <w:rPr>
          <w:bCs/>
          <w:i/>
          <w:sz w:val="18"/>
          <w:szCs w:val="18"/>
        </w:rPr>
        <w:t>",</w:t>
      </w:r>
      <w:r w:rsidRPr="00D274C8">
        <w:t xml:space="preserve"> </w:t>
      </w:r>
      <w:hyperlink r:id="rId34" w:history="1">
        <w:r w:rsidRPr="00EE21F7">
          <w:rPr>
            <w:rStyle w:val="Lienhypertexte"/>
            <w:color w:val="FF6700" w:themeColor="accent3"/>
            <w:sz w:val="18"/>
            <w:szCs w:val="18"/>
          </w:rPr>
          <w:t>https://www.cqff.com/tableaux_utiles/paliers_imposition_2016.pdf</w:t>
        </w:r>
      </w:hyperlink>
      <w:r>
        <w:rPr>
          <w:bCs/>
          <w:i/>
          <w:sz w:val="18"/>
          <w:szCs w:val="18"/>
        </w:rPr>
        <w:t>, (Page consultée le 13 janvier 2016).</w:t>
      </w:r>
    </w:p>
  </w:footnote>
  <w:footnote w:id="98">
    <w:p w14:paraId="03CA6DBC" w14:textId="5BCA402C" w:rsidR="00573C95" w:rsidRPr="004F482A" w:rsidRDefault="00573C95" w:rsidP="00312F72">
      <w:pPr>
        <w:pStyle w:val="Notedebasdepage"/>
        <w:rPr>
          <w:lang w:val="en-CA"/>
        </w:rPr>
      </w:pPr>
      <w:r w:rsidRPr="004F482A">
        <w:rPr>
          <w:rStyle w:val="Marquenotebasdepage"/>
          <w:lang w:val="en-CA"/>
        </w:rPr>
        <w:t>97</w:t>
      </w:r>
      <w:r w:rsidRPr="004F482A">
        <w:rPr>
          <w:sz w:val="18"/>
          <w:szCs w:val="18"/>
          <w:lang w:val="en-CA"/>
        </w:rPr>
        <w:t xml:space="preserve">Thaler, R., </w:t>
      </w:r>
      <w:r w:rsidRPr="004F482A">
        <w:rPr>
          <w:i/>
          <w:sz w:val="18"/>
          <w:szCs w:val="18"/>
          <w:lang w:val="en-CA"/>
        </w:rPr>
        <w:t>"Fuller &amp; Thaler: How We Use Behavioral Finance To Invest</w:t>
      </w:r>
      <w:r w:rsidRPr="004F482A">
        <w:rPr>
          <w:bCs/>
          <w:i/>
          <w:sz w:val="18"/>
          <w:szCs w:val="18"/>
          <w:lang w:val="en-CA"/>
        </w:rPr>
        <w:t xml:space="preserve">", </w:t>
      </w:r>
      <w:r w:rsidRPr="004F482A">
        <w:rPr>
          <w:sz w:val="18"/>
          <w:szCs w:val="18"/>
          <w:lang w:val="en-CA"/>
        </w:rPr>
        <w:t>(2015).</w:t>
      </w:r>
      <w:r w:rsidRPr="004F482A">
        <w:rPr>
          <w:lang w:val="en-CA"/>
        </w:rPr>
        <w:t xml:space="preserve"> </w:t>
      </w:r>
      <w:hyperlink r:id="rId35" w:history="1"/>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171CE9"/>
    <w:multiLevelType w:val="hybridMultilevel"/>
    <w:tmpl w:val="A8C04CE4"/>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2774017"/>
    <w:multiLevelType w:val="hybridMultilevel"/>
    <w:tmpl w:val="9DD0D6D0"/>
    <w:lvl w:ilvl="0" w:tplc="82CE9FD4">
      <w:start w:val="1"/>
      <w:numFmt w:val="bullet"/>
      <w:lvlText w:val=""/>
      <w:lvlJc w:val="left"/>
      <w:pPr>
        <w:ind w:left="1068" w:hanging="360"/>
      </w:pPr>
      <w:rPr>
        <w:rFonts w:ascii="Symbol" w:hAnsi="Symbol" w:hint="default"/>
        <w:color w:val="000000"/>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nsid w:val="03963001"/>
    <w:multiLevelType w:val="hybridMultilevel"/>
    <w:tmpl w:val="8236C516"/>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3C973DF"/>
    <w:multiLevelType w:val="hybridMultilevel"/>
    <w:tmpl w:val="448ACBA0"/>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
    <w:nsid w:val="0519349C"/>
    <w:multiLevelType w:val="hybridMultilevel"/>
    <w:tmpl w:val="B2169BA0"/>
    <w:lvl w:ilvl="0" w:tplc="040C0001">
      <w:start w:val="1"/>
      <w:numFmt w:val="bullet"/>
      <w:lvlText w:val=""/>
      <w:lvlJc w:val="left"/>
      <w:pPr>
        <w:ind w:left="787" w:hanging="360"/>
      </w:pPr>
      <w:rPr>
        <w:rFonts w:ascii="Symbol" w:hAnsi="Symbol" w:hint="default"/>
      </w:rPr>
    </w:lvl>
    <w:lvl w:ilvl="1" w:tplc="040C0003" w:tentative="1">
      <w:start w:val="1"/>
      <w:numFmt w:val="bullet"/>
      <w:lvlText w:val="o"/>
      <w:lvlJc w:val="left"/>
      <w:pPr>
        <w:ind w:left="1507" w:hanging="360"/>
      </w:pPr>
      <w:rPr>
        <w:rFonts w:ascii="Courier New" w:hAnsi="Courier New" w:hint="default"/>
      </w:rPr>
    </w:lvl>
    <w:lvl w:ilvl="2" w:tplc="040C0005" w:tentative="1">
      <w:start w:val="1"/>
      <w:numFmt w:val="bullet"/>
      <w:lvlText w:val=""/>
      <w:lvlJc w:val="left"/>
      <w:pPr>
        <w:ind w:left="2227" w:hanging="360"/>
      </w:pPr>
      <w:rPr>
        <w:rFonts w:ascii="Wingdings" w:hAnsi="Wingdings" w:hint="default"/>
      </w:rPr>
    </w:lvl>
    <w:lvl w:ilvl="3" w:tplc="040C0001" w:tentative="1">
      <w:start w:val="1"/>
      <w:numFmt w:val="bullet"/>
      <w:lvlText w:val=""/>
      <w:lvlJc w:val="left"/>
      <w:pPr>
        <w:ind w:left="2947" w:hanging="360"/>
      </w:pPr>
      <w:rPr>
        <w:rFonts w:ascii="Symbol" w:hAnsi="Symbol" w:hint="default"/>
      </w:rPr>
    </w:lvl>
    <w:lvl w:ilvl="4" w:tplc="040C0003" w:tentative="1">
      <w:start w:val="1"/>
      <w:numFmt w:val="bullet"/>
      <w:lvlText w:val="o"/>
      <w:lvlJc w:val="left"/>
      <w:pPr>
        <w:ind w:left="3667" w:hanging="360"/>
      </w:pPr>
      <w:rPr>
        <w:rFonts w:ascii="Courier New" w:hAnsi="Courier New" w:hint="default"/>
      </w:rPr>
    </w:lvl>
    <w:lvl w:ilvl="5" w:tplc="040C0005" w:tentative="1">
      <w:start w:val="1"/>
      <w:numFmt w:val="bullet"/>
      <w:lvlText w:val=""/>
      <w:lvlJc w:val="left"/>
      <w:pPr>
        <w:ind w:left="4387" w:hanging="360"/>
      </w:pPr>
      <w:rPr>
        <w:rFonts w:ascii="Wingdings" w:hAnsi="Wingdings" w:hint="default"/>
      </w:rPr>
    </w:lvl>
    <w:lvl w:ilvl="6" w:tplc="040C0001" w:tentative="1">
      <w:start w:val="1"/>
      <w:numFmt w:val="bullet"/>
      <w:lvlText w:val=""/>
      <w:lvlJc w:val="left"/>
      <w:pPr>
        <w:ind w:left="5107" w:hanging="360"/>
      </w:pPr>
      <w:rPr>
        <w:rFonts w:ascii="Symbol" w:hAnsi="Symbol" w:hint="default"/>
      </w:rPr>
    </w:lvl>
    <w:lvl w:ilvl="7" w:tplc="040C0003" w:tentative="1">
      <w:start w:val="1"/>
      <w:numFmt w:val="bullet"/>
      <w:lvlText w:val="o"/>
      <w:lvlJc w:val="left"/>
      <w:pPr>
        <w:ind w:left="5827" w:hanging="360"/>
      </w:pPr>
      <w:rPr>
        <w:rFonts w:ascii="Courier New" w:hAnsi="Courier New" w:hint="default"/>
      </w:rPr>
    </w:lvl>
    <w:lvl w:ilvl="8" w:tplc="040C0005" w:tentative="1">
      <w:start w:val="1"/>
      <w:numFmt w:val="bullet"/>
      <w:lvlText w:val=""/>
      <w:lvlJc w:val="left"/>
      <w:pPr>
        <w:ind w:left="6547" w:hanging="360"/>
      </w:pPr>
      <w:rPr>
        <w:rFonts w:ascii="Wingdings" w:hAnsi="Wingdings" w:hint="default"/>
      </w:rPr>
    </w:lvl>
  </w:abstractNum>
  <w:abstractNum w:abstractNumId="6">
    <w:nsid w:val="05471701"/>
    <w:multiLevelType w:val="hybridMultilevel"/>
    <w:tmpl w:val="51C0CC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73F1920"/>
    <w:multiLevelType w:val="hybridMultilevel"/>
    <w:tmpl w:val="0CB62118"/>
    <w:lvl w:ilvl="0" w:tplc="040C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7546496"/>
    <w:multiLevelType w:val="hybridMultilevel"/>
    <w:tmpl w:val="1AB2A5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079B0717"/>
    <w:multiLevelType w:val="hybridMultilevel"/>
    <w:tmpl w:val="4802F56C"/>
    <w:lvl w:ilvl="0" w:tplc="040C0001">
      <w:start w:val="1"/>
      <w:numFmt w:val="bullet"/>
      <w:lvlText w:val=""/>
      <w:lvlJc w:val="left"/>
      <w:pPr>
        <w:ind w:left="1049" w:hanging="360"/>
      </w:pPr>
      <w:rPr>
        <w:rFonts w:ascii="Symbol" w:hAnsi="Symbol" w:hint="default"/>
      </w:rPr>
    </w:lvl>
    <w:lvl w:ilvl="1" w:tplc="040C0003">
      <w:start w:val="1"/>
      <w:numFmt w:val="bullet"/>
      <w:lvlText w:val="o"/>
      <w:lvlJc w:val="left"/>
      <w:pPr>
        <w:ind w:left="1769" w:hanging="360"/>
      </w:pPr>
      <w:rPr>
        <w:rFonts w:ascii="Courier New" w:hAnsi="Courier New" w:hint="default"/>
      </w:rPr>
    </w:lvl>
    <w:lvl w:ilvl="2" w:tplc="040C0005" w:tentative="1">
      <w:start w:val="1"/>
      <w:numFmt w:val="bullet"/>
      <w:lvlText w:val=""/>
      <w:lvlJc w:val="left"/>
      <w:pPr>
        <w:ind w:left="2489" w:hanging="360"/>
      </w:pPr>
      <w:rPr>
        <w:rFonts w:ascii="Wingdings" w:hAnsi="Wingdings" w:hint="default"/>
      </w:rPr>
    </w:lvl>
    <w:lvl w:ilvl="3" w:tplc="040C0001" w:tentative="1">
      <w:start w:val="1"/>
      <w:numFmt w:val="bullet"/>
      <w:lvlText w:val=""/>
      <w:lvlJc w:val="left"/>
      <w:pPr>
        <w:ind w:left="3209" w:hanging="360"/>
      </w:pPr>
      <w:rPr>
        <w:rFonts w:ascii="Symbol" w:hAnsi="Symbol" w:hint="default"/>
      </w:rPr>
    </w:lvl>
    <w:lvl w:ilvl="4" w:tplc="040C0003" w:tentative="1">
      <w:start w:val="1"/>
      <w:numFmt w:val="bullet"/>
      <w:lvlText w:val="o"/>
      <w:lvlJc w:val="left"/>
      <w:pPr>
        <w:ind w:left="3929" w:hanging="360"/>
      </w:pPr>
      <w:rPr>
        <w:rFonts w:ascii="Courier New" w:hAnsi="Courier New" w:hint="default"/>
      </w:rPr>
    </w:lvl>
    <w:lvl w:ilvl="5" w:tplc="040C0005" w:tentative="1">
      <w:start w:val="1"/>
      <w:numFmt w:val="bullet"/>
      <w:lvlText w:val=""/>
      <w:lvlJc w:val="left"/>
      <w:pPr>
        <w:ind w:left="4649" w:hanging="360"/>
      </w:pPr>
      <w:rPr>
        <w:rFonts w:ascii="Wingdings" w:hAnsi="Wingdings" w:hint="default"/>
      </w:rPr>
    </w:lvl>
    <w:lvl w:ilvl="6" w:tplc="040C0001" w:tentative="1">
      <w:start w:val="1"/>
      <w:numFmt w:val="bullet"/>
      <w:lvlText w:val=""/>
      <w:lvlJc w:val="left"/>
      <w:pPr>
        <w:ind w:left="5369" w:hanging="360"/>
      </w:pPr>
      <w:rPr>
        <w:rFonts w:ascii="Symbol" w:hAnsi="Symbol" w:hint="default"/>
      </w:rPr>
    </w:lvl>
    <w:lvl w:ilvl="7" w:tplc="040C0003" w:tentative="1">
      <w:start w:val="1"/>
      <w:numFmt w:val="bullet"/>
      <w:lvlText w:val="o"/>
      <w:lvlJc w:val="left"/>
      <w:pPr>
        <w:ind w:left="6089" w:hanging="360"/>
      </w:pPr>
      <w:rPr>
        <w:rFonts w:ascii="Courier New" w:hAnsi="Courier New" w:hint="default"/>
      </w:rPr>
    </w:lvl>
    <w:lvl w:ilvl="8" w:tplc="040C0005" w:tentative="1">
      <w:start w:val="1"/>
      <w:numFmt w:val="bullet"/>
      <w:lvlText w:val=""/>
      <w:lvlJc w:val="left"/>
      <w:pPr>
        <w:ind w:left="6809" w:hanging="360"/>
      </w:pPr>
      <w:rPr>
        <w:rFonts w:ascii="Wingdings" w:hAnsi="Wingdings" w:hint="default"/>
      </w:rPr>
    </w:lvl>
  </w:abstractNum>
  <w:abstractNum w:abstractNumId="10">
    <w:nsid w:val="0A1874A6"/>
    <w:multiLevelType w:val="hybridMultilevel"/>
    <w:tmpl w:val="A320AA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0DC45C87"/>
    <w:multiLevelType w:val="hybridMultilevel"/>
    <w:tmpl w:val="A45C0DD2"/>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0DC61506"/>
    <w:multiLevelType w:val="hybridMultilevel"/>
    <w:tmpl w:val="79867BC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0DE54DC2"/>
    <w:multiLevelType w:val="multilevel"/>
    <w:tmpl w:val="70B8A1D0"/>
    <w:lvl w:ilvl="0">
      <w:start w:val="1"/>
      <w:numFmt w:val="decimal"/>
      <w:lvlText w:val="%1"/>
      <w:lvlJc w:val="left"/>
      <w:pPr>
        <w:ind w:left="432" w:hanging="432"/>
      </w:pPr>
      <w:rPr>
        <w:rFonts w:hint="default"/>
      </w:rPr>
    </w:lvl>
    <w:lvl w:ilvl="1">
      <w:start w:val="1"/>
      <w:numFmt w:val="decimal"/>
      <w:lvlText w:val="4.%2."/>
      <w:lvlJc w:val="left"/>
      <w:pPr>
        <w:ind w:left="576" w:hanging="576"/>
      </w:pPr>
      <w:rPr>
        <w:rFonts w:hint="default"/>
      </w:rPr>
    </w:lvl>
    <w:lvl w:ilvl="2">
      <w:start w:val="1"/>
      <w:numFmt w:val="decimal"/>
      <w:lvlText w:val="4.2.%3."/>
      <w:lvlJc w:val="left"/>
      <w:pPr>
        <w:ind w:left="720" w:hanging="720"/>
      </w:pPr>
      <w:rPr>
        <w:rFonts w:hint="default"/>
      </w:rPr>
    </w:lvl>
    <w:lvl w:ilvl="3">
      <w:start w:val="1"/>
      <w:numFmt w:val="decimal"/>
      <w:lvlText w:val="5.1.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0EC30F8E"/>
    <w:multiLevelType w:val="hybridMultilevel"/>
    <w:tmpl w:val="F35CD5DE"/>
    <w:lvl w:ilvl="0" w:tplc="040C0001">
      <w:start w:val="1"/>
      <w:numFmt w:val="bullet"/>
      <w:lvlText w:val=""/>
      <w:lvlJc w:val="left"/>
      <w:pPr>
        <w:ind w:left="4967" w:hanging="360"/>
      </w:pPr>
      <w:rPr>
        <w:rFonts w:ascii="Symbol" w:hAnsi="Symbol" w:hint="default"/>
      </w:rPr>
    </w:lvl>
    <w:lvl w:ilvl="1" w:tplc="040C0003" w:tentative="1">
      <w:start w:val="1"/>
      <w:numFmt w:val="bullet"/>
      <w:lvlText w:val="o"/>
      <w:lvlJc w:val="left"/>
      <w:pPr>
        <w:ind w:left="5687" w:hanging="360"/>
      </w:pPr>
      <w:rPr>
        <w:rFonts w:ascii="Courier New" w:hAnsi="Courier New" w:hint="default"/>
      </w:rPr>
    </w:lvl>
    <w:lvl w:ilvl="2" w:tplc="040C0005" w:tentative="1">
      <w:start w:val="1"/>
      <w:numFmt w:val="bullet"/>
      <w:lvlText w:val=""/>
      <w:lvlJc w:val="left"/>
      <w:pPr>
        <w:ind w:left="6407" w:hanging="360"/>
      </w:pPr>
      <w:rPr>
        <w:rFonts w:ascii="Wingdings" w:hAnsi="Wingdings" w:hint="default"/>
      </w:rPr>
    </w:lvl>
    <w:lvl w:ilvl="3" w:tplc="040C0001" w:tentative="1">
      <w:start w:val="1"/>
      <w:numFmt w:val="bullet"/>
      <w:lvlText w:val=""/>
      <w:lvlJc w:val="left"/>
      <w:pPr>
        <w:ind w:left="7127" w:hanging="360"/>
      </w:pPr>
      <w:rPr>
        <w:rFonts w:ascii="Symbol" w:hAnsi="Symbol" w:hint="default"/>
      </w:rPr>
    </w:lvl>
    <w:lvl w:ilvl="4" w:tplc="040C0003" w:tentative="1">
      <w:start w:val="1"/>
      <w:numFmt w:val="bullet"/>
      <w:lvlText w:val="o"/>
      <w:lvlJc w:val="left"/>
      <w:pPr>
        <w:ind w:left="7847" w:hanging="360"/>
      </w:pPr>
      <w:rPr>
        <w:rFonts w:ascii="Courier New" w:hAnsi="Courier New" w:hint="default"/>
      </w:rPr>
    </w:lvl>
    <w:lvl w:ilvl="5" w:tplc="040C0005" w:tentative="1">
      <w:start w:val="1"/>
      <w:numFmt w:val="bullet"/>
      <w:lvlText w:val=""/>
      <w:lvlJc w:val="left"/>
      <w:pPr>
        <w:ind w:left="8567" w:hanging="360"/>
      </w:pPr>
      <w:rPr>
        <w:rFonts w:ascii="Wingdings" w:hAnsi="Wingdings" w:hint="default"/>
      </w:rPr>
    </w:lvl>
    <w:lvl w:ilvl="6" w:tplc="040C0001" w:tentative="1">
      <w:start w:val="1"/>
      <w:numFmt w:val="bullet"/>
      <w:lvlText w:val=""/>
      <w:lvlJc w:val="left"/>
      <w:pPr>
        <w:ind w:left="9287" w:hanging="360"/>
      </w:pPr>
      <w:rPr>
        <w:rFonts w:ascii="Symbol" w:hAnsi="Symbol" w:hint="default"/>
      </w:rPr>
    </w:lvl>
    <w:lvl w:ilvl="7" w:tplc="040C0003" w:tentative="1">
      <w:start w:val="1"/>
      <w:numFmt w:val="bullet"/>
      <w:lvlText w:val="o"/>
      <w:lvlJc w:val="left"/>
      <w:pPr>
        <w:ind w:left="10007" w:hanging="360"/>
      </w:pPr>
      <w:rPr>
        <w:rFonts w:ascii="Courier New" w:hAnsi="Courier New" w:hint="default"/>
      </w:rPr>
    </w:lvl>
    <w:lvl w:ilvl="8" w:tplc="040C0005" w:tentative="1">
      <w:start w:val="1"/>
      <w:numFmt w:val="bullet"/>
      <w:lvlText w:val=""/>
      <w:lvlJc w:val="left"/>
      <w:pPr>
        <w:ind w:left="10727" w:hanging="360"/>
      </w:pPr>
      <w:rPr>
        <w:rFonts w:ascii="Wingdings" w:hAnsi="Wingdings" w:hint="default"/>
      </w:rPr>
    </w:lvl>
  </w:abstractNum>
  <w:abstractNum w:abstractNumId="15">
    <w:nsid w:val="0F333F6A"/>
    <w:multiLevelType w:val="multilevel"/>
    <w:tmpl w:val="A512176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2.%3."/>
      <w:lvlJc w:val="left"/>
      <w:pPr>
        <w:ind w:left="720" w:hanging="720"/>
      </w:pPr>
      <w:rPr>
        <w:rFonts w:hint="default"/>
      </w:rPr>
    </w:lvl>
    <w:lvl w:ilvl="3">
      <w:start w:val="1"/>
      <w:numFmt w:val="none"/>
      <w:lvlText w:val="3.2.3.2."/>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0F740498"/>
    <w:multiLevelType w:val="hybridMultilevel"/>
    <w:tmpl w:val="F6A2705A"/>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1907102"/>
    <w:multiLevelType w:val="multilevel"/>
    <w:tmpl w:val="DA8A64BA"/>
    <w:lvl w:ilvl="0">
      <w:start w:val="1"/>
      <w:numFmt w:val="decimal"/>
      <w:lvlText w:val="%1."/>
      <w:lvlJc w:val="left"/>
      <w:pPr>
        <w:ind w:left="1349" w:hanging="360"/>
      </w:pPr>
    </w:lvl>
    <w:lvl w:ilvl="1">
      <w:start w:val="2"/>
      <w:numFmt w:val="decimal"/>
      <w:isLgl/>
      <w:lvlText w:val="%1.%2."/>
      <w:lvlJc w:val="left"/>
      <w:pPr>
        <w:ind w:left="1829" w:hanging="840"/>
      </w:pPr>
      <w:rPr>
        <w:rFonts w:hint="default"/>
      </w:rPr>
    </w:lvl>
    <w:lvl w:ilvl="2">
      <w:start w:val="2"/>
      <w:numFmt w:val="decimal"/>
      <w:isLgl/>
      <w:lvlText w:val="%1.%2.%3."/>
      <w:lvlJc w:val="left"/>
      <w:pPr>
        <w:ind w:left="1829" w:hanging="840"/>
      </w:pPr>
      <w:rPr>
        <w:rFonts w:hint="default"/>
      </w:rPr>
    </w:lvl>
    <w:lvl w:ilvl="3">
      <w:start w:val="4"/>
      <w:numFmt w:val="decimal"/>
      <w:isLgl/>
      <w:lvlText w:val="%1.%2.%3.%4."/>
      <w:lvlJc w:val="left"/>
      <w:pPr>
        <w:ind w:left="2069" w:hanging="1080"/>
      </w:pPr>
      <w:rPr>
        <w:rFonts w:hint="default"/>
      </w:rPr>
    </w:lvl>
    <w:lvl w:ilvl="4">
      <w:start w:val="1"/>
      <w:numFmt w:val="decimal"/>
      <w:isLgl/>
      <w:lvlText w:val="%1.%2.%3.%4.%5."/>
      <w:lvlJc w:val="left"/>
      <w:pPr>
        <w:ind w:left="2069" w:hanging="1080"/>
      </w:pPr>
      <w:rPr>
        <w:rFonts w:hint="default"/>
      </w:rPr>
    </w:lvl>
    <w:lvl w:ilvl="5">
      <w:start w:val="1"/>
      <w:numFmt w:val="decimal"/>
      <w:isLgl/>
      <w:lvlText w:val="%1.%2.%3.%4.%5.%6."/>
      <w:lvlJc w:val="left"/>
      <w:pPr>
        <w:ind w:left="2429" w:hanging="1440"/>
      </w:pPr>
      <w:rPr>
        <w:rFonts w:hint="default"/>
      </w:rPr>
    </w:lvl>
    <w:lvl w:ilvl="6">
      <w:start w:val="1"/>
      <w:numFmt w:val="decimal"/>
      <w:isLgl/>
      <w:lvlText w:val="%1.%2.%3.%4.%5.%6.%7."/>
      <w:lvlJc w:val="left"/>
      <w:pPr>
        <w:ind w:left="2789" w:hanging="1800"/>
      </w:pPr>
      <w:rPr>
        <w:rFonts w:hint="default"/>
      </w:rPr>
    </w:lvl>
    <w:lvl w:ilvl="7">
      <w:start w:val="1"/>
      <w:numFmt w:val="decimal"/>
      <w:isLgl/>
      <w:lvlText w:val="%1.%2.%3.%4.%5.%6.%7.%8."/>
      <w:lvlJc w:val="left"/>
      <w:pPr>
        <w:ind w:left="2789" w:hanging="1800"/>
      </w:pPr>
      <w:rPr>
        <w:rFonts w:hint="default"/>
      </w:rPr>
    </w:lvl>
    <w:lvl w:ilvl="8">
      <w:start w:val="1"/>
      <w:numFmt w:val="decimal"/>
      <w:isLgl/>
      <w:lvlText w:val="%1.%2.%3.%4.%5.%6.%7.%8.%9."/>
      <w:lvlJc w:val="left"/>
      <w:pPr>
        <w:ind w:left="3149" w:hanging="2160"/>
      </w:pPr>
      <w:rPr>
        <w:rFonts w:hint="default"/>
      </w:rPr>
    </w:lvl>
  </w:abstractNum>
  <w:abstractNum w:abstractNumId="18">
    <w:nsid w:val="123524AA"/>
    <w:multiLevelType w:val="multilevel"/>
    <w:tmpl w:val="B3F2BA30"/>
    <w:lvl w:ilvl="0">
      <w:start w:val="1"/>
      <w:numFmt w:val="decimal"/>
      <w:lvlText w:val="%1"/>
      <w:lvlJc w:val="left"/>
      <w:pPr>
        <w:ind w:left="432" w:hanging="432"/>
      </w:pPr>
      <w:rPr>
        <w:rFonts w:hint="default"/>
      </w:rPr>
    </w:lvl>
    <w:lvl w:ilvl="1">
      <w:start w:val="1"/>
      <w:numFmt w:val="decimal"/>
      <w:lvlText w:val="4.%2."/>
      <w:lvlJc w:val="left"/>
      <w:pPr>
        <w:ind w:left="576" w:hanging="576"/>
      </w:pPr>
      <w:rPr>
        <w:rFonts w:hint="default"/>
      </w:rPr>
    </w:lvl>
    <w:lvl w:ilvl="2">
      <w:start w:val="1"/>
      <w:numFmt w:val="decimal"/>
      <w:lvlText w:val="4.2.%3."/>
      <w:lvlJc w:val="left"/>
      <w:pPr>
        <w:ind w:left="720" w:hanging="720"/>
      </w:pPr>
      <w:rPr>
        <w:rFonts w:hint="default"/>
      </w:rPr>
    </w:lvl>
    <w:lvl w:ilvl="3">
      <w:start w:val="1"/>
      <w:numFmt w:val="decimal"/>
      <w:lvlText w:val="4.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126F5866"/>
    <w:multiLevelType w:val="hybridMultilevel"/>
    <w:tmpl w:val="3502ED78"/>
    <w:lvl w:ilvl="0" w:tplc="040C0003">
      <w:start w:val="1"/>
      <w:numFmt w:val="bullet"/>
      <w:lvlText w:val="o"/>
      <w:lvlJc w:val="left"/>
      <w:pPr>
        <w:ind w:left="1440" w:hanging="360"/>
      </w:pPr>
      <w:rPr>
        <w:rFonts w:ascii="Courier New" w:hAnsi="Courier New"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0">
    <w:nsid w:val="138D453D"/>
    <w:multiLevelType w:val="hybridMultilevel"/>
    <w:tmpl w:val="FE281224"/>
    <w:lvl w:ilvl="0" w:tplc="F6C8F152">
      <w:start w:val="1"/>
      <w:numFmt w:val="bullet"/>
      <w:lvlText w:val=""/>
      <w:lvlJc w:val="left"/>
      <w:pPr>
        <w:ind w:left="1129" w:hanging="360"/>
      </w:pPr>
      <w:rPr>
        <w:rFonts w:ascii="Symbol" w:hAnsi="Symbol" w:hint="default"/>
        <w:color w:val="auto"/>
      </w:rPr>
    </w:lvl>
    <w:lvl w:ilvl="1" w:tplc="040C0003" w:tentative="1">
      <w:start w:val="1"/>
      <w:numFmt w:val="bullet"/>
      <w:lvlText w:val="o"/>
      <w:lvlJc w:val="left"/>
      <w:pPr>
        <w:ind w:left="1501" w:hanging="360"/>
      </w:pPr>
      <w:rPr>
        <w:rFonts w:ascii="Courier New" w:hAnsi="Courier New" w:hint="default"/>
      </w:rPr>
    </w:lvl>
    <w:lvl w:ilvl="2" w:tplc="040C0005" w:tentative="1">
      <w:start w:val="1"/>
      <w:numFmt w:val="bullet"/>
      <w:lvlText w:val=""/>
      <w:lvlJc w:val="left"/>
      <w:pPr>
        <w:ind w:left="2221" w:hanging="360"/>
      </w:pPr>
      <w:rPr>
        <w:rFonts w:ascii="Wingdings" w:hAnsi="Wingdings" w:hint="default"/>
      </w:rPr>
    </w:lvl>
    <w:lvl w:ilvl="3" w:tplc="040C0001" w:tentative="1">
      <w:start w:val="1"/>
      <w:numFmt w:val="bullet"/>
      <w:lvlText w:val=""/>
      <w:lvlJc w:val="left"/>
      <w:pPr>
        <w:ind w:left="2941" w:hanging="360"/>
      </w:pPr>
      <w:rPr>
        <w:rFonts w:ascii="Symbol" w:hAnsi="Symbol" w:hint="default"/>
      </w:rPr>
    </w:lvl>
    <w:lvl w:ilvl="4" w:tplc="040C0003" w:tentative="1">
      <w:start w:val="1"/>
      <w:numFmt w:val="bullet"/>
      <w:lvlText w:val="o"/>
      <w:lvlJc w:val="left"/>
      <w:pPr>
        <w:ind w:left="3661" w:hanging="360"/>
      </w:pPr>
      <w:rPr>
        <w:rFonts w:ascii="Courier New" w:hAnsi="Courier New" w:hint="default"/>
      </w:rPr>
    </w:lvl>
    <w:lvl w:ilvl="5" w:tplc="040C0005" w:tentative="1">
      <w:start w:val="1"/>
      <w:numFmt w:val="bullet"/>
      <w:lvlText w:val=""/>
      <w:lvlJc w:val="left"/>
      <w:pPr>
        <w:ind w:left="4381" w:hanging="360"/>
      </w:pPr>
      <w:rPr>
        <w:rFonts w:ascii="Wingdings" w:hAnsi="Wingdings" w:hint="default"/>
      </w:rPr>
    </w:lvl>
    <w:lvl w:ilvl="6" w:tplc="040C0001" w:tentative="1">
      <w:start w:val="1"/>
      <w:numFmt w:val="bullet"/>
      <w:lvlText w:val=""/>
      <w:lvlJc w:val="left"/>
      <w:pPr>
        <w:ind w:left="5101" w:hanging="360"/>
      </w:pPr>
      <w:rPr>
        <w:rFonts w:ascii="Symbol" w:hAnsi="Symbol" w:hint="default"/>
      </w:rPr>
    </w:lvl>
    <w:lvl w:ilvl="7" w:tplc="040C0003" w:tentative="1">
      <w:start w:val="1"/>
      <w:numFmt w:val="bullet"/>
      <w:lvlText w:val="o"/>
      <w:lvlJc w:val="left"/>
      <w:pPr>
        <w:ind w:left="5821" w:hanging="360"/>
      </w:pPr>
      <w:rPr>
        <w:rFonts w:ascii="Courier New" w:hAnsi="Courier New" w:hint="default"/>
      </w:rPr>
    </w:lvl>
    <w:lvl w:ilvl="8" w:tplc="040C0005" w:tentative="1">
      <w:start w:val="1"/>
      <w:numFmt w:val="bullet"/>
      <w:lvlText w:val=""/>
      <w:lvlJc w:val="left"/>
      <w:pPr>
        <w:ind w:left="6541" w:hanging="360"/>
      </w:pPr>
      <w:rPr>
        <w:rFonts w:ascii="Wingdings" w:hAnsi="Wingdings" w:hint="default"/>
      </w:rPr>
    </w:lvl>
  </w:abstractNum>
  <w:abstractNum w:abstractNumId="21">
    <w:nsid w:val="141C1831"/>
    <w:multiLevelType w:val="multilevel"/>
    <w:tmpl w:val="E020A66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2.%3."/>
      <w:lvlJc w:val="left"/>
      <w:pPr>
        <w:ind w:left="720" w:hanging="720"/>
      </w:pPr>
      <w:rPr>
        <w:rFonts w:hint="default"/>
      </w:rPr>
    </w:lvl>
    <w:lvl w:ilvl="3">
      <w:start w:val="1"/>
      <w:numFmt w:val="none"/>
      <w:lvlText w:val="3.2.2.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nsid w:val="15867726"/>
    <w:multiLevelType w:val="hybridMultilevel"/>
    <w:tmpl w:val="43C2EAEC"/>
    <w:lvl w:ilvl="0" w:tplc="EEEEDBA4">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1A671289"/>
    <w:multiLevelType w:val="hybridMultilevel"/>
    <w:tmpl w:val="7F36C890"/>
    <w:lvl w:ilvl="0" w:tplc="EB40AD18">
      <w:start w:val="1"/>
      <w:numFmt w:val="bullet"/>
      <w:lvlText w:val=""/>
      <w:lvlJc w:val="left"/>
      <w:pPr>
        <w:ind w:left="720" w:hanging="360"/>
      </w:pPr>
      <w:rPr>
        <w:rFonts w:ascii="Symbol" w:hAnsi="Symbol" w:hint="default"/>
        <w:color w:val="FF6700" w:themeColor="accent3"/>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1B677655"/>
    <w:multiLevelType w:val="hybridMultilevel"/>
    <w:tmpl w:val="2C4CBF70"/>
    <w:lvl w:ilvl="0" w:tplc="040C0001">
      <w:start w:val="1"/>
      <w:numFmt w:val="bullet"/>
      <w:lvlText w:val=""/>
      <w:lvlJc w:val="left"/>
      <w:pPr>
        <w:ind w:left="1065" w:hanging="360"/>
      </w:pPr>
      <w:rPr>
        <w:rFonts w:ascii="Symbol" w:hAnsi="Symbol" w:hint="default"/>
      </w:rPr>
    </w:lvl>
    <w:lvl w:ilvl="1" w:tplc="040C0003">
      <w:start w:val="1"/>
      <w:numFmt w:val="bullet"/>
      <w:lvlText w:val="o"/>
      <w:lvlJc w:val="left"/>
      <w:pPr>
        <w:ind w:left="1785" w:hanging="360"/>
      </w:pPr>
      <w:rPr>
        <w:rFonts w:ascii="Courier New" w:hAnsi="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25">
    <w:nsid w:val="1EB71538"/>
    <w:multiLevelType w:val="hybridMultilevel"/>
    <w:tmpl w:val="51CA4A00"/>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6">
    <w:nsid w:val="1EE8582A"/>
    <w:multiLevelType w:val="hybridMultilevel"/>
    <w:tmpl w:val="F8880EC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1F0652B5"/>
    <w:multiLevelType w:val="hybridMultilevel"/>
    <w:tmpl w:val="67C8E312"/>
    <w:lvl w:ilvl="0" w:tplc="040C000F">
      <w:start w:val="1"/>
      <w:numFmt w:val="decimal"/>
      <w:lvlText w:val="%1."/>
      <w:lvlJc w:val="left"/>
      <w:pPr>
        <w:ind w:left="1776" w:hanging="360"/>
      </w:p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28">
    <w:nsid w:val="20807B75"/>
    <w:multiLevelType w:val="multilevel"/>
    <w:tmpl w:val="DDC0916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212C4F74"/>
    <w:multiLevelType w:val="hybridMultilevel"/>
    <w:tmpl w:val="962450A8"/>
    <w:lvl w:ilvl="0" w:tplc="040C000F">
      <w:start w:val="1"/>
      <w:numFmt w:val="decimal"/>
      <w:lvlText w:val="%1."/>
      <w:lvlJc w:val="left"/>
      <w:pPr>
        <w:ind w:left="854" w:hanging="360"/>
      </w:pPr>
    </w:lvl>
    <w:lvl w:ilvl="1" w:tplc="040C0019" w:tentative="1">
      <w:start w:val="1"/>
      <w:numFmt w:val="lowerLetter"/>
      <w:lvlText w:val="%2."/>
      <w:lvlJc w:val="left"/>
      <w:pPr>
        <w:ind w:left="1574" w:hanging="360"/>
      </w:pPr>
    </w:lvl>
    <w:lvl w:ilvl="2" w:tplc="040C001B" w:tentative="1">
      <w:start w:val="1"/>
      <w:numFmt w:val="lowerRoman"/>
      <w:lvlText w:val="%3."/>
      <w:lvlJc w:val="right"/>
      <w:pPr>
        <w:ind w:left="2294" w:hanging="180"/>
      </w:pPr>
    </w:lvl>
    <w:lvl w:ilvl="3" w:tplc="040C000F" w:tentative="1">
      <w:start w:val="1"/>
      <w:numFmt w:val="decimal"/>
      <w:lvlText w:val="%4."/>
      <w:lvlJc w:val="left"/>
      <w:pPr>
        <w:ind w:left="3014" w:hanging="360"/>
      </w:pPr>
    </w:lvl>
    <w:lvl w:ilvl="4" w:tplc="040C0019" w:tentative="1">
      <w:start w:val="1"/>
      <w:numFmt w:val="lowerLetter"/>
      <w:lvlText w:val="%5."/>
      <w:lvlJc w:val="left"/>
      <w:pPr>
        <w:ind w:left="3734" w:hanging="360"/>
      </w:pPr>
    </w:lvl>
    <w:lvl w:ilvl="5" w:tplc="040C001B" w:tentative="1">
      <w:start w:val="1"/>
      <w:numFmt w:val="lowerRoman"/>
      <w:lvlText w:val="%6."/>
      <w:lvlJc w:val="right"/>
      <w:pPr>
        <w:ind w:left="4454" w:hanging="180"/>
      </w:pPr>
    </w:lvl>
    <w:lvl w:ilvl="6" w:tplc="040C000F" w:tentative="1">
      <w:start w:val="1"/>
      <w:numFmt w:val="decimal"/>
      <w:lvlText w:val="%7."/>
      <w:lvlJc w:val="left"/>
      <w:pPr>
        <w:ind w:left="5174" w:hanging="360"/>
      </w:pPr>
    </w:lvl>
    <w:lvl w:ilvl="7" w:tplc="040C0019" w:tentative="1">
      <w:start w:val="1"/>
      <w:numFmt w:val="lowerLetter"/>
      <w:lvlText w:val="%8."/>
      <w:lvlJc w:val="left"/>
      <w:pPr>
        <w:ind w:left="5894" w:hanging="360"/>
      </w:pPr>
    </w:lvl>
    <w:lvl w:ilvl="8" w:tplc="040C001B" w:tentative="1">
      <w:start w:val="1"/>
      <w:numFmt w:val="lowerRoman"/>
      <w:lvlText w:val="%9."/>
      <w:lvlJc w:val="right"/>
      <w:pPr>
        <w:ind w:left="6614" w:hanging="180"/>
      </w:pPr>
    </w:lvl>
  </w:abstractNum>
  <w:abstractNum w:abstractNumId="30">
    <w:nsid w:val="218470F2"/>
    <w:multiLevelType w:val="hybridMultilevel"/>
    <w:tmpl w:val="233AB2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26A13294"/>
    <w:multiLevelType w:val="multilevel"/>
    <w:tmpl w:val="1408F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27691DB5"/>
    <w:multiLevelType w:val="multilevel"/>
    <w:tmpl w:val="B3F2BA30"/>
    <w:lvl w:ilvl="0">
      <w:start w:val="1"/>
      <w:numFmt w:val="decimal"/>
      <w:pStyle w:val="Titre1"/>
      <w:lvlText w:val="%1"/>
      <w:lvlJc w:val="left"/>
      <w:pPr>
        <w:ind w:left="432" w:hanging="432"/>
      </w:pPr>
      <w:rPr>
        <w:rFonts w:hint="default"/>
      </w:rPr>
    </w:lvl>
    <w:lvl w:ilvl="1">
      <w:start w:val="1"/>
      <w:numFmt w:val="decimal"/>
      <w:pStyle w:val="Titre2"/>
      <w:lvlText w:val="4.%2."/>
      <w:lvlJc w:val="left"/>
      <w:pPr>
        <w:ind w:left="576" w:hanging="576"/>
      </w:pPr>
      <w:rPr>
        <w:rFonts w:hint="default"/>
      </w:rPr>
    </w:lvl>
    <w:lvl w:ilvl="2">
      <w:start w:val="1"/>
      <w:numFmt w:val="decimal"/>
      <w:pStyle w:val="Titre3"/>
      <w:lvlText w:val="4.2.%3."/>
      <w:lvlJc w:val="left"/>
      <w:pPr>
        <w:ind w:left="720" w:hanging="720"/>
      </w:pPr>
      <w:rPr>
        <w:rFonts w:hint="default"/>
      </w:rPr>
    </w:lvl>
    <w:lvl w:ilvl="3">
      <w:start w:val="1"/>
      <w:numFmt w:val="decimal"/>
      <w:lvlText w:val="4.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33">
    <w:nsid w:val="282B4499"/>
    <w:multiLevelType w:val="hybridMultilevel"/>
    <w:tmpl w:val="E4D8EB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29555A7C"/>
    <w:multiLevelType w:val="hybridMultilevel"/>
    <w:tmpl w:val="D074A4A4"/>
    <w:lvl w:ilvl="0" w:tplc="040C0001">
      <w:start w:val="1"/>
      <w:numFmt w:val="bullet"/>
      <w:lvlText w:val=""/>
      <w:lvlJc w:val="left"/>
      <w:pPr>
        <w:ind w:left="3192" w:hanging="360"/>
      </w:pPr>
      <w:rPr>
        <w:rFonts w:ascii="Symbol" w:hAnsi="Symbol" w:hint="default"/>
      </w:rPr>
    </w:lvl>
    <w:lvl w:ilvl="1" w:tplc="040C0003" w:tentative="1">
      <w:start w:val="1"/>
      <w:numFmt w:val="bullet"/>
      <w:lvlText w:val="o"/>
      <w:lvlJc w:val="left"/>
      <w:pPr>
        <w:ind w:left="3912" w:hanging="360"/>
      </w:pPr>
      <w:rPr>
        <w:rFonts w:ascii="Courier New" w:hAnsi="Courier New" w:hint="default"/>
      </w:rPr>
    </w:lvl>
    <w:lvl w:ilvl="2" w:tplc="040C0005" w:tentative="1">
      <w:start w:val="1"/>
      <w:numFmt w:val="bullet"/>
      <w:lvlText w:val=""/>
      <w:lvlJc w:val="left"/>
      <w:pPr>
        <w:ind w:left="4632" w:hanging="360"/>
      </w:pPr>
      <w:rPr>
        <w:rFonts w:ascii="Wingdings" w:hAnsi="Wingdings" w:hint="default"/>
      </w:rPr>
    </w:lvl>
    <w:lvl w:ilvl="3" w:tplc="040C0001" w:tentative="1">
      <w:start w:val="1"/>
      <w:numFmt w:val="bullet"/>
      <w:lvlText w:val=""/>
      <w:lvlJc w:val="left"/>
      <w:pPr>
        <w:ind w:left="5352" w:hanging="360"/>
      </w:pPr>
      <w:rPr>
        <w:rFonts w:ascii="Symbol" w:hAnsi="Symbol" w:hint="default"/>
      </w:rPr>
    </w:lvl>
    <w:lvl w:ilvl="4" w:tplc="040C0003" w:tentative="1">
      <w:start w:val="1"/>
      <w:numFmt w:val="bullet"/>
      <w:lvlText w:val="o"/>
      <w:lvlJc w:val="left"/>
      <w:pPr>
        <w:ind w:left="6072" w:hanging="360"/>
      </w:pPr>
      <w:rPr>
        <w:rFonts w:ascii="Courier New" w:hAnsi="Courier New" w:hint="default"/>
      </w:rPr>
    </w:lvl>
    <w:lvl w:ilvl="5" w:tplc="040C0005" w:tentative="1">
      <w:start w:val="1"/>
      <w:numFmt w:val="bullet"/>
      <w:lvlText w:val=""/>
      <w:lvlJc w:val="left"/>
      <w:pPr>
        <w:ind w:left="6792" w:hanging="360"/>
      </w:pPr>
      <w:rPr>
        <w:rFonts w:ascii="Wingdings" w:hAnsi="Wingdings" w:hint="default"/>
      </w:rPr>
    </w:lvl>
    <w:lvl w:ilvl="6" w:tplc="040C0001" w:tentative="1">
      <w:start w:val="1"/>
      <w:numFmt w:val="bullet"/>
      <w:lvlText w:val=""/>
      <w:lvlJc w:val="left"/>
      <w:pPr>
        <w:ind w:left="7512" w:hanging="360"/>
      </w:pPr>
      <w:rPr>
        <w:rFonts w:ascii="Symbol" w:hAnsi="Symbol" w:hint="default"/>
      </w:rPr>
    </w:lvl>
    <w:lvl w:ilvl="7" w:tplc="040C0003" w:tentative="1">
      <w:start w:val="1"/>
      <w:numFmt w:val="bullet"/>
      <w:lvlText w:val="o"/>
      <w:lvlJc w:val="left"/>
      <w:pPr>
        <w:ind w:left="8232" w:hanging="360"/>
      </w:pPr>
      <w:rPr>
        <w:rFonts w:ascii="Courier New" w:hAnsi="Courier New" w:hint="default"/>
      </w:rPr>
    </w:lvl>
    <w:lvl w:ilvl="8" w:tplc="040C0005" w:tentative="1">
      <w:start w:val="1"/>
      <w:numFmt w:val="bullet"/>
      <w:lvlText w:val=""/>
      <w:lvlJc w:val="left"/>
      <w:pPr>
        <w:ind w:left="8952" w:hanging="360"/>
      </w:pPr>
      <w:rPr>
        <w:rFonts w:ascii="Wingdings" w:hAnsi="Wingdings" w:hint="default"/>
      </w:rPr>
    </w:lvl>
  </w:abstractNum>
  <w:abstractNum w:abstractNumId="35">
    <w:nsid w:val="2A105D90"/>
    <w:multiLevelType w:val="hybridMultilevel"/>
    <w:tmpl w:val="436AA54A"/>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2A8278E4"/>
    <w:multiLevelType w:val="hybridMultilevel"/>
    <w:tmpl w:val="22D00EE0"/>
    <w:lvl w:ilvl="0" w:tplc="040C000F">
      <w:start w:val="1"/>
      <w:numFmt w:val="decimal"/>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7">
    <w:nsid w:val="2CF20111"/>
    <w:multiLevelType w:val="multilevel"/>
    <w:tmpl w:val="0522506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2.%2.%3.3.%5."/>
      <w:lvlJc w:val="left"/>
      <w:pPr>
        <w:ind w:left="1502" w:hanging="792"/>
      </w:pPr>
      <w:rPr>
        <w:rFonts w:hint="default"/>
        <w:color w:val="auto"/>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nsid w:val="2D026DD9"/>
    <w:multiLevelType w:val="hybridMultilevel"/>
    <w:tmpl w:val="493043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2E302AC2"/>
    <w:multiLevelType w:val="hybridMultilevel"/>
    <w:tmpl w:val="EEDAE936"/>
    <w:lvl w:ilvl="0" w:tplc="F6C8F152">
      <w:start w:val="1"/>
      <w:numFmt w:val="bullet"/>
      <w:lvlText w:val=""/>
      <w:lvlJc w:val="left"/>
      <w:pPr>
        <w:ind w:left="1068" w:hanging="360"/>
      </w:pPr>
      <w:rPr>
        <w:rFonts w:ascii="Symbol" w:hAnsi="Symbol" w:hint="default"/>
        <w:color w:val="auto"/>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0">
    <w:nsid w:val="2EC2741E"/>
    <w:multiLevelType w:val="hybridMultilevel"/>
    <w:tmpl w:val="F74825F8"/>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1">
    <w:nsid w:val="2F8A7166"/>
    <w:multiLevelType w:val="hybridMultilevel"/>
    <w:tmpl w:val="6D54B0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306D0901"/>
    <w:multiLevelType w:val="hybridMultilevel"/>
    <w:tmpl w:val="E98434F6"/>
    <w:lvl w:ilvl="0" w:tplc="DCD2081A">
      <w:start w:val="1"/>
      <w:numFmt w:val="bullet"/>
      <w:lvlText w:val=""/>
      <w:lvlJc w:val="left"/>
      <w:pPr>
        <w:ind w:left="1111" w:hanging="360"/>
      </w:pPr>
      <w:rPr>
        <w:rFonts w:ascii="Symbol" w:hAnsi="Symbol" w:hint="default"/>
        <w:color w:val="auto"/>
      </w:rPr>
    </w:lvl>
    <w:lvl w:ilvl="1" w:tplc="312CAE66">
      <w:start w:val="1"/>
      <w:numFmt w:val="bullet"/>
      <w:lvlText w:val="o"/>
      <w:lvlJc w:val="left"/>
      <w:pPr>
        <w:ind w:left="1831" w:hanging="360"/>
      </w:pPr>
      <w:rPr>
        <w:rFonts w:ascii="Courier New" w:hAnsi="Courier New" w:hint="default"/>
        <w:color w:val="000000" w:themeColor="text1"/>
      </w:rPr>
    </w:lvl>
    <w:lvl w:ilvl="2" w:tplc="040C0005" w:tentative="1">
      <w:start w:val="1"/>
      <w:numFmt w:val="bullet"/>
      <w:lvlText w:val=""/>
      <w:lvlJc w:val="left"/>
      <w:pPr>
        <w:ind w:left="2551" w:hanging="360"/>
      </w:pPr>
      <w:rPr>
        <w:rFonts w:ascii="Wingdings" w:hAnsi="Wingdings" w:hint="default"/>
      </w:rPr>
    </w:lvl>
    <w:lvl w:ilvl="3" w:tplc="040C0001" w:tentative="1">
      <w:start w:val="1"/>
      <w:numFmt w:val="bullet"/>
      <w:lvlText w:val=""/>
      <w:lvlJc w:val="left"/>
      <w:pPr>
        <w:ind w:left="3271" w:hanging="360"/>
      </w:pPr>
      <w:rPr>
        <w:rFonts w:ascii="Symbol" w:hAnsi="Symbol" w:hint="default"/>
      </w:rPr>
    </w:lvl>
    <w:lvl w:ilvl="4" w:tplc="040C0003" w:tentative="1">
      <w:start w:val="1"/>
      <w:numFmt w:val="bullet"/>
      <w:lvlText w:val="o"/>
      <w:lvlJc w:val="left"/>
      <w:pPr>
        <w:ind w:left="3991" w:hanging="360"/>
      </w:pPr>
      <w:rPr>
        <w:rFonts w:ascii="Courier New" w:hAnsi="Courier New" w:hint="default"/>
      </w:rPr>
    </w:lvl>
    <w:lvl w:ilvl="5" w:tplc="040C0005" w:tentative="1">
      <w:start w:val="1"/>
      <w:numFmt w:val="bullet"/>
      <w:lvlText w:val=""/>
      <w:lvlJc w:val="left"/>
      <w:pPr>
        <w:ind w:left="4711" w:hanging="360"/>
      </w:pPr>
      <w:rPr>
        <w:rFonts w:ascii="Wingdings" w:hAnsi="Wingdings" w:hint="default"/>
      </w:rPr>
    </w:lvl>
    <w:lvl w:ilvl="6" w:tplc="040C0001" w:tentative="1">
      <w:start w:val="1"/>
      <w:numFmt w:val="bullet"/>
      <w:lvlText w:val=""/>
      <w:lvlJc w:val="left"/>
      <w:pPr>
        <w:ind w:left="5431" w:hanging="360"/>
      </w:pPr>
      <w:rPr>
        <w:rFonts w:ascii="Symbol" w:hAnsi="Symbol" w:hint="default"/>
      </w:rPr>
    </w:lvl>
    <w:lvl w:ilvl="7" w:tplc="040C0003" w:tentative="1">
      <w:start w:val="1"/>
      <w:numFmt w:val="bullet"/>
      <w:lvlText w:val="o"/>
      <w:lvlJc w:val="left"/>
      <w:pPr>
        <w:ind w:left="6151" w:hanging="360"/>
      </w:pPr>
      <w:rPr>
        <w:rFonts w:ascii="Courier New" w:hAnsi="Courier New" w:hint="default"/>
      </w:rPr>
    </w:lvl>
    <w:lvl w:ilvl="8" w:tplc="040C0005" w:tentative="1">
      <w:start w:val="1"/>
      <w:numFmt w:val="bullet"/>
      <w:lvlText w:val=""/>
      <w:lvlJc w:val="left"/>
      <w:pPr>
        <w:ind w:left="6871" w:hanging="360"/>
      </w:pPr>
      <w:rPr>
        <w:rFonts w:ascii="Wingdings" w:hAnsi="Wingdings" w:hint="default"/>
      </w:rPr>
    </w:lvl>
  </w:abstractNum>
  <w:abstractNum w:abstractNumId="43">
    <w:nsid w:val="314E3278"/>
    <w:multiLevelType w:val="hybridMultilevel"/>
    <w:tmpl w:val="E86E42B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nsid w:val="32720BB6"/>
    <w:multiLevelType w:val="multilevel"/>
    <w:tmpl w:val="AD9E1ECA"/>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nsid w:val="33FE4220"/>
    <w:multiLevelType w:val="multilevel"/>
    <w:tmpl w:val="ED1E228E"/>
    <w:lvl w:ilvl="0">
      <w:start w:val="4"/>
      <w:numFmt w:val="decimal"/>
      <w:lvlText w:val="%1."/>
      <w:lvlJc w:val="left"/>
      <w:pPr>
        <w:ind w:left="840" w:hanging="840"/>
      </w:pPr>
      <w:rPr>
        <w:rFonts w:hint="default"/>
      </w:rPr>
    </w:lvl>
    <w:lvl w:ilvl="1">
      <w:start w:val="2"/>
      <w:numFmt w:val="decimal"/>
      <w:lvlText w:val="%1.%2."/>
      <w:lvlJc w:val="left"/>
      <w:pPr>
        <w:ind w:left="840" w:hanging="840"/>
      </w:pPr>
      <w:rPr>
        <w:rFonts w:hint="default"/>
      </w:rPr>
    </w:lvl>
    <w:lvl w:ilvl="2">
      <w:start w:val="1"/>
      <w:numFmt w:val="decimal"/>
      <w:lvlText w:val="%1.%2.%3."/>
      <w:lvlJc w:val="left"/>
      <w:pPr>
        <w:ind w:left="840" w:hanging="840"/>
      </w:pPr>
      <w:rPr>
        <w:rFonts w:hint="default"/>
      </w:rPr>
    </w:lvl>
    <w:lvl w:ilvl="3">
      <w:start w:val="4"/>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6">
    <w:nsid w:val="3602243E"/>
    <w:multiLevelType w:val="hybridMultilevel"/>
    <w:tmpl w:val="3D10EE26"/>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362451F9"/>
    <w:multiLevelType w:val="hybridMultilevel"/>
    <w:tmpl w:val="008E80A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nsid w:val="384F7D5D"/>
    <w:multiLevelType w:val="hybridMultilevel"/>
    <w:tmpl w:val="29D8B5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38930C49"/>
    <w:multiLevelType w:val="hybridMultilevel"/>
    <w:tmpl w:val="10D8AEB0"/>
    <w:lvl w:ilvl="0" w:tplc="F6C8F152">
      <w:start w:val="1"/>
      <w:numFmt w:val="bullet"/>
      <w:lvlText w:val=""/>
      <w:lvlJc w:val="left"/>
      <w:pPr>
        <w:ind w:left="1068"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3A341BC4"/>
    <w:multiLevelType w:val="hybridMultilevel"/>
    <w:tmpl w:val="B83C57FC"/>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3A8B31CD"/>
    <w:multiLevelType w:val="hybridMultilevel"/>
    <w:tmpl w:val="729077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nsid w:val="3AA4644D"/>
    <w:multiLevelType w:val="hybridMultilevel"/>
    <w:tmpl w:val="5E72BF00"/>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nsid w:val="3CBB1C99"/>
    <w:multiLevelType w:val="multilevel"/>
    <w:tmpl w:val="49EEA52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2.%3."/>
      <w:lvlJc w:val="left"/>
      <w:pPr>
        <w:ind w:left="720" w:hanging="720"/>
      </w:pPr>
      <w:rPr>
        <w:rFonts w:hint="default"/>
      </w:rPr>
    </w:lvl>
    <w:lvl w:ilvl="3">
      <w:start w:val="1"/>
      <w:numFmt w:val="none"/>
      <w:lvlText w:val="3.2.3.1."/>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4">
    <w:nsid w:val="3ECB32EB"/>
    <w:multiLevelType w:val="multilevel"/>
    <w:tmpl w:val="5E10F4F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2.%3."/>
      <w:lvlJc w:val="left"/>
      <w:pPr>
        <w:ind w:left="720" w:hanging="720"/>
      </w:pPr>
      <w:rPr>
        <w:rFonts w:hint="default"/>
      </w:rPr>
    </w:lvl>
    <w:lvl w:ilvl="3">
      <w:start w:val="1"/>
      <w:numFmt w:val="none"/>
      <w:lvlText w:val="3.2.4.2."/>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5">
    <w:nsid w:val="3F5B574A"/>
    <w:multiLevelType w:val="hybridMultilevel"/>
    <w:tmpl w:val="00F052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nsid w:val="3F8D4DDC"/>
    <w:multiLevelType w:val="hybridMultilevel"/>
    <w:tmpl w:val="499C74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404F6424"/>
    <w:multiLevelType w:val="hybridMultilevel"/>
    <w:tmpl w:val="FCF018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40B7635B"/>
    <w:multiLevelType w:val="hybridMultilevel"/>
    <w:tmpl w:val="421EC60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9">
    <w:nsid w:val="41580569"/>
    <w:multiLevelType w:val="hybridMultilevel"/>
    <w:tmpl w:val="7F94E00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0">
    <w:nsid w:val="42834D25"/>
    <w:multiLevelType w:val="multilevel"/>
    <w:tmpl w:val="70B8A1D0"/>
    <w:lvl w:ilvl="0">
      <w:start w:val="1"/>
      <w:numFmt w:val="decimal"/>
      <w:lvlText w:val="%1"/>
      <w:lvlJc w:val="left"/>
      <w:pPr>
        <w:ind w:left="864" w:hanging="432"/>
      </w:pPr>
      <w:rPr>
        <w:rFonts w:hint="default"/>
      </w:rPr>
    </w:lvl>
    <w:lvl w:ilvl="1">
      <w:start w:val="1"/>
      <w:numFmt w:val="decimal"/>
      <w:lvlText w:val="4.%2."/>
      <w:lvlJc w:val="left"/>
      <w:pPr>
        <w:ind w:left="1008" w:hanging="576"/>
      </w:pPr>
      <w:rPr>
        <w:rFonts w:hint="default"/>
      </w:rPr>
    </w:lvl>
    <w:lvl w:ilvl="2">
      <w:start w:val="1"/>
      <w:numFmt w:val="decimal"/>
      <w:lvlText w:val="4.2.%3."/>
      <w:lvlJc w:val="left"/>
      <w:pPr>
        <w:ind w:left="1152" w:hanging="720"/>
      </w:pPr>
      <w:rPr>
        <w:rFonts w:hint="default"/>
      </w:rPr>
    </w:lvl>
    <w:lvl w:ilvl="3">
      <w:start w:val="1"/>
      <w:numFmt w:val="decimal"/>
      <w:lvlText w:val="5.1.3.%4."/>
      <w:lvlJc w:val="left"/>
      <w:pPr>
        <w:ind w:left="1296" w:hanging="864"/>
      </w:pPr>
      <w:rPr>
        <w:rFonts w:hint="default"/>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61">
    <w:nsid w:val="462D71BF"/>
    <w:multiLevelType w:val="hybridMultilevel"/>
    <w:tmpl w:val="750009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2">
    <w:nsid w:val="462F4F64"/>
    <w:multiLevelType w:val="hybridMultilevel"/>
    <w:tmpl w:val="7A489C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nsid w:val="46C41626"/>
    <w:multiLevelType w:val="multilevel"/>
    <w:tmpl w:val="57DE393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2.%3."/>
      <w:lvlJc w:val="left"/>
      <w:pPr>
        <w:ind w:left="720" w:hanging="720"/>
      </w:pPr>
      <w:rPr>
        <w:rFonts w:hint="default"/>
      </w:rPr>
    </w:lvl>
    <w:lvl w:ilvl="3">
      <w:start w:val="1"/>
      <w:numFmt w:val="none"/>
      <w:lvlText w:val="3.2.2.1."/>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4">
    <w:nsid w:val="46F603A8"/>
    <w:multiLevelType w:val="hybridMultilevel"/>
    <w:tmpl w:val="FE5CAC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nsid w:val="47107422"/>
    <w:multiLevelType w:val="hybridMultilevel"/>
    <w:tmpl w:val="0ABC1846"/>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6">
    <w:nsid w:val="48261411"/>
    <w:multiLevelType w:val="hybridMultilevel"/>
    <w:tmpl w:val="1D244FEA"/>
    <w:lvl w:ilvl="0" w:tplc="040C000F">
      <w:start w:val="1"/>
      <w:numFmt w:val="decimal"/>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67">
    <w:nsid w:val="4B151A7E"/>
    <w:multiLevelType w:val="hybridMultilevel"/>
    <w:tmpl w:val="1788454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8">
    <w:nsid w:val="4BB64315"/>
    <w:multiLevelType w:val="hybridMultilevel"/>
    <w:tmpl w:val="790885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nsid w:val="4D1A335C"/>
    <w:multiLevelType w:val="multilevel"/>
    <w:tmpl w:val="4F8874D2"/>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0">
    <w:nsid w:val="4D644C62"/>
    <w:multiLevelType w:val="multilevel"/>
    <w:tmpl w:val="04CAF7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4DCB2C96"/>
    <w:multiLevelType w:val="hybridMultilevel"/>
    <w:tmpl w:val="4C3A9A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nsid w:val="4DEB789F"/>
    <w:multiLevelType w:val="multilevel"/>
    <w:tmpl w:val="DC30B270"/>
    <w:lvl w:ilvl="0">
      <w:start w:val="3"/>
      <w:numFmt w:val="none"/>
      <w:lvlText w:val="%13.3."/>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3">
    <w:nsid w:val="51946552"/>
    <w:multiLevelType w:val="hybridMultilevel"/>
    <w:tmpl w:val="79AAD71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51CE1BB8"/>
    <w:multiLevelType w:val="multilevel"/>
    <w:tmpl w:val="F4423DE4"/>
    <w:lvl w:ilvl="0">
      <w:start w:val="1"/>
      <w:numFmt w:val="decimal"/>
      <w:lvlText w:val="%1"/>
      <w:lvlJc w:val="left"/>
      <w:pPr>
        <w:ind w:left="432" w:hanging="432"/>
      </w:pPr>
      <w:rPr>
        <w:rFonts w:hint="default"/>
      </w:rPr>
    </w:lvl>
    <w:lvl w:ilvl="1">
      <w:start w:val="1"/>
      <w:numFmt w:val="decimal"/>
      <w:lvlText w:val="4.%2."/>
      <w:lvlJc w:val="left"/>
      <w:pPr>
        <w:ind w:left="576" w:hanging="576"/>
      </w:pPr>
      <w:rPr>
        <w:rFonts w:hint="default"/>
      </w:rPr>
    </w:lvl>
    <w:lvl w:ilvl="2">
      <w:start w:val="1"/>
      <w:numFmt w:val="decimal"/>
      <w:lvlText w:val="6.2.%3."/>
      <w:lvlJc w:val="left"/>
      <w:pPr>
        <w:ind w:left="720" w:hanging="720"/>
      </w:pPr>
      <w:rPr>
        <w:rFonts w:hint="default"/>
      </w:rPr>
    </w:lvl>
    <w:lvl w:ilvl="3">
      <w:start w:val="1"/>
      <w:numFmt w:val="decimal"/>
      <w:lvlText w:val="6.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5">
    <w:nsid w:val="53B16326"/>
    <w:multiLevelType w:val="hybridMultilevel"/>
    <w:tmpl w:val="7892E77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6">
    <w:nsid w:val="54480A3F"/>
    <w:multiLevelType w:val="hybridMultilevel"/>
    <w:tmpl w:val="A68855E4"/>
    <w:lvl w:ilvl="0" w:tplc="040C0001">
      <w:start w:val="1"/>
      <w:numFmt w:val="bullet"/>
      <w:lvlText w:val=""/>
      <w:lvlJc w:val="left"/>
      <w:pPr>
        <w:ind w:left="6846" w:hanging="360"/>
      </w:pPr>
      <w:rPr>
        <w:rFonts w:ascii="Symbol" w:hAnsi="Symbol" w:hint="default"/>
      </w:rPr>
    </w:lvl>
    <w:lvl w:ilvl="1" w:tplc="040C0003" w:tentative="1">
      <w:start w:val="1"/>
      <w:numFmt w:val="bullet"/>
      <w:lvlText w:val="o"/>
      <w:lvlJc w:val="left"/>
      <w:pPr>
        <w:ind w:left="7566" w:hanging="360"/>
      </w:pPr>
      <w:rPr>
        <w:rFonts w:ascii="Courier New" w:hAnsi="Courier New" w:hint="default"/>
      </w:rPr>
    </w:lvl>
    <w:lvl w:ilvl="2" w:tplc="040C0005" w:tentative="1">
      <w:start w:val="1"/>
      <w:numFmt w:val="bullet"/>
      <w:lvlText w:val=""/>
      <w:lvlJc w:val="left"/>
      <w:pPr>
        <w:ind w:left="8286" w:hanging="360"/>
      </w:pPr>
      <w:rPr>
        <w:rFonts w:ascii="Wingdings" w:hAnsi="Wingdings" w:hint="default"/>
      </w:rPr>
    </w:lvl>
    <w:lvl w:ilvl="3" w:tplc="040C0001" w:tentative="1">
      <w:start w:val="1"/>
      <w:numFmt w:val="bullet"/>
      <w:lvlText w:val=""/>
      <w:lvlJc w:val="left"/>
      <w:pPr>
        <w:ind w:left="9006" w:hanging="360"/>
      </w:pPr>
      <w:rPr>
        <w:rFonts w:ascii="Symbol" w:hAnsi="Symbol" w:hint="default"/>
      </w:rPr>
    </w:lvl>
    <w:lvl w:ilvl="4" w:tplc="040C0003" w:tentative="1">
      <w:start w:val="1"/>
      <w:numFmt w:val="bullet"/>
      <w:lvlText w:val="o"/>
      <w:lvlJc w:val="left"/>
      <w:pPr>
        <w:ind w:left="9726" w:hanging="360"/>
      </w:pPr>
      <w:rPr>
        <w:rFonts w:ascii="Courier New" w:hAnsi="Courier New" w:hint="default"/>
      </w:rPr>
    </w:lvl>
    <w:lvl w:ilvl="5" w:tplc="040C0005" w:tentative="1">
      <w:start w:val="1"/>
      <w:numFmt w:val="bullet"/>
      <w:lvlText w:val=""/>
      <w:lvlJc w:val="left"/>
      <w:pPr>
        <w:ind w:left="10446" w:hanging="360"/>
      </w:pPr>
      <w:rPr>
        <w:rFonts w:ascii="Wingdings" w:hAnsi="Wingdings" w:hint="default"/>
      </w:rPr>
    </w:lvl>
    <w:lvl w:ilvl="6" w:tplc="040C0001" w:tentative="1">
      <w:start w:val="1"/>
      <w:numFmt w:val="bullet"/>
      <w:lvlText w:val=""/>
      <w:lvlJc w:val="left"/>
      <w:pPr>
        <w:ind w:left="11166" w:hanging="360"/>
      </w:pPr>
      <w:rPr>
        <w:rFonts w:ascii="Symbol" w:hAnsi="Symbol" w:hint="default"/>
      </w:rPr>
    </w:lvl>
    <w:lvl w:ilvl="7" w:tplc="040C0003" w:tentative="1">
      <w:start w:val="1"/>
      <w:numFmt w:val="bullet"/>
      <w:lvlText w:val="o"/>
      <w:lvlJc w:val="left"/>
      <w:pPr>
        <w:ind w:left="11886" w:hanging="360"/>
      </w:pPr>
      <w:rPr>
        <w:rFonts w:ascii="Courier New" w:hAnsi="Courier New" w:hint="default"/>
      </w:rPr>
    </w:lvl>
    <w:lvl w:ilvl="8" w:tplc="040C0005" w:tentative="1">
      <w:start w:val="1"/>
      <w:numFmt w:val="bullet"/>
      <w:lvlText w:val=""/>
      <w:lvlJc w:val="left"/>
      <w:pPr>
        <w:ind w:left="12606" w:hanging="360"/>
      </w:pPr>
      <w:rPr>
        <w:rFonts w:ascii="Wingdings" w:hAnsi="Wingdings" w:hint="default"/>
      </w:rPr>
    </w:lvl>
  </w:abstractNum>
  <w:abstractNum w:abstractNumId="77">
    <w:nsid w:val="54551264"/>
    <w:multiLevelType w:val="hybridMultilevel"/>
    <w:tmpl w:val="76C03F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nsid w:val="54657991"/>
    <w:multiLevelType w:val="hybridMultilevel"/>
    <w:tmpl w:val="01902F9C"/>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nsid w:val="579416E6"/>
    <w:multiLevelType w:val="multilevel"/>
    <w:tmpl w:val="1AFCBE0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2.%3."/>
      <w:lvlJc w:val="left"/>
      <w:pPr>
        <w:ind w:left="720" w:hanging="720"/>
      </w:pPr>
      <w:rPr>
        <w:rFonts w:hint="default"/>
      </w:rPr>
    </w:lvl>
    <w:lvl w:ilvl="3">
      <w:start w:val="1"/>
      <w:numFmt w:val="decimal"/>
      <w:lvlText w:val="2.1.%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0">
    <w:nsid w:val="5A327CDE"/>
    <w:multiLevelType w:val="hybridMultilevel"/>
    <w:tmpl w:val="87D0DF70"/>
    <w:lvl w:ilvl="0" w:tplc="65E09FEA">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nsid w:val="5C143D9D"/>
    <w:multiLevelType w:val="multilevel"/>
    <w:tmpl w:val="033C6B54"/>
    <w:lvl w:ilvl="0">
      <w:start w:val="2"/>
      <w:numFmt w:val="decimal"/>
      <w:lvlText w:val="%1."/>
      <w:lvlJc w:val="left"/>
      <w:pPr>
        <w:ind w:left="360" w:hanging="360"/>
      </w:pPr>
      <w:rPr>
        <w:rFonts w:hint="default"/>
      </w:rPr>
    </w:lvl>
    <w:lvl w:ilvl="1">
      <w:start w:val="1"/>
      <w:numFmt w:val="none"/>
      <w:lvlText w:val="3.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4%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2">
    <w:nsid w:val="5FCC6931"/>
    <w:multiLevelType w:val="hybridMultilevel"/>
    <w:tmpl w:val="6FB040A2"/>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3">
    <w:nsid w:val="62E9578C"/>
    <w:multiLevelType w:val="hybridMultilevel"/>
    <w:tmpl w:val="E25A1E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nsid w:val="664B18C3"/>
    <w:multiLevelType w:val="hybridMultilevel"/>
    <w:tmpl w:val="3DAE98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nsid w:val="69924942"/>
    <w:multiLevelType w:val="hybridMultilevel"/>
    <w:tmpl w:val="B9D0079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nsid w:val="69AD5E80"/>
    <w:multiLevelType w:val="hybridMultilevel"/>
    <w:tmpl w:val="BD6C5D72"/>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7">
    <w:nsid w:val="6A92312C"/>
    <w:multiLevelType w:val="multilevel"/>
    <w:tmpl w:val="1270C9A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2.%3."/>
      <w:lvlJc w:val="left"/>
      <w:pPr>
        <w:ind w:left="720" w:hanging="720"/>
      </w:pPr>
      <w:rPr>
        <w:rFonts w:hint="default"/>
      </w:rPr>
    </w:lvl>
    <w:lvl w:ilvl="3">
      <w:start w:val="1"/>
      <w:numFmt w:val="none"/>
      <w:lvlText w:val="3.2.2.5."/>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8">
    <w:nsid w:val="6AD4078B"/>
    <w:multiLevelType w:val="hybridMultilevel"/>
    <w:tmpl w:val="0838C4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nsid w:val="6C485449"/>
    <w:multiLevelType w:val="multilevel"/>
    <w:tmpl w:val="19A6676A"/>
    <w:lvl w:ilvl="0">
      <w:start w:val="1"/>
      <w:numFmt w:val="decimal"/>
      <w:lvlText w:val="%1"/>
      <w:lvlJc w:val="left"/>
      <w:pPr>
        <w:ind w:left="432" w:hanging="432"/>
      </w:pPr>
      <w:rPr>
        <w:rFonts w:hint="default"/>
      </w:rPr>
    </w:lvl>
    <w:lvl w:ilvl="1">
      <w:start w:val="1"/>
      <w:numFmt w:val="decimal"/>
      <w:lvlText w:val="4.%2."/>
      <w:lvlJc w:val="left"/>
      <w:pPr>
        <w:ind w:left="576" w:hanging="576"/>
      </w:pPr>
      <w:rPr>
        <w:rFonts w:hint="default"/>
      </w:rPr>
    </w:lvl>
    <w:lvl w:ilvl="2">
      <w:start w:val="1"/>
      <w:numFmt w:val="decimal"/>
      <w:lvlText w:val="6.2.%3."/>
      <w:lvlJc w:val="left"/>
      <w:pPr>
        <w:ind w:left="720" w:hanging="720"/>
      </w:pPr>
      <w:rPr>
        <w:rFonts w:hint="default"/>
      </w:rPr>
    </w:lvl>
    <w:lvl w:ilvl="3">
      <w:start w:val="1"/>
      <w:numFmt w:val="decimal"/>
      <w:lvlText w:val="6.3.2.%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0">
    <w:nsid w:val="70791E96"/>
    <w:multiLevelType w:val="multilevel"/>
    <w:tmpl w:val="19820058"/>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70926C46"/>
    <w:multiLevelType w:val="multilevel"/>
    <w:tmpl w:val="CB2C072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2.%3."/>
      <w:lvlJc w:val="left"/>
      <w:pPr>
        <w:ind w:left="720" w:hanging="720"/>
      </w:pPr>
      <w:rPr>
        <w:rFonts w:hint="default"/>
      </w:rPr>
    </w:lvl>
    <w:lvl w:ilvl="3">
      <w:start w:val="1"/>
      <w:numFmt w:val="none"/>
      <w:lvlText w:val="3.2.4.1."/>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2">
    <w:nsid w:val="721D1B6F"/>
    <w:multiLevelType w:val="hybridMultilevel"/>
    <w:tmpl w:val="6AB2B8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nsid w:val="72AD3463"/>
    <w:multiLevelType w:val="hybridMultilevel"/>
    <w:tmpl w:val="D4B80F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nsid w:val="72F43D96"/>
    <w:multiLevelType w:val="hybridMultilevel"/>
    <w:tmpl w:val="34E0CEE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nsid w:val="73BF2B3A"/>
    <w:multiLevelType w:val="hybridMultilevel"/>
    <w:tmpl w:val="0E344958"/>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nsid w:val="75033495"/>
    <w:multiLevelType w:val="multilevel"/>
    <w:tmpl w:val="03C2A64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2.%3."/>
      <w:lvlJc w:val="left"/>
      <w:pPr>
        <w:ind w:left="720" w:hanging="720"/>
      </w:pPr>
      <w:rPr>
        <w:rFonts w:hint="default"/>
      </w:rPr>
    </w:lvl>
    <w:lvl w:ilvl="3">
      <w:start w:val="1"/>
      <w:numFmt w:val="none"/>
      <w:lvlText w:val="3.2.2.3."/>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7">
    <w:nsid w:val="751D3C11"/>
    <w:multiLevelType w:val="hybridMultilevel"/>
    <w:tmpl w:val="4A38D3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nsid w:val="75464FAA"/>
    <w:multiLevelType w:val="multilevel"/>
    <w:tmpl w:val="70B8A1D0"/>
    <w:lvl w:ilvl="0">
      <w:start w:val="1"/>
      <w:numFmt w:val="decimal"/>
      <w:lvlText w:val="%1"/>
      <w:lvlJc w:val="left"/>
      <w:pPr>
        <w:ind w:left="864" w:hanging="432"/>
      </w:pPr>
      <w:rPr>
        <w:rFonts w:hint="default"/>
      </w:rPr>
    </w:lvl>
    <w:lvl w:ilvl="1">
      <w:start w:val="1"/>
      <w:numFmt w:val="decimal"/>
      <w:lvlText w:val="4.%2."/>
      <w:lvlJc w:val="left"/>
      <w:pPr>
        <w:ind w:left="1008" w:hanging="576"/>
      </w:pPr>
      <w:rPr>
        <w:rFonts w:hint="default"/>
      </w:rPr>
    </w:lvl>
    <w:lvl w:ilvl="2">
      <w:start w:val="1"/>
      <w:numFmt w:val="decimal"/>
      <w:lvlText w:val="4.2.%3."/>
      <w:lvlJc w:val="left"/>
      <w:pPr>
        <w:ind w:left="1152" w:hanging="720"/>
      </w:pPr>
      <w:rPr>
        <w:rFonts w:hint="default"/>
      </w:rPr>
    </w:lvl>
    <w:lvl w:ilvl="3">
      <w:start w:val="1"/>
      <w:numFmt w:val="decimal"/>
      <w:lvlText w:val="5.1.3.%4."/>
      <w:lvlJc w:val="left"/>
      <w:pPr>
        <w:ind w:left="1296" w:hanging="864"/>
      </w:pPr>
      <w:rPr>
        <w:rFonts w:hint="default"/>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99">
    <w:nsid w:val="758838B4"/>
    <w:multiLevelType w:val="hybridMultilevel"/>
    <w:tmpl w:val="D758EC7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0">
    <w:nsid w:val="75F45652"/>
    <w:multiLevelType w:val="multilevel"/>
    <w:tmpl w:val="8B7C9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nsid w:val="75F87242"/>
    <w:multiLevelType w:val="multilevel"/>
    <w:tmpl w:val="2822025A"/>
    <w:lvl w:ilvl="0">
      <w:start w:val="2"/>
      <w:numFmt w:val="decimal"/>
      <w:lvlText w:val="%1."/>
      <w:lvlJc w:val="left"/>
      <w:pPr>
        <w:ind w:left="360" w:hanging="360"/>
      </w:pPr>
      <w:rPr>
        <w:rFonts w:hint="default"/>
      </w:rPr>
    </w:lvl>
    <w:lvl w:ilvl="1">
      <w:start w:val="1"/>
      <w:numFmt w:val="none"/>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4%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2">
    <w:nsid w:val="775251B7"/>
    <w:multiLevelType w:val="hybridMultilevel"/>
    <w:tmpl w:val="299CA4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nsid w:val="77CC291D"/>
    <w:multiLevelType w:val="multilevel"/>
    <w:tmpl w:val="F054867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2.%3."/>
      <w:lvlJc w:val="left"/>
      <w:pPr>
        <w:ind w:left="720" w:hanging="720"/>
      </w:pPr>
      <w:rPr>
        <w:rFonts w:hint="default"/>
      </w:rPr>
    </w:lvl>
    <w:lvl w:ilvl="3">
      <w:start w:val="1"/>
      <w:numFmt w:val="none"/>
      <w:lvlText w:val="3.2.2.2."/>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4">
    <w:nsid w:val="78220CCC"/>
    <w:multiLevelType w:val="hybridMultilevel"/>
    <w:tmpl w:val="4ED23388"/>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5">
    <w:nsid w:val="7A3646BD"/>
    <w:multiLevelType w:val="hybridMultilevel"/>
    <w:tmpl w:val="D2244E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nsid w:val="7AD21054"/>
    <w:multiLevelType w:val="hybridMultilevel"/>
    <w:tmpl w:val="81505964"/>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07">
    <w:nsid w:val="7BEE3ABD"/>
    <w:multiLevelType w:val="hybridMultilevel"/>
    <w:tmpl w:val="2B4443D0"/>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nsid w:val="7F912EDA"/>
    <w:multiLevelType w:val="hybridMultilevel"/>
    <w:tmpl w:val="5C386E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83"/>
  </w:num>
  <w:num w:numId="2">
    <w:abstractNumId w:val="28"/>
  </w:num>
  <w:num w:numId="3">
    <w:abstractNumId w:val="66"/>
  </w:num>
  <w:num w:numId="4">
    <w:abstractNumId w:val="36"/>
  </w:num>
  <w:num w:numId="5">
    <w:abstractNumId w:val="30"/>
  </w:num>
  <w:num w:numId="6">
    <w:abstractNumId w:val="44"/>
  </w:num>
  <w:num w:numId="7">
    <w:abstractNumId w:val="75"/>
  </w:num>
  <w:num w:numId="8">
    <w:abstractNumId w:val="71"/>
  </w:num>
  <w:num w:numId="9">
    <w:abstractNumId w:val="5"/>
  </w:num>
  <w:num w:numId="10">
    <w:abstractNumId w:val="23"/>
  </w:num>
  <w:num w:numId="11">
    <w:abstractNumId w:val="37"/>
  </w:num>
  <w:num w:numId="12">
    <w:abstractNumId w:val="27"/>
  </w:num>
  <w:num w:numId="13">
    <w:abstractNumId w:val="17"/>
  </w:num>
  <w:num w:numId="14">
    <w:abstractNumId w:val="38"/>
  </w:num>
  <w:num w:numId="15">
    <w:abstractNumId w:val="101"/>
  </w:num>
  <w:num w:numId="16">
    <w:abstractNumId w:val="69"/>
  </w:num>
  <w:num w:numId="17">
    <w:abstractNumId w:val="81"/>
  </w:num>
  <w:num w:numId="18">
    <w:abstractNumId w:val="72"/>
  </w:num>
  <w:num w:numId="19">
    <w:abstractNumId w:val="79"/>
  </w:num>
  <w:num w:numId="20">
    <w:abstractNumId w:val="87"/>
  </w:num>
  <w:num w:numId="21">
    <w:abstractNumId w:val="87"/>
  </w:num>
  <w:num w:numId="22">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3"/>
  </w:num>
  <w:num w:numId="24">
    <w:abstractNumId w:val="103"/>
  </w:num>
  <w:num w:numId="25">
    <w:abstractNumId w:val="96"/>
  </w:num>
  <w:num w:numId="26">
    <w:abstractNumId w:val="21"/>
  </w:num>
  <w:num w:numId="27">
    <w:abstractNumId w:val="53"/>
  </w:num>
  <w:num w:numId="28">
    <w:abstractNumId w:val="15"/>
  </w:num>
  <w:num w:numId="29">
    <w:abstractNumId w:val="91"/>
  </w:num>
  <w:num w:numId="30">
    <w:abstractNumId w:val="54"/>
  </w:num>
  <w:num w:numId="31">
    <w:abstractNumId w:val="34"/>
  </w:num>
  <w:num w:numId="32">
    <w:abstractNumId w:val="94"/>
  </w:num>
  <w:num w:numId="33">
    <w:abstractNumId w:val="0"/>
  </w:num>
  <w:num w:numId="34">
    <w:abstractNumId w:val="102"/>
  </w:num>
  <w:num w:numId="35">
    <w:abstractNumId w:val="97"/>
  </w:num>
  <w:num w:numId="36">
    <w:abstractNumId w:val="106"/>
  </w:num>
  <w:num w:numId="37">
    <w:abstractNumId w:val="73"/>
  </w:num>
  <w:num w:numId="38">
    <w:abstractNumId w:val="84"/>
  </w:num>
  <w:num w:numId="39">
    <w:abstractNumId w:val="14"/>
  </w:num>
  <w:num w:numId="40">
    <w:abstractNumId w:val="104"/>
  </w:num>
  <w:num w:numId="41">
    <w:abstractNumId w:val="2"/>
  </w:num>
  <w:num w:numId="42">
    <w:abstractNumId w:val="82"/>
  </w:num>
  <w:num w:numId="43">
    <w:abstractNumId w:val="4"/>
  </w:num>
  <w:num w:numId="44">
    <w:abstractNumId w:val="65"/>
  </w:num>
  <w:num w:numId="45">
    <w:abstractNumId w:val="9"/>
  </w:num>
  <w:num w:numId="46">
    <w:abstractNumId w:val="42"/>
  </w:num>
  <w:num w:numId="4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2"/>
  </w:num>
  <w:num w:numId="49">
    <w:abstractNumId w:val="39"/>
  </w:num>
  <w:num w:numId="50">
    <w:abstractNumId w:val="49"/>
  </w:num>
  <w:num w:numId="51">
    <w:abstractNumId w:val="20"/>
  </w:num>
  <w:num w:numId="52">
    <w:abstractNumId w:val="22"/>
  </w:num>
  <w:num w:numId="53">
    <w:abstractNumId w:val="48"/>
  </w:num>
  <w:num w:numId="5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5"/>
  </w:num>
  <w:num w:numId="56">
    <w:abstractNumId w:val="10"/>
  </w:num>
  <w:num w:numId="57">
    <w:abstractNumId w:val="76"/>
  </w:num>
  <w:num w:numId="58">
    <w:abstractNumId w:val="55"/>
  </w:num>
  <w:num w:numId="59">
    <w:abstractNumId w:val="8"/>
  </w:num>
  <w:num w:numId="60">
    <w:abstractNumId w:val="29"/>
  </w:num>
  <w:num w:numId="61">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decimal"/>
        <w:pStyle w:val="Titre2"/>
        <w:lvlText w:val="4.%2."/>
        <w:lvlJc w:val="left"/>
        <w:pPr>
          <w:ind w:left="576" w:hanging="576"/>
        </w:pPr>
        <w:rPr>
          <w:rFonts w:hint="default"/>
        </w:rPr>
      </w:lvl>
    </w:lvlOverride>
    <w:lvlOverride w:ilvl="2">
      <w:lvl w:ilvl="2">
        <w:start w:val="1"/>
        <w:numFmt w:val="decimal"/>
        <w:pStyle w:val="Titre3"/>
        <w:lvlText w:val="4.3.%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62">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decimal"/>
        <w:pStyle w:val="Titre2"/>
        <w:lvlText w:val="4.%2."/>
        <w:lvlJc w:val="left"/>
        <w:pPr>
          <w:ind w:left="576" w:hanging="576"/>
        </w:pPr>
        <w:rPr>
          <w:rFonts w:hint="default"/>
        </w:rPr>
      </w:lvl>
    </w:lvlOverride>
    <w:lvlOverride w:ilvl="2">
      <w:lvl w:ilvl="2">
        <w:start w:val="1"/>
        <w:numFmt w:val="decimal"/>
        <w:pStyle w:val="Titre3"/>
        <w:lvlText w:val="4.3.%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63">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decimal"/>
        <w:pStyle w:val="Titre2"/>
        <w:lvlText w:val="4.%2."/>
        <w:lvlJc w:val="left"/>
        <w:pPr>
          <w:ind w:left="576" w:hanging="576"/>
        </w:pPr>
        <w:rPr>
          <w:rFonts w:hint="default"/>
        </w:rPr>
      </w:lvl>
    </w:lvlOverride>
    <w:lvlOverride w:ilvl="2">
      <w:lvl w:ilvl="2">
        <w:start w:val="1"/>
        <w:numFmt w:val="decimal"/>
        <w:pStyle w:val="Titre3"/>
        <w:lvlText w:val="4.3.%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64">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decimal"/>
        <w:pStyle w:val="Titre2"/>
        <w:lvlText w:val="4.%2."/>
        <w:lvlJc w:val="left"/>
        <w:pPr>
          <w:ind w:left="576" w:hanging="576"/>
        </w:pPr>
        <w:rPr>
          <w:rFonts w:hint="default"/>
        </w:rPr>
      </w:lvl>
    </w:lvlOverride>
    <w:lvlOverride w:ilvl="2">
      <w:lvl w:ilvl="2">
        <w:start w:val="1"/>
        <w:numFmt w:val="decimal"/>
        <w:pStyle w:val="Titre3"/>
        <w:lvlText w:val="4.3.%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65">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decimal"/>
        <w:pStyle w:val="Titre2"/>
        <w:lvlText w:val="4.%2."/>
        <w:lvlJc w:val="left"/>
        <w:pPr>
          <w:ind w:left="576" w:hanging="576"/>
        </w:pPr>
        <w:rPr>
          <w:rFonts w:hint="default"/>
        </w:rPr>
      </w:lvl>
    </w:lvlOverride>
    <w:lvlOverride w:ilvl="2">
      <w:lvl w:ilvl="2">
        <w:start w:val="1"/>
        <w:numFmt w:val="decimal"/>
        <w:lvlRestart w:val="0"/>
        <w:pStyle w:val="Titre3"/>
        <w:lvlText w:val="4.4.%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66">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decimal"/>
        <w:pStyle w:val="Titre2"/>
        <w:lvlText w:val="4.%2."/>
        <w:lvlJc w:val="left"/>
        <w:pPr>
          <w:ind w:left="576" w:hanging="576"/>
        </w:pPr>
        <w:rPr>
          <w:rFonts w:hint="default"/>
        </w:rPr>
      </w:lvl>
    </w:lvlOverride>
    <w:lvlOverride w:ilvl="2">
      <w:lvl w:ilvl="2">
        <w:start w:val="1"/>
        <w:numFmt w:val="decimal"/>
        <w:lvlRestart w:val="0"/>
        <w:pStyle w:val="Titre3"/>
        <w:lvlText w:val="4.4.%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67">
    <w:abstractNumId w:val="25"/>
  </w:num>
  <w:num w:numId="68">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decimal"/>
        <w:pStyle w:val="Titre2"/>
        <w:lvlText w:val="4.%2."/>
        <w:lvlJc w:val="left"/>
        <w:pPr>
          <w:ind w:left="576" w:hanging="576"/>
        </w:pPr>
        <w:rPr>
          <w:rFonts w:hint="default"/>
        </w:rPr>
      </w:lvl>
    </w:lvlOverride>
    <w:lvlOverride w:ilvl="2">
      <w:lvl w:ilvl="2">
        <w:start w:val="1"/>
        <w:numFmt w:val="decimal"/>
        <w:pStyle w:val="Titre3"/>
        <w:lvlText w:val="4.5.%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69">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decimal"/>
        <w:pStyle w:val="Titre2"/>
        <w:lvlText w:val="4.%2."/>
        <w:lvlJc w:val="left"/>
        <w:pPr>
          <w:ind w:left="576" w:hanging="576"/>
        </w:pPr>
        <w:rPr>
          <w:rFonts w:hint="default"/>
        </w:rPr>
      </w:lvl>
    </w:lvlOverride>
    <w:lvlOverride w:ilvl="2">
      <w:lvl w:ilvl="2">
        <w:start w:val="1"/>
        <w:numFmt w:val="decimal"/>
        <w:pStyle w:val="Titre3"/>
        <w:lvlText w:val="4.2.%3."/>
        <w:lvlJc w:val="left"/>
        <w:pPr>
          <w:ind w:left="720" w:hanging="720"/>
        </w:pPr>
        <w:rPr>
          <w:rFonts w:hint="default"/>
        </w:rPr>
      </w:lvl>
    </w:lvlOverride>
    <w:lvlOverride w:ilvl="3">
      <w:lvl w:ilvl="3">
        <w:start w:val="1"/>
        <w:numFmt w:val="decimal"/>
        <w:lvlText w:val="4.5.%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70">
    <w:abstractNumId w:val="62"/>
  </w:num>
  <w:num w:numId="71">
    <w:abstractNumId w:val="80"/>
  </w:num>
  <w:num w:numId="72">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none"/>
        <w:pStyle w:val="Titre2"/>
        <w:lvlText w:val="5.1."/>
        <w:lvlJc w:val="left"/>
        <w:pPr>
          <w:ind w:left="576" w:hanging="576"/>
        </w:pPr>
        <w:rPr>
          <w:rFonts w:hint="default"/>
        </w:rPr>
      </w:lvl>
    </w:lvlOverride>
    <w:lvlOverride w:ilvl="2">
      <w:lvl w:ilvl="2">
        <w:start w:val="1"/>
        <w:numFmt w:val="decimal"/>
        <w:pStyle w:val="Titre3"/>
        <w:lvlText w:val="4.5.%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73">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none"/>
        <w:pStyle w:val="Titre2"/>
        <w:lvlText w:val="5.2."/>
        <w:lvlJc w:val="left"/>
        <w:pPr>
          <w:ind w:left="576" w:hanging="576"/>
        </w:pPr>
        <w:rPr>
          <w:rFonts w:hint="default"/>
        </w:rPr>
      </w:lvl>
    </w:lvlOverride>
    <w:lvlOverride w:ilvl="2">
      <w:lvl w:ilvl="2">
        <w:start w:val="1"/>
        <w:numFmt w:val="decimal"/>
        <w:pStyle w:val="Titre3"/>
        <w:lvlText w:val="4.2.%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74">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none"/>
        <w:pStyle w:val="Titre2"/>
        <w:lvlText w:val="5.3."/>
        <w:lvlJc w:val="left"/>
        <w:pPr>
          <w:ind w:left="576" w:hanging="576"/>
        </w:pPr>
        <w:rPr>
          <w:rFonts w:hint="default"/>
        </w:rPr>
      </w:lvl>
    </w:lvlOverride>
    <w:lvlOverride w:ilvl="2">
      <w:lvl w:ilvl="2">
        <w:start w:val="1"/>
        <w:numFmt w:val="decimal"/>
        <w:pStyle w:val="Titre3"/>
        <w:lvlText w:val="4.2.%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75">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none"/>
        <w:pStyle w:val="Titre2"/>
        <w:lvlText w:val="5.1."/>
        <w:lvlJc w:val="left"/>
        <w:pPr>
          <w:ind w:left="576" w:hanging="576"/>
        </w:pPr>
        <w:rPr>
          <w:rFonts w:hint="default"/>
        </w:rPr>
      </w:lvl>
    </w:lvlOverride>
    <w:lvlOverride w:ilvl="2">
      <w:lvl w:ilvl="2">
        <w:start w:val="1"/>
        <w:numFmt w:val="decimal"/>
        <w:pStyle w:val="Titre3"/>
        <w:lvlText w:val="5.1.%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76">
    <w:abstractNumId w:val="99"/>
  </w:num>
  <w:num w:numId="77">
    <w:abstractNumId w:val="58"/>
  </w:num>
  <w:num w:numId="78">
    <w:abstractNumId w:val="85"/>
  </w:num>
  <w:num w:numId="79">
    <w:abstractNumId w:val="51"/>
  </w:num>
  <w:num w:numId="80">
    <w:abstractNumId w:val="47"/>
  </w:num>
  <w:num w:numId="81">
    <w:abstractNumId w:val="67"/>
  </w:num>
  <w:num w:numId="82">
    <w:abstractNumId w:val="43"/>
  </w:num>
  <w:num w:numId="83">
    <w:abstractNumId w:val="50"/>
  </w:num>
  <w:num w:numId="84">
    <w:abstractNumId w:val="107"/>
  </w:num>
  <w:num w:numId="85">
    <w:abstractNumId w:val="1"/>
  </w:num>
  <w:num w:numId="86">
    <w:abstractNumId w:val="35"/>
  </w:num>
  <w:num w:numId="87">
    <w:abstractNumId w:val="52"/>
  </w:num>
  <w:num w:numId="88">
    <w:abstractNumId w:val="3"/>
  </w:num>
  <w:num w:numId="89">
    <w:abstractNumId w:val="46"/>
  </w:num>
  <w:num w:numId="90">
    <w:abstractNumId w:val="95"/>
  </w:num>
  <w:num w:numId="91">
    <w:abstractNumId w:val="16"/>
  </w:num>
  <w:num w:numId="92">
    <w:abstractNumId w:val="78"/>
  </w:num>
  <w:num w:numId="93">
    <w:abstractNumId w:val="19"/>
  </w:num>
  <w:num w:numId="94">
    <w:abstractNumId w:val="26"/>
  </w:num>
  <w:num w:numId="95">
    <w:abstractNumId w:val="7"/>
  </w:num>
  <w:num w:numId="96">
    <w:abstractNumId w:val="100"/>
  </w:num>
  <w:num w:numId="97">
    <w:abstractNumId w:val="13"/>
  </w:num>
  <w:num w:numId="98">
    <w:abstractNumId w:val="98"/>
  </w:num>
  <w:num w:numId="99">
    <w:abstractNumId w:val="60"/>
  </w:num>
  <w:num w:numId="100">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none"/>
        <w:pStyle w:val="Titre2"/>
        <w:lvlText w:val="5.2."/>
        <w:lvlJc w:val="left"/>
        <w:pPr>
          <w:ind w:left="576" w:hanging="576"/>
        </w:pPr>
        <w:rPr>
          <w:rFonts w:hint="default"/>
        </w:rPr>
      </w:lvl>
    </w:lvlOverride>
    <w:lvlOverride w:ilvl="2">
      <w:lvl w:ilvl="2">
        <w:start w:val="1"/>
        <w:numFmt w:val="decimal"/>
        <w:pStyle w:val="Titre3"/>
        <w:lvlText w:val="5.2.%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101">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none"/>
        <w:pStyle w:val="Titre2"/>
        <w:lvlText w:val="5.3."/>
        <w:lvlJc w:val="left"/>
        <w:pPr>
          <w:ind w:left="576" w:hanging="576"/>
        </w:pPr>
        <w:rPr>
          <w:rFonts w:hint="default"/>
        </w:rPr>
      </w:lvl>
    </w:lvlOverride>
    <w:lvlOverride w:ilvl="2">
      <w:lvl w:ilvl="2">
        <w:start w:val="1"/>
        <w:numFmt w:val="decimal"/>
        <w:pStyle w:val="Titre3"/>
        <w:lvlText w:val="5.3.%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102">
    <w:abstractNumId w:val="59"/>
  </w:num>
  <w:num w:numId="103">
    <w:abstractNumId w:val="92"/>
  </w:num>
  <w:num w:numId="104">
    <w:abstractNumId w:val="88"/>
  </w:num>
  <w:num w:numId="105">
    <w:abstractNumId w:val="41"/>
  </w:num>
  <w:num w:numId="106">
    <w:abstractNumId w:val="33"/>
  </w:num>
  <w:num w:numId="107">
    <w:abstractNumId w:val="68"/>
  </w:num>
  <w:num w:numId="108">
    <w:abstractNumId w:val="6"/>
  </w:num>
  <w:num w:numId="109">
    <w:abstractNumId w:val="108"/>
  </w:num>
  <w:num w:numId="110">
    <w:abstractNumId w:val="56"/>
  </w:num>
  <w:num w:numId="111">
    <w:abstractNumId w:val="11"/>
  </w:num>
  <w:num w:numId="112">
    <w:abstractNumId w:val="40"/>
  </w:num>
  <w:num w:numId="113">
    <w:abstractNumId w:val="61"/>
  </w:num>
  <w:num w:numId="114">
    <w:abstractNumId w:val="86"/>
  </w:num>
  <w:num w:numId="115">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none"/>
        <w:pStyle w:val="Titre2"/>
        <w:lvlText w:val="6.1."/>
        <w:lvlJc w:val="left"/>
        <w:pPr>
          <w:ind w:left="576" w:hanging="576"/>
        </w:pPr>
        <w:rPr>
          <w:rFonts w:hint="default"/>
        </w:rPr>
      </w:lvl>
    </w:lvlOverride>
    <w:lvlOverride w:ilvl="2">
      <w:lvl w:ilvl="2">
        <w:start w:val="1"/>
        <w:numFmt w:val="decimal"/>
        <w:pStyle w:val="Titre3"/>
        <w:lvlText w:val="4.2.%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116">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none"/>
        <w:pStyle w:val="Titre2"/>
        <w:lvlText w:val="6.2."/>
        <w:lvlJc w:val="left"/>
        <w:pPr>
          <w:ind w:left="576" w:hanging="576"/>
        </w:pPr>
        <w:rPr>
          <w:rFonts w:hint="default"/>
        </w:rPr>
      </w:lvl>
    </w:lvlOverride>
    <w:lvlOverride w:ilvl="2">
      <w:lvl w:ilvl="2">
        <w:start w:val="1"/>
        <w:numFmt w:val="decimal"/>
        <w:pStyle w:val="Titre3"/>
        <w:lvlText w:val="4.2.%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117">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none"/>
        <w:pStyle w:val="Titre2"/>
        <w:lvlText w:val="6.3."/>
        <w:lvlJc w:val="left"/>
        <w:pPr>
          <w:ind w:left="576" w:hanging="576"/>
        </w:pPr>
        <w:rPr>
          <w:rFonts w:hint="default"/>
        </w:rPr>
      </w:lvl>
    </w:lvlOverride>
    <w:lvlOverride w:ilvl="2">
      <w:lvl w:ilvl="2">
        <w:start w:val="1"/>
        <w:numFmt w:val="decimal"/>
        <w:pStyle w:val="Titre3"/>
        <w:lvlText w:val="4.2.%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118">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decimal"/>
        <w:pStyle w:val="Titre2"/>
        <w:lvlText w:val="4.%2."/>
        <w:lvlJc w:val="left"/>
        <w:pPr>
          <w:ind w:left="576" w:hanging="576"/>
        </w:pPr>
        <w:rPr>
          <w:rFonts w:hint="default"/>
        </w:rPr>
      </w:lvl>
    </w:lvlOverride>
    <w:lvlOverride w:ilvl="2">
      <w:lvl w:ilvl="2">
        <w:start w:val="1"/>
        <w:numFmt w:val="decimal"/>
        <w:pStyle w:val="Titre3"/>
        <w:lvlText w:val="6.1.%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119">
    <w:abstractNumId w:val="31"/>
  </w:num>
  <w:num w:numId="120">
    <w:abstractNumId w:val="70"/>
  </w:num>
  <w:num w:numId="121">
    <w:abstractNumId w:val="90"/>
  </w:num>
  <w:num w:numId="12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74"/>
  </w:num>
  <w:num w:numId="124">
    <w:abstractNumId w:val="12"/>
  </w:num>
  <w:num w:numId="125">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none"/>
        <w:pStyle w:val="Titre2"/>
        <w:lvlText w:val="6.3."/>
        <w:lvlJc w:val="left"/>
        <w:pPr>
          <w:ind w:left="576" w:hanging="576"/>
        </w:pPr>
        <w:rPr>
          <w:rFonts w:hint="default"/>
        </w:rPr>
      </w:lvl>
    </w:lvlOverride>
    <w:lvlOverride w:ilvl="2">
      <w:lvl w:ilvl="2">
        <w:start w:val="1"/>
        <w:numFmt w:val="decimal"/>
        <w:pStyle w:val="Titre3"/>
        <w:lvlText w:val="6.3.%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126">
    <w:abstractNumId w:val="24"/>
  </w:num>
  <w:num w:numId="127">
    <w:abstractNumId w:val="89"/>
  </w:num>
  <w:num w:numId="12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8"/>
  </w:num>
  <w:num w:numId="130">
    <w:abstractNumId w:val="32"/>
    <w:lvlOverride w:ilvl="0">
      <w:lvl w:ilvl="0">
        <w:start w:val="1"/>
        <w:numFmt w:val="decimal"/>
        <w:pStyle w:val="Titre1"/>
        <w:lvlText w:val="%1"/>
        <w:lvlJc w:val="left"/>
        <w:pPr>
          <w:ind w:left="432" w:hanging="432"/>
        </w:pPr>
        <w:rPr>
          <w:rFonts w:hint="default"/>
        </w:rPr>
      </w:lvl>
    </w:lvlOverride>
    <w:lvlOverride w:ilvl="1">
      <w:lvl w:ilvl="1">
        <w:start w:val="1"/>
        <w:numFmt w:val="decimal"/>
        <w:pStyle w:val="Titre2"/>
        <w:lvlText w:val="4.%2."/>
        <w:lvlJc w:val="left"/>
        <w:pPr>
          <w:ind w:left="576" w:hanging="576"/>
        </w:pPr>
        <w:rPr>
          <w:rFonts w:hint="default"/>
        </w:rPr>
      </w:lvl>
    </w:lvlOverride>
    <w:lvlOverride w:ilvl="2">
      <w:lvl w:ilvl="2">
        <w:start w:val="1"/>
        <w:numFmt w:val="decimal"/>
        <w:pStyle w:val="Titre3"/>
        <w:lvlText w:val="6.2.%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pStyle w:val="Titre5"/>
        <w:lvlText w:val="%1.%2.%3.%4.%5"/>
        <w:lvlJc w:val="left"/>
        <w:pPr>
          <w:ind w:left="1008" w:hanging="1008"/>
        </w:pPr>
        <w:rPr>
          <w:rFonts w:hint="default"/>
        </w:rPr>
      </w:lvl>
    </w:lvlOverride>
    <w:lvlOverride w:ilvl="5">
      <w:lvl w:ilvl="5">
        <w:start w:val="1"/>
        <w:numFmt w:val="decimal"/>
        <w:pStyle w:val="Titre6"/>
        <w:lvlText w:val="%1.%2.%3.%4.%5.%6"/>
        <w:lvlJc w:val="left"/>
        <w:pPr>
          <w:ind w:left="1152" w:hanging="1152"/>
        </w:pPr>
        <w:rPr>
          <w:rFonts w:hint="default"/>
        </w:rPr>
      </w:lvl>
    </w:lvlOverride>
    <w:lvlOverride w:ilvl="6">
      <w:lvl w:ilvl="6">
        <w:start w:val="1"/>
        <w:numFmt w:val="decimal"/>
        <w:pStyle w:val="Titre7"/>
        <w:lvlText w:val="%1.%2.%3.%4.%5.%6.%7"/>
        <w:lvlJc w:val="left"/>
        <w:pPr>
          <w:ind w:left="1296" w:hanging="1296"/>
        </w:pPr>
        <w:rPr>
          <w:rFonts w:hint="default"/>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131">
    <w:abstractNumId w:val="93"/>
  </w:num>
  <w:num w:numId="132">
    <w:abstractNumId w:val="64"/>
  </w:num>
  <w:num w:numId="133">
    <w:abstractNumId w:val="77"/>
  </w:num>
  <w:num w:numId="134">
    <w:abstractNumId w:val="105"/>
  </w:num>
  <w:num w:numId="135">
    <w:abstractNumId w:val="57"/>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activeWritingStyle w:appName="MSWord" w:lang="fr-FR" w:vendorID="64" w:dllVersion="131078" w:nlCheck="1" w:checkStyle="0"/>
  <w:activeWritingStyle w:appName="MSWord" w:lang="fr-CA" w:vendorID="64" w:dllVersion="131078" w:nlCheck="1" w:checkStyle="0"/>
  <w:activeWritingStyle w:appName="MSWord" w:lang="en-CA" w:vendorID="64" w:dllVersion="131078" w:nlCheck="1" w:checkStyle="0"/>
  <w:proofState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26D1"/>
    <w:rsid w:val="000007B6"/>
    <w:rsid w:val="00002845"/>
    <w:rsid w:val="0000393A"/>
    <w:rsid w:val="00004210"/>
    <w:rsid w:val="000044AC"/>
    <w:rsid w:val="00004E7B"/>
    <w:rsid w:val="00004F66"/>
    <w:rsid w:val="0000501C"/>
    <w:rsid w:val="0000505B"/>
    <w:rsid w:val="00006337"/>
    <w:rsid w:val="0000649D"/>
    <w:rsid w:val="000069D9"/>
    <w:rsid w:val="00007189"/>
    <w:rsid w:val="00007553"/>
    <w:rsid w:val="000076FA"/>
    <w:rsid w:val="000101BE"/>
    <w:rsid w:val="000107C3"/>
    <w:rsid w:val="000107D7"/>
    <w:rsid w:val="000129CB"/>
    <w:rsid w:val="000130AB"/>
    <w:rsid w:val="00013F48"/>
    <w:rsid w:val="00014498"/>
    <w:rsid w:val="00014BD7"/>
    <w:rsid w:val="00015113"/>
    <w:rsid w:val="00015389"/>
    <w:rsid w:val="000158B4"/>
    <w:rsid w:val="0001706E"/>
    <w:rsid w:val="00017406"/>
    <w:rsid w:val="00017561"/>
    <w:rsid w:val="00017B18"/>
    <w:rsid w:val="00017BEA"/>
    <w:rsid w:val="00021440"/>
    <w:rsid w:val="000215BC"/>
    <w:rsid w:val="0002232F"/>
    <w:rsid w:val="0002260F"/>
    <w:rsid w:val="00022EEF"/>
    <w:rsid w:val="00022F0B"/>
    <w:rsid w:val="0002382E"/>
    <w:rsid w:val="000238D3"/>
    <w:rsid w:val="000247C7"/>
    <w:rsid w:val="0002484A"/>
    <w:rsid w:val="00024EFA"/>
    <w:rsid w:val="0002542D"/>
    <w:rsid w:val="00025D95"/>
    <w:rsid w:val="00025F46"/>
    <w:rsid w:val="00025FCC"/>
    <w:rsid w:val="0002608A"/>
    <w:rsid w:val="000265BB"/>
    <w:rsid w:val="00026D52"/>
    <w:rsid w:val="000271F3"/>
    <w:rsid w:val="0002754F"/>
    <w:rsid w:val="000278FF"/>
    <w:rsid w:val="00027E0B"/>
    <w:rsid w:val="000305CA"/>
    <w:rsid w:val="00030729"/>
    <w:rsid w:val="000308E2"/>
    <w:rsid w:val="00030FF6"/>
    <w:rsid w:val="00031B64"/>
    <w:rsid w:val="00031E47"/>
    <w:rsid w:val="00031F06"/>
    <w:rsid w:val="0003252D"/>
    <w:rsid w:val="000329E1"/>
    <w:rsid w:val="00032DB2"/>
    <w:rsid w:val="00033649"/>
    <w:rsid w:val="00033837"/>
    <w:rsid w:val="0003450B"/>
    <w:rsid w:val="0003489E"/>
    <w:rsid w:val="00034912"/>
    <w:rsid w:val="00034BDC"/>
    <w:rsid w:val="00034CFF"/>
    <w:rsid w:val="00036496"/>
    <w:rsid w:val="0003677A"/>
    <w:rsid w:val="000367D6"/>
    <w:rsid w:val="0003707E"/>
    <w:rsid w:val="000376D9"/>
    <w:rsid w:val="00041055"/>
    <w:rsid w:val="000410A5"/>
    <w:rsid w:val="00041513"/>
    <w:rsid w:val="000421B2"/>
    <w:rsid w:val="0004248E"/>
    <w:rsid w:val="000425A6"/>
    <w:rsid w:val="000429EC"/>
    <w:rsid w:val="00042D55"/>
    <w:rsid w:val="00043E6A"/>
    <w:rsid w:val="000440EA"/>
    <w:rsid w:val="0004431E"/>
    <w:rsid w:val="000453A8"/>
    <w:rsid w:val="000454B7"/>
    <w:rsid w:val="000456B7"/>
    <w:rsid w:val="0004609B"/>
    <w:rsid w:val="000460FF"/>
    <w:rsid w:val="00046198"/>
    <w:rsid w:val="00047477"/>
    <w:rsid w:val="00050298"/>
    <w:rsid w:val="0005030F"/>
    <w:rsid w:val="00050323"/>
    <w:rsid w:val="00050541"/>
    <w:rsid w:val="00050BFF"/>
    <w:rsid w:val="0005201F"/>
    <w:rsid w:val="00052F14"/>
    <w:rsid w:val="00053279"/>
    <w:rsid w:val="00053295"/>
    <w:rsid w:val="000539D9"/>
    <w:rsid w:val="00053A70"/>
    <w:rsid w:val="00053E3D"/>
    <w:rsid w:val="0005459F"/>
    <w:rsid w:val="00054E77"/>
    <w:rsid w:val="00055207"/>
    <w:rsid w:val="00055D9A"/>
    <w:rsid w:val="00056950"/>
    <w:rsid w:val="000569B3"/>
    <w:rsid w:val="00057D47"/>
    <w:rsid w:val="00060486"/>
    <w:rsid w:val="000606E1"/>
    <w:rsid w:val="000608DA"/>
    <w:rsid w:val="00060F20"/>
    <w:rsid w:val="00061435"/>
    <w:rsid w:val="00061535"/>
    <w:rsid w:val="0006297E"/>
    <w:rsid w:val="00062A3F"/>
    <w:rsid w:val="00062E3B"/>
    <w:rsid w:val="00062EE3"/>
    <w:rsid w:val="0006388C"/>
    <w:rsid w:val="000644B3"/>
    <w:rsid w:val="00064781"/>
    <w:rsid w:val="0006527F"/>
    <w:rsid w:val="000652D3"/>
    <w:rsid w:val="00065DCF"/>
    <w:rsid w:val="00066242"/>
    <w:rsid w:val="000662C7"/>
    <w:rsid w:val="00066F6B"/>
    <w:rsid w:val="00067D70"/>
    <w:rsid w:val="000702E7"/>
    <w:rsid w:val="00070442"/>
    <w:rsid w:val="00071073"/>
    <w:rsid w:val="00071126"/>
    <w:rsid w:val="000718A5"/>
    <w:rsid w:val="00071962"/>
    <w:rsid w:val="00071DFB"/>
    <w:rsid w:val="00071F75"/>
    <w:rsid w:val="00071FEA"/>
    <w:rsid w:val="000725C8"/>
    <w:rsid w:val="00072AB5"/>
    <w:rsid w:val="00073A93"/>
    <w:rsid w:val="000745D2"/>
    <w:rsid w:val="000747F3"/>
    <w:rsid w:val="00074BE3"/>
    <w:rsid w:val="000750FE"/>
    <w:rsid w:val="00075A56"/>
    <w:rsid w:val="00076743"/>
    <w:rsid w:val="00076D36"/>
    <w:rsid w:val="00076DB1"/>
    <w:rsid w:val="00077BCC"/>
    <w:rsid w:val="000805C1"/>
    <w:rsid w:val="00080608"/>
    <w:rsid w:val="000808DA"/>
    <w:rsid w:val="000819B2"/>
    <w:rsid w:val="0008275C"/>
    <w:rsid w:val="00082970"/>
    <w:rsid w:val="000831C1"/>
    <w:rsid w:val="00083DD3"/>
    <w:rsid w:val="00084C40"/>
    <w:rsid w:val="00084F9A"/>
    <w:rsid w:val="0008520C"/>
    <w:rsid w:val="00086350"/>
    <w:rsid w:val="00086FEF"/>
    <w:rsid w:val="00087243"/>
    <w:rsid w:val="000875F8"/>
    <w:rsid w:val="000906F7"/>
    <w:rsid w:val="0009098F"/>
    <w:rsid w:val="00090B77"/>
    <w:rsid w:val="00090F94"/>
    <w:rsid w:val="00090FF0"/>
    <w:rsid w:val="000919C6"/>
    <w:rsid w:val="00092F10"/>
    <w:rsid w:val="00093C00"/>
    <w:rsid w:val="00094014"/>
    <w:rsid w:val="000941D4"/>
    <w:rsid w:val="000944EF"/>
    <w:rsid w:val="00094CB0"/>
    <w:rsid w:val="0009525C"/>
    <w:rsid w:val="00095BDC"/>
    <w:rsid w:val="00095D6B"/>
    <w:rsid w:val="00095F92"/>
    <w:rsid w:val="0009653E"/>
    <w:rsid w:val="00096934"/>
    <w:rsid w:val="00096EB6"/>
    <w:rsid w:val="000971EF"/>
    <w:rsid w:val="000972F4"/>
    <w:rsid w:val="000A1697"/>
    <w:rsid w:val="000A20EE"/>
    <w:rsid w:val="000A25D9"/>
    <w:rsid w:val="000A31A4"/>
    <w:rsid w:val="000A32DA"/>
    <w:rsid w:val="000A3577"/>
    <w:rsid w:val="000A397B"/>
    <w:rsid w:val="000A3F4D"/>
    <w:rsid w:val="000A4881"/>
    <w:rsid w:val="000A4B0F"/>
    <w:rsid w:val="000A4F38"/>
    <w:rsid w:val="000A5445"/>
    <w:rsid w:val="000A5BBE"/>
    <w:rsid w:val="000A61D4"/>
    <w:rsid w:val="000A6772"/>
    <w:rsid w:val="000A73BE"/>
    <w:rsid w:val="000A753C"/>
    <w:rsid w:val="000A7D9D"/>
    <w:rsid w:val="000B00FA"/>
    <w:rsid w:val="000B0694"/>
    <w:rsid w:val="000B1044"/>
    <w:rsid w:val="000B1828"/>
    <w:rsid w:val="000B1C22"/>
    <w:rsid w:val="000B26C8"/>
    <w:rsid w:val="000B2CFA"/>
    <w:rsid w:val="000B3644"/>
    <w:rsid w:val="000B382C"/>
    <w:rsid w:val="000B3EC6"/>
    <w:rsid w:val="000B3ECA"/>
    <w:rsid w:val="000B42B6"/>
    <w:rsid w:val="000B45D5"/>
    <w:rsid w:val="000B469A"/>
    <w:rsid w:val="000B5495"/>
    <w:rsid w:val="000B58B4"/>
    <w:rsid w:val="000B5C7F"/>
    <w:rsid w:val="000B6201"/>
    <w:rsid w:val="000B6495"/>
    <w:rsid w:val="000C0204"/>
    <w:rsid w:val="000C1648"/>
    <w:rsid w:val="000C17F7"/>
    <w:rsid w:val="000C1B62"/>
    <w:rsid w:val="000C2559"/>
    <w:rsid w:val="000C2894"/>
    <w:rsid w:val="000C3080"/>
    <w:rsid w:val="000C3A14"/>
    <w:rsid w:val="000C4268"/>
    <w:rsid w:val="000C62D9"/>
    <w:rsid w:val="000C6397"/>
    <w:rsid w:val="000C6A5F"/>
    <w:rsid w:val="000C6B50"/>
    <w:rsid w:val="000C6F34"/>
    <w:rsid w:val="000C74F4"/>
    <w:rsid w:val="000C7C05"/>
    <w:rsid w:val="000D085F"/>
    <w:rsid w:val="000D0BA4"/>
    <w:rsid w:val="000D0EBA"/>
    <w:rsid w:val="000D12A4"/>
    <w:rsid w:val="000D15C0"/>
    <w:rsid w:val="000D1634"/>
    <w:rsid w:val="000D194D"/>
    <w:rsid w:val="000D1C19"/>
    <w:rsid w:val="000D3182"/>
    <w:rsid w:val="000D36E5"/>
    <w:rsid w:val="000D4727"/>
    <w:rsid w:val="000D4979"/>
    <w:rsid w:val="000D5364"/>
    <w:rsid w:val="000D585B"/>
    <w:rsid w:val="000D619D"/>
    <w:rsid w:val="000D653A"/>
    <w:rsid w:val="000D6598"/>
    <w:rsid w:val="000D6690"/>
    <w:rsid w:val="000D6CF6"/>
    <w:rsid w:val="000D7064"/>
    <w:rsid w:val="000D7F46"/>
    <w:rsid w:val="000E17F4"/>
    <w:rsid w:val="000E1DD9"/>
    <w:rsid w:val="000E2729"/>
    <w:rsid w:val="000E3749"/>
    <w:rsid w:val="000E3791"/>
    <w:rsid w:val="000E397A"/>
    <w:rsid w:val="000E43F7"/>
    <w:rsid w:val="000E44C0"/>
    <w:rsid w:val="000E4B9F"/>
    <w:rsid w:val="000E4CC6"/>
    <w:rsid w:val="000E54BB"/>
    <w:rsid w:val="000E59F1"/>
    <w:rsid w:val="000E5F81"/>
    <w:rsid w:val="000E6134"/>
    <w:rsid w:val="000E652B"/>
    <w:rsid w:val="000E66C7"/>
    <w:rsid w:val="000E682E"/>
    <w:rsid w:val="000E695D"/>
    <w:rsid w:val="000E6CF0"/>
    <w:rsid w:val="000E7786"/>
    <w:rsid w:val="000E7DB5"/>
    <w:rsid w:val="000F04DC"/>
    <w:rsid w:val="000F06C6"/>
    <w:rsid w:val="000F109D"/>
    <w:rsid w:val="000F13A4"/>
    <w:rsid w:val="000F289D"/>
    <w:rsid w:val="000F2C82"/>
    <w:rsid w:val="000F2CCC"/>
    <w:rsid w:val="000F3035"/>
    <w:rsid w:val="000F4369"/>
    <w:rsid w:val="000F4A18"/>
    <w:rsid w:val="000F4E20"/>
    <w:rsid w:val="000F5C97"/>
    <w:rsid w:val="000F5DA2"/>
    <w:rsid w:val="000F61A0"/>
    <w:rsid w:val="000F66D0"/>
    <w:rsid w:val="000F6A66"/>
    <w:rsid w:val="000F6C8D"/>
    <w:rsid w:val="000F6D25"/>
    <w:rsid w:val="000F7241"/>
    <w:rsid w:val="000F7286"/>
    <w:rsid w:val="000F7FE9"/>
    <w:rsid w:val="00100443"/>
    <w:rsid w:val="0010107B"/>
    <w:rsid w:val="00101284"/>
    <w:rsid w:val="001012D2"/>
    <w:rsid w:val="00101BE7"/>
    <w:rsid w:val="00101FE3"/>
    <w:rsid w:val="00103957"/>
    <w:rsid w:val="00103DCF"/>
    <w:rsid w:val="001044F5"/>
    <w:rsid w:val="001057BB"/>
    <w:rsid w:val="0010607D"/>
    <w:rsid w:val="001066DE"/>
    <w:rsid w:val="0010682E"/>
    <w:rsid w:val="00106AE7"/>
    <w:rsid w:val="00106CB0"/>
    <w:rsid w:val="00110308"/>
    <w:rsid w:val="0011037A"/>
    <w:rsid w:val="001113A1"/>
    <w:rsid w:val="00111E8D"/>
    <w:rsid w:val="0011215A"/>
    <w:rsid w:val="0011246B"/>
    <w:rsid w:val="00112618"/>
    <w:rsid w:val="001131FF"/>
    <w:rsid w:val="00113213"/>
    <w:rsid w:val="001133DD"/>
    <w:rsid w:val="00114B40"/>
    <w:rsid w:val="00115563"/>
    <w:rsid w:val="00115764"/>
    <w:rsid w:val="001159CE"/>
    <w:rsid w:val="00115C47"/>
    <w:rsid w:val="00115EA5"/>
    <w:rsid w:val="0011638B"/>
    <w:rsid w:val="00116E1B"/>
    <w:rsid w:val="001172BB"/>
    <w:rsid w:val="00117945"/>
    <w:rsid w:val="00117C7B"/>
    <w:rsid w:val="001200A6"/>
    <w:rsid w:val="00120980"/>
    <w:rsid w:val="00120B75"/>
    <w:rsid w:val="001218C5"/>
    <w:rsid w:val="001218C9"/>
    <w:rsid w:val="001218E5"/>
    <w:rsid w:val="001223B9"/>
    <w:rsid w:val="0012306D"/>
    <w:rsid w:val="00123BA4"/>
    <w:rsid w:val="001244F6"/>
    <w:rsid w:val="001247BF"/>
    <w:rsid w:val="00124970"/>
    <w:rsid w:val="00124F95"/>
    <w:rsid w:val="001253AD"/>
    <w:rsid w:val="001258FF"/>
    <w:rsid w:val="00125D24"/>
    <w:rsid w:val="00125F18"/>
    <w:rsid w:val="0012613A"/>
    <w:rsid w:val="0012661F"/>
    <w:rsid w:val="00126722"/>
    <w:rsid w:val="00126D42"/>
    <w:rsid w:val="00126FE4"/>
    <w:rsid w:val="0012703D"/>
    <w:rsid w:val="001271B0"/>
    <w:rsid w:val="00127498"/>
    <w:rsid w:val="001300B6"/>
    <w:rsid w:val="001302C1"/>
    <w:rsid w:val="00130595"/>
    <w:rsid w:val="00130AF2"/>
    <w:rsid w:val="00130B80"/>
    <w:rsid w:val="00130F87"/>
    <w:rsid w:val="00130FC9"/>
    <w:rsid w:val="00131B16"/>
    <w:rsid w:val="00131B7F"/>
    <w:rsid w:val="00132745"/>
    <w:rsid w:val="00133617"/>
    <w:rsid w:val="00133DB3"/>
    <w:rsid w:val="0013429B"/>
    <w:rsid w:val="00134E67"/>
    <w:rsid w:val="00135070"/>
    <w:rsid w:val="00135481"/>
    <w:rsid w:val="0013560C"/>
    <w:rsid w:val="00135CE9"/>
    <w:rsid w:val="00135E0B"/>
    <w:rsid w:val="00136051"/>
    <w:rsid w:val="00136DC3"/>
    <w:rsid w:val="0013754B"/>
    <w:rsid w:val="00137787"/>
    <w:rsid w:val="0013782F"/>
    <w:rsid w:val="001378AF"/>
    <w:rsid w:val="001378F0"/>
    <w:rsid w:val="00137E81"/>
    <w:rsid w:val="00141405"/>
    <w:rsid w:val="00141DE0"/>
    <w:rsid w:val="00142C2F"/>
    <w:rsid w:val="00142F8B"/>
    <w:rsid w:val="001431E2"/>
    <w:rsid w:val="001451AC"/>
    <w:rsid w:val="001452CE"/>
    <w:rsid w:val="001454A3"/>
    <w:rsid w:val="00145BA0"/>
    <w:rsid w:val="00146A08"/>
    <w:rsid w:val="00147FCF"/>
    <w:rsid w:val="001500EF"/>
    <w:rsid w:val="001501D6"/>
    <w:rsid w:val="001505C2"/>
    <w:rsid w:val="00150959"/>
    <w:rsid w:val="00150978"/>
    <w:rsid w:val="00150F39"/>
    <w:rsid w:val="001516CA"/>
    <w:rsid w:val="00151966"/>
    <w:rsid w:val="00151D73"/>
    <w:rsid w:val="00151D76"/>
    <w:rsid w:val="00151F0D"/>
    <w:rsid w:val="0015216D"/>
    <w:rsid w:val="0015224B"/>
    <w:rsid w:val="0015372F"/>
    <w:rsid w:val="00153E2F"/>
    <w:rsid w:val="00154BAA"/>
    <w:rsid w:val="001550B9"/>
    <w:rsid w:val="001553FA"/>
    <w:rsid w:val="001559B4"/>
    <w:rsid w:val="00155B8A"/>
    <w:rsid w:val="00155DE5"/>
    <w:rsid w:val="00156363"/>
    <w:rsid w:val="00157F7C"/>
    <w:rsid w:val="001606B4"/>
    <w:rsid w:val="00160CA6"/>
    <w:rsid w:val="001630A3"/>
    <w:rsid w:val="001633F4"/>
    <w:rsid w:val="001638EA"/>
    <w:rsid w:val="0016435D"/>
    <w:rsid w:val="001652EC"/>
    <w:rsid w:val="001654FB"/>
    <w:rsid w:val="00165825"/>
    <w:rsid w:val="001658BE"/>
    <w:rsid w:val="00167187"/>
    <w:rsid w:val="0016747A"/>
    <w:rsid w:val="0017112B"/>
    <w:rsid w:val="00171166"/>
    <w:rsid w:val="00171227"/>
    <w:rsid w:val="0017178E"/>
    <w:rsid w:val="00171817"/>
    <w:rsid w:val="00171A6B"/>
    <w:rsid w:val="00171C88"/>
    <w:rsid w:val="00171E05"/>
    <w:rsid w:val="00171E52"/>
    <w:rsid w:val="00172463"/>
    <w:rsid w:val="001727BA"/>
    <w:rsid w:val="00172F78"/>
    <w:rsid w:val="00173B40"/>
    <w:rsid w:val="00174B6F"/>
    <w:rsid w:val="00174BC2"/>
    <w:rsid w:val="00174EFC"/>
    <w:rsid w:val="00175B76"/>
    <w:rsid w:val="00176721"/>
    <w:rsid w:val="00176872"/>
    <w:rsid w:val="00176CDA"/>
    <w:rsid w:val="0017749F"/>
    <w:rsid w:val="001778AF"/>
    <w:rsid w:val="0017793A"/>
    <w:rsid w:val="00177AC7"/>
    <w:rsid w:val="00177BD5"/>
    <w:rsid w:val="0018035E"/>
    <w:rsid w:val="001804CB"/>
    <w:rsid w:val="00180CDA"/>
    <w:rsid w:val="00180F80"/>
    <w:rsid w:val="00182FE5"/>
    <w:rsid w:val="0018386F"/>
    <w:rsid w:val="00184D74"/>
    <w:rsid w:val="001858BA"/>
    <w:rsid w:val="001860FC"/>
    <w:rsid w:val="0018681A"/>
    <w:rsid w:val="00186904"/>
    <w:rsid w:val="0018773F"/>
    <w:rsid w:val="00187C12"/>
    <w:rsid w:val="00187E12"/>
    <w:rsid w:val="00190891"/>
    <w:rsid w:val="00190BCC"/>
    <w:rsid w:val="00190FCD"/>
    <w:rsid w:val="0019113D"/>
    <w:rsid w:val="0019146D"/>
    <w:rsid w:val="0019151F"/>
    <w:rsid w:val="0019203A"/>
    <w:rsid w:val="00192047"/>
    <w:rsid w:val="0019230B"/>
    <w:rsid w:val="00192CD9"/>
    <w:rsid w:val="00192DB9"/>
    <w:rsid w:val="001937EE"/>
    <w:rsid w:val="00194DC9"/>
    <w:rsid w:val="00194FAD"/>
    <w:rsid w:val="00195A45"/>
    <w:rsid w:val="00195B1B"/>
    <w:rsid w:val="00195C11"/>
    <w:rsid w:val="00196EB8"/>
    <w:rsid w:val="0019717B"/>
    <w:rsid w:val="00197738"/>
    <w:rsid w:val="00197758"/>
    <w:rsid w:val="001978D7"/>
    <w:rsid w:val="00197B12"/>
    <w:rsid w:val="001A0A68"/>
    <w:rsid w:val="001A0A9D"/>
    <w:rsid w:val="001A1587"/>
    <w:rsid w:val="001A22EB"/>
    <w:rsid w:val="001A232E"/>
    <w:rsid w:val="001A23DD"/>
    <w:rsid w:val="001A2555"/>
    <w:rsid w:val="001A2F1C"/>
    <w:rsid w:val="001A33BB"/>
    <w:rsid w:val="001A3784"/>
    <w:rsid w:val="001A3970"/>
    <w:rsid w:val="001A3A56"/>
    <w:rsid w:val="001A41BA"/>
    <w:rsid w:val="001A4280"/>
    <w:rsid w:val="001A57D5"/>
    <w:rsid w:val="001A58E0"/>
    <w:rsid w:val="001A5DB9"/>
    <w:rsid w:val="001A643E"/>
    <w:rsid w:val="001A74BC"/>
    <w:rsid w:val="001A7674"/>
    <w:rsid w:val="001B03E1"/>
    <w:rsid w:val="001B0C59"/>
    <w:rsid w:val="001B0E55"/>
    <w:rsid w:val="001B1119"/>
    <w:rsid w:val="001B1195"/>
    <w:rsid w:val="001B1426"/>
    <w:rsid w:val="001B142C"/>
    <w:rsid w:val="001B1477"/>
    <w:rsid w:val="001B15A0"/>
    <w:rsid w:val="001B18AA"/>
    <w:rsid w:val="001B1FFB"/>
    <w:rsid w:val="001B2567"/>
    <w:rsid w:val="001B2572"/>
    <w:rsid w:val="001B2781"/>
    <w:rsid w:val="001B294B"/>
    <w:rsid w:val="001B3071"/>
    <w:rsid w:val="001B3078"/>
    <w:rsid w:val="001B426C"/>
    <w:rsid w:val="001B4C3E"/>
    <w:rsid w:val="001B506C"/>
    <w:rsid w:val="001B5422"/>
    <w:rsid w:val="001B5A13"/>
    <w:rsid w:val="001B691F"/>
    <w:rsid w:val="001B6EED"/>
    <w:rsid w:val="001B77A7"/>
    <w:rsid w:val="001C1530"/>
    <w:rsid w:val="001C1C88"/>
    <w:rsid w:val="001C1F38"/>
    <w:rsid w:val="001C215D"/>
    <w:rsid w:val="001C2987"/>
    <w:rsid w:val="001C4C08"/>
    <w:rsid w:val="001C5C4C"/>
    <w:rsid w:val="001C6109"/>
    <w:rsid w:val="001C72C2"/>
    <w:rsid w:val="001C74B3"/>
    <w:rsid w:val="001C7653"/>
    <w:rsid w:val="001C7DBF"/>
    <w:rsid w:val="001C7E85"/>
    <w:rsid w:val="001C7FCF"/>
    <w:rsid w:val="001D01AC"/>
    <w:rsid w:val="001D025B"/>
    <w:rsid w:val="001D07E7"/>
    <w:rsid w:val="001D0B9F"/>
    <w:rsid w:val="001D0F2A"/>
    <w:rsid w:val="001D129F"/>
    <w:rsid w:val="001D1C67"/>
    <w:rsid w:val="001D2685"/>
    <w:rsid w:val="001D325F"/>
    <w:rsid w:val="001D3BA8"/>
    <w:rsid w:val="001D4665"/>
    <w:rsid w:val="001D479A"/>
    <w:rsid w:val="001D49B5"/>
    <w:rsid w:val="001D514C"/>
    <w:rsid w:val="001D55E3"/>
    <w:rsid w:val="001D5B25"/>
    <w:rsid w:val="001D5FC6"/>
    <w:rsid w:val="001D6036"/>
    <w:rsid w:val="001D7018"/>
    <w:rsid w:val="001D7AD6"/>
    <w:rsid w:val="001E1425"/>
    <w:rsid w:val="001E1AAE"/>
    <w:rsid w:val="001E1B6F"/>
    <w:rsid w:val="001E1BC8"/>
    <w:rsid w:val="001E257C"/>
    <w:rsid w:val="001E25EA"/>
    <w:rsid w:val="001E2D8D"/>
    <w:rsid w:val="001E32F0"/>
    <w:rsid w:val="001E3DD4"/>
    <w:rsid w:val="001E5177"/>
    <w:rsid w:val="001E5467"/>
    <w:rsid w:val="001E6880"/>
    <w:rsid w:val="001E79B9"/>
    <w:rsid w:val="001E7EAD"/>
    <w:rsid w:val="001F0723"/>
    <w:rsid w:val="001F1764"/>
    <w:rsid w:val="001F1AC6"/>
    <w:rsid w:val="001F20BE"/>
    <w:rsid w:val="001F4FEC"/>
    <w:rsid w:val="001F5D6A"/>
    <w:rsid w:val="001F63A6"/>
    <w:rsid w:val="001F6B78"/>
    <w:rsid w:val="001F6D40"/>
    <w:rsid w:val="001F7156"/>
    <w:rsid w:val="001F7191"/>
    <w:rsid w:val="001F7888"/>
    <w:rsid w:val="001F78DF"/>
    <w:rsid w:val="001F7A70"/>
    <w:rsid w:val="001F7D72"/>
    <w:rsid w:val="002015AF"/>
    <w:rsid w:val="00201AEE"/>
    <w:rsid w:val="002028D7"/>
    <w:rsid w:val="00202B54"/>
    <w:rsid w:val="00202C32"/>
    <w:rsid w:val="00203061"/>
    <w:rsid w:val="002032D9"/>
    <w:rsid w:val="0020582D"/>
    <w:rsid w:val="00206389"/>
    <w:rsid w:val="00206595"/>
    <w:rsid w:val="00206A63"/>
    <w:rsid w:val="00206C3E"/>
    <w:rsid w:val="0020711C"/>
    <w:rsid w:val="00210202"/>
    <w:rsid w:val="002112A8"/>
    <w:rsid w:val="0021131D"/>
    <w:rsid w:val="0021137C"/>
    <w:rsid w:val="002113F4"/>
    <w:rsid w:val="00211BFC"/>
    <w:rsid w:val="0021261E"/>
    <w:rsid w:val="002129D1"/>
    <w:rsid w:val="00212FAA"/>
    <w:rsid w:val="00213F69"/>
    <w:rsid w:val="00214255"/>
    <w:rsid w:val="00214CBD"/>
    <w:rsid w:val="00214D9B"/>
    <w:rsid w:val="00215299"/>
    <w:rsid w:val="00215C7D"/>
    <w:rsid w:val="00216270"/>
    <w:rsid w:val="002171B9"/>
    <w:rsid w:val="002211CA"/>
    <w:rsid w:val="002212DA"/>
    <w:rsid w:val="002213E8"/>
    <w:rsid w:val="00221443"/>
    <w:rsid w:val="002218F3"/>
    <w:rsid w:val="00221BC1"/>
    <w:rsid w:val="00221EE4"/>
    <w:rsid w:val="002229FE"/>
    <w:rsid w:val="00222B32"/>
    <w:rsid w:val="00222D16"/>
    <w:rsid w:val="00224A86"/>
    <w:rsid w:val="00224E79"/>
    <w:rsid w:val="002250A1"/>
    <w:rsid w:val="002256F1"/>
    <w:rsid w:val="002265AD"/>
    <w:rsid w:val="0022665B"/>
    <w:rsid w:val="002268C2"/>
    <w:rsid w:val="00226DAE"/>
    <w:rsid w:val="002273F0"/>
    <w:rsid w:val="00227CA1"/>
    <w:rsid w:val="002309A5"/>
    <w:rsid w:val="00230BA1"/>
    <w:rsid w:val="002314B1"/>
    <w:rsid w:val="00231563"/>
    <w:rsid w:val="00231D57"/>
    <w:rsid w:val="00232623"/>
    <w:rsid w:val="00232FAD"/>
    <w:rsid w:val="0023370F"/>
    <w:rsid w:val="002339FD"/>
    <w:rsid w:val="00233B64"/>
    <w:rsid w:val="00234394"/>
    <w:rsid w:val="00235233"/>
    <w:rsid w:val="00235DD9"/>
    <w:rsid w:val="00235F05"/>
    <w:rsid w:val="0023664E"/>
    <w:rsid w:val="00236D6B"/>
    <w:rsid w:val="00236DA7"/>
    <w:rsid w:val="0023712E"/>
    <w:rsid w:val="002374DD"/>
    <w:rsid w:val="002375B1"/>
    <w:rsid w:val="00237D44"/>
    <w:rsid w:val="00237FED"/>
    <w:rsid w:val="002401B0"/>
    <w:rsid w:val="00240624"/>
    <w:rsid w:val="00240E54"/>
    <w:rsid w:val="00241159"/>
    <w:rsid w:val="002413B1"/>
    <w:rsid w:val="002417E0"/>
    <w:rsid w:val="00242167"/>
    <w:rsid w:val="002429DC"/>
    <w:rsid w:val="00243275"/>
    <w:rsid w:val="00244F3A"/>
    <w:rsid w:val="002450B6"/>
    <w:rsid w:val="00245648"/>
    <w:rsid w:val="00246791"/>
    <w:rsid w:val="00246F84"/>
    <w:rsid w:val="00246F9D"/>
    <w:rsid w:val="002472A4"/>
    <w:rsid w:val="0024754A"/>
    <w:rsid w:val="002479C0"/>
    <w:rsid w:val="00250885"/>
    <w:rsid w:val="00251614"/>
    <w:rsid w:val="002519E9"/>
    <w:rsid w:val="0025219F"/>
    <w:rsid w:val="0025221D"/>
    <w:rsid w:val="00252456"/>
    <w:rsid w:val="00252AD6"/>
    <w:rsid w:val="00252EB4"/>
    <w:rsid w:val="002542A4"/>
    <w:rsid w:val="00254516"/>
    <w:rsid w:val="002545C2"/>
    <w:rsid w:val="00255016"/>
    <w:rsid w:val="002560A0"/>
    <w:rsid w:val="0025623D"/>
    <w:rsid w:val="00256528"/>
    <w:rsid w:val="002568E7"/>
    <w:rsid w:val="00257976"/>
    <w:rsid w:val="00257ADC"/>
    <w:rsid w:val="00257F03"/>
    <w:rsid w:val="00257F5C"/>
    <w:rsid w:val="002607B3"/>
    <w:rsid w:val="002608BF"/>
    <w:rsid w:val="00261131"/>
    <w:rsid w:val="00261C5E"/>
    <w:rsid w:val="00262318"/>
    <w:rsid w:val="0026270A"/>
    <w:rsid w:val="002631E7"/>
    <w:rsid w:val="002639A1"/>
    <w:rsid w:val="00263A3D"/>
    <w:rsid w:val="002641DF"/>
    <w:rsid w:val="00264C3C"/>
    <w:rsid w:val="00265298"/>
    <w:rsid w:val="00265DF9"/>
    <w:rsid w:val="00265EDA"/>
    <w:rsid w:val="00267DBA"/>
    <w:rsid w:val="00267F7E"/>
    <w:rsid w:val="00270168"/>
    <w:rsid w:val="0027037D"/>
    <w:rsid w:val="00270788"/>
    <w:rsid w:val="00270802"/>
    <w:rsid w:val="00270DCA"/>
    <w:rsid w:val="002724EB"/>
    <w:rsid w:val="00272932"/>
    <w:rsid w:val="002729DD"/>
    <w:rsid w:val="00275705"/>
    <w:rsid w:val="002757C0"/>
    <w:rsid w:val="002758B9"/>
    <w:rsid w:val="00275B4C"/>
    <w:rsid w:val="00275FE6"/>
    <w:rsid w:val="00277681"/>
    <w:rsid w:val="00277978"/>
    <w:rsid w:val="00277A6A"/>
    <w:rsid w:val="00277DBD"/>
    <w:rsid w:val="00277F50"/>
    <w:rsid w:val="0028104C"/>
    <w:rsid w:val="00281C3C"/>
    <w:rsid w:val="00283017"/>
    <w:rsid w:val="00283AF1"/>
    <w:rsid w:val="00283D20"/>
    <w:rsid w:val="00283D2A"/>
    <w:rsid w:val="00284CC1"/>
    <w:rsid w:val="00284DAA"/>
    <w:rsid w:val="00285244"/>
    <w:rsid w:val="0028548C"/>
    <w:rsid w:val="002854BD"/>
    <w:rsid w:val="00285EFB"/>
    <w:rsid w:val="002861AB"/>
    <w:rsid w:val="00286A42"/>
    <w:rsid w:val="00286E95"/>
    <w:rsid w:val="00287796"/>
    <w:rsid w:val="002910A5"/>
    <w:rsid w:val="002915D6"/>
    <w:rsid w:val="00291BC2"/>
    <w:rsid w:val="00292102"/>
    <w:rsid w:val="0029220F"/>
    <w:rsid w:val="00293015"/>
    <w:rsid w:val="00293218"/>
    <w:rsid w:val="0029323D"/>
    <w:rsid w:val="00293954"/>
    <w:rsid w:val="00293A28"/>
    <w:rsid w:val="00293B14"/>
    <w:rsid w:val="002943D9"/>
    <w:rsid w:val="00294B21"/>
    <w:rsid w:val="00294DD9"/>
    <w:rsid w:val="0029527F"/>
    <w:rsid w:val="002953A1"/>
    <w:rsid w:val="00295900"/>
    <w:rsid w:val="00295977"/>
    <w:rsid w:val="00295C76"/>
    <w:rsid w:val="00296B6E"/>
    <w:rsid w:val="00296D62"/>
    <w:rsid w:val="00297B58"/>
    <w:rsid w:val="00297E24"/>
    <w:rsid w:val="00297F88"/>
    <w:rsid w:val="002A09EB"/>
    <w:rsid w:val="002A125C"/>
    <w:rsid w:val="002A14E4"/>
    <w:rsid w:val="002A1EA0"/>
    <w:rsid w:val="002A27BD"/>
    <w:rsid w:val="002A2836"/>
    <w:rsid w:val="002A2B46"/>
    <w:rsid w:val="002A357C"/>
    <w:rsid w:val="002A3809"/>
    <w:rsid w:val="002A3B48"/>
    <w:rsid w:val="002A4296"/>
    <w:rsid w:val="002A43EA"/>
    <w:rsid w:val="002A57B7"/>
    <w:rsid w:val="002A65F5"/>
    <w:rsid w:val="002A662E"/>
    <w:rsid w:val="002A6776"/>
    <w:rsid w:val="002A6D59"/>
    <w:rsid w:val="002A700A"/>
    <w:rsid w:val="002B05BC"/>
    <w:rsid w:val="002B0764"/>
    <w:rsid w:val="002B08ED"/>
    <w:rsid w:val="002B1067"/>
    <w:rsid w:val="002B1481"/>
    <w:rsid w:val="002B1F07"/>
    <w:rsid w:val="002B2421"/>
    <w:rsid w:val="002B2430"/>
    <w:rsid w:val="002B2753"/>
    <w:rsid w:val="002B3E28"/>
    <w:rsid w:val="002B42E7"/>
    <w:rsid w:val="002B4CED"/>
    <w:rsid w:val="002B5F16"/>
    <w:rsid w:val="002B6077"/>
    <w:rsid w:val="002B61E4"/>
    <w:rsid w:val="002B6A7A"/>
    <w:rsid w:val="002B6F8B"/>
    <w:rsid w:val="002C1E30"/>
    <w:rsid w:val="002C20BC"/>
    <w:rsid w:val="002C2485"/>
    <w:rsid w:val="002C2BDC"/>
    <w:rsid w:val="002C2EE3"/>
    <w:rsid w:val="002C32BA"/>
    <w:rsid w:val="002C32BF"/>
    <w:rsid w:val="002C36E8"/>
    <w:rsid w:val="002C374C"/>
    <w:rsid w:val="002C3FD1"/>
    <w:rsid w:val="002C48B7"/>
    <w:rsid w:val="002C55B1"/>
    <w:rsid w:val="002C5B51"/>
    <w:rsid w:val="002C67F0"/>
    <w:rsid w:val="002C6CE5"/>
    <w:rsid w:val="002C6DE0"/>
    <w:rsid w:val="002D0431"/>
    <w:rsid w:val="002D0E36"/>
    <w:rsid w:val="002D12D7"/>
    <w:rsid w:val="002D12FA"/>
    <w:rsid w:val="002D1AAC"/>
    <w:rsid w:val="002D21F6"/>
    <w:rsid w:val="002D2627"/>
    <w:rsid w:val="002D27FE"/>
    <w:rsid w:val="002D2B4F"/>
    <w:rsid w:val="002D30DB"/>
    <w:rsid w:val="002D369F"/>
    <w:rsid w:val="002D43B9"/>
    <w:rsid w:val="002D4489"/>
    <w:rsid w:val="002D456A"/>
    <w:rsid w:val="002D4715"/>
    <w:rsid w:val="002D52B5"/>
    <w:rsid w:val="002D52B9"/>
    <w:rsid w:val="002D52C6"/>
    <w:rsid w:val="002D58E8"/>
    <w:rsid w:val="002D616D"/>
    <w:rsid w:val="002D64AA"/>
    <w:rsid w:val="002D6DDD"/>
    <w:rsid w:val="002D739D"/>
    <w:rsid w:val="002D7D2F"/>
    <w:rsid w:val="002E025D"/>
    <w:rsid w:val="002E060C"/>
    <w:rsid w:val="002E12CE"/>
    <w:rsid w:val="002E148E"/>
    <w:rsid w:val="002E1C25"/>
    <w:rsid w:val="002E247A"/>
    <w:rsid w:val="002E2E32"/>
    <w:rsid w:val="002E2F30"/>
    <w:rsid w:val="002E449C"/>
    <w:rsid w:val="002E475B"/>
    <w:rsid w:val="002E49FA"/>
    <w:rsid w:val="002E518E"/>
    <w:rsid w:val="002E7189"/>
    <w:rsid w:val="002E7384"/>
    <w:rsid w:val="002E7420"/>
    <w:rsid w:val="002E77EE"/>
    <w:rsid w:val="002F0D76"/>
    <w:rsid w:val="002F0FE2"/>
    <w:rsid w:val="002F164B"/>
    <w:rsid w:val="002F1ECB"/>
    <w:rsid w:val="002F2C48"/>
    <w:rsid w:val="002F2DA9"/>
    <w:rsid w:val="002F345C"/>
    <w:rsid w:val="002F39B3"/>
    <w:rsid w:val="002F3C5F"/>
    <w:rsid w:val="002F44E4"/>
    <w:rsid w:val="002F4664"/>
    <w:rsid w:val="002F4BC2"/>
    <w:rsid w:val="002F4DAA"/>
    <w:rsid w:val="002F5026"/>
    <w:rsid w:val="002F541C"/>
    <w:rsid w:val="002F60DB"/>
    <w:rsid w:val="002F64AD"/>
    <w:rsid w:val="002F6C38"/>
    <w:rsid w:val="002F6E99"/>
    <w:rsid w:val="00300297"/>
    <w:rsid w:val="00300395"/>
    <w:rsid w:val="00300597"/>
    <w:rsid w:val="003005AD"/>
    <w:rsid w:val="003015D6"/>
    <w:rsid w:val="00301AD8"/>
    <w:rsid w:val="00302273"/>
    <w:rsid w:val="00302420"/>
    <w:rsid w:val="00302695"/>
    <w:rsid w:val="003034DF"/>
    <w:rsid w:val="00304D73"/>
    <w:rsid w:val="00304DAF"/>
    <w:rsid w:val="00305420"/>
    <w:rsid w:val="00305F4B"/>
    <w:rsid w:val="0030635C"/>
    <w:rsid w:val="003066DD"/>
    <w:rsid w:val="00306C9F"/>
    <w:rsid w:val="00306D46"/>
    <w:rsid w:val="00307AB2"/>
    <w:rsid w:val="00307CCC"/>
    <w:rsid w:val="00307D62"/>
    <w:rsid w:val="00310A3F"/>
    <w:rsid w:val="00310EA9"/>
    <w:rsid w:val="0031144E"/>
    <w:rsid w:val="00311708"/>
    <w:rsid w:val="00311AD5"/>
    <w:rsid w:val="00311D50"/>
    <w:rsid w:val="00311FD3"/>
    <w:rsid w:val="00312AE7"/>
    <w:rsid w:val="00312F62"/>
    <w:rsid w:val="00312F72"/>
    <w:rsid w:val="00313DB0"/>
    <w:rsid w:val="00313FE1"/>
    <w:rsid w:val="003144C1"/>
    <w:rsid w:val="003146E2"/>
    <w:rsid w:val="00314D51"/>
    <w:rsid w:val="00315074"/>
    <w:rsid w:val="00315A5F"/>
    <w:rsid w:val="00315E83"/>
    <w:rsid w:val="00316216"/>
    <w:rsid w:val="003167C5"/>
    <w:rsid w:val="003170C8"/>
    <w:rsid w:val="00317DFC"/>
    <w:rsid w:val="00317E25"/>
    <w:rsid w:val="00317FB3"/>
    <w:rsid w:val="00320167"/>
    <w:rsid w:val="0032055B"/>
    <w:rsid w:val="00320D82"/>
    <w:rsid w:val="0032109F"/>
    <w:rsid w:val="00321703"/>
    <w:rsid w:val="00321A23"/>
    <w:rsid w:val="00321CA9"/>
    <w:rsid w:val="00321D6F"/>
    <w:rsid w:val="00321EAB"/>
    <w:rsid w:val="00323895"/>
    <w:rsid w:val="00323D23"/>
    <w:rsid w:val="00323E59"/>
    <w:rsid w:val="00324451"/>
    <w:rsid w:val="00324D18"/>
    <w:rsid w:val="003262AE"/>
    <w:rsid w:val="003266ED"/>
    <w:rsid w:val="003269FC"/>
    <w:rsid w:val="00326AC7"/>
    <w:rsid w:val="00326FCE"/>
    <w:rsid w:val="00327598"/>
    <w:rsid w:val="00330F3C"/>
    <w:rsid w:val="00330FEE"/>
    <w:rsid w:val="00331135"/>
    <w:rsid w:val="00331190"/>
    <w:rsid w:val="00332243"/>
    <w:rsid w:val="0033224E"/>
    <w:rsid w:val="00332D7D"/>
    <w:rsid w:val="003334E7"/>
    <w:rsid w:val="003340A3"/>
    <w:rsid w:val="0033431B"/>
    <w:rsid w:val="003354C3"/>
    <w:rsid w:val="003359D8"/>
    <w:rsid w:val="0033673A"/>
    <w:rsid w:val="00336CC3"/>
    <w:rsid w:val="00336FB5"/>
    <w:rsid w:val="00337139"/>
    <w:rsid w:val="003374AA"/>
    <w:rsid w:val="003404BC"/>
    <w:rsid w:val="0034115A"/>
    <w:rsid w:val="00341E63"/>
    <w:rsid w:val="00342B43"/>
    <w:rsid w:val="00344233"/>
    <w:rsid w:val="00344D18"/>
    <w:rsid w:val="0034512C"/>
    <w:rsid w:val="00345746"/>
    <w:rsid w:val="00345B20"/>
    <w:rsid w:val="00345F18"/>
    <w:rsid w:val="00346485"/>
    <w:rsid w:val="003467FA"/>
    <w:rsid w:val="003468DF"/>
    <w:rsid w:val="00346BAE"/>
    <w:rsid w:val="00346E4D"/>
    <w:rsid w:val="003507DC"/>
    <w:rsid w:val="00350FC2"/>
    <w:rsid w:val="003510FB"/>
    <w:rsid w:val="00351641"/>
    <w:rsid w:val="00351EBB"/>
    <w:rsid w:val="0035259C"/>
    <w:rsid w:val="003568C7"/>
    <w:rsid w:val="00356F14"/>
    <w:rsid w:val="0035724F"/>
    <w:rsid w:val="00357388"/>
    <w:rsid w:val="0035771E"/>
    <w:rsid w:val="003577B0"/>
    <w:rsid w:val="00357AAC"/>
    <w:rsid w:val="00357CB3"/>
    <w:rsid w:val="00360014"/>
    <w:rsid w:val="0036009D"/>
    <w:rsid w:val="003600AD"/>
    <w:rsid w:val="0036076F"/>
    <w:rsid w:val="003607AE"/>
    <w:rsid w:val="003608B1"/>
    <w:rsid w:val="0036136D"/>
    <w:rsid w:val="00361B24"/>
    <w:rsid w:val="00361E6B"/>
    <w:rsid w:val="00362289"/>
    <w:rsid w:val="003625F9"/>
    <w:rsid w:val="003626EA"/>
    <w:rsid w:val="0036307F"/>
    <w:rsid w:val="00363160"/>
    <w:rsid w:val="00363A05"/>
    <w:rsid w:val="003640F1"/>
    <w:rsid w:val="00364B4A"/>
    <w:rsid w:val="00365105"/>
    <w:rsid w:val="003653A8"/>
    <w:rsid w:val="003654E1"/>
    <w:rsid w:val="003655AD"/>
    <w:rsid w:val="00365684"/>
    <w:rsid w:val="00365769"/>
    <w:rsid w:val="0036587D"/>
    <w:rsid w:val="003669C6"/>
    <w:rsid w:val="00367013"/>
    <w:rsid w:val="0036718B"/>
    <w:rsid w:val="003677E4"/>
    <w:rsid w:val="00370356"/>
    <w:rsid w:val="00370678"/>
    <w:rsid w:val="003713E5"/>
    <w:rsid w:val="003719EA"/>
    <w:rsid w:val="00371B3D"/>
    <w:rsid w:val="00372278"/>
    <w:rsid w:val="00372436"/>
    <w:rsid w:val="00372B66"/>
    <w:rsid w:val="00372BDD"/>
    <w:rsid w:val="00372F3D"/>
    <w:rsid w:val="00373218"/>
    <w:rsid w:val="003746D4"/>
    <w:rsid w:val="00375A4C"/>
    <w:rsid w:val="00375C63"/>
    <w:rsid w:val="00375F80"/>
    <w:rsid w:val="00376E9C"/>
    <w:rsid w:val="003818C2"/>
    <w:rsid w:val="00381AA9"/>
    <w:rsid w:val="00381B47"/>
    <w:rsid w:val="00382E8C"/>
    <w:rsid w:val="00383064"/>
    <w:rsid w:val="00383B2E"/>
    <w:rsid w:val="0038478E"/>
    <w:rsid w:val="00384834"/>
    <w:rsid w:val="00386D47"/>
    <w:rsid w:val="00386D58"/>
    <w:rsid w:val="00386E6C"/>
    <w:rsid w:val="00387043"/>
    <w:rsid w:val="003873DB"/>
    <w:rsid w:val="003875E3"/>
    <w:rsid w:val="00387965"/>
    <w:rsid w:val="003906CD"/>
    <w:rsid w:val="003908EB"/>
    <w:rsid w:val="003911D8"/>
    <w:rsid w:val="003911F7"/>
    <w:rsid w:val="003916D4"/>
    <w:rsid w:val="00391B04"/>
    <w:rsid w:val="00392F7E"/>
    <w:rsid w:val="00393954"/>
    <w:rsid w:val="00393BF5"/>
    <w:rsid w:val="0039430F"/>
    <w:rsid w:val="00394E46"/>
    <w:rsid w:val="0039598A"/>
    <w:rsid w:val="00395A01"/>
    <w:rsid w:val="00395BB8"/>
    <w:rsid w:val="00396262"/>
    <w:rsid w:val="003964B8"/>
    <w:rsid w:val="00396C2C"/>
    <w:rsid w:val="00397EFC"/>
    <w:rsid w:val="003A02F8"/>
    <w:rsid w:val="003A0654"/>
    <w:rsid w:val="003A10E2"/>
    <w:rsid w:val="003A1161"/>
    <w:rsid w:val="003A36FD"/>
    <w:rsid w:val="003A3AAF"/>
    <w:rsid w:val="003A3B90"/>
    <w:rsid w:val="003A3BD0"/>
    <w:rsid w:val="003A42CD"/>
    <w:rsid w:val="003A53B3"/>
    <w:rsid w:val="003A5567"/>
    <w:rsid w:val="003A590C"/>
    <w:rsid w:val="003A597D"/>
    <w:rsid w:val="003A5BB5"/>
    <w:rsid w:val="003A6093"/>
    <w:rsid w:val="003A6171"/>
    <w:rsid w:val="003A70EE"/>
    <w:rsid w:val="003A71BC"/>
    <w:rsid w:val="003B0022"/>
    <w:rsid w:val="003B00BB"/>
    <w:rsid w:val="003B042F"/>
    <w:rsid w:val="003B0BCB"/>
    <w:rsid w:val="003B12AC"/>
    <w:rsid w:val="003B1531"/>
    <w:rsid w:val="003B1BC8"/>
    <w:rsid w:val="003B1C3E"/>
    <w:rsid w:val="003B3431"/>
    <w:rsid w:val="003B36B4"/>
    <w:rsid w:val="003B3B1D"/>
    <w:rsid w:val="003B4186"/>
    <w:rsid w:val="003B4543"/>
    <w:rsid w:val="003B4600"/>
    <w:rsid w:val="003B56FC"/>
    <w:rsid w:val="003B5DD2"/>
    <w:rsid w:val="003B604F"/>
    <w:rsid w:val="003B6DC1"/>
    <w:rsid w:val="003B769C"/>
    <w:rsid w:val="003B7A5A"/>
    <w:rsid w:val="003C0969"/>
    <w:rsid w:val="003C0D45"/>
    <w:rsid w:val="003C1501"/>
    <w:rsid w:val="003C151E"/>
    <w:rsid w:val="003C161C"/>
    <w:rsid w:val="003C1965"/>
    <w:rsid w:val="003C1C19"/>
    <w:rsid w:val="003C20F0"/>
    <w:rsid w:val="003C22B5"/>
    <w:rsid w:val="003C27B6"/>
    <w:rsid w:val="003C2F22"/>
    <w:rsid w:val="003C2F69"/>
    <w:rsid w:val="003C3101"/>
    <w:rsid w:val="003C4901"/>
    <w:rsid w:val="003C4922"/>
    <w:rsid w:val="003C55C1"/>
    <w:rsid w:val="003C693D"/>
    <w:rsid w:val="003C7526"/>
    <w:rsid w:val="003C777F"/>
    <w:rsid w:val="003C7FDE"/>
    <w:rsid w:val="003D015D"/>
    <w:rsid w:val="003D0F75"/>
    <w:rsid w:val="003D1225"/>
    <w:rsid w:val="003D12E3"/>
    <w:rsid w:val="003D1E88"/>
    <w:rsid w:val="003D24A8"/>
    <w:rsid w:val="003D24C1"/>
    <w:rsid w:val="003D2725"/>
    <w:rsid w:val="003D39A9"/>
    <w:rsid w:val="003D4923"/>
    <w:rsid w:val="003D5EDC"/>
    <w:rsid w:val="003D61AD"/>
    <w:rsid w:val="003D6B2E"/>
    <w:rsid w:val="003D6BC9"/>
    <w:rsid w:val="003D708E"/>
    <w:rsid w:val="003D7BE0"/>
    <w:rsid w:val="003E0116"/>
    <w:rsid w:val="003E0F64"/>
    <w:rsid w:val="003E1141"/>
    <w:rsid w:val="003E1174"/>
    <w:rsid w:val="003E1A1E"/>
    <w:rsid w:val="003E1AAE"/>
    <w:rsid w:val="003E1BE1"/>
    <w:rsid w:val="003E1C6F"/>
    <w:rsid w:val="003E1E50"/>
    <w:rsid w:val="003E2434"/>
    <w:rsid w:val="003E2719"/>
    <w:rsid w:val="003E2763"/>
    <w:rsid w:val="003E336C"/>
    <w:rsid w:val="003E449A"/>
    <w:rsid w:val="003E4EAC"/>
    <w:rsid w:val="003E55DD"/>
    <w:rsid w:val="003E5956"/>
    <w:rsid w:val="003E59F0"/>
    <w:rsid w:val="003E5B91"/>
    <w:rsid w:val="003E5FF7"/>
    <w:rsid w:val="003E6541"/>
    <w:rsid w:val="003E7100"/>
    <w:rsid w:val="003E738A"/>
    <w:rsid w:val="003E7C4A"/>
    <w:rsid w:val="003E7DA0"/>
    <w:rsid w:val="003F06FB"/>
    <w:rsid w:val="003F0E80"/>
    <w:rsid w:val="003F1EA0"/>
    <w:rsid w:val="003F225E"/>
    <w:rsid w:val="003F2946"/>
    <w:rsid w:val="003F2ECE"/>
    <w:rsid w:val="003F2F13"/>
    <w:rsid w:val="003F370C"/>
    <w:rsid w:val="003F371C"/>
    <w:rsid w:val="003F39D4"/>
    <w:rsid w:val="003F43D7"/>
    <w:rsid w:val="003F44B0"/>
    <w:rsid w:val="003F5DED"/>
    <w:rsid w:val="003F5F49"/>
    <w:rsid w:val="003F7028"/>
    <w:rsid w:val="003F779F"/>
    <w:rsid w:val="003F7958"/>
    <w:rsid w:val="004003D5"/>
    <w:rsid w:val="00400681"/>
    <w:rsid w:val="00401033"/>
    <w:rsid w:val="0040116C"/>
    <w:rsid w:val="004013AD"/>
    <w:rsid w:val="004015DB"/>
    <w:rsid w:val="00401A3F"/>
    <w:rsid w:val="00401D1E"/>
    <w:rsid w:val="00401EB9"/>
    <w:rsid w:val="00401F4A"/>
    <w:rsid w:val="00402372"/>
    <w:rsid w:val="00402CF7"/>
    <w:rsid w:val="00402E40"/>
    <w:rsid w:val="00403298"/>
    <w:rsid w:val="00403421"/>
    <w:rsid w:val="004036DF"/>
    <w:rsid w:val="00403CF8"/>
    <w:rsid w:val="00403EC3"/>
    <w:rsid w:val="00404663"/>
    <w:rsid w:val="004047D0"/>
    <w:rsid w:val="00404A9E"/>
    <w:rsid w:val="004057D7"/>
    <w:rsid w:val="00405D99"/>
    <w:rsid w:val="00405F7B"/>
    <w:rsid w:val="004063CF"/>
    <w:rsid w:val="00406605"/>
    <w:rsid w:val="00406683"/>
    <w:rsid w:val="00406AF1"/>
    <w:rsid w:val="00406B3D"/>
    <w:rsid w:val="004111FA"/>
    <w:rsid w:val="004112A3"/>
    <w:rsid w:val="00411DC9"/>
    <w:rsid w:val="00413549"/>
    <w:rsid w:val="0041379C"/>
    <w:rsid w:val="004145B9"/>
    <w:rsid w:val="00414A44"/>
    <w:rsid w:val="00415682"/>
    <w:rsid w:val="00416107"/>
    <w:rsid w:val="00416162"/>
    <w:rsid w:val="00417C8F"/>
    <w:rsid w:val="00421870"/>
    <w:rsid w:val="00422474"/>
    <w:rsid w:val="00422B63"/>
    <w:rsid w:val="00423A5D"/>
    <w:rsid w:val="00423CB2"/>
    <w:rsid w:val="00423EAF"/>
    <w:rsid w:val="00423F7A"/>
    <w:rsid w:val="0042412E"/>
    <w:rsid w:val="004241FD"/>
    <w:rsid w:val="00424310"/>
    <w:rsid w:val="00424C74"/>
    <w:rsid w:val="00426CC0"/>
    <w:rsid w:val="00426E26"/>
    <w:rsid w:val="004308CC"/>
    <w:rsid w:val="00432943"/>
    <w:rsid w:val="00432A49"/>
    <w:rsid w:val="00432B0B"/>
    <w:rsid w:val="00432C2D"/>
    <w:rsid w:val="004333C2"/>
    <w:rsid w:val="00433C24"/>
    <w:rsid w:val="00433D5F"/>
    <w:rsid w:val="004341E0"/>
    <w:rsid w:val="00434468"/>
    <w:rsid w:val="0043455A"/>
    <w:rsid w:val="0043478D"/>
    <w:rsid w:val="004348E3"/>
    <w:rsid w:val="0043502C"/>
    <w:rsid w:val="0043513E"/>
    <w:rsid w:val="00435E90"/>
    <w:rsid w:val="004362DD"/>
    <w:rsid w:val="0043669F"/>
    <w:rsid w:val="00437EAE"/>
    <w:rsid w:val="0044020E"/>
    <w:rsid w:val="00440B18"/>
    <w:rsid w:val="00440F6F"/>
    <w:rsid w:val="00441B65"/>
    <w:rsid w:val="00441C4B"/>
    <w:rsid w:val="0044205D"/>
    <w:rsid w:val="004427DB"/>
    <w:rsid w:val="004433B3"/>
    <w:rsid w:val="00443429"/>
    <w:rsid w:val="00443BE2"/>
    <w:rsid w:val="00443D8D"/>
    <w:rsid w:val="00444FDB"/>
    <w:rsid w:val="004451D3"/>
    <w:rsid w:val="00445588"/>
    <w:rsid w:val="00446390"/>
    <w:rsid w:val="0044688B"/>
    <w:rsid w:val="00447585"/>
    <w:rsid w:val="004476F1"/>
    <w:rsid w:val="00447FEA"/>
    <w:rsid w:val="004501E3"/>
    <w:rsid w:val="00450584"/>
    <w:rsid w:val="00450C58"/>
    <w:rsid w:val="00451135"/>
    <w:rsid w:val="004517E6"/>
    <w:rsid w:val="00451A9E"/>
    <w:rsid w:val="00452126"/>
    <w:rsid w:val="0045215E"/>
    <w:rsid w:val="00452206"/>
    <w:rsid w:val="004528E5"/>
    <w:rsid w:val="00452A46"/>
    <w:rsid w:val="00452B79"/>
    <w:rsid w:val="0045412E"/>
    <w:rsid w:val="00454AA2"/>
    <w:rsid w:val="00454D1E"/>
    <w:rsid w:val="004550CC"/>
    <w:rsid w:val="00455223"/>
    <w:rsid w:val="00455781"/>
    <w:rsid w:val="00455A81"/>
    <w:rsid w:val="00455EE4"/>
    <w:rsid w:val="00456B53"/>
    <w:rsid w:val="00456C30"/>
    <w:rsid w:val="00457A31"/>
    <w:rsid w:val="00457AF5"/>
    <w:rsid w:val="00457E6C"/>
    <w:rsid w:val="0046002C"/>
    <w:rsid w:val="004605FA"/>
    <w:rsid w:val="00461903"/>
    <w:rsid w:val="0046200F"/>
    <w:rsid w:val="004629EF"/>
    <w:rsid w:val="00462BE0"/>
    <w:rsid w:val="0046360A"/>
    <w:rsid w:val="00463EAB"/>
    <w:rsid w:val="00464AE0"/>
    <w:rsid w:val="00464B08"/>
    <w:rsid w:val="00464C81"/>
    <w:rsid w:val="00465084"/>
    <w:rsid w:val="0046528A"/>
    <w:rsid w:val="004652C6"/>
    <w:rsid w:val="004654CB"/>
    <w:rsid w:val="0046583C"/>
    <w:rsid w:val="004666B7"/>
    <w:rsid w:val="00466F4A"/>
    <w:rsid w:val="0046707F"/>
    <w:rsid w:val="00467909"/>
    <w:rsid w:val="00470F19"/>
    <w:rsid w:val="00471718"/>
    <w:rsid w:val="0047269F"/>
    <w:rsid w:val="00472E47"/>
    <w:rsid w:val="0047342F"/>
    <w:rsid w:val="004739DC"/>
    <w:rsid w:val="00473E9F"/>
    <w:rsid w:val="0047432C"/>
    <w:rsid w:val="00474E6F"/>
    <w:rsid w:val="00475CB2"/>
    <w:rsid w:val="00475F21"/>
    <w:rsid w:val="004768F3"/>
    <w:rsid w:val="00476C01"/>
    <w:rsid w:val="00476CDC"/>
    <w:rsid w:val="00477876"/>
    <w:rsid w:val="0048023D"/>
    <w:rsid w:val="00480F7D"/>
    <w:rsid w:val="00481021"/>
    <w:rsid w:val="00481630"/>
    <w:rsid w:val="0048184F"/>
    <w:rsid w:val="004819C5"/>
    <w:rsid w:val="00481D31"/>
    <w:rsid w:val="00481DED"/>
    <w:rsid w:val="0048248B"/>
    <w:rsid w:val="004825A8"/>
    <w:rsid w:val="00483561"/>
    <w:rsid w:val="00483E0E"/>
    <w:rsid w:val="00484F2A"/>
    <w:rsid w:val="00485845"/>
    <w:rsid w:val="0048590A"/>
    <w:rsid w:val="00485B97"/>
    <w:rsid w:val="00485DFF"/>
    <w:rsid w:val="00486093"/>
    <w:rsid w:val="00486726"/>
    <w:rsid w:val="004867B3"/>
    <w:rsid w:val="00486E77"/>
    <w:rsid w:val="00487199"/>
    <w:rsid w:val="00487CD2"/>
    <w:rsid w:val="004906D2"/>
    <w:rsid w:val="00490F37"/>
    <w:rsid w:val="00491651"/>
    <w:rsid w:val="00491A12"/>
    <w:rsid w:val="00491D81"/>
    <w:rsid w:val="00493662"/>
    <w:rsid w:val="004942DE"/>
    <w:rsid w:val="00495085"/>
    <w:rsid w:val="004952D8"/>
    <w:rsid w:val="00496363"/>
    <w:rsid w:val="00496853"/>
    <w:rsid w:val="00496D28"/>
    <w:rsid w:val="00497347"/>
    <w:rsid w:val="00497EE0"/>
    <w:rsid w:val="004A1297"/>
    <w:rsid w:val="004A2BE0"/>
    <w:rsid w:val="004A338A"/>
    <w:rsid w:val="004A3BC5"/>
    <w:rsid w:val="004A3EC8"/>
    <w:rsid w:val="004A4D4E"/>
    <w:rsid w:val="004A4E28"/>
    <w:rsid w:val="004A4E49"/>
    <w:rsid w:val="004A55E4"/>
    <w:rsid w:val="004A57D7"/>
    <w:rsid w:val="004A6267"/>
    <w:rsid w:val="004A64C0"/>
    <w:rsid w:val="004A7174"/>
    <w:rsid w:val="004A73D7"/>
    <w:rsid w:val="004B2FB1"/>
    <w:rsid w:val="004B3734"/>
    <w:rsid w:val="004B5488"/>
    <w:rsid w:val="004B55C1"/>
    <w:rsid w:val="004B58C2"/>
    <w:rsid w:val="004B5CBB"/>
    <w:rsid w:val="004B5DD7"/>
    <w:rsid w:val="004B5E90"/>
    <w:rsid w:val="004B5FD7"/>
    <w:rsid w:val="004B694B"/>
    <w:rsid w:val="004B6A46"/>
    <w:rsid w:val="004B6CD6"/>
    <w:rsid w:val="004B7129"/>
    <w:rsid w:val="004B7992"/>
    <w:rsid w:val="004B7A19"/>
    <w:rsid w:val="004B7C23"/>
    <w:rsid w:val="004C0628"/>
    <w:rsid w:val="004C0954"/>
    <w:rsid w:val="004C0C0E"/>
    <w:rsid w:val="004C15F3"/>
    <w:rsid w:val="004C18DC"/>
    <w:rsid w:val="004C29D6"/>
    <w:rsid w:val="004C3B24"/>
    <w:rsid w:val="004C3FD2"/>
    <w:rsid w:val="004C44CD"/>
    <w:rsid w:val="004C4A61"/>
    <w:rsid w:val="004C4AB9"/>
    <w:rsid w:val="004C4D62"/>
    <w:rsid w:val="004C5DE3"/>
    <w:rsid w:val="004C5ED2"/>
    <w:rsid w:val="004C5EF2"/>
    <w:rsid w:val="004C5F49"/>
    <w:rsid w:val="004C6320"/>
    <w:rsid w:val="004C687B"/>
    <w:rsid w:val="004C6ECD"/>
    <w:rsid w:val="004C7758"/>
    <w:rsid w:val="004D0081"/>
    <w:rsid w:val="004D0804"/>
    <w:rsid w:val="004D124D"/>
    <w:rsid w:val="004D1270"/>
    <w:rsid w:val="004D1D63"/>
    <w:rsid w:val="004D1F1A"/>
    <w:rsid w:val="004D2093"/>
    <w:rsid w:val="004D20CE"/>
    <w:rsid w:val="004D252A"/>
    <w:rsid w:val="004D29C9"/>
    <w:rsid w:val="004D2EB3"/>
    <w:rsid w:val="004D2F79"/>
    <w:rsid w:val="004D2FF1"/>
    <w:rsid w:val="004D3B30"/>
    <w:rsid w:val="004D49A6"/>
    <w:rsid w:val="004D666B"/>
    <w:rsid w:val="004D67B7"/>
    <w:rsid w:val="004D6CFD"/>
    <w:rsid w:val="004D7B3B"/>
    <w:rsid w:val="004E01C6"/>
    <w:rsid w:val="004E0BDA"/>
    <w:rsid w:val="004E0ECB"/>
    <w:rsid w:val="004E1653"/>
    <w:rsid w:val="004E1D03"/>
    <w:rsid w:val="004E1E3E"/>
    <w:rsid w:val="004E2008"/>
    <w:rsid w:val="004E20DA"/>
    <w:rsid w:val="004E26FF"/>
    <w:rsid w:val="004E27F8"/>
    <w:rsid w:val="004E2AEF"/>
    <w:rsid w:val="004E30F9"/>
    <w:rsid w:val="004E339C"/>
    <w:rsid w:val="004E38CE"/>
    <w:rsid w:val="004E3EB2"/>
    <w:rsid w:val="004E3FA8"/>
    <w:rsid w:val="004E41A4"/>
    <w:rsid w:val="004E440D"/>
    <w:rsid w:val="004E563A"/>
    <w:rsid w:val="004E5B91"/>
    <w:rsid w:val="004E5F6F"/>
    <w:rsid w:val="004E6950"/>
    <w:rsid w:val="004E7398"/>
    <w:rsid w:val="004E7E19"/>
    <w:rsid w:val="004F033A"/>
    <w:rsid w:val="004F1AD3"/>
    <w:rsid w:val="004F22CF"/>
    <w:rsid w:val="004F2507"/>
    <w:rsid w:val="004F2763"/>
    <w:rsid w:val="004F2825"/>
    <w:rsid w:val="004F351D"/>
    <w:rsid w:val="004F3AB9"/>
    <w:rsid w:val="004F4085"/>
    <w:rsid w:val="004F441C"/>
    <w:rsid w:val="004F450F"/>
    <w:rsid w:val="004F482A"/>
    <w:rsid w:val="004F49FF"/>
    <w:rsid w:val="004F506A"/>
    <w:rsid w:val="004F5112"/>
    <w:rsid w:val="004F5CC6"/>
    <w:rsid w:val="004F5E2E"/>
    <w:rsid w:val="004F6614"/>
    <w:rsid w:val="004F66DA"/>
    <w:rsid w:val="004F6825"/>
    <w:rsid w:val="004F693D"/>
    <w:rsid w:val="004F6AF7"/>
    <w:rsid w:val="004F70B0"/>
    <w:rsid w:val="004F76F9"/>
    <w:rsid w:val="004F777E"/>
    <w:rsid w:val="004F78A4"/>
    <w:rsid w:val="004F7A7E"/>
    <w:rsid w:val="00503A75"/>
    <w:rsid w:val="0050545B"/>
    <w:rsid w:val="005061F6"/>
    <w:rsid w:val="00506B99"/>
    <w:rsid w:val="005071A0"/>
    <w:rsid w:val="0050753D"/>
    <w:rsid w:val="00507670"/>
    <w:rsid w:val="00507CFF"/>
    <w:rsid w:val="0051013C"/>
    <w:rsid w:val="00510AC3"/>
    <w:rsid w:val="005117FE"/>
    <w:rsid w:val="00511917"/>
    <w:rsid w:val="00511B5B"/>
    <w:rsid w:val="00511C0A"/>
    <w:rsid w:val="00511D61"/>
    <w:rsid w:val="00512BC5"/>
    <w:rsid w:val="005139E1"/>
    <w:rsid w:val="00513CDD"/>
    <w:rsid w:val="0051404A"/>
    <w:rsid w:val="0051413F"/>
    <w:rsid w:val="00514ABE"/>
    <w:rsid w:val="005151B6"/>
    <w:rsid w:val="00515908"/>
    <w:rsid w:val="00515988"/>
    <w:rsid w:val="00515E28"/>
    <w:rsid w:val="005161CE"/>
    <w:rsid w:val="005167A0"/>
    <w:rsid w:val="005167EB"/>
    <w:rsid w:val="005173A9"/>
    <w:rsid w:val="00517BB2"/>
    <w:rsid w:val="00517F0D"/>
    <w:rsid w:val="00520133"/>
    <w:rsid w:val="00520E35"/>
    <w:rsid w:val="00521812"/>
    <w:rsid w:val="005226AB"/>
    <w:rsid w:val="00522722"/>
    <w:rsid w:val="00522CEC"/>
    <w:rsid w:val="00523201"/>
    <w:rsid w:val="005233D5"/>
    <w:rsid w:val="005236A2"/>
    <w:rsid w:val="00523B26"/>
    <w:rsid w:val="005241D4"/>
    <w:rsid w:val="005242B9"/>
    <w:rsid w:val="00524765"/>
    <w:rsid w:val="00525A26"/>
    <w:rsid w:val="00525C9B"/>
    <w:rsid w:val="00525D29"/>
    <w:rsid w:val="00526616"/>
    <w:rsid w:val="005268B1"/>
    <w:rsid w:val="00526FFE"/>
    <w:rsid w:val="00527AEF"/>
    <w:rsid w:val="00527DC8"/>
    <w:rsid w:val="00527E6D"/>
    <w:rsid w:val="0053078C"/>
    <w:rsid w:val="0053102D"/>
    <w:rsid w:val="00531348"/>
    <w:rsid w:val="00531539"/>
    <w:rsid w:val="00531756"/>
    <w:rsid w:val="005317D5"/>
    <w:rsid w:val="00531AD1"/>
    <w:rsid w:val="00532168"/>
    <w:rsid w:val="0053240A"/>
    <w:rsid w:val="005327BB"/>
    <w:rsid w:val="0053306C"/>
    <w:rsid w:val="005343E2"/>
    <w:rsid w:val="005345B5"/>
    <w:rsid w:val="00534623"/>
    <w:rsid w:val="00534D8E"/>
    <w:rsid w:val="00534E10"/>
    <w:rsid w:val="00534E5F"/>
    <w:rsid w:val="0053601A"/>
    <w:rsid w:val="0053619A"/>
    <w:rsid w:val="00536724"/>
    <w:rsid w:val="00536B45"/>
    <w:rsid w:val="0053756E"/>
    <w:rsid w:val="005378ED"/>
    <w:rsid w:val="00537901"/>
    <w:rsid w:val="00537F73"/>
    <w:rsid w:val="00540A17"/>
    <w:rsid w:val="00540FD9"/>
    <w:rsid w:val="005412B5"/>
    <w:rsid w:val="005414B9"/>
    <w:rsid w:val="005422FA"/>
    <w:rsid w:val="005425C3"/>
    <w:rsid w:val="005425E0"/>
    <w:rsid w:val="00542B2D"/>
    <w:rsid w:val="00542E05"/>
    <w:rsid w:val="00543395"/>
    <w:rsid w:val="00543533"/>
    <w:rsid w:val="0054383C"/>
    <w:rsid w:val="00543DC3"/>
    <w:rsid w:val="00544B86"/>
    <w:rsid w:val="0054569B"/>
    <w:rsid w:val="00545C31"/>
    <w:rsid w:val="00545D10"/>
    <w:rsid w:val="0054625C"/>
    <w:rsid w:val="00546295"/>
    <w:rsid w:val="00546367"/>
    <w:rsid w:val="00546605"/>
    <w:rsid w:val="00547069"/>
    <w:rsid w:val="005475BC"/>
    <w:rsid w:val="005478A8"/>
    <w:rsid w:val="00550606"/>
    <w:rsid w:val="00551D90"/>
    <w:rsid w:val="00551F2A"/>
    <w:rsid w:val="005524EB"/>
    <w:rsid w:val="00552512"/>
    <w:rsid w:val="00553D9D"/>
    <w:rsid w:val="00554E6E"/>
    <w:rsid w:val="00555169"/>
    <w:rsid w:val="005552E5"/>
    <w:rsid w:val="005554D9"/>
    <w:rsid w:val="005556E3"/>
    <w:rsid w:val="00555F32"/>
    <w:rsid w:val="00556120"/>
    <w:rsid w:val="005563EC"/>
    <w:rsid w:val="00557DFC"/>
    <w:rsid w:val="005618D6"/>
    <w:rsid w:val="00561B75"/>
    <w:rsid w:val="00561D8E"/>
    <w:rsid w:val="0056212E"/>
    <w:rsid w:val="005622DE"/>
    <w:rsid w:val="005627D0"/>
    <w:rsid w:val="00562C14"/>
    <w:rsid w:val="00562F36"/>
    <w:rsid w:val="00563D3D"/>
    <w:rsid w:val="005640CA"/>
    <w:rsid w:val="00565342"/>
    <w:rsid w:val="0056555F"/>
    <w:rsid w:val="00565969"/>
    <w:rsid w:val="005661E0"/>
    <w:rsid w:val="005663C1"/>
    <w:rsid w:val="00566942"/>
    <w:rsid w:val="00566DA7"/>
    <w:rsid w:val="00566E18"/>
    <w:rsid w:val="00566F20"/>
    <w:rsid w:val="00567353"/>
    <w:rsid w:val="00567E79"/>
    <w:rsid w:val="00567F2C"/>
    <w:rsid w:val="005700B3"/>
    <w:rsid w:val="005701BA"/>
    <w:rsid w:val="005703AB"/>
    <w:rsid w:val="005704C4"/>
    <w:rsid w:val="00570551"/>
    <w:rsid w:val="005706F0"/>
    <w:rsid w:val="00571CDC"/>
    <w:rsid w:val="00572735"/>
    <w:rsid w:val="00573135"/>
    <w:rsid w:val="005733A3"/>
    <w:rsid w:val="0057365F"/>
    <w:rsid w:val="00573C95"/>
    <w:rsid w:val="00574F01"/>
    <w:rsid w:val="00574F4A"/>
    <w:rsid w:val="005753ED"/>
    <w:rsid w:val="00575832"/>
    <w:rsid w:val="00575A07"/>
    <w:rsid w:val="00576757"/>
    <w:rsid w:val="00576AE5"/>
    <w:rsid w:val="00576E9A"/>
    <w:rsid w:val="0057706D"/>
    <w:rsid w:val="005775C2"/>
    <w:rsid w:val="005776D1"/>
    <w:rsid w:val="00577D2D"/>
    <w:rsid w:val="00580177"/>
    <w:rsid w:val="00580371"/>
    <w:rsid w:val="005809A0"/>
    <w:rsid w:val="00581F3F"/>
    <w:rsid w:val="005824A3"/>
    <w:rsid w:val="005829D5"/>
    <w:rsid w:val="00582D65"/>
    <w:rsid w:val="005830CB"/>
    <w:rsid w:val="005837D8"/>
    <w:rsid w:val="00584072"/>
    <w:rsid w:val="00585D14"/>
    <w:rsid w:val="00587423"/>
    <w:rsid w:val="00587A86"/>
    <w:rsid w:val="00590963"/>
    <w:rsid w:val="005911DA"/>
    <w:rsid w:val="005919D8"/>
    <w:rsid w:val="00591C07"/>
    <w:rsid w:val="00591E11"/>
    <w:rsid w:val="00591E88"/>
    <w:rsid w:val="005920BF"/>
    <w:rsid w:val="00592162"/>
    <w:rsid w:val="005929D4"/>
    <w:rsid w:val="0059358E"/>
    <w:rsid w:val="00593988"/>
    <w:rsid w:val="00594414"/>
    <w:rsid w:val="005946AB"/>
    <w:rsid w:val="005949E0"/>
    <w:rsid w:val="00594AE5"/>
    <w:rsid w:val="00594E6C"/>
    <w:rsid w:val="005951F1"/>
    <w:rsid w:val="00595268"/>
    <w:rsid w:val="00595779"/>
    <w:rsid w:val="005965FA"/>
    <w:rsid w:val="00596692"/>
    <w:rsid w:val="005967B3"/>
    <w:rsid w:val="005970FA"/>
    <w:rsid w:val="005A084A"/>
    <w:rsid w:val="005A0A02"/>
    <w:rsid w:val="005A0A8A"/>
    <w:rsid w:val="005A0B6A"/>
    <w:rsid w:val="005A0DC7"/>
    <w:rsid w:val="005A102C"/>
    <w:rsid w:val="005A1890"/>
    <w:rsid w:val="005A2227"/>
    <w:rsid w:val="005A30CC"/>
    <w:rsid w:val="005A31F1"/>
    <w:rsid w:val="005A34DF"/>
    <w:rsid w:val="005A49EB"/>
    <w:rsid w:val="005A4C1E"/>
    <w:rsid w:val="005A52D1"/>
    <w:rsid w:val="005A59DB"/>
    <w:rsid w:val="005A5A9F"/>
    <w:rsid w:val="005A5F72"/>
    <w:rsid w:val="005A6304"/>
    <w:rsid w:val="005A63E8"/>
    <w:rsid w:val="005A6755"/>
    <w:rsid w:val="005A71DC"/>
    <w:rsid w:val="005A762B"/>
    <w:rsid w:val="005B0BB2"/>
    <w:rsid w:val="005B0E91"/>
    <w:rsid w:val="005B1127"/>
    <w:rsid w:val="005B1AB1"/>
    <w:rsid w:val="005B233A"/>
    <w:rsid w:val="005B2361"/>
    <w:rsid w:val="005B245C"/>
    <w:rsid w:val="005B2AD8"/>
    <w:rsid w:val="005B2DA0"/>
    <w:rsid w:val="005B2E6D"/>
    <w:rsid w:val="005B3105"/>
    <w:rsid w:val="005B3B91"/>
    <w:rsid w:val="005B3CED"/>
    <w:rsid w:val="005B3FB5"/>
    <w:rsid w:val="005B4481"/>
    <w:rsid w:val="005B4F39"/>
    <w:rsid w:val="005B5E5B"/>
    <w:rsid w:val="005B617A"/>
    <w:rsid w:val="005B6924"/>
    <w:rsid w:val="005B6A60"/>
    <w:rsid w:val="005B70C4"/>
    <w:rsid w:val="005B7102"/>
    <w:rsid w:val="005B7605"/>
    <w:rsid w:val="005B7897"/>
    <w:rsid w:val="005B7CFD"/>
    <w:rsid w:val="005C080C"/>
    <w:rsid w:val="005C10F1"/>
    <w:rsid w:val="005C1662"/>
    <w:rsid w:val="005C1BF6"/>
    <w:rsid w:val="005C24BE"/>
    <w:rsid w:val="005C2671"/>
    <w:rsid w:val="005C2B3E"/>
    <w:rsid w:val="005C2FF6"/>
    <w:rsid w:val="005C31A8"/>
    <w:rsid w:val="005C360C"/>
    <w:rsid w:val="005C3656"/>
    <w:rsid w:val="005C3A85"/>
    <w:rsid w:val="005C60BB"/>
    <w:rsid w:val="005C6796"/>
    <w:rsid w:val="005C682B"/>
    <w:rsid w:val="005C7442"/>
    <w:rsid w:val="005C7836"/>
    <w:rsid w:val="005D0EC4"/>
    <w:rsid w:val="005D190B"/>
    <w:rsid w:val="005D19C7"/>
    <w:rsid w:val="005D1DBD"/>
    <w:rsid w:val="005D4949"/>
    <w:rsid w:val="005D50F4"/>
    <w:rsid w:val="005D5255"/>
    <w:rsid w:val="005D54AA"/>
    <w:rsid w:val="005D5740"/>
    <w:rsid w:val="005D5C75"/>
    <w:rsid w:val="005D67E0"/>
    <w:rsid w:val="005D68AE"/>
    <w:rsid w:val="005D6C92"/>
    <w:rsid w:val="005D6E9C"/>
    <w:rsid w:val="005D7797"/>
    <w:rsid w:val="005D7995"/>
    <w:rsid w:val="005E070D"/>
    <w:rsid w:val="005E112F"/>
    <w:rsid w:val="005E1DD4"/>
    <w:rsid w:val="005E2656"/>
    <w:rsid w:val="005E285B"/>
    <w:rsid w:val="005E2D39"/>
    <w:rsid w:val="005E3175"/>
    <w:rsid w:val="005E33B9"/>
    <w:rsid w:val="005E4B62"/>
    <w:rsid w:val="005E4C37"/>
    <w:rsid w:val="005E5684"/>
    <w:rsid w:val="005E593A"/>
    <w:rsid w:val="005E599B"/>
    <w:rsid w:val="005E5B95"/>
    <w:rsid w:val="005E618A"/>
    <w:rsid w:val="005E618B"/>
    <w:rsid w:val="005E62CB"/>
    <w:rsid w:val="005E63CC"/>
    <w:rsid w:val="005E6493"/>
    <w:rsid w:val="005E6A33"/>
    <w:rsid w:val="005E6BF3"/>
    <w:rsid w:val="005E7DF5"/>
    <w:rsid w:val="005F0667"/>
    <w:rsid w:val="005F0831"/>
    <w:rsid w:val="005F0A5C"/>
    <w:rsid w:val="005F115C"/>
    <w:rsid w:val="005F1365"/>
    <w:rsid w:val="005F1542"/>
    <w:rsid w:val="005F1648"/>
    <w:rsid w:val="005F1E46"/>
    <w:rsid w:val="005F27BF"/>
    <w:rsid w:val="005F2A8F"/>
    <w:rsid w:val="005F4FE9"/>
    <w:rsid w:val="005F55A0"/>
    <w:rsid w:val="005F606A"/>
    <w:rsid w:val="00600151"/>
    <w:rsid w:val="0060019E"/>
    <w:rsid w:val="00601622"/>
    <w:rsid w:val="00601E52"/>
    <w:rsid w:val="006020D8"/>
    <w:rsid w:val="00602C39"/>
    <w:rsid w:val="00602F6F"/>
    <w:rsid w:val="006043C5"/>
    <w:rsid w:val="00604B92"/>
    <w:rsid w:val="00605BDA"/>
    <w:rsid w:val="00605BF7"/>
    <w:rsid w:val="00605FC6"/>
    <w:rsid w:val="00606261"/>
    <w:rsid w:val="00606453"/>
    <w:rsid w:val="00606B0E"/>
    <w:rsid w:val="00606BF7"/>
    <w:rsid w:val="00606E92"/>
    <w:rsid w:val="00607045"/>
    <w:rsid w:val="006073E7"/>
    <w:rsid w:val="0060772F"/>
    <w:rsid w:val="006102D8"/>
    <w:rsid w:val="00610AB4"/>
    <w:rsid w:val="0061102C"/>
    <w:rsid w:val="00611E56"/>
    <w:rsid w:val="00611F34"/>
    <w:rsid w:val="00611FEC"/>
    <w:rsid w:val="00612610"/>
    <w:rsid w:val="00613123"/>
    <w:rsid w:val="00613430"/>
    <w:rsid w:val="00614285"/>
    <w:rsid w:val="00614788"/>
    <w:rsid w:val="00614B65"/>
    <w:rsid w:val="00614D04"/>
    <w:rsid w:val="006158EC"/>
    <w:rsid w:val="00616FAC"/>
    <w:rsid w:val="006172EF"/>
    <w:rsid w:val="00617398"/>
    <w:rsid w:val="00617EF3"/>
    <w:rsid w:val="00620EDE"/>
    <w:rsid w:val="00620F90"/>
    <w:rsid w:val="00622048"/>
    <w:rsid w:val="0062225B"/>
    <w:rsid w:val="00622736"/>
    <w:rsid w:val="00622AC6"/>
    <w:rsid w:val="00622DF4"/>
    <w:rsid w:val="00623745"/>
    <w:rsid w:val="00623983"/>
    <w:rsid w:val="00624007"/>
    <w:rsid w:val="00624171"/>
    <w:rsid w:val="00624917"/>
    <w:rsid w:val="00625E01"/>
    <w:rsid w:val="00626E60"/>
    <w:rsid w:val="00626F48"/>
    <w:rsid w:val="00627059"/>
    <w:rsid w:val="00627A42"/>
    <w:rsid w:val="00627C7E"/>
    <w:rsid w:val="0063001E"/>
    <w:rsid w:val="006302BB"/>
    <w:rsid w:val="00630F7C"/>
    <w:rsid w:val="0063163B"/>
    <w:rsid w:val="00631A0B"/>
    <w:rsid w:val="00631D5B"/>
    <w:rsid w:val="00632D9F"/>
    <w:rsid w:val="006334E7"/>
    <w:rsid w:val="00633A40"/>
    <w:rsid w:val="00634EC4"/>
    <w:rsid w:val="006354FA"/>
    <w:rsid w:val="00635545"/>
    <w:rsid w:val="00636668"/>
    <w:rsid w:val="00636740"/>
    <w:rsid w:val="0063676A"/>
    <w:rsid w:val="00636CDC"/>
    <w:rsid w:val="006378E3"/>
    <w:rsid w:val="0064076F"/>
    <w:rsid w:val="0064191C"/>
    <w:rsid w:val="00641BC5"/>
    <w:rsid w:val="00642A55"/>
    <w:rsid w:val="00642C76"/>
    <w:rsid w:val="006434A7"/>
    <w:rsid w:val="00643BF0"/>
    <w:rsid w:val="0064419B"/>
    <w:rsid w:val="00644513"/>
    <w:rsid w:val="006446A3"/>
    <w:rsid w:val="00645ED0"/>
    <w:rsid w:val="006461C7"/>
    <w:rsid w:val="00646231"/>
    <w:rsid w:val="006468FE"/>
    <w:rsid w:val="00647AD0"/>
    <w:rsid w:val="00647BA9"/>
    <w:rsid w:val="00650A08"/>
    <w:rsid w:val="00650B84"/>
    <w:rsid w:val="00650C43"/>
    <w:rsid w:val="0065129A"/>
    <w:rsid w:val="006515BE"/>
    <w:rsid w:val="00652459"/>
    <w:rsid w:val="006524EE"/>
    <w:rsid w:val="0065253F"/>
    <w:rsid w:val="00652A9E"/>
    <w:rsid w:val="00652C78"/>
    <w:rsid w:val="006533A2"/>
    <w:rsid w:val="00653427"/>
    <w:rsid w:val="006539DC"/>
    <w:rsid w:val="00653B65"/>
    <w:rsid w:val="00653E57"/>
    <w:rsid w:val="00653ECF"/>
    <w:rsid w:val="0065524F"/>
    <w:rsid w:val="006554B2"/>
    <w:rsid w:val="0065565D"/>
    <w:rsid w:val="006564AD"/>
    <w:rsid w:val="0065652A"/>
    <w:rsid w:val="00657811"/>
    <w:rsid w:val="00657A9A"/>
    <w:rsid w:val="00657D59"/>
    <w:rsid w:val="00660299"/>
    <w:rsid w:val="006606E1"/>
    <w:rsid w:val="00661203"/>
    <w:rsid w:val="00661761"/>
    <w:rsid w:val="00661DCF"/>
    <w:rsid w:val="0066214D"/>
    <w:rsid w:val="0066290D"/>
    <w:rsid w:val="00662B82"/>
    <w:rsid w:val="00663088"/>
    <w:rsid w:val="00663146"/>
    <w:rsid w:val="00663532"/>
    <w:rsid w:val="00663A37"/>
    <w:rsid w:val="00664F99"/>
    <w:rsid w:val="006650D2"/>
    <w:rsid w:val="00665137"/>
    <w:rsid w:val="0066535C"/>
    <w:rsid w:val="006657CF"/>
    <w:rsid w:val="00665AC4"/>
    <w:rsid w:val="006662CE"/>
    <w:rsid w:val="006669D6"/>
    <w:rsid w:val="00666F11"/>
    <w:rsid w:val="0066735D"/>
    <w:rsid w:val="006676B1"/>
    <w:rsid w:val="00667737"/>
    <w:rsid w:val="006677A6"/>
    <w:rsid w:val="006701B4"/>
    <w:rsid w:val="0067023D"/>
    <w:rsid w:val="006702F4"/>
    <w:rsid w:val="006706D2"/>
    <w:rsid w:val="0067084E"/>
    <w:rsid w:val="00672794"/>
    <w:rsid w:val="00672798"/>
    <w:rsid w:val="00673962"/>
    <w:rsid w:val="00673B77"/>
    <w:rsid w:val="0067433B"/>
    <w:rsid w:val="0067479B"/>
    <w:rsid w:val="00675F47"/>
    <w:rsid w:val="00675FBE"/>
    <w:rsid w:val="0067601D"/>
    <w:rsid w:val="00676204"/>
    <w:rsid w:val="0067655A"/>
    <w:rsid w:val="00676730"/>
    <w:rsid w:val="00676982"/>
    <w:rsid w:val="00677BB2"/>
    <w:rsid w:val="0068004C"/>
    <w:rsid w:val="00680327"/>
    <w:rsid w:val="0068042C"/>
    <w:rsid w:val="006806B8"/>
    <w:rsid w:val="00680738"/>
    <w:rsid w:val="006808BF"/>
    <w:rsid w:val="0068093F"/>
    <w:rsid w:val="006812B7"/>
    <w:rsid w:val="00681B5A"/>
    <w:rsid w:val="00681D09"/>
    <w:rsid w:val="00681DCD"/>
    <w:rsid w:val="00682370"/>
    <w:rsid w:val="00682993"/>
    <w:rsid w:val="00682DEB"/>
    <w:rsid w:val="006833D3"/>
    <w:rsid w:val="00683644"/>
    <w:rsid w:val="00683711"/>
    <w:rsid w:val="0068382E"/>
    <w:rsid w:val="00683A2E"/>
    <w:rsid w:val="00683BA2"/>
    <w:rsid w:val="00683E9C"/>
    <w:rsid w:val="00683F71"/>
    <w:rsid w:val="00683FEB"/>
    <w:rsid w:val="006848E5"/>
    <w:rsid w:val="00685971"/>
    <w:rsid w:val="0068680A"/>
    <w:rsid w:val="00686AC1"/>
    <w:rsid w:val="00686EFA"/>
    <w:rsid w:val="006877F3"/>
    <w:rsid w:val="00687E2A"/>
    <w:rsid w:val="00690028"/>
    <w:rsid w:val="00691E20"/>
    <w:rsid w:val="00692A7E"/>
    <w:rsid w:val="00692F74"/>
    <w:rsid w:val="006932E8"/>
    <w:rsid w:val="006935AB"/>
    <w:rsid w:val="00694067"/>
    <w:rsid w:val="00694438"/>
    <w:rsid w:val="0069461E"/>
    <w:rsid w:val="00694F47"/>
    <w:rsid w:val="0069579E"/>
    <w:rsid w:val="00696043"/>
    <w:rsid w:val="00696977"/>
    <w:rsid w:val="00696A45"/>
    <w:rsid w:val="00696C5C"/>
    <w:rsid w:val="00697106"/>
    <w:rsid w:val="00697857"/>
    <w:rsid w:val="006A0016"/>
    <w:rsid w:val="006A0127"/>
    <w:rsid w:val="006A0A01"/>
    <w:rsid w:val="006A0A34"/>
    <w:rsid w:val="006A10DD"/>
    <w:rsid w:val="006A165F"/>
    <w:rsid w:val="006A17C8"/>
    <w:rsid w:val="006A1887"/>
    <w:rsid w:val="006A2A86"/>
    <w:rsid w:val="006A2BB1"/>
    <w:rsid w:val="006A2CBB"/>
    <w:rsid w:val="006A2D62"/>
    <w:rsid w:val="006A2EBA"/>
    <w:rsid w:val="006A33AA"/>
    <w:rsid w:val="006A3A6E"/>
    <w:rsid w:val="006A3AB9"/>
    <w:rsid w:val="006A3AFF"/>
    <w:rsid w:val="006A44D2"/>
    <w:rsid w:val="006A491B"/>
    <w:rsid w:val="006A53B4"/>
    <w:rsid w:val="006A5A21"/>
    <w:rsid w:val="006A5C53"/>
    <w:rsid w:val="006A5CF1"/>
    <w:rsid w:val="006A6211"/>
    <w:rsid w:val="006A708E"/>
    <w:rsid w:val="006A794A"/>
    <w:rsid w:val="006A7CC3"/>
    <w:rsid w:val="006A7D5C"/>
    <w:rsid w:val="006B01E2"/>
    <w:rsid w:val="006B061A"/>
    <w:rsid w:val="006B0DED"/>
    <w:rsid w:val="006B0E58"/>
    <w:rsid w:val="006B18D8"/>
    <w:rsid w:val="006B233E"/>
    <w:rsid w:val="006B2846"/>
    <w:rsid w:val="006B4589"/>
    <w:rsid w:val="006B485D"/>
    <w:rsid w:val="006B5C67"/>
    <w:rsid w:val="006B6323"/>
    <w:rsid w:val="006B6605"/>
    <w:rsid w:val="006B6FEF"/>
    <w:rsid w:val="006B7401"/>
    <w:rsid w:val="006B7577"/>
    <w:rsid w:val="006B771E"/>
    <w:rsid w:val="006B7B74"/>
    <w:rsid w:val="006B7CEC"/>
    <w:rsid w:val="006B7FA8"/>
    <w:rsid w:val="006C00D2"/>
    <w:rsid w:val="006C0266"/>
    <w:rsid w:val="006C0577"/>
    <w:rsid w:val="006C05D6"/>
    <w:rsid w:val="006C065F"/>
    <w:rsid w:val="006C0CCF"/>
    <w:rsid w:val="006C1426"/>
    <w:rsid w:val="006C1982"/>
    <w:rsid w:val="006C1B20"/>
    <w:rsid w:val="006C1B77"/>
    <w:rsid w:val="006C289F"/>
    <w:rsid w:val="006C2A2A"/>
    <w:rsid w:val="006C34CF"/>
    <w:rsid w:val="006C364D"/>
    <w:rsid w:val="006C4749"/>
    <w:rsid w:val="006C498B"/>
    <w:rsid w:val="006C4C47"/>
    <w:rsid w:val="006C506F"/>
    <w:rsid w:val="006C663D"/>
    <w:rsid w:val="006C6DD5"/>
    <w:rsid w:val="006C7148"/>
    <w:rsid w:val="006C73EF"/>
    <w:rsid w:val="006D00C9"/>
    <w:rsid w:val="006D0707"/>
    <w:rsid w:val="006D1042"/>
    <w:rsid w:val="006D130A"/>
    <w:rsid w:val="006D1A9B"/>
    <w:rsid w:val="006D1B55"/>
    <w:rsid w:val="006D1D96"/>
    <w:rsid w:val="006D21DB"/>
    <w:rsid w:val="006D23C0"/>
    <w:rsid w:val="006D272E"/>
    <w:rsid w:val="006D2E09"/>
    <w:rsid w:val="006D2FB0"/>
    <w:rsid w:val="006D30A4"/>
    <w:rsid w:val="006D3424"/>
    <w:rsid w:val="006D3452"/>
    <w:rsid w:val="006D3797"/>
    <w:rsid w:val="006D3874"/>
    <w:rsid w:val="006D3979"/>
    <w:rsid w:val="006D3BB0"/>
    <w:rsid w:val="006D3C01"/>
    <w:rsid w:val="006D4046"/>
    <w:rsid w:val="006D44C4"/>
    <w:rsid w:val="006D4BFA"/>
    <w:rsid w:val="006D60FE"/>
    <w:rsid w:val="006D67D2"/>
    <w:rsid w:val="006D6F31"/>
    <w:rsid w:val="006D7C26"/>
    <w:rsid w:val="006E0320"/>
    <w:rsid w:val="006E03C0"/>
    <w:rsid w:val="006E06AD"/>
    <w:rsid w:val="006E0A12"/>
    <w:rsid w:val="006E0A27"/>
    <w:rsid w:val="006E10F5"/>
    <w:rsid w:val="006E1474"/>
    <w:rsid w:val="006E16DC"/>
    <w:rsid w:val="006E1B64"/>
    <w:rsid w:val="006E1EF0"/>
    <w:rsid w:val="006E26F9"/>
    <w:rsid w:val="006E2908"/>
    <w:rsid w:val="006E2BE2"/>
    <w:rsid w:val="006E3424"/>
    <w:rsid w:val="006E3437"/>
    <w:rsid w:val="006E3BD8"/>
    <w:rsid w:val="006E3D63"/>
    <w:rsid w:val="006E3E26"/>
    <w:rsid w:val="006E3FD3"/>
    <w:rsid w:val="006E4219"/>
    <w:rsid w:val="006E439B"/>
    <w:rsid w:val="006E43D7"/>
    <w:rsid w:val="006E4650"/>
    <w:rsid w:val="006E4BEB"/>
    <w:rsid w:val="006E4DCF"/>
    <w:rsid w:val="006E4F0E"/>
    <w:rsid w:val="006E51BD"/>
    <w:rsid w:val="006E53B4"/>
    <w:rsid w:val="006E6CC3"/>
    <w:rsid w:val="006E6F28"/>
    <w:rsid w:val="006E7050"/>
    <w:rsid w:val="006E7464"/>
    <w:rsid w:val="006E7A86"/>
    <w:rsid w:val="006F0D95"/>
    <w:rsid w:val="006F12BD"/>
    <w:rsid w:val="006F248B"/>
    <w:rsid w:val="006F252D"/>
    <w:rsid w:val="006F2710"/>
    <w:rsid w:val="006F2A3A"/>
    <w:rsid w:val="006F3130"/>
    <w:rsid w:val="006F35A9"/>
    <w:rsid w:val="006F3EDF"/>
    <w:rsid w:val="006F40F3"/>
    <w:rsid w:val="006F44D0"/>
    <w:rsid w:val="006F488A"/>
    <w:rsid w:val="006F4E49"/>
    <w:rsid w:val="006F4E9F"/>
    <w:rsid w:val="006F5084"/>
    <w:rsid w:val="006F5B79"/>
    <w:rsid w:val="006F62CF"/>
    <w:rsid w:val="006F7492"/>
    <w:rsid w:val="006F7F98"/>
    <w:rsid w:val="007001E9"/>
    <w:rsid w:val="00700902"/>
    <w:rsid w:val="00701778"/>
    <w:rsid w:val="00701C2F"/>
    <w:rsid w:val="00701CD6"/>
    <w:rsid w:val="00701E37"/>
    <w:rsid w:val="007025E6"/>
    <w:rsid w:val="007033BE"/>
    <w:rsid w:val="007036CC"/>
    <w:rsid w:val="00703A47"/>
    <w:rsid w:val="00704D8E"/>
    <w:rsid w:val="00705523"/>
    <w:rsid w:val="00705D2E"/>
    <w:rsid w:val="00707013"/>
    <w:rsid w:val="0070719A"/>
    <w:rsid w:val="007074DD"/>
    <w:rsid w:val="0071074F"/>
    <w:rsid w:val="00710985"/>
    <w:rsid w:val="00712CFF"/>
    <w:rsid w:val="00713160"/>
    <w:rsid w:val="007134C1"/>
    <w:rsid w:val="00714F67"/>
    <w:rsid w:val="00715063"/>
    <w:rsid w:val="00715EB2"/>
    <w:rsid w:val="007174D8"/>
    <w:rsid w:val="00717512"/>
    <w:rsid w:val="00717C5E"/>
    <w:rsid w:val="00717C81"/>
    <w:rsid w:val="00720DBC"/>
    <w:rsid w:val="007217D2"/>
    <w:rsid w:val="0072327C"/>
    <w:rsid w:val="00723865"/>
    <w:rsid w:val="00723CCB"/>
    <w:rsid w:val="00723CD7"/>
    <w:rsid w:val="00723D8A"/>
    <w:rsid w:val="00723FD5"/>
    <w:rsid w:val="007248F4"/>
    <w:rsid w:val="00724CA4"/>
    <w:rsid w:val="00726C59"/>
    <w:rsid w:val="00726FF1"/>
    <w:rsid w:val="00727E98"/>
    <w:rsid w:val="0073015C"/>
    <w:rsid w:val="0073021C"/>
    <w:rsid w:val="00730355"/>
    <w:rsid w:val="00730756"/>
    <w:rsid w:val="00730E70"/>
    <w:rsid w:val="007339DC"/>
    <w:rsid w:val="00733E6C"/>
    <w:rsid w:val="00733F32"/>
    <w:rsid w:val="0073470F"/>
    <w:rsid w:val="007348E1"/>
    <w:rsid w:val="00734A1F"/>
    <w:rsid w:val="00734AE2"/>
    <w:rsid w:val="00734E5D"/>
    <w:rsid w:val="00735258"/>
    <w:rsid w:val="007353F6"/>
    <w:rsid w:val="00735F67"/>
    <w:rsid w:val="007362EB"/>
    <w:rsid w:val="00737248"/>
    <w:rsid w:val="00737626"/>
    <w:rsid w:val="00740203"/>
    <w:rsid w:val="007407CC"/>
    <w:rsid w:val="00740B79"/>
    <w:rsid w:val="00740F47"/>
    <w:rsid w:val="0074122F"/>
    <w:rsid w:val="007414BB"/>
    <w:rsid w:val="0074162F"/>
    <w:rsid w:val="00741C87"/>
    <w:rsid w:val="00742196"/>
    <w:rsid w:val="0074239C"/>
    <w:rsid w:val="0074265B"/>
    <w:rsid w:val="007426D6"/>
    <w:rsid w:val="00742D4C"/>
    <w:rsid w:val="00742EF0"/>
    <w:rsid w:val="0074350A"/>
    <w:rsid w:val="0074396A"/>
    <w:rsid w:val="0074472D"/>
    <w:rsid w:val="00745254"/>
    <w:rsid w:val="007462A0"/>
    <w:rsid w:val="007462CC"/>
    <w:rsid w:val="00746418"/>
    <w:rsid w:val="007464B5"/>
    <w:rsid w:val="00746986"/>
    <w:rsid w:val="00746AEF"/>
    <w:rsid w:val="00746FB9"/>
    <w:rsid w:val="007474F0"/>
    <w:rsid w:val="007501F3"/>
    <w:rsid w:val="00750681"/>
    <w:rsid w:val="0075098C"/>
    <w:rsid w:val="00750BAA"/>
    <w:rsid w:val="00751234"/>
    <w:rsid w:val="00751489"/>
    <w:rsid w:val="0075198C"/>
    <w:rsid w:val="00751A12"/>
    <w:rsid w:val="00751C47"/>
    <w:rsid w:val="007522BB"/>
    <w:rsid w:val="007526D7"/>
    <w:rsid w:val="00752D03"/>
    <w:rsid w:val="00752EE0"/>
    <w:rsid w:val="00752FB2"/>
    <w:rsid w:val="00753703"/>
    <w:rsid w:val="0075418B"/>
    <w:rsid w:val="00754B26"/>
    <w:rsid w:val="0075573E"/>
    <w:rsid w:val="0075579A"/>
    <w:rsid w:val="00755DFD"/>
    <w:rsid w:val="00755E88"/>
    <w:rsid w:val="00755EC5"/>
    <w:rsid w:val="007560D9"/>
    <w:rsid w:val="0075678A"/>
    <w:rsid w:val="00756ADF"/>
    <w:rsid w:val="00756B84"/>
    <w:rsid w:val="00757049"/>
    <w:rsid w:val="007603F9"/>
    <w:rsid w:val="0076068F"/>
    <w:rsid w:val="00760D2C"/>
    <w:rsid w:val="00760F2A"/>
    <w:rsid w:val="00760FE3"/>
    <w:rsid w:val="00761B01"/>
    <w:rsid w:val="0076221B"/>
    <w:rsid w:val="00763699"/>
    <w:rsid w:val="007636E3"/>
    <w:rsid w:val="00763B43"/>
    <w:rsid w:val="00764E79"/>
    <w:rsid w:val="0076509F"/>
    <w:rsid w:val="007653B6"/>
    <w:rsid w:val="00765AE6"/>
    <w:rsid w:val="00765E1B"/>
    <w:rsid w:val="00765E93"/>
    <w:rsid w:val="00765EA5"/>
    <w:rsid w:val="00766228"/>
    <w:rsid w:val="007667C7"/>
    <w:rsid w:val="007669F2"/>
    <w:rsid w:val="00766C65"/>
    <w:rsid w:val="007672BF"/>
    <w:rsid w:val="0076765C"/>
    <w:rsid w:val="007676F1"/>
    <w:rsid w:val="00767774"/>
    <w:rsid w:val="00767930"/>
    <w:rsid w:val="00770A9D"/>
    <w:rsid w:val="0077109D"/>
    <w:rsid w:val="00771534"/>
    <w:rsid w:val="00771B76"/>
    <w:rsid w:val="00771F90"/>
    <w:rsid w:val="00772B56"/>
    <w:rsid w:val="007736BF"/>
    <w:rsid w:val="00773F26"/>
    <w:rsid w:val="007749CE"/>
    <w:rsid w:val="00774E7B"/>
    <w:rsid w:val="00775053"/>
    <w:rsid w:val="007754C9"/>
    <w:rsid w:val="007767CB"/>
    <w:rsid w:val="00776AFC"/>
    <w:rsid w:val="0077730A"/>
    <w:rsid w:val="00777C5F"/>
    <w:rsid w:val="00780D04"/>
    <w:rsid w:val="00780D0E"/>
    <w:rsid w:val="00780D85"/>
    <w:rsid w:val="00781A7F"/>
    <w:rsid w:val="00781B19"/>
    <w:rsid w:val="00782222"/>
    <w:rsid w:val="00782AB2"/>
    <w:rsid w:val="00782AFA"/>
    <w:rsid w:val="00783421"/>
    <w:rsid w:val="007837C3"/>
    <w:rsid w:val="00783CA2"/>
    <w:rsid w:val="00783F05"/>
    <w:rsid w:val="007845AE"/>
    <w:rsid w:val="00785554"/>
    <w:rsid w:val="007858F3"/>
    <w:rsid w:val="007860FF"/>
    <w:rsid w:val="00786F98"/>
    <w:rsid w:val="0078768B"/>
    <w:rsid w:val="00787E24"/>
    <w:rsid w:val="007904B4"/>
    <w:rsid w:val="007904B5"/>
    <w:rsid w:val="007909E6"/>
    <w:rsid w:val="007909F1"/>
    <w:rsid w:val="007914C7"/>
    <w:rsid w:val="00791E7D"/>
    <w:rsid w:val="00792D77"/>
    <w:rsid w:val="00793320"/>
    <w:rsid w:val="007934E2"/>
    <w:rsid w:val="00793E76"/>
    <w:rsid w:val="00794219"/>
    <w:rsid w:val="00794D92"/>
    <w:rsid w:val="00795CDE"/>
    <w:rsid w:val="00796579"/>
    <w:rsid w:val="007969F3"/>
    <w:rsid w:val="00797087"/>
    <w:rsid w:val="00797179"/>
    <w:rsid w:val="007976C8"/>
    <w:rsid w:val="00797A6E"/>
    <w:rsid w:val="007A0554"/>
    <w:rsid w:val="007A0771"/>
    <w:rsid w:val="007A0F82"/>
    <w:rsid w:val="007A1107"/>
    <w:rsid w:val="007A15C9"/>
    <w:rsid w:val="007A200A"/>
    <w:rsid w:val="007A2570"/>
    <w:rsid w:val="007A33DA"/>
    <w:rsid w:val="007A3688"/>
    <w:rsid w:val="007A410C"/>
    <w:rsid w:val="007A426D"/>
    <w:rsid w:val="007A47CD"/>
    <w:rsid w:val="007A48B3"/>
    <w:rsid w:val="007A5F4A"/>
    <w:rsid w:val="007A697E"/>
    <w:rsid w:val="007A710F"/>
    <w:rsid w:val="007A740C"/>
    <w:rsid w:val="007B0A4B"/>
    <w:rsid w:val="007B0BBD"/>
    <w:rsid w:val="007B18A9"/>
    <w:rsid w:val="007B19BD"/>
    <w:rsid w:val="007B23FE"/>
    <w:rsid w:val="007B33DE"/>
    <w:rsid w:val="007B34C5"/>
    <w:rsid w:val="007B4705"/>
    <w:rsid w:val="007B4A54"/>
    <w:rsid w:val="007B4B5E"/>
    <w:rsid w:val="007B4C5A"/>
    <w:rsid w:val="007B5563"/>
    <w:rsid w:val="007B5BFB"/>
    <w:rsid w:val="007B60DE"/>
    <w:rsid w:val="007B6666"/>
    <w:rsid w:val="007B6724"/>
    <w:rsid w:val="007B6926"/>
    <w:rsid w:val="007B6ADA"/>
    <w:rsid w:val="007B7794"/>
    <w:rsid w:val="007C025A"/>
    <w:rsid w:val="007C0813"/>
    <w:rsid w:val="007C141A"/>
    <w:rsid w:val="007C1E2C"/>
    <w:rsid w:val="007C1E67"/>
    <w:rsid w:val="007C2CCC"/>
    <w:rsid w:val="007C3050"/>
    <w:rsid w:val="007C4659"/>
    <w:rsid w:val="007C5655"/>
    <w:rsid w:val="007C57B9"/>
    <w:rsid w:val="007C5E95"/>
    <w:rsid w:val="007C69FC"/>
    <w:rsid w:val="007C6E9A"/>
    <w:rsid w:val="007C7A3B"/>
    <w:rsid w:val="007C7B38"/>
    <w:rsid w:val="007D0B7B"/>
    <w:rsid w:val="007D0E55"/>
    <w:rsid w:val="007D1292"/>
    <w:rsid w:val="007D244F"/>
    <w:rsid w:val="007D29E5"/>
    <w:rsid w:val="007D2D50"/>
    <w:rsid w:val="007D2EA3"/>
    <w:rsid w:val="007D30D0"/>
    <w:rsid w:val="007D3ED3"/>
    <w:rsid w:val="007D41FE"/>
    <w:rsid w:val="007D4531"/>
    <w:rsid w:val="007D481B"/>
    <w:rsid w:val="007D4F1E"/>
    <w:rsid w:val="007D4F25"/>
    <w:rsid w:val="007D5E7D"/>
    <w:rsid w:val="007D5F93"/>
    <w:rsid w:val="007D6375"/>
    <w:rsid w:val="007D6848"/>
    <w:rsid w:val="007D6B31"/>
    <w:rsid w:val="007E03FE"/>
    <w:rsid w:val="007E0905"/>
    <w:rsid w:val="007E1301"/>
    <w:rsid w:val="007E1CBF"/>
    <w:rsid w:val="007E25AB"/>
    <w:rsid w:val="007E293B"/>
    <w:rsid w:val="007E2E2A"/>
    <w:rsid w:val="007E339A"/>
    <w:rsid w:val="007E3559"/>
    <w:rsid w:val="007E3A18"/>
    <w:rsid w:val="007E3B17"/>
    <w:rsid w:val="007E4012"/>
    <w:rsid w:val="007E529D"/>
    <w:rsid w:val="007E620C"/>
    <w:rsid w:val="007E634A"/>
    <w:rsid w:val="007E67C8"/>
    <w:rsid w:val="007E6C7C"/>
    <w:rsid w:val="007E7F06"/>
    <w:rsid w:val="007F03C5"/>
    <w:rsid w:val="007F076B"/>
    <w:rsid w:val="007F0CA8"/>
    <w:rsid w:val="007F0FCD"/>
    <w:rsid w:val="007F15AD"/>
    <w:rsid w:val="007F1756"/>
    <w:rsid w:val="007F19CC"/>
    <w:rsid w:val="007F1EC6"/>
    <w:rsid w:val="007F20D4"/>
    <w:rsid w:val="007F3828"/>
    <w:rsid w:val="007F3850"/>
    <w:rsid w:val="007F4228"/>
    <w:rsid w:val="007F4691"/>
    <w:rsid w:val="007F4C74"/>
    <w:rsid w:val="007F4CB0"/>
    <w:rsid w:val="007F4E22"/>
    <w:rsid w:val="007F569A"/>
    <w:rsid w:val="007F5866"/>
    <w:rsid w:val="007F5EE7"/>
    <w:rsid w:val="007F63E4"/>
    <w:rsid w:val="007F646D"/>
    <w:rsid w:val="007F66F7"/>
    <w:rsid w:val="007F6B6A"/>
    <w:rsid w:val="007F7170"/>
    <w:rsid w:val="007F7783"/>
    <w:rsid w:val="007F7991"/>
    <w:rsid w:val="00800CF8"/>
    <w:rsid w:val="0080138C"/>
    <w:rsid w:val="008014C6"/>
    <w:rsid w:val="00801AA6"/>
    <w:rsid w:val="00801CE1"/>
    <w:rsid w:val="00802493"/>
    <w:rsid w:val="0080254E"/>
    <w:rsid w:val="008027B9"/>
    <w:rsid w:val="00802EC7"/>
    <w:rsid w:val="00802F65"/>
    <w:rsid w:val="00804008"/>
    <w:rsid w:val="008048B0"/>
    <w:rsid w:val="00805831"/>
    <w:rsid w:val="00805B23"/>
    <w:rsid w:val="00805CF9"/>
    <w:rsid w:val="008061A4"/>
    <w:rsid w:val="008062F6"/>
    <w:rsid w:val="00807033"/>
    <w:rsid w:val="008101E9"/>
    <w:rsid w:val="008111CA"/>
    <w:rsid w:val="008112D5"/>
    <w:rsid w:val="00811C13"/>
    <w:rsid w:val="008123C6"/>
    <w:rsid w:val="0081251F"/>
    <w:rsid w:val="00812685"/>
    <w:rsid w:val="008126C3"/>
    <w:rsid w:val="008132BA"/>
    <w:rsid w:val="00813B39"/>
    <w:rsid w:val="00813C4B"/>
    <w:rsid w:val="00813D18"/>
    <w:rsid w:val="00813F16"/>
    <w:rsid w:val="008146C8"/>
    <w:rsid w:val="00815B19"/>
    <w:rsid w:val="00815E87"/>
    <w:rsid w:val="00815FE0"/>
    <w:rsid w:val="008174D7"/>
    <w:rsid w:val="00820801"/>
    <w:rsid w:val="00820C78"/>
    <w:rsid w:val="00820E74"/>
    <w:rsid w:val="00821466"/>
    <w:rsid w:val="00822D1F"/>
    <w:rsid w:val="0082340B"/>
    <w:rsid w:val="0082468A"/>
    <w:rsid w:val="008248E4"/>
    <w:rsid w:val="00824A73"/>
    <w:rsid w:val="00824F50"/>
    <w:rsid w:val="0082548C"/>
    <w:rsid w:val="00825C3D"/>
    <w:rsid w:val="008261F3"/>
    <w:rsid w:val="008261F7"/>
    <w:rsid w:val="00826242"/>
    <w:rsid w:val="00826307"/>
    <w:rsid w:val="00826D91"/>
    <w:rsid w:val="0082712D"/>
    <w:rsid w:val="00830D53"/>
    <w:rsid w:val="00831A0F"/>
    <w:rsid w:val="00831C0E"/>
    <w:rsid w:val="00831CDC"/>
    <w:rsid w:val="00832A45"/>
    <w:rsid w:val="00832C8E"/>
    <w:rsid w:val="0083316A"/>
    <w:rsid w:val="00833997"/>
    <w:rsid w:val="00833AC0"/>
    <w:rsid w:val="0083426E"/>
    <w:rsid w:val="00834320"/>
    <w:rsid w:val="00834BD3"/>
    <w:rsid w:val="00834D60"/>
    <w:rsid w:val="008357D8"/>
    <w:rsid w:val="008358C8"/>
    <w:rsid w:val="00835F18"/>
    <w:rsid w:val="0083633A"/>
    <w:rsid w:val="00836488"/>
    <w:rsid w:val="00836C71"/>
    <w:rsid w:val="008403CF"/>
    <w:rsid w:val="00840804"/>
    <w:rsid w:val="00840F2F"/>
    <w:rsid w:val="008412CA"/>
    <w:rsid w:val="0084153E"/>
    <w:rsid w:val="00841876"/>
    <w:rsid w:val="00841ADE"/>
    <w:rsid w:val="00841B35"/>
    <w:rsid w:val="00842A48"/>
    <w:rsid w:val="00842F32"/>
    <w:rsid w:val="008439C5"/>
    <w:rsid w:val="00843FC9"/>
    <w:rsid w:val="008443AE"/>
    <w:rsid w:val="0084490D"/>
    <w:rsid w:val="00844AA8"/>
    <w:rsid w:val="00844AB1"/>
    <w:rsid w:val="00844D83"/>
    <w:rsid w:val="00844D92"/>
    <w:rsid w:val="00844F70"/>
    <w:rsid w:val="00845A76"/>
    <w:rsid w:val="00845D64"/>
    <w:rsid w:val="00846813"/>
    <w:rsid w:val="00846CC9"/>
    <w:rsid w:val="00846F21"/>
    <w:rsid w:val="008507F7"/>
    <w:rsid w:val="00850809"/>
    <w:rsid w:val="0085123F"/>
    <w:rsid w:val="008513C0"/>
    <w:rsid w:val="00851544"/>
    <w:rsid w:val="008517D5"/>
    <w:rsid w:val="00851B45"/>
    <w:rsid w:val="00851E7D"/>
    <w:rsid w:val="00852384"/>
    <w:rsid w:val="0085258E"/>
    <w:rsid w:val="008531A2"/>
    <w:rsid w:val="00853900"/>
    <w:rsid w:val="008552D4"/>
    <w:rsid w:val="0085534C"/>
    <w:rsid w:val="008554C7"/>
    <w:rsid w:val="00856449"/>
    <w:rsid w:val="00856DC2"/>
    <w:rsid w:val="00857A4E"/>
    <w:rsid w:val="00857D89"/>
    <w:rsid w:val="00860553"/>
    <w:rsid w:val="0086093D"/>
    <w:rsid w:val="0086135B"/>
    <w:rsid w:val="00862D1E"/>
    <w:rsid w:val="00863CFF"/>
    <w:rsid w:val="00863DFF"/>
    <w:rsid w:val="00863F35"/>
    <w:rsid w:val="008643B1"/>
    <w:rsid w:val="0086445F"/>
    <w:rsid w:val="0086482D"/>
    <w:rsid w:val="00865217"/>
    <w:rsid w:val="0086575F"/>
    <w:rsid w:val="0086588C"/>
    <w:rsid w:val="00865E91"/>
    <w:rsid w:val="00867098"/>
    <w:rsid w:val="008673FD"/>
    <w:rsid w:val="008700BE"/>
    <w:rsid w:val="008703E7"/>
    <w:rsid w:val="008712F9"/>
    <w:rsid w:val="008713D6"/>
    <w:rsid w:val="00871DAE"/>
    <w:rsid w:val="008727D6"/>
    <w:rsid w:val="008727EB"/>
    <w:rsid w:val="008728E3"/>
    <w:rsid w:val="00872FFC"/>
    <w:rsid w:val="00873223"/>
    <w:rsid w:val="0087359D"/>
    <w:rsid w:val="00874024"/>
    <w:rsid w:val="00875306"/>
    <w:rsid w:val="0087655A"/>
    <w:rsid w:val="00876C42"/>
    <w:rsid w:val="00876DA5"/>
    <w:rsid w:val="00877575"/>
    <w:rsid w:val="00877EE4"/>
    <w:rsid w:val="0088143F"/>
    <w:rsid w:val="008814C1"/>
    <w:rsid w:val="0088180B"/>
    <w:rsid w:val="008819DC"/>
    <w:rsid w:val="00881B83"/>
    <w:rsid w:val="00882D74"/>
    <w:rsid w:val="00883069"/>
    <w:rsid w:val="008834A6"/>
    <w:rsid w:val="00883620"/>
    <w:rsid w:val="00885B6A"/>
    <w:rsid w:val="008866C1"/>
    <w:rsid w:val="00886A97"/>
    <w:rsid w:val="00886ACC"/>
    <w:rsid w:val="00886BC8"/>
    <w:rsid w:val="008871A5"/>
    <w:rsid w:val="0089109B"/>
    <w:rsid w:val="0089153B"/>
    <w:rsid w:val="008916E2"/>
    <w:rsid w:val="00891B54"/>
    <w:rsid w:val="008923CD"/>
    <w:rsid w:val="00892A2F"/>
    <w:rsid w:val="0089377C"/>
    <w:rsid w:val="008944AA"/>
    <w:rsid w:val="0089450D"/>
    <w:rsid w:val="00894983"/>
    <w:rsid w:val="00894EA7"/>
    <w:rsid w:val="008956DF"/>
    <w:rsid w:val="0089570A"/>
    <w:rsid w:val="00895D78"/>
    <w:rsid w:val="00896AB4"/>
    <w:rsid w:val="00896B3D"/>
    <w:rsid w:val="00896EEF"/>
    <w:rsid w:val="008972DF"/>
    <w:rsid w:val="00897931"/>
    <w:rsid w:val="008A085D"/>
    <w:rsid w:val="008A0C08"/>
    <w:rsid w:val="008A0D7E"/>
    <w:rsid w:val="008A18AF"/>
    <w:rsid w:val="008A460A"/>
    <w:rsid w:val="008A6E17"/>
    <w:rsid w:val="008A78A9"/>
    <w:rsid w:val="008B0001"/>
    <w:rsid w:val="008B0CE2"/>
    <w:rsid w:val="008B2EED"/>
    <w:rsid w:val="008B31B5"/>
    <w:rsid w:val="008B32C1"/>
    <w:rsid w:val="008B37CC"/>
    <w:rsid w:val="008B3E7A"/>
    <w:rsid w:val="008B495F"/>
    <w:rsid w:val="008B499A"/>
    <w:rsid w:val="008B595D"/>
    <w:rsid w:val="008B5960"/>
    <w:rsid w:val="008B619E"/>
    <w:rsid w:val="008B718F"/>
    <w:rsid w:val="008B787C"/>
    <w:rsid w:val="008B7C31"/>
    <w:rsid w:val="008C01E8"/>
    <w:rsid w:val="008C0474"/>
    <w:rsid w:val="008C0B09"/>
    <w:rsid w:val="008C14DB"/>
    <w:rsid w:val="008C25EE"/>
    <w:rsid w:val="008C26FA"/>
    <w:rsid w:val="008C38AB"/>
    <w:rsid w:val="008C4262"/>
    <w:rsid w:val="008C43E8"/>
    <w:rsid w:val="008C4885"/>
    <w:rsid w:val="008C4B1E"/>
    <w:rsid w:val="008C5091"/>
    <w:rsid w:val="008C5626"/>
    <w:rsid w:val="008C5A4D"/>
    <w:rsid w:val="008C62A4"/>
    <w:rsid w:val="008C6BD3"/>
    <w:rsid w:val="008C75FC"/>
    <w:rsid w:val="008C76E4"/>
    <w:rsid w:val="008D0628"/>
    <w:rsid w:val="008D06FD"/>
    <w:rsid w:val="008D13D8"/>
    <w:rsid w:val="008D37C1"/>
    <w:rsid w:val="008D3878"/>
    <w:rsid w:val="008D464B"/>
    <w:rsid w:val="008D4660"/>
    <w:rsid w:val="008D56CA"/>
    <w:rsid w:val="008D5850"/>
    <w:rsid w:val="008D651C"/>
    <w:rsid w:val="008D7AA4"/>
    <w:rsid w:val="008D7EEF"/>
    <w:rsid w:val="008D7F82"/>
    <w:rsid w:val="008E0676"/>
    <w:rsid w:val="008E0809"/>
    <w:rsid w:val="008E0C28"/>
    <w:rsid w:val="008E26BA"/>
    <w:rsid w:val="008E2838"/>
    <w:rsid w:val="008E2ABF"/>
    <w:rsid w:val="008E355C"/>
    <w:rsid w:val="008E363A"/>
    <w:rsid w:val="008E3831"/>
    <w:rsid w:val="008E46DD"/>
    <w:rsid w:val="008E4798"/>
    <w:rsid w:val="008E493B"/>
    <w:rsid w:val="008E4A38"/>
    <w:rsid w:val="008E56F2"/>
    <w:rsid w:val="008E5AE3"/>
    <w:rsid w:val="008E603A"/>
    <w:rsid w:val="008E6D65"/>
    <w:rsid w:val="008E6D73"/>
    <w:rsid w:val="008E6E40"/>
    <w:rsid w:val="008E7D08"/>
    <w:rsid w:val="008E7FE6"/>
    <w:rsid w:val="008F01F7"/>
    <w:rsid w:val="008F09C1"/>
    <w:rsid w:val="008F0CC5"/>
    <w:rsid w:val="008F0E39"/>
    <w:rsid w:val="008F1A51"/>
    <w:rsid w:val="008F1ACB"/>
    <w:rsid w:val="008F2801"/>
    <w:rsid w:val="008F3CF0"/>
    <w:rsid w:val="008F44E8"/>
    <w:rsid w:val="008F524B"/>
    <w:rsid w:val="008F57A9"/>
    <w:rsid w:val="008F5BCC"/>
    <w:rsid w:val="008F5DFA"/>
    <w:rsid w:val="008F61B5"/>
    <w:rsid w:val="008F649B"/>
    <w:rsid w:val="008F6727"/>
    <w:rsid w:val="008F6ED6"/>
    <w:rsid w:val="008F7BEA"/>
    <w:rsid w:val="008F7C76"/>
    <w:rsid w:val="008F7E78"/>
    <w:rsid w:val="00901089"/>
    <w:rsid w:val="009019B6"/>
    <w:rsid w:val="00901F19"/>
    <w:rsid w:val="0090279B"/>
    <w:rsid w:val="00902C74"/>
    <w:rsid w:val="00902F7D"/>
    <w:rsid w:val="00902FAC"/>
    <w:rsid w:val="00903444"/>
    <w:rsid w:val="0090358E"/>
    <w:rsid w:val="009066B7"/>
    <w:rsid w:val="009068B9"/>
    <w:rsid w:val="00906903"/>
    <w:rsid w:val="00906BDB"/>
    <w:rsid w:val="009075AC"/>
    <w:rsid w:val="0091015E"/>
    <w:rsid w:val="00912EE0"/>
    <w:rsid w:val="00913473"/>
    <w:rsid w:val="009139ED"/>
    <w:rsid w:val="00913DA2"/>
    <w:rsid w:val="00913DD3"/>
    <w:rsid w:val="0091473F"/>
    <w:rsid w:val="0091486B"/>
    <w:rsid w:val="0091517A"/>
    <w:rsid w:val="00915587"/>
    <w:rsid w:val="009155D5"/>
    <w:rsid w:val="00915EE8"/>
    <w:rsid w:val="00915FA8"/>
    <w:rsid w:val="009208D1"/>
    <w:rsid w:val="009214C9"/>
    <w:rsid w:val="009216B9"/>
    <w:rsid w:val="00921AB4"/>
    <w:rsid w:val="0092270B"/>
    <w:rsid w:val="009244C8"/>
    <w:rsid w:val="009246A2"/>
    <w:rsid w:val="009246E7"/>
    <w:rsid w:val="00924893"/>
    <w:rsid w:val="00924DFB"/>
    <w:rsid w:val="00925323"/>
    <w:rsid w:val="00925A51"/>
    <w:rsid w:val="00925DC8"/>
    <w:rsid w:val="00925EC0"/>
    <w:rsid w:val="00925F48"/>
    <w:rsid w:val="0092643C"/>
    <w:rsid w:val="009266A2"/>
    <w:rsid w:val="009269E7"/>
    <w:rsid w:val="00926A14"/>
    <w:rsid w:val="00927698"/>
    <w:rsid w:val="00930161"/>
    <w:rsid w:val="00930D2B"/>
    <w:rsid w:val="00930FAF"/>
    <w:rsid w:val="0093127B"/>
    <w:rsid w:val="0093149E"/>
    <w:rsid w:val="00931A90"/>
    <w:rsid w:val="0093200D"/>
    <w:rsid w:val="009337D5"/>
    <w:rsid w:val="0093380E"/>
    <w:rsid w:val="0093425B"/>
    <w:rsid w:val="009347B7"/>
    <w:rsid w:val="00934BE8"/>
    <w:rsid w:val="00934C23"/>
    <w:rsid w:val="009351B7"/>
    <w:rsid w:val="009355E7"/>
    <w:rsid w:val="00935670"/>
    <w:rsid w:val="00935CF7"/>
    <w:rsid w:val="0093688C"/>
    <w:rsid w:val="00936D8F"/>
    <w:rsid w:val="00937138"/>
    <w:rsid w:val="0093767D"/>
    <w:rsid w:val="0093769C"/>
    <w:rsid w:val="009378CD"/>
    <w:rsid w:val="00937B39"/>
    <w:rsid w:val="00937C9D"/>
    <w:rsid w:val="00937E48"/>
    <w:rsid w:val="00940030"/>
    <w:rsid w:val="009414B4"/>
    <w:rsid w:val="00941894"/>
    <w:rsid w:val="00941A5F"/>
    <w:rsid w:val="00941B11"/>
    <w:rsid w:val="009425B2"/>
    <w:rsid w:val="009425F4"/>
    <w:rsid w:val="0094287C"/>
    <w:rsid w:val="009433F3"/>
    <w:rsid w:val="0094373F"/>
    <w:rsid w:val="00944390"/>
    <w:rsid w:val="009443A4"/>
    <w:rsid w:val="009444C1"/>
    <w:rsid w:val="009446CD"/>
    <w:rsid w:val="009455D5"/>
    <w:rsid w:val="00945DE3"/>
    <w:rsid w:val="00946675"/>
    <w:rsid w:val="009468AB"/>
    <w:rsid w:val="00946C2F"/>
    <w:rsid w:val="00947395"/>
    <w:rsid w:val="009473E6"/>
    <w:rsid w:val="00947506"/>
    <w:rsid w:val="00947A29"/>
    <w:rsid w:val="00950845"/>
    <w:rsid w:val="00950CE8"/>
    <w:rsid w:val="00950DA0"/>
    <w:rsid w:val="009515A2"/>
    <w:rsid w:val="009516EF"/>
    <w:rsid w:val="0095219E"/>
    <w:rsid w:val="0095260F"/>
    <w:rsid w:val="009531C0"/>
    <w:rsid w:val="0095359D"/>
    <w:rsid w:val="00953920"/>
    <w:rsid w:val="00953E71"/>
    <w:rsid w:val="00953E88"/>
    <w:rsid w:val="00953E9F"/>
    <w:rsid w:val="009542C3"/>
    <w:rsid w:val="00954325"/>
    <w:rsid w:val="009543A5"/>
    <w:rsid w:val="009545A7"/>
    <w:rsid w:val="009555DF"/>
    <w:rsid w:val="00955731"/>
    <w:rsid w:val="009566DB"/>
    <w:rsid w:val="00956977"/>
    <w:rsid w:val="00956EDF"/>
    <w:rsid w:val="009570F7"/>
    <w:rsid w:val="0095727C"/>
    <w:rsid w:val="009575CF"/>
    <w:rsid w:val="00957678"/>
    <w:rsid w:val="00957CC2"/>
    <w:rsid w:val="00957EAF"/>
    <w:rsid w:val="00961053"/>
    <w:rsid w:val="00961D3C"/>
    <w:rsid w:val="0096287C"/>
    <w:rsid w:val="00962B39"/>
    <w:rsid w:val="00962DB4"/>
    <w:rsid w:val="00963303"/>
    <w:rsid w:val="00964407"/>
    <w:rsid w:val="00965E48"/>
    <w:rsid w:val="009676F2"/>
    <w:rsid w:val="00970427"/>
    <w:rsid w:val="009707A1"/>
    <w:rsid w:val="0097090E"/>
    <w:rsid w:val="00970EAC"/>
    <w:rsid w:val="00971946"/>
    <w:rsid w:val="00971AD6"/>
    <w:rsid w:val="009722BE"/>
    <w:rsid w:val="00972AA1"/>
    <w:rsid w:val="00973478"/>
    <w:rsid w:val="009735FC"/>
    <w:rsid w:val="009738BC"/>
    <w:rsid w:val="00973C3D"/>
    <w:rsid w:val="00974567"/>
    <w:rsid w:val="00974584"/>
    <w:rsid w:val="00974FB6"/>
    <w:rsid w:val="00975CC1"/>
    <w:rsid w:val="00975D8F"/>
    <w:rsid w:val="0097610D"/>
    <w:rsid w:val="009762C3"/>
    <w:rsid w:val="009768E1"/>
    <w:rsid w:val="00980223"/>
    <w:rsid w:val="00980515"/>
    <w:rsid w:val="00980F8B"/>
    <w:rsid w:val="00981415"/>
    <w:rsid w:val="00981418"/>
    <w:rsid w:val="00981494"/>
    <w:rsid w:val="009816CC"/>
    <w:rsid w:val="0098254B"/>
    <w:rsid w:val="00982A5A"/>
    <w:rsid w:val="00982AC8"/>
    <w:rsid w:val="00982DA5"/>
    <w:rsid w:val="00982E02"/>
    <w:rsid w:val="00982E7F"/>
    <w:rsid w:val="00983062"/>
    <w:rsid w:val="009830E2"/>
    <w:rsid w:val="009832E9"/>
    <w:rsid w:val="0098390C"/>
    <w:rsid w:val="00983A27"/>
    <w:rsid w:val="00983A2E"/>
    <w:rsid w:val="00983D53"/>
    <w:rsid w:val="00984603"/>
    <w:rsid w:val="00984E36"/>
    <w:rsid w:val="009850C7"/>
    <w:rsid w:val="00985932"/>
    <w:rsid w:val="00986116"/>
    <w:rsid w:val="009861F5"/>
    <w:rsid w:val="009863D8"/>
    <w:rsid w:val="00986652"/>
    <w:rsid w:val="0098775D"/>
    <w:rsid w:val="00987C5E"/>
    <w:rsid w:val="00987DA4"/>
    <w:rsid w:val="009900FA"/>
    <w:rsid w:val="00990883"/>
    <w:rsid w:val="0099134D"/>
    <w:rsid w:val="00992274"/>
    <w:rsid w:val="009929F8"/>
    <w:rsid w:val="009931AA"/>
    <w:rsid w:val="009933C4"/>
    <w:rsid w:val="009951CC"/>
    <w:rsid w:val="00995EC3"/>
    <w:rsid w:val="00995F3C"/>
    <w:rsid w:val="0099670D"/>
    <w:rsid w:val="009974BD"/>
    <w:rsid w:val="009974FD"/>
    <w:rsid w:val="0099759A"/>
    <w:rsid w:val="009A0A74"/>
    <w:rsid w:val="009A0E15"/>
    <w:rsid w:val="009A115E"/>
    <w:rsid w:val="009A1C31"/>
    <w:rsid w:val="009A2AD5"/>
    <w:rsid w:val="009A33F2"/>
    <w:rsid w:val="009A38A7"/>
    <w:rsid w:val="009A3C5B"/>
    <w:rsid w:val="009A4DC0"/>
    <w:rsid w:val="009A5035"/>
    <w:rsid w:val="009A5488"/>
    <w:rsid w:val="009A5876"/>
    <w:rsid w:val="009A5C68"/>
    <w:rsid w:val="009A6FEB"/>
    <w:rsid w:val="009A7DBF"/>
    <w:rsid w:val="009B0020"/>
    <w:rsid w:val="009B1164"/>
    <w:rsid w:val="009B1615"/>
    <w:rsid w:val="009B18DF"/>
    <w:rsid w:val="009B1D9D"/>
    <w:rsid w:val="009B254D"/>
    <w:rsid w:val="009B35C1"/>
    <w:rsid w:val="009B3F53"/>
    <w:rsid w:val="009B479C"/>
    <w:rsid w:val="009B4C86"/>
    <w:rsid w:val="009B53A0"/>
    <w:rsid w:val="009B566E"/>
    <w:rsid w:val="009B618E"/>
    <w:rsid w:val="009B643F"/>
    <w:rsid w:val="009B666B"/>
    <w:rsid w:val="009B67DB"/>
    <w:rsid w:val="009B695E"/>
    <w:rsid w:val="009B6E72"/>
    <w:rsid w:val="009B79A5"/>
    <w:rsid w:val="009B7DF2"/>
    <w:rsid w:val="009B7F23"/>
    <w:rsid w:val="009C09ED"/>
    <w:rsid w:val="009C153F"/>
    <w:rsid w:val="009C2099"/>
    <w:rsid w:val="009C2F35"/>
    <w:rsid w:val="009C349D"/>
    <w:rsid w:val="009C3909"/>
    <w:rsid w:val="009C3C1D"/>
    <w:rsid w:val="009C3D22"/>
    <w:rsid w:val="009C3EBF"/>
    <w:rsid w:val="009C4176"/>
    <w:rsid w:val="009C4579"/>
    <w:rsid w:val="009C517D"/>
    <w:rsid w:val="009C5DFE"/>
    <w:rsid w:val="009C62B5"/>
    <w:rsid w:val="009C682A"/>
    <w:rsid w:val="009C6A79"/>
    <w:rsid w:val="009C6A7E"/>
    <w:rsid w:val="009C6F95"/>
    <w:rsid w:val="009C7339"/>
    <w:rsid w:val="009C74A0"/>
    <w:rsid w:val="009C7D45"/>
    <w:rsid w:val="009D04ED"/>
    <w:rsid w:val="009D06C3"/>
    <w:rsid w:val="009D0832"/>
    <w:rsid w:val="009D1796"/>
    <w:rsid w:val="009D2AA3"/>
    <w:rsid w:val="009D33E7"/>
    <w:rsid w:val="009D347B"/>
    <w:rsid w:val="009D3B88"/>
    <w:rsid w:val="009D537A"/>
    <w:rsid w:val="009D5475"/>
    <w:rsid w:val="009D5840"/>
    <w:rsid w:val="009D623B"/>
    <w:rsid w:val="009D6EFE"/>
    <w:rsid w:val="009D718B"/>
    <w:rsid w:val="009D7BE0"/>
    <w:rsid w:val="009E033D"/>
    <w:rsid w:val="009E1284"/>
    <w:rsid w:val="009E12AF"/>
    <w:rsid w:val="009E1A45"/>
    <w:rsid w:val="009E2115"/>
    <w:rsid w:val="009E2A9F"/>
    <w:rsid w:val="009E3445"/>
    <w:rsid w:val="009E3511"/>
    <w:rsid w:val="009E3D94"/>
    <w:rsid w:val="009E3FA0"/>
    <w:rsid w:val="009E4080"/>
    <w:rsid w:val="009E42F0"/>
    <w:rsid w:val="009E4711"/>
    <w:rsid w:val="009E4B3E"/>
    <w:rsid w:val="009E595D"/>
    <w:rsid w:val="009E6ACB"/>
    <w:rsid w:val="009E6B36"/>
    <w:rsid w:val="009E77B0"/>
    <w:rsid w:val="009E79AC"/>
    <w:rsid w:val="009E7AF1"/>
    <w:rsid w:val="009F1086"/>
    <w:rsid w:val="009F10CA"/>
    <w:rsid w:val="009F2405"/>
    <w:rsid w:val="009F2B95"/>
    <w:rsid w:val="009F4856"/>
    <w:rsid w:val="009F4E92"/>
    <w:rsid w:val="009F61A4"/>
    <w:rsid w:val="009F640C"/>
    <w:rsid w:val="009F6902"/>
    <w:rsid w:val="009F6CD6"/>
    <w:rsid w:val="009F707E"/>
    <w:rsid w:val="009F7386"/>
    <w:rsid w:val="009F7424"/>
    <w:rsid w:val="009F7750"/>
    <w:rsid w:val="009F7B98"/>
    <w:rsid w:val="00A00C42"/>
    <w:rsid w:val="00A00CE8"/>
    <w:rsid w:val="00A01041"/>
    <w:rsid w:val="00A01317"/>
    <w:rsid w:val="00A0165B"/>
    <w:rsid w:val="00A018BC"/>
    <w:rsid w:val="00A01B64"/>
    <w:rsid w:val="00A01C0E"/>
    <w:rsid w:val="00A03145"/>
    <w:rsid w:val="00A0333C"/>
    <w:rsid w:val="00A0363A"/>
    <w:rsid w:val="00A03D29"/>
    <w:rsid w:val="00A04196"/>
    <w:rsid w:val="00A044A1"/>
    <w:rsid w:val="00A04A90"/>
    <w:rsid w:val="00A04D00"/>
    <w:rsid w:val="00A0501D"/>
    <w:rsid w:val="00A0545E"/>
    <w:rsid w:val="00A06080"/>
    <w:rsid w:val="00A062EC"/>
    <w:rsid w:val="00A06709"/>
    <w:rsid w:val="00A06B86"/>
    <w:rsid w:val="00A07AFE"/>
    <w:rsid w:val="00A07F17"/>
    <w:rsid w:val="00A1044F"/>
    <w:rsid w:val="00A10650"/>
    <w:rsid w:val="00A1190C"/>
    <w:rsid w:val="00A11BD4"/>
    <w:rsid w:val="00A12615"/>
    <w:rsid w:val="00A13177"/>
    <w:rsid w:val="00A13428"/>
    <w:rsid w:val="00A1357D"/>
    <w:rsid w:val="00A13DF9"/>
    <w:rsid w:val="00A13EB1"/>
    <w:rsid w:val="00A1417B"/>
    <w:rsid w:val="00A1485C"/>
    <w:rsid w:val="00A14A80"/>
    <w:rsid w:val="00A157D5"/>
    <w:rsid w:val="00A15D8F"/>
    <w:rsid w:val="00A15DB0"/>
    <w:rsid w:val="00A15FD8"/>
    <w:rsid w:val="00A16047"/>
    <w:rsid w:val="00A16A41"/>
    <w:rsid w:val="00A175AE"/>
    <w:rsid w:val="00A17799"/>
    <w:rsid w:val="00A205CF"/>
    <w:rsid w:val="00A20748"/>
    <w:rsid w:val="00A209CC"/>
    <w:rsid w:val="00A21B64"/>
    <w:rsid w:val="00A22F49"/>
    <w:rsid w:val="00A2310C"/>
    <w:rsid w:val="00A23250"/>
    <w:rsid w:val="00A23852"/>
    <w:rsid w:val="00A243F0"/>
    <w:rsid w:val="00A2463D"/>
    <w:rsid w:val="00A24A7D"/>
    <w:rsid w:val="00A24E80"/>
    <w:rsid w:val="00A25099"/>
    <w:rsid w:val="00A2544B"/>
    <w:rsid w:val="00A26409"/>
    <w:rsid w:val="00A26E6B"/>
    <w:rsid w:val="00A2701D"/>
    <w:rsid w:val="00A278D6"/>
    <w:rsid w:val="00A314B6"/>
    <w:rsid w:val="00A31D89"/>
    <w:rsid w:val="00A32800"/>
    <w:rsid w:val="00A34D16"/>
    <w:rsid w:val="00A34F20"/>
    <w:rsid w:val="00A34F69"/>
    <w:rsid w:val="00A3507D"/>
    <w:rsid w:val="00A3523B"/>
    <w:rsid w:val="00A353C2"/>
    <w:rsid w:val="00A35E3A"/>
    <w:rsid w:val="00A35F06"/>
    <w:rsid w:val="00A36BF8"/>
    <w:rsid w:val="00A36F84"/>
    <w:rsid w:val="00A37A2A"/>
    <w:rsid w:val="00A37CC4"/>
    <w:rsid w:val="00A37EA5"/>
    <w:rsid w:val="00A4016C"/>
    <w:rsid w:val="00A401D5"/>
    <w:rsid w:val="00A408C9"/>
    <w:rsid w:val="00A40D2C"/>
    <w:rsid w:val="00A4221D"/>
    <w:rsid w:val="00A4279E"/>
    <w:rsid w:val="00A428A0"/>
    <w:rsid w:val="00A4312C"/>
    <w:rsid w:val="00A4329F"/>
    <w:rsid w:val="00A43BAB"/>
    <w:rsid w:val="00A43BC4"/>
    <w:rsid w:val="00A43D6E"/>
    <w:rsid w:val="00A4479E"/>
    <w:rsid w:val="00A448EC"/>
    <w:rsid w:val="00A44DD8"/>
    <w:rsid w:val="00A45C5F"/>
    <w:rsid w:val="00A46330"/>
    <w:rsid w:val="00A46649"/>
    <w:rsid w:val="00A46C9F"/>
    <w:rsid w:val="00A470BE"/>
    <w:rsid w:val="00A471CA"/>
    <w:rsid w:val="00A4720D"/>
    <w:rsid w:val="00A4728F"/>
    <w:rsid w:val="00A475BE"/>
    <w:rsid w:val="00A50283"/>
    <w:rsid w:val="00A506FD"/>
    <w:rsid w:val="00A50A4A"/>
    <w:rsid w:val="00A50B3B"/>
    <w:rsid w:val="00A515AC"/>
    <w:rsid w:val="00A51B32"/>
    <w:rsid w:val="00A51CCA"/>
    <w:rsid w:val="00A52413"/>
    <w:rsid w:val="00A52701"/>
    <w:rsid w:val="00A53EDB"/>
    <w:rsid w:val="00A54A75"/>
    <w:rsid w:val="00A54BC1"/>
    <w:rsid w:val="00A54C50"/>
    <w:rsid w:val="00A55728"/>
    <w:rsid w:val="00A561A8"/>
    <w:rsid w:val="00A57BCE"/>
    <w:rsid w:val="00A57DD0"/>
    <w:rsid w:val="00A60BCD"/>
    <w:rsid w:val="00A60C77"/>
    <w:rsid w:val="00A6112C"/>
    <w:rsid w:val="00A620EE"/>
    <w:rsid w:val="00A62A86"/>
    <w:rsid w:val="00A62D8C"/>
    <w:rsid w:val="00A62F3E"/>
    <w:rsid w:val="00A6321A"/>
    <w:rsid w:val="00A6350D"/>
    <w:rsid w:val="00A63DD5"/>
    <w:rsid w:val="00A6415D"/>
    <w:rsid w:val="00A64490"/>
    <w:rsid w:val="00A64A06"/>
    <w:rsid w:val="00A657A9"/>
    <w:rsid w:val="00A65A2A"/>
    <w:rsid w:val="00A65AEC"/>
    <w:rsid w:val="00A66503"/>
    <w:rsid w:val="00A66961"/>
    <w:rsid w:val="00A66AA2"/>
    <w:rsid w:val="00A670BF"/>
    <w:rsid w:val="00A6726B"/>
    <w:rsid w:val="00A67359"/>
    <w:rsid w:val="00A6749F"/>
    <w:rsid w:val="00A674E9"/>
    <w:rsid w:val="00A67C18"/>
    <w:rsid w:val="00A67EA6"/>
    <w:rsid w:val="00A67FFE"/>
    <w:rsid w:val="00A70777"/>
    <w:rsid w:val="00A708D2"/>
    <w:rsid w:val="00A7158A"/>
    <w:rsid w:val="00A716E3"/>
    <w:rsid w:val="00A72392"/>
    <w:rsid w:val="00A7269C"/>
    <w:rsid w:val="00A727DB"/>
    <w:rsid w:val="00A72DFD"/>
    <w:rsid w:val="00A7386B"/>
    <w:rsid w:val="00A73D7F"/>
    <w:rsid w:val="00A746CF"/>
    <w:rsid w:val="00A74AC3"/>
    <w:rsid w:val="00A74BA0"/>
    <w:rsid w:val="00A75B21"/>
    <w:rsid w:val="00A76114"/>
    <w:rsid w:val="00A76E28"/>
    <w:rsid w:val="00A77C9E"/>
    <w:rsid w:val="00A77DCA"/>
    <w:rsid w:val="00A8025A"/>
    <w:rsid w:val="00A814F0"/>
    <w:rsid w:val="00A8198C"/>
    <w:rsid w:val="00A81A03"/>
    <w:rsid w:val="00A81AC1"/>
    <w:rsid w:val="00A81C31"/>
    <w:rsid w:val="00A81D28"/>
    <w:rsid w:val="00A81F57"/>
    <w:rsid w:val="00A8209D"/>
    <w:rsid w:val="00A828E1"/>
    <w:rsid w:val="00A82C8F"/>
    <w:rsid w:val="00A82FAB"/>
    <w:rsid w:val="00A83258"/>
    <w:rsid w:val="00A83342"/>
    <w:rsid w:val="00A83BC3"/>
    <w:rsid w:val="00A844B6"/>
    <w:rsid w:val="00A8664F"/>
    <w:rsid w:val="00A874DC"/>
    <w:rsid w:val="00A87ABC"/>
    <w:rsid w:val="00A910E1"/>
    <w:rsid w:val="00A91223"/>
    <w:rsid w:val="00A91A6A"/>
    <w:rsid w:val="00A91EA4"/>
    <w:rsid w:val="00A92805"/>
    <w:rsid w:val="00A92930"/>
    <w:rsid w:val="00A929FC"/>
    <w:rsid w:val="00A93172"/>
    <w:rsid w:val="00A9386D"/>
    <w:rsid w:val="00A93C6B"/>
    <w:rsid w:val="00A9452E"/>
    <w:rsid w:val="00A9464B"/>
    <w:rsid w:val="00A946EF"/>
    <w:rsid w:val="00A94E2C"/>
    <w:rsid w:val="00A95262"/>
    <w:rsid w:val="00A95415"/>
    <w:rsid w:val="00A95448"/>
    <w:rsid w:val="00A95F29"/>
    <w:rsid w:val="00A97CC4"/>
    <w:rsid w:val="00AA0564"/>
    <w:rsid w:val="00AA0750"/>
    <w:rsid w:val="00AA1243"/>
    <w:rsid w:val="00AA1655"/>
    <w:rsid w:val="00AA1A1F"/>
    <w:rsid w:val="00AA1DEC"/>
    <w:rsid w:val="00AA1EE9"/>
    <w:rsid w:val="00AA236F"/>
    <w:rsid w:val="00AA29C7"/>
    <w:rsid w:val="00AA2A4A"/>
    <w:rsid w:val="00AA2D8A"/>
    <w:rsid w:val="00AA2FBF"/>
    <w:rsid w:val="00AA3353"/>
    <w:rsid w:val="00AA34A7"/>
    <w:rsid w:val="00AA3943"/>
    <w:rsid w:val="00AA3AC4"/>
    <w:rsid w:val="00AA405A"/>
    <w:rsid w:val="00AA44AF"/>
    <w:rsid w:val="00AA45E7"/>
    <w:rsid w:val="00AA4689"/>
    <w:rsid w:val="00AA49BE"/>
    <w:rsid w:val="00AA4BF4"/>
    <w:rsid w:val="00AA5D72"/>
    <w:rsid w:val="00AA617E"/>
    <w:rsid w:val="00AA65FF"/>
    <w:rsid w:val="00AA68ED"/>
    <w:rsid w:val="00AA7959"/>
    <w:rsid w:val="00AB0247"/>
    <w:rsid w:val="00AB034E"/>
    <w:rsid w:val="00AB09CC"/>
    <w:rsid w:val="00AB11A7"/>
    <w:rsid w:val="00AB1436"/>
    <w:rsid w:val="00AB150D"/>
    <w:rsid w:val="00AB1ABC"/>
    <w:rsid w:val="00AB2597"/>
    <w:rsid w:val="00AB32A2"/>
    <w:rsid w:val="00AB3796"/>
    <w:rsid w:val="00AB4839"/>
    <w:rsid w:val="00AB4BD9"/>
    <w:rsid w:val="00AB4E47"/>
    <w:rsid w:val="00AB53C5"/>
    <w:rsid w:val="00AB6EC2"/>
    <w:rsid w:val="00AB7827"/>
    <w:rsid w:val="00AC073A"/>
    <w:rsid w:val="00AC0A6A"/>
    <w:rsid w:val="00AC1311"/>
    <w:rsid w:val="00AC1CAE"/>
    <w:rsid w:val="00AC26F4"/>
    <w:rsid w:val="00AC2974"/>
    <w:rsid w:val="00AC3827"/>
    <w:rsid w:val="00AC3FE6"/>
    <w:rsid w:val="00AC411B"/>
    <w:rsid w:val="00AC422D"/>
    <w:rsid w:val="00AC50B4"/>
    <w:rsid w:val="00AC5C77"/>
    <w:rsid w:val="00AC63E0"/>
    <w:rsid w:val="00AC6E14"/>
    <w:rsid w:val="00AC71AD"/>
    <w:rsid w:val="00AD109C"/>
    <w:rsid w:val="00AD13EB"/>
    <w:rsid w:val="00AD18E0"/>
    <w:rsid w:val="00AD2069"/>
    <w:rsid w:val="00AD21F0"/>
    <w:rsid w:val="00AD263E"/>
    <w:rsid w:val="00AD2A16"/>
    <w:rsid w:val="00AD2E8C"/>
    <w:rsid w:val="00AD2F37"/>
    <w:rsid w:val="00AD3578"/>
    <w:rsid w:val="00AD396F"/>
    <w:rsid w:val="00AD4290"/>
    <w:rsid w:val="00AD4D3D"/>
    <w:rsid w:val="00AD50FD"/>
    <w:rsid w:val="00AD5598"/>
    <w:rsid w:val="00AD5F38"/>
    <w:rsid w:val="00AD657B"/>
    <w:rsid w:val="00AD6DF8"/>
    <w:rsid w:val="00AD742E"/>
    <w:rsid w:val="00AD747E"/>
    <w:rsid w:val="00AD751D"/>
    <w:rsid w:val="00AD7BC6"/>
    <w:rsid w:val="00AE001D"/>
    <w:rsid w:val="00AE0746"/>
    <w:rsid w:val="00AE0994"/>
    <w:rsid w:val="00AE14EC"/>
    <w:rsid w:val="00AE176F"/>
    <w:rsid w:val="00AE1792"/>
    <w:rsid w:val="00AE1C56"/>
    <w:rsid w:val="00AE1C5E"/>
    <w:rsid w:val="00AE1E45"/>
    <w:rsid w:val="00AE212C"/>
    <w:rsid w:val="00AE2255"/>
    <w:rsid w:val="00AE2712"/>
    <w:rsid w:val="00AE28C4"/>
    <w:rsid w:val="00AE3B9E"/>
    <w:rsid w:val="00AE482E"/>
    <w:rsid w:val="00AE4B1C"/>
    <w:rsid w:val="00AE5EA4"/>
    <w:rsid w:val="00AE601A"/>
    <w:rsid w:val="00AE71E2"/>
    <w:rsid w:val="00AF064F"/>
    <w:rsid w:val="00AF1361"/>
    <w:rsid w:val="00AF209A"/>
    <w:rsid w:val="00AF27B8"/>
    <w:rsid w:val="00AF27DA"/>
    <w:rsid w:val="00AF2CDA"/>
    <w:rsid w:val="00AF2FE1"/>
    <w:rsid w:val="00AF32A3"/>
    <w:rsid w:val="00AF34D0"/>
    <w:rsid w:val="00AF37A3"/>
    <w:rsid w:val="00AF37D7"/>
    <w:rsid w:val="00AF39CA"/>
    <w:rsid w:val="00AF3A59"/>
    <w:rsid w:val="00AF4A48"/>
    <w:rsid w:val="00AF4D24"/>
    <w:rsid w:val="00AF50D1"/>
    <w:rsid w:val="00AF5E8A"/>
    <w:rsid w:val="00AF647C"/>
    <w:rsid w:val="00AF665B"/>
    <w:rsid w:val="00AF66F0"/>
    <w:rsid w:val="00AF69FC"/>
    <w:rsid w:val="00AF78C7"/>
    <w:rsid w:val="00AF7978"/>
    <w:rsid w:val="00B00017"/>
    <w:rsid w:val="00B001F5"/>
    <w:rsid w:val="00B00225"/>
    <w:rsid w:val="00B00B92"/>
    <w:rsid w:val="00B014F8"/>
    <w:rsid w:val="00B015A9"/>
    <w:rsid w:val="00B015BC"/>
    <w:rsid w:val="00B01AB0"/>
    <w:rsid w:val="00B01BCC"/>
    <w:rsid w:val="00B01D5A"/>
    <w:rsid w:val="00B02079"/>
    <w:rsid w:val="00B02630"/>
    <w:rsid w:val="00B046C5"/>
    <w:rsid w:val="00B04C38"/>
    <w:rsid w:val="00B05181"/>
    <w:rsid w:val="00B05306"/>
    <w:rsid w:val="00B059A5"/>
    <w:rsid w:val="00B05AE0"/>
    <w:rsid w:val="00B062BC"/>
    <w:rsid w:val="00B06C03"/>
    <w:rsid w:val="00B0725D"/>
    <w:rsid w:val="00B07508"/>
    <w:rsid w:val="00B076AF"/>
    <w:rsid w:val="00B1006C"/>
    <w:rsid w:val="00B11D4C"/>
    <w:rsid w:val="00B12A7B"/>
    <w:rsid w:val="00B1379A"/>
    <w:rsid w:val="00B1398C"/>
    <w:rsid w:val="00B13E52"/>
    <w:rsid w:val="00B1437E"/>
    <w:rsid w:val="00B14AA9"/>
    <w:rsid w:val="00B14D0D"/>
    <w:rsid w:val="00B14D2F"/>
    <w:rsid w:val="00B156DE"/>
    <w:rsid w:val="00B15E80"/>
    <w:rsid w:val="00B15FFD"/>
    <w:rsid w:val="00B161F2"/>
    <w:rsid w:val="00B16D02"/>
    <w:rsid w:val="00B17B3D"/>
    <w:rsid w:val="00B205A4"/>
    <w:rsid w:val="00B205E9"/>
    <w:rsid w:val="00B20DFB"/>
    <w:rsid w:val="00B21EBE"/>
    <w:rsid w:val="00B22145"/>
    <w:rsid w:val="00B224E0"/>
    <w:rsid w:val="00B224E7"/>
    <w:rsid w:val="00B2258A"/>
    <w:rsid w:val="00B237FE"/>
    <w:rsid w:val="00B23B27"/>
    <w:rsid w:val="00B23F2E"/>
    <w:rsid w:val="00B245F3"/>
    <w:rsid w:val="00B248D5"/>
    <w:rsid w:val="00B2574E"/>
    <w:rsid w:val="00B26271"/>
    <w:rsid w:val="00B264BC"/>
    <w:rsid w:val="00B267D7"/>
    <w:rsid w:val="00B26B1D"/>
    <w:rsid w:val="00B26BE3"/>
    <w:rsid w:val="00B2789E"/>
    <w:rsid w:val="00B30007"/>
    <w:rsid w:val="00B3054C"/>
    <w:rsid w:val="00B31D26"/>
    <w:rsid w:val="00B31E60"/>
    <w:rsid w:val="00B31ED0"/>
    <w:rsid w:val="00B323C6"/>
    <w:rsid w:val="00B333D8"/>
    <w:rsid w:val="00B35693"/>
    <w:rsid w:val="00B36568"/>
    <w:rsid w:val="00B36C85"/>
    <w:rsid w:val="00B37F91"/>
    <w:rsid w:val="00B40B41"/>
    <w:rsid w:val="00B416D5"/>
    <w:rsid w:val="00B42240"/>
    <w:rsid w:val="00B43E5C"/>
    <w:rsid w:val="00B43F6F"/>
    <w:rsid w:val="00B44CCD"/>
    <w:rsid w:val="00B466B7"/>
    <w:rsid w:val="00B47255"/>
    <w:rsid w:val="00B4799E"/>
    <w:rsid w:val="00B47A8F"/>
    <w:rsid w:val="00B47DF2"/>
    <w:rsid w:val="00B50234"/>
    <w:rsid w:val="00B504DD"/>
    <w:rsid w:val="00B508A9"/>
    <w:rsid w:val="00B51155"/>
    <w:rsid w:val="00B51376"/>
    <w:rsid w:val="00B51F44"/>
    <w:rsid w:val="00B539CA"/>
    <w:rsid w:val="00B5411E"/>
    <w:rsid w:val="00B54BCF"/>
    <w:rsid w:val="00B54C90"/>
    <w:rsid w:val="00B55AC2"/>
    <w:rsid w:val="00B55B1C"/>
    <w:rsid w:val="00B5682D"/>
    <w:rsid w:val="00B56984"/>
    <w:rsid w:val="00B56F1B"/>
    <w:rsid w:val="00B5730B"/>
    <w:rsid w:val="00B575E2"/>
    <w:rsid w:val="00B604B3"/>
    <w:rsid w:val="00B60B03"/>
    <w:rsid w:val="00B61883"/>
    <w:rsid w:val="00B61A7C"/>
    <w:rsid w:val="00B6212B"/>
    <w:rsid w:val="00B62B3C"/>
    <w:rsid w:val="00B62B80"/>
    <w:rsid w:val="00B6372A"/>
    <w:rsid w:val="00B64C67"/>
    <w:rsid w:val="00B6511C"/>
    <w:rsid w:val="00B658BD"/>
    <w:rsid w:val="00B65A35"/>
    <w:rsid w:val="00B66445"/>
    <w:rsid w:val="00B668F5"/>
    <w:rsid w:val="00B6753D"/>
    <w:rsid w:val="00B6780E"/>
    <w:rsid w:val="00B67B00"/>
    <w:rsid w:val="00B67BD1"/>
    <w:rsid w:val="00B70519"/>
    <w:rsid w:val="00B71355"/>
    <w:rsid w:val="00B71FE1"/>
    <w:rsid w:val="00B720E3"/>
    <w:rsid w:val="00B723A8"/>
    <w:rsid w:val="00B72ACE"/>
    <w:rsid w:val="00B72F36"/>
    <w:rsid w:val="00B72F80"/>
    <w:rsid w:val="00B73202"/>
    <w:rsid w:val="00B73A15"/>
    <w:rsid w:val="00B73DD4"/>
    <w:rsid w:val="00B74106"/>
    <w:rsid w:val="00B745A6"/>
    <w:rsid w:val="00B751D8"/>
    <w:rsid w:val="00B75329"/>
    <w:rsid w:val="00B755EF"/>
    <w:rsid w:val="00B755F1"/>
    <w:rsid w:val="00B7576D"/>
    <w:rsid w:val="00B75B11"/>
    <w:rsid w:val="00B763EC"/>
    <w:rsid w:val="00B76772"/>
    <w:rsid w:val="00B76794"/>
    <w:rsid w:val="00B768E9"/>
    <w:rsid w:val="00B76F68"/>
    <w:rsid w:val="00B8089E"/>
    <w:rsid w:val="00B80AEB"/>
    <w:rsid w:val="00B8115C"/>
    <w:rsid w:val="00B81530"/>
    <w:rsid w:val="00B81985"/>
    <w:rsid w:val="00B81C63"/>
    <w:rsid w:val="00B823D5"/>
    <w:rsid w:val="00B8379F"/>
    <w:rsid w:val="00B841CB"/>
    <w:rsid w:val="00B8499C"/>
    <w:rsid w:val="00B859CC"/>
    <w:rsid w:val="00B85EA7"/>
    <w:rsid w:val="00B861E7"/>
    <w:rsid w:val="00B864CC"/>
    <w:rsid w:val="00B866E8"/>
    <w:rsid w:val="00B867DF"/>
    <w:rsid w:val="00B86872"/>
    <w:rsid w:val="00B86D1C"/>
    <w:rsid w:val="00B87F30"/>
    <w:rsid w:val="00B903F8"/>
    <w:rsid w:val="00B90745"/>
    <w:rsid w:val="00B90D0C"/>
    <w:rsid w:val="00B90F44"/>
    <w:rsid w:val="00B91005"/>
    <w:rsid w:val="00B917E3"/>
    <w:rsid w:val="00B926D1"/>
    <w:rsid w:val="00B92E9D"/>
    <w:rsid w:val="00B948B9"/>
    <w:rsid w:val="00B957D4"/>
    <w:rsid w:val="00B9589E"/>
    <w:rsid w:val="00B961AB"/>
    <w:rsid w:val="00B96312"/>
    <w:rsid w:val="00B96BC4"/>
    <w:rsid w:val="00B96E1A"/>
    <w:rsid w:val="00B97544"/>
    <w:rsid w:val="00B975D8"/>
    <w:rsid w:val="00B97901"/>
    <w:rsid w:val="00BA01C3"/>
    <w:rsid w:val="00BA0869"/>
    <w:rsid w:val="00BA1261"/>
    <w:rsid w:val="00BA12FE"/>
    <w:rsid w:val="00BA13FB"/>
    <w:rsid w:val="00BA1875"/>
    <w:rsid w:val="00BA1AEA"/>
    <w:rsid w:val="00BA1B8D"/>
    <w:rsid w:val="00BA1E3B"/>
    <w:rsid w:val="00BA257F"/>
    <w:rsid w:val="00BA28F6"/>
    <w:rsid w:val="00BA33C4"/>
    <w:rsid w:val="00BA3448"/>
    <w:rsid w:val="00BA345B"/>
    <w:rsid w:val="00BA3881"/>
    <w:rsid w:val="00BA3979"/>
    <w:rsid w:val="00BA3F04"/>
    <w:rsid w:val="00BA44B3"/>
    <w:rsid w:val="00BA4CB7"/>
    <w:rsid w:val="00BA5499"/>
    <w:rsid w:val="00BA554C"/>
    <w:rsid w:val="00BA554E"/>
    <w:rsid w:val="00BA5A1D"/>
    <w:rsid w:val="00BA604E"/>
    <w:rsid w:val="00BA74C1"/>
    <w:rsid w:val="00BA7722"/>
    <w:rsid w:val="00BA78B9"/>
    <w:rsid w:val="00BA7DC4"/>
    <w:rsid w:val="00BB0465"/>
    <w:rsid w:val="00BB0D30"/>
    <w:rsid w:val="00BB148B"/>
    <w:rsid w:val="00BB1B75"/>
    <w:rsid w:val="00BB21CF"/>
    <w:rsid w:val="00BB271B"/>
    <w:rsid w:val="00BB2C63"/>
    <w:rsid w:val="00BB2DEC"/>
    <w:rsid w:val="00BB339F"/>
    <w:rsid w:val="00BB3706"/>
    <w:rsid w:val="00BB3989"/>
    <w:rsid w:val="00BB3DD6"/>
    <w:rsid w:val="00BB3F1A"/>
    <w:rsid w:val="00BB3FCE"/>
    <w:rsid w:val="00BB4850"/>
    <w:rsid w:val="00BB4B36"/>
    <w:rsid w:val="00BB5202"/>
    <w:rsid w:val="00BB5254"/>
    <w:rsid w:val="00BB5676"/>
    <w:rsid w:val="00BB6A50"/>
    <w:rsid w:val="00BB6C75"/>
    <w:rsid w:val="00BB6C8F"/>
    <w:rsid w:val="00BB6E93"/>
    <w:rsid w:val="00BB6EBE"/>
    <w:rsid w:val="00BB739D"/>
    <w:rsid w:val="00BB7626"/>
    <w:rsid w:val="00BB7C9C"/>
    <w:rsid w:val="00BC0DA7"/>
    <w:rsid w:val="00BC1DFE"/>
    <w:rsid w:val="00BC1FAE"/>
    <w:rsid w:val="00BC23AE"/>
    <w:rsid w:val="00BC26DB"/>
    <w:rsid w:val="00BC3D67"/>
    <w:rsid w:val="00BC3DC1"/>
    <w:rsid w:val="00BC45AF"/>
    <w:rsid w:val="00BC47D7"/>
    <w:rsid w:val="00BC4ADC"/>
    <w:rsid w:val="00BC4E2E"/>
    <w:rsid w:val="00BC5C4F"/>
    <w:rsid w:val="00BC6203"/>
    <w:rsid w:val="00BC699B"/>
    <w:rsid w:val="00BC749F"/>
    <w:rsid w:val="00BD04EC"/>
    <w:rsid w:val="00BD06F2"/>
    <w:rsid w:val="00BD0D49"/>
    <w:rsid w:val="00BD16AE"/>
    <w:rsid w:val="00BD1ED9"/>
    <w:rsid w:val="00BD2484"/>
    <w:rsid w:val="00BD2623"/>
    <w:rsid w:val="00BD2969"/>
    <w:rsid w:val="00BD33B7"/>
    <w:rsid w:val="00BD35A6"/>
    <w:rsid w:val="00BD4BFE"/>
    <w:rsid w:val="00BD4C3D"/>
    <w:rsid w:val="00BD543B"/>
    <w:rsid w:val="00BD63F2"/>
    <w:rsid w:val="00BD6766"/>
    <w:rsid w:val="00BD727A"/>
    <w:rsid w:val="00BE064B"/>
    <w:rsid w:val="00BE0860"/>
    <w:rsid w:val="00BE1CC0"/>
    <w:rsid w:val="00BE24A9"/>
    <w:rsid w:val="00BE2A7E"/>
    <w:rsid w:val="00BE2AAF"/>
    <w:rsid w:val="00BE33C5"/>
    <w:rsid w:val="00BE3761"/>
    <w:rsid w:val="00BE3A79"/>
    <w:rsid w:val="00BE45C9"/>
    <w:rsid w:val="00BE4AB3"/>
    <w:rsid w:val="00BE590D"/>
    <w:rsid w:val="00BE7624"/>
    <w:rsid w:val="00BF170D"/>
    <w:rsid w:val="00BF2006"/>
    <w:rsid w:val="00BF2041"/>
    <w:rsid w:val="00BF254C"/>
    <w:rsid w:val="00BF2E2F"/>
    <w:rsid w:val="00BF3499"/>
    <w:rsid w:val="00BF3C94"/>
    <w:rsid w:val="00BF3E85"/>
    <w:rsid w:val="00BF3EF3"/>
    <w:rsid w:val="00BF4182"/>
    <w:rsid w:val="00BF4207"/>
    <w:rsid w:val="00BF4F8F"/>
    <w:rsid w:val="00BF529B"/>
    <w:rsid w:val="00BF53C7"/>
    <w:rsid w:val="00BF5564"/>
    <w:rsid w:val="00BF5FC4"/>
    <w:rsid w:val="00BF66BC"/>
    <w:rsid w:val="00BF6D3F"/>
    <w:rsid w:val="00BF7616"/>
    <w:rsid w:val="00BF78DE"/>
    <w:rsid w:val="00C00393"/>
    <w:rsid w:val="00C007A1"/>
    <w:rsid w:val="00C00974"/>
    <w:rsid w:val="00C00C1A"/>
    <w:rsid w:val="00C00E44"/>
    <w:rsid w:val="00C0108D"/>
    <w:rsid w:val="00C01915"/>
    <w:rsid w:val="00C02107"/>
    <w:rsid w:val="00C02419"/>
    <w:rsid w:val="00C0267D"/>
    <w:rsid w:val="00C029EE"/>
    <w:rsid w:val="00C02C82"/>
    <w:rsid w:val="00C0381E"/>
    <w:rsid w:val="00C03C83"/>
    <w:rsid w:val="00C03D54"/>
    <w:rsid w:val="00C04653"/>
    <w:rsid w:val="00C0475F"/>
    <w:rsid w:val="00C04DB9"/>
    <w:rsid w:val="00C04EAD"/>
    <w:rsid w:val="00C054BC"/>
    <w:rsid w:val="00C05621"/>
    <w:rsid w:val="00C05807"/>
    <w:rsid w:val="00C05C9D"/>
    <w:rsid w:val="00C06570"/>
    <w:rsid w:val="00C06DCC"/>
    <w:rsid w:val="00C06EED"/>
    <w:rsid w:val="00C070E7"/>
    <w:rsid w:val="00C0764C"/>
    <w:rsid w:val="00C1035F"/>
    <w:rsid w:val="00C10B20"/>
    <w:rsid w:val="00C10B5E"/>
    <w:rsid w:val="00C10C74"/>
    <w:rsid w:val="00C110C3"/>
    <w:rsid w:val="00C112D3"/>
    <w:rsid w:val="00C11327"/>
    <w:rsid w:val="00C115F5"/>
    <w:rsid w:val="00C116AA"/>
    <w:rsid w:val="00C119CA"/>
    <w:rsid w:val="00C11C53"/>
    <w:rsid w:val="00C11DD4"/>
    <w:rsid w:val="00C121A2"/>
    <w:rsid w:val="00C1293F"/>
    <w:rsid w:val="00C136CD"/>
    <w:rsid w:val="00C13AF6"/>
    <w:rsid w:val="00C14003"/>
    <w:rsid w:val="00C14214"/>
    <w:rsid w:val="00C14327"/>
    <w:rsid w:val="00C1468D"/>
    <w:rsid w:val="00C15006"/>
    <w:rsid w:val="00C15019"/>
    <w:rsid w:val="00C15879"/>
    <w:rsid w:val="00C15982"/>
    <w:rsid w:val="00C15F95"/>
    <w:rsid w:val="00C16BF2"/>
    <w:rsid w:val="00C17944"/>
    <w:rsid w:val="00C17CFF"/>
    <w:rsid w:val="00C205F7"/>
    <w:rsid w:val="00C20D3F"/>
    <w:rsid w:val="00C21A24"/>
    <w:rsid w:val="00C21AD6"/>
    <w:rsid w:val="00C21FB0"/>
    <w:rsid w:val="00C2207B"/>
    <w:rsid w:val="00C2277B"/>
    <w:rsid w:val="00C22F59"/>
    <w:rsid w:val="00C232A8"/>
    <w:rsid w:val="00C23752"/>
    <w:rsid w:val="00C23A84"/>
    <w:rsid w:val="00C23F7D"/>
    <w:rsid w:val="00C24152"/>
    <w:rsid w:val="00C24383"/>
    <w:rsid w:val="00C2497A"/>
    <w:rsid w:val="00C250D9"/>
    <w:rsid w:val="00C25B19"/>
    <w:rsid w:val="00C25E34"/>
    <w:rsid w:val="00C261ED"/>
    <w:rsid w:val="00C2642E"/>
    <w:rsid w:val="00C26641"/>
    <w:rsid w:val="00C26BA8"/>
    <w:rsid w:val="00C26C18"/>
    <w:rsid w:val="00C26E61"/>
    <w:rsid w:val="00C2727B"/>
    <w:rsid w:val="00C27359"/>
    <w:rsid w:val="00C276C4"/>
    <w:rsid w:val="00C2783D"/>
    <w:rsid w:val="00C27DF5"/>
    <w:rsid w:val="00C303AE"/>
    <w:rsid w:val="00C30408"/>
    <w:rsid w:val="00C304DE"/>
    <w:rsid w:val="00C3050A"/>
    <w:rsid w:val="00C31CB9"/>
    <w:rsid w:val="00C31D7E"/>
    <w:rsid w:val="00C32B9C"/>
    <w:rsid w:val="00C32F14"/>
    <w:rsid w:val="00C33ABA"/>
    <w:rsid w:val="00C33D83"/>
    <w:rsid w:val="00C341EA"/>
    <w:rsid w:val="00C3464D"/>
    <w:rsid w:val="00C34919"/>
    <w:rsid w:val="00C34CC6"/>
    <w:rsid w:val="00C35327"/>
    <w:rsid w:val="00C356C8"/>
    <w:rsid w:val="00C3638B"/>
    <w:rsid w:val="00C36991"/>
    <w:rsid w:val="00C36A45"/>
    <w:rsid w:val="00C379A4"/>
    <w:rsid w:val="00C404F6"/>
    <w:rsid w:val="00C40DE9"/>
    <w:rsid w:val="00C413A7"/>
    <w:rsid w:val="00C41880"/>
    <w:rsid w:val="00C43779"/>
    <w:rsid w:val="00C4395A"/>
    <w:rsid w:val="00C43F5A"/>
    <w:rsid w:val="00C4506E"/>
    <w:rsid w:val="00C451B7"/>
    <w:rsid w:val="00C47899"/>
    <w:rsid w:val="00C47AB3"/>
    <w:rsid w:val="00C47B12"/>
    <w:rsid w:val="00C47C5E"/>
    <w:rsid w:val="00C50D84"/>
    <w:rsid w:val="00C51F49"/>
    <w:rsid w:val="00C5225C"/>
    <w:rsid w:val="00C5259E"/>
    <w:rsid w:val="00C5270B"/>
    <w:rsid w:val="00C52A85"/>
    <w:rsid w:val="00C53158"/>
    <w:rsid w:val="00C5341B"/>
    <w:rsid w:val="00C543E5"/>
    <w:rsid w:val="00C54418"/>
    <w:rsid w:val="00C545DC"/>
    <w:rsid w:val="00C54732"/>
    <w:rsid w:val="00C548CF"/>
    <w:rsid w:val="00C54AF2"/>
    <w:rsid w:val="00C55616"/>
    <w:rsid w:val="00C556E4"/>
    <w:rsid w:val="00C55A5D"/>
    <w:rsid w:val="00C55BE1"/>
    <w:rsid w:val="00C55BF6"/>
    <w:rsid w:val="00C56719"/>
    <w:rsid w:val="00C56914"/>
    <w:rsid w:val="00C56AB0"/>
    <w:rsid w:val="00C57211"/>
    <w:rsid w:val="00C57C9E"/>
    <w:rsid w:val="00C57EEB"/>
    <w:rsid w:val="00C614FF"/>
    <w:rsid w:val="00C61D58"/>
    <w:rsid w:val="00C61EB7"/>
    <w:rsid w:val="00C622B3"/>
    <w:rsid w:val="00C63107"/>
    <w:rsid w:val="00C63D2A"/>
    <w:rsid w:val="00C63D5A"/>
    <w:rsid w:val="00C65039"/>
    <w:rsid w:val="00C65137"/>
    <w:rsid w:val="00C65268"/>
    <w:rsid w:val="00C659A1"/>
    <w:rsid w:val="00C660D8"/>
    <w:rsid w:val="00C664AD"/>
    <w:rsid w:val="00C669BC"/>
    <w:rsid w:val="00C676A1"/>
    <w:rsid w:val="00C700B9"/>
    <w:rsid w:val="00C70182"/>
    <w:rsid w:val="00C708F0"/>
    <w:rsid w:val="00C7123B"/>
    <w:rsid w:val="00C71D9B"/>
    <w:rsid w:val="00C7269C"/>
    <w:rsid w:val="00C72FF7"/>
    <w:rsid w:val="00C735B8"/>
    <w:rsid w:val="00C7381D"/>
    <w:rsid w:val="00C73C0B"/>
    <w:rsid w:val="00C74F2E"/>
    <w:rsid w:val="00C752E5"/>
    <w:rsid w:val="00C75529"/>
    <w:rsid w:val="00C7573F"/>
    <w:rsid w:val="00C76B0E"/>
    <w:rsid w:val="00C76B25"/>
    <w:rsid w:val="00C76ECE"/>
    <w:rsid w:val="00C77DA5"/>
    <w:rsid w:val="00C80FF0"/>
    <w:rsid w:val="00C81ED6"/>
    <w:rsid w:val="00C828D3"/>
    <w:rsid w:val="00C82D3A"/>
    <w:rsid w:val="00C835CD"/>
    <w:rsid w:val="00C83863"/>
    <w:rsid w:val="00C83EAE"/>
    <w:rsid w:val="00C8497D"/>
    <w:rsid w:val="00C84FEA"/>
    <w:rsid w:val="00C8549D"/>
    <w:rsid w:val="00C85669"/>
    <w:rsid w:val="00C85D78"/>
    <w:rsid w:val="00C86647"/>
    <w:rsid w:val="00C871B6"/>
    <w:rsid w:val="00C90464"/>
    <w:rsid w:val="00C9066E"/>
    <w:rsid w:val="00C910FA"/>
    <w:rsid w:val="00C91107"/>
    <w:rsid w:val="00C911A8"/>
    <w:rsid w:val="00C918FB"/>
    <w:rsid w:val="00C91B1D"/>
    <w:rsid w:val="00C922D3"/>
    <w:rsid w:val="00C92564"/>
    <w:rsid w:val="00C929ED"/>
    <w:rsid w:val="00C92C38"/>
    <w:rsid w:val="00C92FC9"/>
    <w:rsid w:val="00C939CA"/>
    <w:rsid w:val="00C93B9D"/>
    <w:rsid w:val="00C94131"/>
    <w:rsid w:val="00C941CC"/>
    <w:rsid w:val="00C94596"/>
    <w:rsid w:val="00C95117"/>
    <w:rsid w:val="00C952F2"/>
    <w:rsid w:val="00C955B1"/>
    <w:rsid w:val="00C96534"/>
    <w:rsid w:val="00C96609"/>
    <w:rsid w:val="00C970DC"/>
    <w:rsid w:val="00C97505"/>
    <w:rsid w:val="00C97991"/>
    <w:rsid w:val="00C97BDC"/>
    <w:rsid w:val="00C97F52"/>
    <w:rsid w:val="00CA08F4"/>
    <w:rsid w:val="00CA140B"/>
    <w:rsid w:val="00CA1538"/>
    <w:rsid w:val="00CA2D82"/>
    <w:rsid w:val="00CA2E5D"/>
    <w:rsid w:val="00CA309C"/>
    <w:rsid w:val="00CA34B6"/>
    <w:rsid w:val="00CA509C"/>
    <w:rsid w:val="00CA58D6"/>
    <w:rsid w:val="00CA67A5"/>
    <w:rsid w:val="00CA6DE5"/>
    <w:rsid w:val="00CA6E91"/>
    <w:rsid w:val="00CA6FFD"/>
    <w:rsid w:val="00CA7A67"/>
    <w:rsid w:val="00CA7BB9"/>
    <w:rsid w:val="00CB0084"/>
    <w:rsid w:val="00CB04B3"/>
    <w:rsid w:val="00CB0EE9"/>
    <w:rsid w:val="00CB1216"/>
    <w:rsid w:val="00CB1CE7"/>
    <w:rsid w:val="00CB1DBA"/>
    <w:rsid w:val="00CB223E"/>
    <w:rsid w:val="00CB244E"/>
    <w:rsid w:val="00CB2539"/>
    <w:rsid w:val="00CB3029"/>
    <w:rsid w:val="00CB32BB"/>
    <w:rsid w:val="00CB381E"/>
    <w:rsid w:val="00CB38E3"/>
    <w:rsid w:val="00CB3A21"/>
    <w:rsid w:val="00CB4722"/>
    <w:rsid w:val="00CB4A32"/>
    <w:rsid w:val="00CB4B47"/>
    <w:rsid w:val="00CB57D5"/>
    <w:rsid w:val="00CB5A75"/>
    <w:rsid w:val="00CC07D0"/>
    <w:rsid w:val="00CC14E5"/>
    <w:rsid w:val="00CC14F3"/>
    <w:rsid w:val="00CC2581"/>
    <w:rsid w:val="00CC316E"/>
    <w:rsid w:val="00CC3349"/>
    <w:rsid w:val="00CC3C51"/>
    <w:rsid w:val="00CC463A"/>
    <w:rsid w:val="00CC4B73"/>
    <w:rsid w:val="00CC5368"/>
    <w:rsid w:val="00CC5C5B"/>
    <w:rsid w:val="00CC6F8E"/>
    <w:rsid w:val="00CD03D5"/>
    <w:rsid w:val="00CD09E2"/>
    <w:rsid w:val="00CD1041"/>
    <w:rsid w:val="00CD10A5"/>
    <w:rsid w:val="00CD1974"/>
    <w:rsid w:val="00CD28AE"/>
    <w:rsid w:val="00CD302D"/>
    <w:rsid w:val="00CD5C7B"/>
    <w:rsid w:val="00CD5D61"/>
    <w:rsid w:val="00CD5E55"/>
    <w:rsid w:val="00CD5EF9"/>
    <w:rsid w:val="00CD635E"/>
    <w:rsid w:val="00CE0180"/>
    <w:rsid w:val="00CE02FD"/>
    <w:rsid w:val="00CE142D"/>
    <w:rsid w:val="00CE154B"/>
    <w:rsid w:val="00CE1CA5"/>
    <w:rsid w:val="00CE22ED"/>
    <w:rsid w:val="00CE27C2"/>
    <w:rsid w:val="00CE30C9"/>
    <w:rsid w:val="00CE3DD0"/>
    <w:rsid w:val="00CE4336"/>
    <w:rsid w:val="00CE449A"/>
    <w:rsid w:val="00CE61E1"/>
    <w:rsid w:val="00CE6656"/>
    <w:rsid w:val="00CE6831"/>
    <w:rsid w:val="00CE6F70"/>
    <w:rsid w:val="00CE7538"/>
    <w:rsid w:val="00CE778F"/>
    <w:rsid w:val="00CE79B8"/>
    <w:rsid w:val="00CE7A11"/>
    <w:rsid w:val="00CE7F39"/>
    <w:rsid w:val="00CF059D"/>
    <w:rsid w:val="00CF0798"/>
    <w:rsid w:val="00CF08FB"/>
    <w:rsid w:val="00CF0D8E"/>
    <w:rsid w:val="00CF0FEE"/>
    <w:rsid w:val="00CF112D"/>
    <w:rsid w:val="00CF159D"/>
    <w:rsid w:val="00CF19B6"/>
    <w:rsid w:val="00CF2420"/>
    <w:rsid w:val="00CF369E"/>
    <w:rsid w:val="00CF4282"/>
    <w:rsid w:val="00CF469B"/>
    <w:rsid w:val="00CF5615"/>
    <w:rsid w:val="00CF605D"/>
    <w:rsid w:val="00CF741F"/>
    <w:rsid w:val="00CF79DF"/>
    <w:rsid w:val="00CF7B8E"/>
    <w:rsid w:val="00D00092"/>
    <w:rsid w:val="00D0067B"/>
    <w:rsid w:val="00D01030"/>
    <w:rsid w:val="00D01363"/>
    <w:rsid w:val="00D01FF5"/>
    <w:rsid w:val="00D02D56"/>
    <w:rsid w:val="00D033F4"/>
    <w:rsid w:val="00D03F76"/>
    <w:rsid w:val="00D046CD"/>
    <w:rsid w:val="00D047FB"/>
    <w:rsid w:val="00D0485F"/>
    <w:rsid w:val="00D0630E"/>
    <w:rsid w:val="00D07C4F"/>
    <w:rsid w:val="00D10172"/>
    <w:rsid w:val="00D105B5"/>
    <w:rsid w:val="00D10D42"/>
    <w:rsid w:val="00D11DA8"/>
    <w:rsid w:val="00D128CA"/>
    <w:rsid w:val="00D12C8C"/>
    <w:rsid w:val="00D139DC"/>
    <w:rsid w:val="00D13C7A"/>
    <w:rsid w:val="00D13E10"/>
    <w:rsid w:val="00D13F63"/>
    <w:rsid w:val="00D140AA"/>
    <w:rsid w:val="00D140C4"/>
    <w:rsid w:val="00D1428E"/>
    <w:rsid w:val="00D150C2"/>
    <w:rsid w:val="00D159C4"/>
    <w:rsid w:val="00D15ABF"/>
    <w:rsid w:val="00D15E9A"/>
    <w:rsid w:val="00D16130"/>
    <w:rsid w:val="00D16C72"/>
    <w:rsid w:val="00D16EE4"/>
    <w:rsid w:val="00D16FEC"/>
    <w:rsid w:val="00D17338"/>
    <w:rsid w:val="00D179A2"/>
    <w:rsid w:val="00D17AEB"/>
    <w:rsid w:val="00D17C5B"/>
    <w:rsid w:val="00D2087A"/>
    <w:rsid w:val="00D20A69"/>
    <w:rsid w:val="00D20B15"/>
    <w:rsid w:val="00D20F47"/>
    <w:rsid w:val="00D2144C"/>
    <w:rsid w:val="00D22389"/>
    <w:rsid w:val="00D22567"/>
    <w:rsid w:val="00D238BF"/>
    <w:rsid w:val="00D24167"/>
    <w:rsid w:val="00D242D9"/>
    <w:rsid w:val="00D2455D"/>
    <w:rsid w:val="00D247B0"/>
    <w:rsid w:val="00D24A7F"/>
    <w:rsid w:val="00D24E15"/>
    <w:rsid w:val="00D25366"/>
    <w:rsid w:val="00D254F5"/>
    <w:rsid w:val="00D25C22"/>
    <w:rsid w:val="00D25ED3"/>
    <w:rsid w:val="00D26B9A"/>
    <w:rsid w:val="00D274C8"/>
    <w:rsid w:val="00D3011F"/>
    <w:rsid w:val="00D30194"/>
    <w:rsid w:val="00D30697"/>
    <w:rsid w:val="00D30C78"/>
    <w:rsid w:val="00D30DA8"/>
    <w:rsid w:val="00D30E7D"/>
    <w:rsid w:val="00D3190A"/>
    <w:rsid w:val="00D31A7A"/>
    <w:rsid w:val="00D31BED"/>
    <w:rsid w:val="00D328F7"/>
    <w:rsid w:val="00D33FD8"/>
    <w:rsid w:val="00D344A2"/>
    <w:rsid w:val="00D34D92"/>
    <w:rsid w:val="00D34E8A"/>
    <w:rsid w:val="00D35DD7"/>
    <w:rsid w:val="00D36257"/>
    <w:rsid w:val="00D37DB2"/>
    <w:rsid w:val="00D37DC1"/>
    <w:rsid w:val="00D400E1"/>
    <w:rsid w:val="00D405B4"/>
    <w:rsid w:val="00D406C0"/>
    <w:rsid w:val="00D40919"/>
    <w:rsid w:val="00D410C3"/>
    <w:rsid w:val="00D41339"/>
    <w:rsid w:val="00D4166B"/>
    <w:rsid w:val="00D41821"/>
    <w:rsid w:val="00D419D3"/>
    <w:rsid w:val="00D42063"/>
    <w:rsid w:val="00D4240E"/>
    <w:rsid w:val="00D427BA"/>
    <w:rsid w:val="00D42B16"/>
    <w:rsid w:val="00D43514"/>
    <w:rsid w:val="00D435F0"/>
    <w:rsid w:val="00D4374B"/>
    <w:rsid w:val="00D440FC"/>
    <w:rsid w:val="00D44432"/>
    <w:rsid w:val="00D44867"/>
    <w:rsid w:val="00D4526C"/>
    <w:rsid w:val="00D45945"/>
    <w:rsid w:val="00D462DC"/>
    <w:rsid w:val="00D470CC"/>
    <w:rsid w:val="00D47B39"/>
    <w:rsid w:val="00D47C62"/>
    <w:rsid w:val="00D50533"/>
    <w:rsid w:val="00D5067B"/>
    <w:rsid w:val="00D51ADB"/>
    <w:rsid w:val="00D523ED"/>
    <w:rsid w:val="00D523F5"/>
    <w:rsid w:val="00D52739"/>
    <w:rsid w:val="00D53642"/>
    <w:rsid w:val="00D536A0"/>
    <w:rsid w:val="00D54790"/>
    <w:rsid w:val="00D54993"/>
    <w:rsid w:val="00D54B75"/>
    <w:rsid w:val="00D54FF0"/>
    <w:rsid w:val="00D55193"/>
    <w:rsid w:val="00D559E2"/>
    <w:rsid w:val="00D56153"/>
    <w:rsid w:val="00D5640A"/>
    <w:rsid w:val="00D566D6"/>
    <w:rsid w:val="00D56E0E"/>
    <w:rsid w:val="00D573D5"/>
    <w:rsid w:val="00D5750C"/>
    <w:rsid w:val="00D57AB0"/>
    <w:rsid w:val="00D60030"/>
    <w:rsid w:val="00D60555"/>
    <w:rsid w:val="00D610A7"/>
    <w:rsid w:val="00D62229"/>
    <w:rsid w:val="00D6228A"/>
    <w:rsid w:val="00D62872"/>
    <w:rsid w:val="00D62BE5"/>
    <w:rsid w:val="00D62D6E"/>
    <w:rsid w:val="00D6316F"/>
    <w:rsid w:val="00D63313"/>
    <w:rsid w:val="00D63535"/>
    <w:rsid w:val="00D63638"/>
    <w:rsid w:val="00D63814"/>
    <w:rsid w:val="00D63DA1"/>
    <w:rsid w:val="00D644AD"/>
    <w:rsid w:val="00D65999"/>
    <w:rsid w:val="00D675D7"/>
    <w:rsid w:val="00D67E45"/>
    <w:rsid w:val="00D70007"/>
    <w:rsid w:val="00D70F7C"/>
    <w:rsid w:val="00D7105F"/>
    <w:rsid w:val="00D71081"/>
    <w:rsid w:val="00D713ED"/>
    <w:rsid w:val="00D719F9"/>
    <w:rsid w:val="00D71D90"/>
    <w:rsid w:val="00D720A7"/>
    <w:rsid w:val="00D73918"/>
    <w:rsid w:val="00D74C90"/>
    <w:rsid w:val="00D75613"/>
    <w:rsid w:val="00D763C6"/>
    <w:rsid w:val="00D7684B"/>
    <w:rsid w:val="00D76C00"/>
    <w:rsid w:val="00D76E9C"/>
    <w:rsid w:val="00D770D3"/>
    <w:rsid w:val="00D774CD"/>
    <w:rsid w:val="00D8001F"/>
    <w:rsid w:val="00D80389"/>
    <w:rsid w:val="00D80723"/>
    <w:rsid w:val="00D81380"/>
    <w:rsid w:val="00D8163E"/>
    <w:rsid w:val="00D817D6"/>
    <w:rsid w:val="00D82238"/>
    <w:rsid w:val="00D822C3"/>
    <w:rsid w:val="00D825A6"/>
    <w:rsid w:val="00D8378E"/>
    <w:rsid w:val="00D83B88"/>
    <w:rsid w:val="00D84978"/>
    <w:rsid w:val="00D84DEF"/>
    <w:rsid w:val="00D868E6"/>
    <w:rsid w:val="00D86960"/>
    <w:rsid w:val="00D86C26"/>
    <w:rsid w:val="00D90017"/>
    <w:rsid w:val="00D901F8"/>
    <w:rsid w:val="00D906E6"/>
    <w:rsid w:val="00D90A08"/>
    <w:rsid w:val="00D90FA0"/>
    <w:rsid w:val="00D91CC0"/>
    <w:rsid w:val="00D9254E"/>
    <w:rsid w:val="00D92A59"/>
    <w:rsid w:val="00D92C1C"/>
    <w:rsid w:val="00D92E4E"/>
    <w:rsid w:val="00D94011"/>
    <w:rsid w:val="00D94496"/>
    <w:rsid w:val="00D95016"/>
    <w:rsid w:val="00D95494"/>
    <w:rsid w:val="00D958D2"/>
    <w:rsid w:val="00D95AA7"/>
    <w:rsid w:val="00D965A2"/>
    <w:rsid w:val="00D96841"/>
    <w:rsid w:val="00D969E8"/>
    <w:rsid w:val="00D9784A"/>
    <w:rsid w:val="00D97A50"/>
    <w:rsid w:val="00DA00D3"/>
    <w:rsid w:val="00DA0D9A"/>
    <w:rsid w:val="00DA0E24"/>
    <w:rsid w:val="00DA0F39"/>
    <w:rsid w:val="00DA12C1"/>
    <w:rsid w:val="00DA173E"/>
    <w:rsid w:val="00DA2736"/>
    <w:rsid w:val="00DA2C6E"/>
    <w:rsid w:val="00DA44DA"/>
    <w:rsid w:val="00DA469F"/>
    <w:rsid w:val="00DA476F"/>
    <w:rsid w:val="00DA56CD"/>
    <w:rsid w:val="00DA5B57"/>
    <w:rsid w:val="00DA5F42"/>
    <w:rsid w:val="00DA6FB4"/>
    <w:rsid w:val="00DA7497"/>
    <w:rsid w:val="00DA7953"/>
    <w:rsid w:val="00DA79B5"/>
    <w:rsid w:val="00DB0863"/>
    <w:rsid w:val="00DB0930"/>
    <w:rsid w:val="00DB0FF2"/>
    <w:rsid w:val="00DB1010"/>
    <w:rsid w:val="00DB154F"/>
    <w:rsid w:val="00DB2161"/>
    <w:rsid w:val="00DB22DE"/>
    <w:rsid w:val="00DB241E"/>
    <w:rsid w:val="00DB3BFC"/>
    <w:rsid w:val="00DB3C17"/>
    <w:rsid w:val="00DB3F17"/>
    <w:rsid w:val="00DB47C5"/>
    <w:rsid w:val="00DB583A"/>
    <w:rsid w:val="00DB5CC7"/>
    <w:rsid w:val="00DB64F3"/>
    <w:rsid w:val="00DB753F"/>
    <w:rsid w:val="00DB7E7C"/>
    <w:rsid w:val="00DC02B8"/>
    <w:rsid w:val="00DC042C"/>
    <w:rsid w:val="00DC05DA"/>
    <w:rsid w:val="00DC0A9C"/>
    <w:rsid w:val="00DC146B"/>
    <w:rsid w:val="00DC1A54"/>
    <w:rsid w:val="00DC23BE"/>
    <w:rsid w:val="00DC279B"/>
    <w:rsid w:val="00DC304F"/>
    <w:rsid w:val="00DC3A44"/>
    <w:rsid w:val="00DC40D2"/>
    <w:rsid w:val="00DC57EA"/>
    <w:rsid w:val="00DC6922"/>
    <w:rsid w:val="00DC696C"/>
    <w:rsid w:val="00DC70C6"/>
    <w:rsid w:val="00DC72C1"/>
    <w:rsid w:val="00DC75EA"/>
    <w:rsid w:val="00DC7D25"/>
    <w:rsid w:val="00DD0140"/>
    <w:rsid w:val="00DD0813"/>
    <w:rsid w:val="00DD25BC"/>
    <w:rsid w:val="00DD293F"/>
    <w:rsid w:val="00DD2DD9"/>
    <w:rsid w:val="00DD3117"/>
    <w:rsid w:val="00DD39B1"/>
    <w:rsid w:val="00DD3A10"/>
    <w:rsid w:val="00DD3B1B"/>
    <w:rsid w:val="00DD4B0D"/>
    <w:rsid w:val="00DD51DD"/>
    <w:rsid w:val="00DD5C52"/>
    <w:rsid w:val="00DD5EEF"/>
    <w:rsid w:val="00DD6324"/>
    <w:rsid w:val="00DD6780"/>
    <w:rsid w:val="00DD6CA2"/>
    <w:rsid w:val="00DD78CB"/>
    <w:rsid w:val="00DE00FC"/>
    <w:rsid w:val="00DE0FD4"/>
    <w:rsid w:val="00DE1255"/>
    <w:rsid w:val="00DE2455"/>
    <w:rsid w:val="00DE289C"/>
    <w:rsid w:val="00DE3566"/>
    <w:rsid w:val="00DE3683"/>
    <w:rsid w:val="00DE49CE"/>
    <w:rsid w:val="00DE5016"/>
    <w:rsid w:val="00DE5211"/>
    <w:rsid w:val="00DE5858"/>
    <w:rsid w:val="00DE61F1"/>
    <w:rsid w:val="00DE62D1"/>
    <w:rsid w:val="00DE6A99"/>
    <w:rsid w:val="00DE6DE4"/>
    <w:rsid w:val="00DE767D"/>
    <w:rsid w:val="00DF0E18"/>
    <w:rsid w:val="00DF13AA"/>
    <w:rsid w:val="00DF17E2"/>
    <w:rsid w:val="00DF18B3"/>
    <w:rsid w:val="00DF20D5"/>
    <w:rsid w:val="00DF229B"/>
    <w:rsid w:val="00DF2AB1"/>
    <w:rsid w:val="00DF34D8"/>
    <w:rsid w:val="00DF3582"/>
    <w:rsid w:val="00DF385B"/>
    <w:rsid w:val="00DF3981"/>
    <w:rsid w:val="00DF39D2"/>
    <w:rsid w:val="00DF4532"/>
    <w:rsid w:val="00DF4B82"/>
    <w:rsid w:val="00DF51F7"/>
    <w:rsid w:val="00DF5F79"/>
    <w:rsid w:val="00DF6850"/>
    <w:rsid w:val="00DF69FC"/>
    <w:rsid w:val="00DF6C2C"/>
    <w:rsid w:val="00DF741F"/>
    <w:rsid w:val="00DF7A0C"/>
    <w:rsid w:val="00E00B0E"/>
    <w:rsid w:val="00E00BC2"/>
    <w:rsid w:val="00E011A2"/>
    <w:rsid w:val="00E012D1"/>
    <w:rsid w:val="00E0157E"/>
    <w:rsid w:val="00E01846"/>
    <w:rsid w:val="00E01DA2"/>
    <w:rsid w:val="00E0228F"/>
    <w:rsid w:val="00E03305"/>
    <w:rsid w:val="00E03B47"/>
    <w:rsid w:val="00E0406A"/>
    <w:rsid w:val="00E0406B"/>
    <w:rsid w:val="00E049DB"/>
    <w:rsid w:val="00E057D5"/>
    <w:rsid w:val="00E07A58"/>
    <w:rsid w:val="00E113AD"/>
    <w:rsid w:val="00E11935"/>
    <w:rsid w:val="00E12A95"/>
    <w:rsid w:val="00E142E6"/>
    <w:rsid w:val="00E144A8"/>
    <w:rsid w:val="00E1451B"/>
    <w:rsid w:val="00E1473D"/>
    <w:rsid w:val="00E14E2E"/>
    <w:rsid w:val="00E15E0A"/>
    <w:rsid w:val="00E16400"/>
    <w:rsid w:val="00E1678E"/>
    <w:rsid w:val="00E16826"/>
    <w:rsid w:val="00E169C3"/>
    <w:rsid w:val="00E16B4E"/>
    <w:rsid w:val="00E17221"/>
    <w:rsid w:val="00E17395"/>
    <w:rsid w:val="00E1779C"/>
    <w:rsid w:val="00E17A5E"/>
    <w:rsid w:val="00E20974"/>
    <w:rsid w:val="00E210DB"/>
    <w:rsid w:val="00E212A7"/>
    <w:rsid w:val="00E2184B"/>
    <w:rsid w:val="00E21DC3"/>
    <w:rsid w:val="00E2216F"/>
    <w:rsid w:val="00E22CF1"/>
    <w:rsid w:val="00E22E59"/>
    <w:rsid w:val="00E22F35"/>
    <w:rsid w:val="00E2350F"/>
    <w:rsid w:val="00E23C36"/>
    <w:rsid w:val="00E24253"/>
    <w:rsid w:val="00E24328"/>
    <w:rsid w:val="00E259F5"/>
    <w:rsid w:val="00E27951"/>
    <w:rsid w:val="00E27991"/>
    <w:rsid w:val="00E27CE3"/>
    <w:rsid w:val="00E27ED1"/>
    <w:rsid w:val="00E3122A"/>
    <w:rsid w:val="00E312F5"/>
    <w:rsid w:val="00E31373"/>
    <w:rsid w:val="00E3137E"/>
    <w:rsid w:val="00E3186E"/>
    <w:rsid w:val="00E32AD9"/>
    <w:rsid w:val="00E32FD7"/>
    <w:rsid w:val="00E3405C"/>
    <w:rsid w:val="00E34432"/>
    <w:rsid w:val="00E34DB0"/>
    <w:rsid w:val="00E367D8"/>
    <w:rsid w:val="00E368DE"/>
    <w:rsid w:val="00E3701F"/>
    <w:rsid w:val="00E37171"/>
    <w:rsid w:val="00E3763B"/>
    <w:rsid w:val="00E40979"/>
    <w:rsid w:val="00E41722"/>
    <w:rsid w:val="00E41962"/>
    <w:rsid w:val="00E4329A"/>
    <w:rsid w:val="00E43429"/>
    <w:rsid w:val="00E43A0C"/>
    <w:rsid w:val="00E43BE7"/>
    <w:rsid w:val="00E43C31"/>
    <w:rsid w:val="00E443E0"/>
    <w:rsid w:val="00E44D16"/>
    <w:rsid w:val="00E44E23"/>
    <w:rsid w:val="00E46A76"/>
    <w:rsid w:val="00E46ABD"/>
    <w:rsid w:val="00E46BF9"/>
    <w:rsid w:val="00E46D3C"/>
    <w:rsid w:val="00E470B0"/>
    <w:rsid w:val="00E47526"/>
    <w:rsid w:val="00E501BE"/>
    <w:rsid w:val="00E511A4"/>
    <w:rsid w:val="00E51633"/>
    <w:rsid w:val="00E519C7"/>
    <w:rsid w:val="00E51C7E"/>
    <w:rsid w:val="00E52657"/>
    <w:rsid w:val="00E52C1D"/>
    <w:rsid w:val="00E532D6"/>
    <w:rsid w:val="00E535A8"/>
    <w:rsid w:val="00E53F77"/>
    <w:rsid w:val="00E54358"/>
    <w:rsid w:val="00E54541"/>
    <w:rsid w:val="00E547A8"/>
    <w:rsid w:val="00E54A5B"/>
    <w:rsid w:val="00E54CDB"/>
    <w:rsid w:val="00E55578"/>
    <w:rsid w:val="00E56121"/>
    <w:rsid w:val="00E562F4"/>
    <w:rsid w:val="00E570EC"/>
    <w:rsid w:val="00E576CE"/>
    <w:rsid w:val="00E60642"/>
    <w:rsid w:val="00E607B2"/>
    <w:rsid w:val="00E60BEA"/>
    <w:rsid w:val="00E627C7"/>
    <w:rsid w:val="00E62AB2"/>
    <w:rsid w:val="00E63C6A"/>
    <w:rsid w:val="00E649B5"/>
    <w:rsid w:val="00E65256"/>
    <w:rsid w:val="00E65272"/>
    <w:rsid w:val="00E66111"/>
    <w:rsid w:val="00E66122"/>
    <w:rsid w:val="00E6679B"/>
    <w:rsid w:val="00E66D36"/>
    <w:rsid w:val="00E66DBD"/>
    <w:rsid w:val="00E67E55"/>
    <w:rsid w:val="00E7009C"/>
    <w:rsid w:val="00E70A4D"/>
    <w:rsid w:val="00E71DA9"/>
    <w:rsid w:val="00E71DFC"/>
    <w:rsid w:val="00E72A8A"/>
    <w:rsid w:val="00E72D55"/>
    <w:rsid w:val="00E72FF4"/>
    <w:rsid w:val="00E74205"/>
    <w:rsid w:val="00E74AD4"/>
    <w:rsid w:val="00E769FC"/>
    <w:rsid w:val="00E77EA6"/>
    <w:rsid w:val="00E80308"/>
    <w:rsid w:val="00E8044F"/>
    <w:rsid w:val="00E8075A"/>
    <w:rsid w:val="00E80A7B"/>
    <w:rsid w:val="00E80D98"/>
    <w:rsid w:val="00E81220"/>
    <w:rsid w:val="00E812D7"/>
    <w:rsid w:val="00E81C58"/>
    <w:rsid w:val="00E82357"/>
    <w:rsid w:val="00E8291A"/>
    <w:rsid w:val="00E82A3D"/>
    <w:rsid w:val="00E83500"/>
    <w:rsid w:val="00E836A6"/>
    <w:rsid w:val="00E83A7A"/>
    <w:rsid w:val="00E84570"/>
    <w:rsid w:val="00E8482F"/>
    <w:rsid w:val="00E84DA4"/>
    <w:rsid w:val="00E85588"/>
    <w:rsid w:val="00E85B6A"/>
    <w:rsid w:val="00E85E40"/>
    <w:rsid w:val="00E86509"/>
    <w:rsid w:val="00E86779"/>
    <w:rsid w:val="00E86FE9"/>
    <w:rsid w:val="00E870A4"/>
    <w:rsid w:val="00E873A2"/>
    <w:rsid w:val="00E87556"/>
    <w:rsid w:val="00E8799F"/>
    <w:rsid w:val="00E907CD"/>
    <w:rsid w:val="00E91CA1"/>
    <w:rsid w:val="00E91F27"/>
    <w:rsid w:val="00E92383"/>
    <w:rsid w:val="00E92430"/>
    <w:rsid w:val="00E92BB2"/>
    <w:rsid w:val="00E935AC"/>
    <w:rsid w:val="00E94733"/>
    <w:rsid w:val="00E9475C"/>
    <w:rsid w:val="00E947DE"/>
    <w:rsid w:val="00E94F6A"/>
    <w:rsid w:val="00E95E3A"/>
    <w:rsid w:val="00E96AF0"/>
    <w:rsid w:val="00E97259"/>
    <w:rsid w:val="00E973B4"/>
    <w:rsid w:val="00E97934"/>
    <w:rsid w:val="00EA0416"/>
    <w:rsid w:val="00EA0F6C"/>
    <w:rsid w:val="00EA1810"/>
    <w:rsid w:val="00EA1B81"/>
    <w:rsid w:val="00EA1C46"/>
    <w:rsid w:val="00EA1CE4"/>
    <w:rsid w:val="00EA20EE"/>
    <w:rsid w:val="00EA2626"/>
    <w:rsid w:val="00EA42BA"/>
    <w:rsid w:val="00EA4636"/>
    <w:rsid w:val="00EA51E9"/>
    <w:rsid w:val="00EA58F1"/>
    <w:rsid w:val="00EA59D7"/>
    <w:rsid w:val="00EA5A9E"/>
    <w:rsid w:val="00EA5BE0"/>
    <w:rsid w:val="00EA5E10"/>
    <w:rsid w:val="00EA5F54"/>
    <w:rsid w:val="00EA617D"/>
    <w:rsid w:val="00EA686A"/>
    <w:rsid w:val="00EA7204"/>
    <w:rsid w:val="00EA7B82"/>
    <w:rsid w:val="00EA7F5D"/>
    <w:rsid w:val="00EB000A"/>
    <w:rsid w:val="00EB01C9"/>
    <w:rsid w:val="00EB048A"/>
    <w:rsid w:val="00EB0DDF"/>
    <w:rsid w:val="00EB1927"/>
    <w:rsid w:val="00EB1FBB"/>
    <w:rsid w:val="00EB2263"/>
    <w:rsid w:val="00EB3CD5"/>
    <w:rsid w:val="00EB43F6"/>
    <w:rsid w:val="00EB4777"/>
    <w:rsid w:val="00EB5047"/>
    <w:rsid w:val="00EB518B"/>
    <w:rsid w:val="00EB51DB"/>
    <w:rsid w:val="00EB61B1"/>
    <w:rsid w:val="00EB66AE"/>
    <w:rsid w:val="00EB7CD1"/>
    <w:rsid w:val="00EB7FB8"/>
    <w:rsid w:val="00EC0014"/>
    <w:rsid w:val="00EC0418"/>
    <w:rsid w:val="00EC0A4D"/>
    <w:rsid w:val="00EC0B8F"/>
    <w:rsid w:val="00EC1088"/>
    <w:rsid w:val="00EC14CA"/>
    <w:rsid w:val="00EC1C27"/>
    <w:rsid w:val="00EC1E7C"/>
    <w:rsid w:val="00EC2312"/>
    <w:rsid w:val="00EC3D27"/>
    <w:rsid w:val="00EC3D88"/>
    <w:rsid w:val="00EC3F16"/>
    <w:rsid w:val="00EC48AF"/>
    <w:rsid w:val="00EC4D82"/>
    <w:rsid w:val="00EC5142"/>
    <w:rsid w:val="00EC561B"/>
    <w:rsid w:val="00EC68F9"/>
    <w:rsid w:val="00EC6B38"/>
    <w:rsid w:val="00EC7491"/>
    <w:rsid w:val="00EC77E8"/>
    <w:rsid w:val="00EC7E1D"/>
    <w:rsid w:val="00EC7FDF"/>
    <w:rsid w:val="00ED1330"/>
    <w:rsid w:val="00ED17D3"/>
    <w:rsid w:val="00ED19DD"/>
    <w:rsid w:val="00ED201E"/>
    <w:rsid w:val="00ED224C"/>
    <w:rsid w:val="00ED3478"/>
    <w:rsid w:val="00ED34B7"/>
    <w:rsid w:val="00ED3672"/>
    <w:rsid w:val="00ED38F1"/>
    <w:rsid w:val="00ED3974"/>
    <w:rsid w:val="00ED4E70"/>
    <w:rsid w:val="00ED5543"/>
    <w:rsid w:val="00ED5BEC"/>
    <w:rsid w:val="00ED6ACE"/>
    <w:rsid w:val="00ED6ADF"/>
    <w:rsid w:val="00ED7B6B"/>
    <w:rsid w:val="00EE0308"/>
    <w:rsid w:val="00EE043B"/>
    <w:rsid w:val="00EE047B"/>
    <w:rsid w:val="00EE1244"/>
    <w:rsid w:val="00EE182E"/>
    <w:rsid w:val="00EE1BF6"/>
    <w:rsid w:val="00EE1DEB"/>
    <w:rsid w:val="00EE21D6"/>
    <w:rsid w:val="00EE21F7"/>
    <w:rsid w:val="00EE3319"/>
    <w:rsid w:val="00EE3B6F"/>
    <w:rsid w:val="00EE415F"/>
    <w:rsid w:val="00EE44AA"/>
    <w:rsid w:val="00EE6219"/>
    <w:rsid w:val="00EE6551"/>
    <w:rsid w:val="00EE708C"/>
    <w:rsid w:val="00EE7259"/>
    <w:rsid w:val="00EE7579"/>
    <w:rsid w:val="00EE7D0B"/>
    <w:rsid w:val="00EE7E4F"/>
    <w:rsid w:val="00EF1279"/>
    <w:rsid w:val="00EF13C8"/>
    <w:rsid w:val="00EF19C3"/>
    <w:rsid w:val="00EF1E4A"/>
    <w:rsid w:val="00EF2171"/>
    <w:rsid w:val="00EF2880"/>
    <w:rsid w:val="00EF3520"/>
    <w:rsid w:val="00EF3FC6"/>
    <w:rsid w:val="00EF42DD"/>
    <w:rsid w:val="00EF47D3"/>
    <w:rsid w:val="00EF49EA"/>
    <w:rsid w:val="00EF4A9A"/>
    <w:rsid w:val="00EF4CD0"/>
    <w:rsid w:val="00EF629F"/>
    <w:rsid w:val="00EF652A"/>
    <w:rsid w:val="00EF68C2"/>
    <w:rsid w:val="00EF6F10"/>
    <w:rsid w:val="00EF6F1F"/>
    <w:rsid w:val="00EF6F65"/>
    <w:rsid w:val="00EF704C"/>
    <w:rsid w:val="00EF71CF"/>
    <w:rsid w:val="00EF72AA"/>
    <w:rsid w:val="00EF74BD"/>
    <w:rsid w:val="00EF7A35"/>
    <w:rsid w:val="00EF7B6C"/>
    <w:rsid w:val="00F0021A"/>
    <w:rsid w:val="00F003FD"/>
    <w:rsid w:val="00F00434"/>
    <w:rsid w:val="00F005EF"/>
    <w:rsid w:val="00F00896"/>
    <w:rsid w:val="00F00CCC"/>
    <w:rsid w:val="00F00D2A"/>
    <w:rsid w:val="00F01B21"/>
    <w:rsid w:val="00F02186"/>
    <w:rsid w:val="00F0239D"/>
    <w:rsid w:val="00F02AA1"/>
    <w:rsid w:val="00F03987"/>
    <w:rsid w:val="00F042C6"/>
    <w:rsid w:val="00F053E2"/>
    <w:rsid w:val="00F0541A"/>
    <w:rsid w:val="00F059FA"/>
    <w:rsid w:val="00F10441"/>
    <w:rsid w:val="00F104EF"/>
    <w:rsid w:val="00F10B3E"/>
    <w:rsid w:val="00F111E9"/>
    <w:rsid w:val="00F112F8"/>
    <w:rsid w:val="00F11335"/>
    <w:rsid w:val="00F118A2"/>
    <w:rsid w:val="00F13F86"/>
    <w:rsid w:val="00F148CA"/>
    <w:rsid w:val="00F158DC"/>
    <w:rsid w:val="00F16916"/>
    <w:rsid w:val="00F16941"/>
    <w:rsid w:val="00F175C5"/>
    <w:rsid w:val="00F20590"/>
    <w:rsid w:val="00F20781"/>
    <w:rsid w:val="00F209F4"/>
    <w:rsid w:val="00F20C6B"/>
    <w:rsid w:val="00F20F3B"/>
    <w:rsid w:val="00F221E4"/>
    <w:rsid w:val="00F22975"/>
    <w:rsid w:val="00F23708"/>
    <w:rsid w:val="00F23E8E"/>
    <w:rsid w:val="00F249EB"/>
    <w:rsid w:val="00F25862"/>
    <w:rsid w:val="00F26C9F"/>
    <w:rsid w:val="00F26DBE"/>
    <w:rsid w:val="00F27804"/>
    <w:rsid w:val="00F27B04"/>
    <w:rsid w:val="00F303AD"/>
    <w:rsid w:val="00F30F91"/>
    <w:rsid w:val="00F31090"/>
    <w:rsid w:val="00F31845"/>
    <w:rsid w:val="00F31B08"/>
    <w:rsid w:val="00F32694"/>
    <w:rsid w:val="00F3282C"/>
    <w:rsid w:val="00F32984"/>
    <w:rsid w:val="00F32CF6"/>
    <w:rsid w:val="00F32FD0"/>
    <w:rsid w:val="00F33347"/>
    <w:rsid w:val="00F3350B"/>
    <w:rsid w:val="00F3437A"/>
    <w:rsid w:val="00F35CDC"/>
    <w:rsid w:val="00F36420"/>
    <w:rsid w:val="00F366DD"/>
    <w:rsid w:val="00F36E81"/>
    <w:rsid w:val="00F3722E"/>
    <w:rsid w:val="00F373B4"/>
    <w:rsid w:val="00F374B1"/>
    <w:rsid w:val="00F37744"/>
    <w:rsid w:val="00F37DA1"/>
    <w:rsid w:val="00F41CE7"/>
    <w:rsid w:val="00F41DE3"/>
    <w:rsid w:val="00F42166"/>
    <w:rsid w:val="00F422A8"/>
    <w:rsid w:val="00F42DC2"/>
    <w:rsid w:val="00F43973"/>
    <w:rsid w:val="00F43F4A"/>
    <w:rsid w:val="00F4460D"/>
    <w:rsid w:val="00F44A01"/>
    <w:rsid w:val="00F455B9"/>
    <w:rsid w:val="00F4567E"/>
    <w:rsid w:val="00F4569D"/>
    <w:rsid w:val="00F45829"/>
    <w:rsid w:val="00F45874"/>
    <w:rsid w:val="00F46E98"/>
    <w:rsid w:val="00F47884"/>
    <w:rsid w:val="00F50DA5"/>
    <w:rsid w:val="00F510E2"/>
    <w:rsid w:val="00F51454"/>
    <w:rsid w:val="00F517F0"/>
    <w:rsid w:val="00F51F10"/>
    <w:rsid w:val="00F528F3"/>
    <w:rsid w:val="00F52FC1"/>
    <w:rsid w:val="00F53058"/>
    <w:rsid w:val="00F53BB8"/>
    <w:rsid w:val="00F53F74"/>
    <w:rsid w:val="00F5492A"/>
    <w:rsid w:val="00F55039"/>
    <w:rsid w:val="00F550D0"/>
    <w:rsid w:val="00F556AE"/>
    <w:rsid w:val="00F5575C"/>
    <w:rsid w:val="00F55C27"/>
    <w:rsid w:val="00F561C3"/>
    <w:rsid w:val="00F56F84"/>
    <w:rsid w:val="00F57081"/>
    <w:rsid w:val="00F575F4"/>
    <w:rsid w:val="00F57731"/>
    <w:rsid w:val="00F602BF"/>
    <w:rsid w:val="00F603BB"/>
    <w:rsid w:val="00F6051F"/>
    <w:rsid w:val="00F607A4"/>
    <w:rsid w:val="00F623A8"/>
    <w:rsid w:val="00F6269C"/>
    <w:rsid w:val="00F63697"/>
    <w:rsid w:val="00F63747"/>
    <w:rsid w:val="00F64CF6"/>
    <w:rsid w:val="00F64E86"/>
    <w:rsid w:val="00F654C3"/>
    <w:rsid w:val="00F65CEA"/>
    <w:rsid w:val="00F6702D"/>
    <w:rsid w:val="00F6734E"/>
    <w:rsid w:val="00F6799F"/>
    <w:rsid w:val="00F71145"/>
    <w:rsid w:val="00F71714"/>
    <w:rsid w:val="00F717B6"/>
    <w:rsid w:val="00F71C1A"/>
    <w:rsid w:val="00F71DDA"/>
    <w:rsid w:val="00F721F0"/>
    <w:rsid w:val="00F72554"/>
    <w:rsid w:val="00F7257E"/>
    <w:rsid w:val="00F73077"/>
    <w:rsid w:val="00F73B16"/>
    <w:rsid w:val="00F74468"/>
    <w:rsid w:val="00F749BA"/>
    <w:rsid w:val="00F75078"/>
    <w:rsid w:val="00F756F9"/>
    <w:rsid w:val="00F75737"/>
    <w:rsid w:val="00F760E6"/>
    <w:rsid w:val="00F76896"/>
    <w:rsid w:val="00F769DE"/>
    <w:rsid w:val="00F77125"/>
    <w:rsid w:val="00F774AD"/>
    <w:rsid w:val="00F77621"/>
    <w:rsid w:val="00F7780D"/>
    <w:rsid w:val="00F77F91"/>
    <w:rsid w:val="00F80113"/>
    <w:rsid w:val="00F801D8"/>
    <w:rsid w:val="00F801DE"/>
    <w:rsid w:val="00F80581"/>
    <w:rsid w:val="00F811D4"/>
    <w:rsid w:val="00F818D2"/>
    <w:rsid w:val="00F81A4E"/>
    <w:rsid w:val="00F82374"/>
    <w:rsid w:val="00F83590"/>
    <w:rsid w:val="00F83A26"/>
    <w:rsid w:val="00F83BF5"/>
    <w:rsid w:val="00F840D3"/>
    <w:rsid w:val="00F847B5"/>
    <w:rsid w:val="00F84FDD"/>
    <w:rsid w:val="00F866C6"/>
    <w:rsid w:val="00F86F78"/>
    <w:rsid w:val="00F8743F"/>
    <w:rsid w:val="00F87923"/>
    <w:rsid w:val="00F90447"/>
    <w:rsid w:val="00F912FA"/>
    <w:rsid w:val="00F915E6"/>
    <w:rsid w:val="00F91777"/>
    <w:rsid w:val="00F9184A"/>
    <w:rsid w:val="00F926BE"/>
    <w:rsid w:val="00F93341"/>
    <w:rsid w:val="00F933A2"/>
    <w:rsid w:val="00F93B86"/>
    <w:rsid w:val="00F95107"/>
    <w:rsid w:val="00F95406"/>
    <w:rsid w:val="00F95841"/>
    <w:rsid w:val="00F9625C"/>
    <w:rsid w:val="00F96410"/>
    <w:rsid w:val="00F96599"/>
    <w:rsid w:val="00F96A67"/>
    <w:rsid w:val="00FA0EA2"/>
    <w:rsid w:val="00FA195C"/>
    <w:rsid w:val="00FA1E2A"/>
    <w:rsid w:val="00FA2443"/>
    <w:rsid w:val="00FA2781"/>
    <w:rsid w:val="00FA2C9B"/>
    <w:rsid w:val="00FA2CC0"/>
    <w:rsid w:val="00FA3314"/>
    <w:rsid w:val="00FA3591"/>
    <w:rsid w:val="00FA38E1"/>
    <w:rsid w:val="00FA4E89"/>
    <w:rsid w:val="00FA5420"/>
    <w:rsid w:val="00FA573E"/>
    <w:rsid w:val="00FA5770"/>
    <w:rsid w:val="00FA661A"/>
    <w:rsid w:val="00FA6624"/>
    <w:rsid w:val="00FA6800"/>
    <w:rsid w:val="00FA6B69"/>
    <w:rsid w:val="00FA6FE1"/>
    <w:rsid w:val="00FA70F8"/>
    <w:rsid w:val="00FA723F"/>
    <w:rsid w:val="00FA7684"/>
    <w:rsid w:val="00FA7F15"/>
    <w:rsid w:val="00FB0802"/>
    <w:rsid w:val="00FB096E"/>
    <w:rsid w:val="00FB131E"/>
    <w:rsid w:val="00FB1566"/>
    <w:rsid w:val="00FB1ED9"/>
    <w:rsid w:val="00FB239B"/>
    <w:rsid w:val="00FB23C3"/>
    <w:rsid w:val="00FB2AF2"/>
    <w:rsid w:val="00FB3364"/>
    <w:rsid w:val="00FB43EA"/>
    <w:rsid w:val="00FB5388"/>
    <w:rsid w:val="00FB5E1C"/>
    <w:rsid w:val="00FB6699"/>
    <w:rsid w:val="00FB7D36"/>
    <w:rsid w:val="00FB7D59"/>
    <w:rsid w:val="00FC0FB7"/>
    <w:rsid w:val="00FC10F8"/>
    <w:rsid w:val="00FC12C3"/>
    <w:rsid w:val="00FC154B"/>
    <w:rsid w:val="00FC16C7"/>
    <w:rsid w:val="00FC196B"/>
    <w:rsid w:val="00FC1F0C"/>
    <w:rsid w:val="00FC2267"/>
    <w:rsid w:val="00FC2575"/>
    <w:rsid w:val="00FC2751"/>
    <w:rsid w:val="00FC3250"/>
    <w:rsid w:val="00FC32F4"/>
    <w:rsid w:val="00FC35CA"/>
    <w:rsid w:val="00FC3CDD"/>
    <w:rsid w:val="00FC40CC"/>
    <w:rsid w:val="00FC424F"/>
    <w:rsid w:val="00FC4693"/>
    <w:rsid w:val="00FC4720"/>
    <w:rsid w:val="00FC48B9"/>
    <w:rsid w:val="00FC4B2D"/>
    <w:rsid w:val="00FC5585"/>
    <w:rsid w:val="00FC57D4"/>
    <w:rsid w:val="00FC57F4"/>
    <w:rsid w:val="00FC649D"/>
    <w:rsid w:val="00FC6DF1"/>
    <w:rsid w:val="00FC73C5"/>
    <w:rsid w:val="00FC7AA8"/>
    <w:rsid w:val="00FD0F0D"/>
    <w:rsid w:val="00FD13DF"/>
    <w:rsid w:val="00FD22DB"/>
    <w:rsid w:val="00FD25A7"/>
    <w:rsid w:val="00FD2AAE"/>
    <w:rsid w:val="00FD3057"/>
    <w:rsid w:val="00FD3866"/>
    <w:rsid w:val="00FD3A91"/>
    <w:rsid w:val="00FD47D6"/>
    <w:rsid w:val="00FD50C4"/>
    <w:rsid w:val="00FD5255"/>
    <w:rsid w:val="00FD54FB"/>
    <w:rsid w:val="00FD5ABE"/>
    <w:rsid w:val="00FD6073"/>
    <w:rsid w:val="00FD64B9"/>
    <w:rsid w:val="00FD676B"/>
    <w:rsid w:val="00FE01B0"/>
    <w:rsid w:val="00FE056E"/>
    <w:rsid w:val="00FE06A3"/>
    <w:rsid w:val="00FE083F"/>
    <w:rsid w:val="00FE183A"/>
    <w:rsid w:val="00FE1921"/>
    <w:rsid w:val="00FE1ADC"/>
    <w:rsid w:val="00FE1D37"/>
    <w:rsid w:val="00FE2153"/>
    <w:rsid w:val="00FE2772"/>
    <w:rsid w:val="00FE2A72"/>
    <w:rsid w:val="00FE2C87"/>
    <w:rsid w:val="00FE2EB4"/>
    <w:rsid w:val="00FE34FD"/>
    <w:rsid w:val="00FE3A05"/>
    <w:rsid w:val="00FE3ACA"/>
    <w:rsid w:val="00FE4D2C"/>
    <w:rsid w:val="00FE5457"/>
    <w:rsid w:val="00FE5530"/>
    <w:rsid w:val="00FE5CE2"/>
    <w:rsid w:val="00FE5FA7"/>
    <w:rsid w:val="00FE60C3"/>
    <w:rsid w:val="00FE69F5"/>
    <w:rsid w:val="00FE6A8B"/>
    <w:rsid w:val="00FE6B12"/>
    <w:rsid w:val="00FE6C83"/>
    <w:rsid w:val="00FE70E1"/>
    <w:rsid w:val="00FE7762"/>
    <w:rsid w:val="00FE77DC"/>
    <w:rsid w:val="00FF140F"/>
    <w:rsid w:val="00FF1788"/>
    <w:rsid w:val="00FF1D61"/>
    <w:rsid w:val="00FF1FA9"/>
    <w:rsid w:val="00FF2123"/>
    <w:rsid w:val="00FF2739"/>
    <w:rsid w:val="00FF37E0"/>
    <w:rsid w:val="00FF4120"/>
    <w:rsid w:val="00FF469E"/>
    <w:rsid w:val="00FF577A"/>
    <w:rsid w:val="00FF7065"/>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1D89A3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4"/>
        <w:szCs w:val="24"/>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F569A"/>
    <w:rPr>
      <w:rFonts w:asciiTheme="minorHAnsi" w:hAnsiTheme="minorHAnsi"/>
    </w:rPr>
  </w:style>
  <w:style w:type="paragraph" w:styleId="Titre1">
    <w:name w:val="heading 1"/>
    <w:basedOn w:val="Normal"/>
    <w:next w:val="Normal"/>
    <w:link w:val="Titre1Car"/>
    <w:uiPriority w:val="9"/>
    <w:qFormat/>
    <w:rsid w:val="00A36BF8"/>
    <w:pPr>
      <w:keepNext/>
      <w:keepLines/>
      <w:numPr>
        <w:numId w:val="48"/>
      </w:numPr>
      <w:spacing w:before="480"/>
      <w:outlineLvl w:val="0"/>
    </w:pPr>
    <w:rPr>
      <w:rFonts w:asciiTheme="majorHAnsi" w:eastAsiaTheme="majorEastAsia" w:hAnsiTheme="majorHAnsi" w:cstheme="majorBidi"/>
      <w:b/>
      <w:bCs/>
      <w:color w:val="4A6300" w:themeColor="accent1" w:themeShade="80"/>
      <w:sz w:val="32"/>
      <w:szCs w:val="32"/>
    </w:rPr>
  </w:style>
  <w:style w:type="paragraph" w:styleId="Titre2">
    <w:name w:val="heading 2"/>
    <w:basedOn w:val="Normal"/>
    <w:next w:val="Normal"/>
    <w:link w:val="Titre2Car"/>
    <w:uiPriority w:val="9"/>
    <w:unhideWhenUsed/>
    <w:qFormat/>
    <w:rsid w:val="007B5563"/>
    <w:pPr>
      <w:keepNext/>
      <w:keepLines/>
      <w:numPr>
        <w:ilvl w:val="1"/>
        <w:numId w:val="48"/>
      </w:numPr>
      <w:spacing w:before="200"/>
      <w:outlineLvl w:val="1"/>
    </w:pPr>
    <w:rPr>
      <w:rFonts w:asciiTheme="majorHAnsi" w:eastAsiaTheme="majorEastAsia" w:hAnsiTheme="majorHAnsi" w:cstheme="majorBidi"/>
      <w:b/>
      <w:bCs/>
      <w:color w:val="6E9400" w:themeColor="accent1" w:themeShade="BF"/>
      <w:sz w:val="28"/>
      <w:szCs w:val="26"/>
    </w:rPr>
  </w:style>
  <w:style w:type="paragraph" w:styleId="Titre3">
    <w:name w:val="heading 3"/>
    <w:basedOn w:val="Normal"/>
    <w:next w:val="Normal"/>
    <w:link w:val="Titre3Car"/>
    <w:uiPriority w:val="9"/>
    <w:unhideWhenUsed/>
    <w:qFormat/>
    <w:rsid w:val="007B5563"/>
    <w:pPr>
      <w:keepNext/>
      <w:keepLines/>
      <w:numPr>
        <w:ilvl w:val="2"/>
        <w:numId w:val="48"/>
      </w:numPr>
      <w:spacing w:before="200"/>
      <w:outlineLvl w:val="2"/>
    </w:pPr>
    <w:rPr>
      <w:rFonts w:asciiTheme="majorHAnsi" w:eastAsiaTheme="majorEastAsia" w:hAnsiTheme="majorHAnsi" w:cstheme="majorBidi"/>
      <w:b/>
      <w:bCs/>
      <w:color w:val="2E2D21" w:themeColor="text2" w:themeShade="BF"/>
      <w:sz w:val="26"/>
    </w:rPr>
  </w:style>
  <w:style w:type="paragraph" w:styleId="Titre4">
    <w:name w:val="heading 4"/>
    <w:basedOn w:val="Normal"/>
    <w:next w:val="Normal"/>
    <w:link w:val="Titre4Car"/>
    <w:uiPriority w:val="9"/>
    <w:unhideWhenUsed/>
    <w:qFormat/>
    <w:rsid w:val="00403EC3"/>
    <w:pPr>
      <w:keepNext/>
      <w:keepLines/>
      <w:spacing w:before="200"/>
      <w:outlineLvl w:val="3"/>
    </w:pPr>
    <w:rPr>
      <w:rFonts w:asciiTheme="majorHAnsi" w:eastAsiaTheme="majorEastAsia" w:hAnsiTheme="majorHAnsi" w:cstheme="majorBidi"/>
      <w:b/>
      <w:bCs/>
      <w:i/>
      <w:iCs/>
      <w:color w:val="94C600" w:themeColor="accent1"/>
    </w:rPr>
  </w:style>
  <w:style w:type="paragraph" w:styleId="Titre5">
    <w:name w:val="heading 5"/>
    <w:basedOn w:val="Normal"/>
    <w:next w:val="Normal"/>
    <w:link w:val="Titre5Car"/>
    <w:uiPriority w:val="9"/>
    <w:unhideWhenUsed/>
    <w:qFormat/>
    <w:rsid w:val="007B5563"/>
    <w:pPr>
      <w:keepNext/>
      <w:keepLines/>
      <w:numPr>
        <w:ilvl w:val="4"/>
        <w:numId w:val="48"/>
      </w:numPr>
      <w:spacing w:before="200"/>
      <w:outlineLvl w:val="4"/>
    </w:pPr>
    <w:rPr>
      <w:rFonts w:asciiTheme="majorHAnsi" w:eastAsiaTheme="majorEastAsia" w:hAnsiTheme="majorHAnsi" w:cstheme="majorBidi"/>
      <w:color w:val="496200" w:themeColor="accent1" w:themeShade="7F"/>
      <w:sz w:val="26"/>
    </w:rPr>
  </w:style>
  <w:style w:type="paragraph" w:styleId="Titre6">
    <w:name w:val="heading 6"/>
    <w:basedOn w:val="Normal"/>
    <w:next w:val="Normal"/>
    <w:link w:val="Titre6Car"/>
    <w:uiPriority w:val="9"/>
    <w:unhideWhenUsed/>
    <w:qFormat/>
    <w:rsid w:val="00403EC3"/>
    <w:pPr>
      <w:keepNext/>
      <w:keepLines/>
      <w:numPr>
        <w:ilvl w:val="5"/>
        <w:numId w:val="48"/>
      </w:numPr>
      <w:spacing w:before="200"/>
      <w:outlineLvl w:val="5"/>
    </w:pPr>
    <w:rPr>
      <w:rFonts w:asciiTheme="majorHAnsi" w:eastAsiaTheme="majorEastAsia" w:hAnsiTheme="majorHAnsi" w:cstheme="majorBidi"/>
      <w:i/>
      <w:iCs/>
      <w:color w:val="496200" w:themeColor="accent1" w:themeShade="7F"/>
    </w:rPr>
  </w:style>
  <w:style w:type="paragraph" w:styleId="Titre7">
    <w:name w:val="heading 7"/>
    <w:basedOn w:val="Normal"/>
    <w:next w:val="Normal"/>
    <w:link w:val="Titre7Car"/>
    <w:uiPriority w:val="9"/>
    <w:unhideWhenUsed/>
    <w:qFormat/>
    <w:rsid w:val="00403EC3"/>
    <w:pPr>
      <w:keepNext/>
      <w:keepLines/>
      <w:numPr>
        <w:ilvl w:val="6"/>
        <w:numId w:val="48"/>
      </w:numPr>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unhideWhenUsed/>
    <w:qFormat/>
    <w:rsid w:val="00403EC3"/>
    <w:pPr>
      <w:keepNext/>
      <w:keepLines/>
      <w:numPr>
        <w:ilvl w:val="7"/>
        <w:numId w:val="48"/>
      </w:numPr>
      <w:spacing w:before="20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2256F1"/>
    <w:pPr>
      <w:keepNext/>
      <w:keepLines/>
      <w:numPr>
        <w:ilvl w:val="8"/>
        <w:numId w:val="48"/>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414B4"/>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414B4"/>
    <w:rPr>
      <w:rFonts w:ascii="Lucida Grande" w:eastAsia="Arial" w:hAnsi="Lucida Grande" w:cs="Lucida Grande"/>
      <w:sz w:val="18"/>
      <w:szCs w:val="18"/>
      <w:lang w:val="fr-CA"/>
    </w:rPr>
  </w:style>
  <w:style w:type="character" w:customStyle="1" w:styleId="Titre1Car">
    <w:name w:val="Titre 1 Car"/>
    <w:basedOn w:val="Policepardfaut"/>
    <w:link w:val="Titre1"/>
    <w:uiPriority w:val="9"/>
    <w:rsid w:val="00A36BF8"/>
    <w:rPr>
      <w:rFonts w:asciiTheme="majorHAnsi" w:eastAsiaTheme="majorEastAsia" w:hAnsiTheme="majorHAnsi" w:cstheme="majorBidi"/>
      <w:b/>
      <w:bCs/>
      <w:color w:val="4A6300" w:themeColor="accent1" w:themeShade="80"/>
      <w:sz w:val="32"/>
      <w:szCs w:val="32"/>
    </w:rPr>
  </w:style>
  <w:style w:type="paragraph" w:styleId="Sous-titre">
    <w:name w:val="Subtitle"/>
    <w:basedOn w:val="Normal"/>
    <w:next w:val="Normal"/>
    <w:link w:val="Sous-titreCar"/>
    <w:uiPriority w:val="11"/>
    <w:qFormat/>
    <w:rsid w:val="0083426E"/>
    <w:pPr>
      <w:numPr>
        <w:ilvl w:val="1"/>
      </w:numPr>
    </w:pPr>
    <w:rPr>
      <w:rFonts w:asciiTheme="majorHAnsi" w:eastAsiaTheme="majorEastAsia" w:hAnsiTheme="majorHAnsi" w:cstheme="majorBidi"/>
      <w:i/>
      <w:iCs/>
      <w:color w:val="94C600" w:themeColor="accent1"/>
      <w:spacing w:val="15"/>
    </w:rPr>
  </w:style>
  <w:style w:type="character" w:customStyle="1" w:styleId="Sous-titreCar">
    <w:name w:val="Sous-titre Car"/>
    <w:basedOn w:val="Policepardfaut"/>
    <w:link w:val="Sous-titre"/>
    <w:uiPriority w:val="11"/>
    <w:rsid w:val="0083426E"/>
    <w:rPr>
      <w:rFonts w:asciiTheme="majorHAnsi" w:eastAsiaTheme="majorEastAsia" w:hAnsiTheme="majorHAnsi" w:cstheme="majorBidi"/>
      <w:i/>
      <w:iCs/>
      <w:color w:val="94C600" w:themeColor="accent1"/>
      <w:spacing w:val="15"/>
    </w:rPr>
  </w:style>
  <w:style w:type="character" w:customStyle="1" w:styleId="Titre2Car">
    <w:name w:val="Titre 2 Car"/>
    <w:basedOn w:val="Policepardfaut"/>
    <w:link w:val="Titre2"/>
    <w:uiPriority w:val="9"/>
    <w:rsid w:val="007B5563"/>
    <w:rPr>
      <w:rFonts w:asciiTheme="majorHAnsi" w:eastAsiaTheme="majorEastAsia" w:hAnsiTheme="majorHAnsi" w:cstheme="majorBidi"/>
      <w:b/>
      <w:bCs/>
      <w:color w:val="6E9400" w:themeColor="accent1" w:themeShade="BF"/>
      <w:sz w:val="28"/>
      <w:szCs w:val="26"/>
    </w:rPr>
  </w:style>
  <w:style w:type="paragraph" w:styleId="TM1">
    <w:name w:val="toc 1"/>
    <w:basedOn w:val="Titre1"/>
    <w:next w:val="Normal"/>
    <w:autoRedefine/>
    <w:uiPriority w:val="39"/>
    <w:unhideWhenUsed/>
    <w:rsid w:val="0083426E"/>
    <w:pPr>
      <w:keepNext w:val="0"/>
      <w:keepLines w:val="0"/>
      <w:numPr>
        <w:numId w:val="0"/>
      </w:numPr>
      <w:spacing w:before="120"/>
      <w:outlineLvl w:val="9"/>
    </w:pPr>
    <w:rPr>
      <w:rFonts w:asciiTheme="minorHAnsi" w:eastAsiaTheme="minorEastAsia" w:hAnsiTheme="minorHAnsi" w:cs="Times New Roman"/>
      <w:bCs w:val="0"/>
      <w:color w:val="auto"/>
      <w:sz w:val="22"/>
      <w:szCs w:val="22"/>
    </w:rPr>
  </w:style>
  <w:style w:type="paragraph" w:styleId="TM2">
    <w:name w:val="toc 2"/>
    <w:basedOn w:val="Titre2"/>
    <w:next w:val="Normal"/>
    <w:autoRedefine/>
    <w:uiPriority w:val="39"/>
    <w:unhideWhenUsed/>
    <w:rsid w:val="0083426E"/>
    <w:pPr>
      <w:keepNext w:val="0"/>
      <w:keepLines w:val="0"/>
      <w:numPr>
        <w:ilvl w:val="0"/>
        <w:numId w:val="0"/>
      </w:numPr>
      <w:spacing w:before="0"/>
      <w:ind w:left="240"/>
      <w:outlineLvl w:val="9"/>
    </w:pPr>
    <w:rPr>
      <w:rFonts w:asciiTheme="minorHAnsi" w:eastAsiaTheme="minorEastAsia" w:hAnsiTheme="minorHAnsi" w:cs="Times New Roman"/>
      <w:b w:val="0"/>
      <w:bCs w:val="0"/>
      <w:i/>
      <w:color w:val="auto"/>
      <w:sz w:val="22"/>
      <w:szCs w:val="22"/>
    </w:rPr>
  </w:style>
  <w:style w:type="paragraph" w:styleId="TM3">
    <w:name w:val="toc 3"/>
    <w:basedOn w:val="Titre3"/>
    <w:next w:val="Normal"/>
    <w:autoRedefine/>
    <w:uiPriority w:val="39"/>
    <w:unhideWhenUsed/>
    <w:rsid w:val="0083426E"/>
    <w:pPr>
      <w:keepNext w:val="0"/>
      <w:keepLines w:val="0"/>
      <w:numPr>
        <w:ilvl w:val="0"/>
        <w:numId w:val="0"/>
      </w:numPr>
      <w:spacing w:before="0"/>
      <w:ind w:left="480"/>
      <w:outlineLvl w:val="9"/>
    </w:pPr>
    <w:rPr>
      <w:rFonts w:asciiTheme="minorHAnsi" w:eastAsiaTheme="minorEastAsia" w:hAnsiTheme="minorHAnsi" w:cs="Times New Roman"/>
      <w:b w:val="0"/>
      <w:bCs w:val="0"/>
      <w:color w:val="auto"/>
      <w:sz w:val="22"/>
      <w:szCs w:val="22"/>
    </w:rPr>
  </w:style>
  <w:style w:type="paragraph" w:styleId="TM4">
    <w:name w:val="toc 4"/>
    <w:basedOn w:val="Titre4"/>
    <w:next w:val="Normal"/>
    <w:autoRedefine/>
    <w:uiPriority w:val="39"/>
    <w:unhideWhenUsed/>
    <w:rsid w:val="0083426E"/>
    <w:pPr>
      <w:keepNext w:val="0"/>
      <w:keepLines w:val="0"/>
      <w:spacing w:before="0"/>
      <w:ind w:left="720"/>
      <w:outlineLvl w:val="9"/>
    </w:pPr>
    <w:rPr>
      <w:rFonts w:asciiTheme="minorHAnsi" w:eastAsiaTheme="minorEastAsia" w:hAnsiTheme="minorHAnsi" w:cs="Times New Roman"/>
      <w:b w:val="0"/>
      <w:bCs w:val="0"/>
      <w:i w:val="0"/>
      <w:iCs w:val="0"/>
      <w:color w:val="auto"/>
      <w:sz w:val="20"/>
      <w:szCs w:val="20"/>
    </w:rPr>
  </w:style>
  <w:style w:type="paragraph" w:styleId="TM5">
    <w:name w:val="toc 5"/>
    <w:basedOn w:val="Titre5"/>
    <w:next w:val="Normal"/>
    <w:autoRedefine/>
    <w:uiPriority w:val="39"/>
    <w:unhideWhenUsed/>
    <w:rsid w:val="0083426E"/>
    <w:pPr>
      <w:keepNext w:val="0"/>
      <w:keepLines w:val="0"/>
      <w:numPr>
        <w:ilvl w:val="0"/>
        <w:numId w:val="0"/>
      </w:numPr>
      <w:spacing w:before="0"/>
      <w:ind w:left="960"/>
      <w:outlineLvl w:val="9"/>
    </w:pPr>
    <w:rPr>
      <w:rFonts w:asciiTheme="minorHAnsi" w:eastAsiaTheme="minorEastAsia" w:hAnsiTheme="minorHAnsi" w:cs="Times New Roman"/>
      <w:color w:val="auto"/>
      <w:sz w:val="20"/>
      <w:szCs w:val="20"/>
    </w:rPr>
  </w:style>
  <w:style w:type="paragraph" w:styleId="TM6">
    <w:name w:val="toc 6"/>
    <w:basedOn w:val="Normal"/>
    <w:next w:val="Normal"/>
    <w:autoRedefine/>
    <w:uiPriority w:val="39"/>
    <w:unhideWhenUsed/>
    <w:rsid w:val="0083426E"/>
    <w:pPr>
      <w:ind w:left="1200"/>
    </w:pPr>
    <w:rPr>
      <w:sz w:val="20"/>
      <w:szCs w:val="20"/>
    </w:rPr>
  </w:style>
  <w:style w:type="paragraph" w:styleId="TM7">
    <w:name w:val="toc 7"/>
    <w:basedOn w:val="Normal"/>
    <w:next w:val="Normal"/>
    <w:autoRedefine/>
    <w:uiPriority w:val="39"/>
    <w:unhideWhenUsed/>
    <w:rsid w:val="0083426E"/>
    <w:pPr>
      <w:ind w:left="1440"/>
    </w:pPr>
    <w:rPr>
      <w:sz w:val="20"/>
      <w:szCs w:val="20"/>
    </w:rPr>
  </w:style>
  <w:style w:type="paragraph" w:styleId="TM8">
    <w:name w:val="toc 8"/>
    <w:basedOn w:val="Normal"/>
    <w:next w:val="Normal"/>
    <w:autoRedefine/>
    <w:uiPriority w:val="39"/>
    <w:unhideWhenUsed/>
    <w:rsid w:val="0083426E"/>
    <w:pPr>
      <w:ind w:left="1680"/>
    </w:pPr>
    <w:rPr>
      <w:sz w:val="20"/>
      <w:szCs w:val="20"/>
    </w:rPr>
  </w:style>
  <w:style w:type="paragraph" w:styleId="TM9">
    <w:name w:val="toc 9"/>
    <w:basedOn w:val="Normal"/>
    <w:next w:val="Normal"/>
    <w:autoRedefine/>
    <w:uiPriority w:val="39"/>
    <w:unhideWhenUsed/>
    <w:rsid w:val="0083426E"/>
    <w:pPr>
      <w:ind w:left="1920"/>
    </w:pPr>
    <w:rPr>
      <w:sz w:val="20"/>
      <w:szCs w:val="20"/>
    </w:rPr>
  </w:style>
  <w:style w:type="character" w:customStyle="1" w:styleId="Titre3Car">
    <w:name w:val="Titre 3 Car"/>
    <w:basedOn w:val="Policepardfaut"/>
    <w:link w:val="Titre3"/>
    <w:uiPriority w:val="9"/>
    <w:rsid w:val="007B5563"/>
    <w:rPr>
      <w:rFonts w:asciiTheme="majorHAnsi" w:eastAsiaTheme="majorEastAsia" w:hAnsiTheme="majorHAnsi" w:cstheme="majorBidi"/>
      <w:b/>
      <w:bCs/>
      <w:color w:val="2E2D21" w:themeColor="text2" w:themeShade="BF"/>
      <w:sz w:val="26"/>
    </w:rPr>
  </w:style>
  <w:style w:type="character" w:customStyle="1" w:styleId="Titre4Car">
    <w:name w:val="Titre 4 Car"/>
    <w:basedOn w:val="Policepardfaut"/>
    <w:link w:val="Titre4"/>
    <w:uiPriority w:val="9"/>
    <w:rsid w:val="00403EC3"/>
    <w:rPr>
      <w:rFonts w:asciiTheme="majorHAnsi" w:eastAsiaTheme="majorEastAsia" w:hAnsiTheme="majorHAnsi" w:cstheme="majorBidi"/>
      <w:b/>
      <w:bCs/>
      <w:i/>
      <w:iCs/>
      <w:color w:val="94C600" w:themeColor="accent1"/>
    </w:rPr>
  </w:style>
  <w:style w:type="character" w:customStyle="1" w:styleId="Titre5Car">
    <w:name w:val="Titre 5 Car"/>
    <w:basedOn w:val="Policepardfaut"/>
    <w:link w:val="Titre5"/>
    <w:uiPriority w:val="9"/>
    <w:rsid w:val="007B5563"/>
    <w:rPr>
      <w:rFonts w:asciiTheme="majorHAnsi" w:eastAsiaTheme="majorEastAsia" w:hAnsiTheme="majorHAnsi" w:cstheme="majorBidi"/>
      <w:color w:val="496200" w:themeColor="accent1" w:themeShade="7F"/>
      <w:sz w:val="26"/>
    </w:rPr>
  </w:style>
  <w:style w:type="character" w:customStyle="1" w:styleId="Titre6Car">
    <w:name w:val="Titre 6 Car"/>
    <w:basedOn w:val="Policepardfaut"/>
    <w:link w:val="Titre6"/>
    <w:uiPriority w:val="9"/>
    <w:rsid w:val="00403EC3"/>
    <w:rPr>
      <w:rFonts w:asciiTheme="majorHAnsi" w:eastAsiaTheme="majorEastAsia" w:hAnsiTheme="majorHAnsi" w:cstheme="majorBidi"/>
      <w:i/>
      <w:iCs/>
      <w:color w:val="496200" w:themeColor="accent1" w:themeShade="7F"/>
    </w:rPr>
  </w:style>
  <w:style w:type="character" w:customStyle="1" w:styleId="Titre7Car">
    <w:name w:val="Titre 7 Car"/>
    <w:basedOn w:val="Policepardfaut"/>
    <w:link w:val="Titre7"/>
    <w:uiPriority w:val="9"/>
    <w:rsid w:val="00403EC3"/>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rsid w:val="00403EC3"/>
    <w:rPr>
      <w:rFonts w:asciiTheme="majorHAnsi" w:eastAsiaTheme="majorEastAsia" w:hAnsiTheme="majorHAnsi" w:cstheme="majorBidi"/>
      <w:color w:val="404040" w:themeColor="text1" w:themeTint="BF"/>
      <w:sz w:val="20"/>
      <w:szCs w:val="20"/>
    </w:rPr>
  </w:style>
  <w:style w:type="paragraph" w:styleId="Titre">
    <w:name w:val="Title"/>
    <w:basedOn w:val="Normal"/>
    <w:next w:val="Normal"/>
    <w:link w:val="TitreCar"/>
    <w:uiPriority w:val="10"/>
    <w:qFormat/>
    <w:rsid w:val="005233D5"/>
    <w:pPr>
      <w:pBdr>
        <w:bottom w:val="single" w:sz="8" w:space="4" w:color="94C600" w:themeColor="accent1"/>
      </w:pBdr>
      <w:spacing w:after="300"/>
      <w:contextualSpacing/>
    </w:pPr>
    <w:rPr>
      <w:rFonts w:asciiTheme="majorHAnsi" w:eastAsiaTheme="majorEastAsia" w:hAnsiTheme="majorHAnsi" w:cstheme="majorBidi"/>
      <w:color w:val="2E2D21" w:themeColor="text2" w:themeShade="BF"/>
      <w:spacing w:val="5"/>
      <w:kern w:val="28"/>
      <w:sz w:val="52"/>
      <w:szCs w:val="52"/>
    </w:rPr>
  </w:style>
  <w:style w:type="character" w:customStyle="1" w:styleId="TitreCar">
    <w:name w:val="Titre Car"/>
    <w:basedOn w:val="Policepardfaut"/>
    <w:link w:val="Titre"/>
    <w:uiPriority w:val="10"/>
    <w:rsid w:val="005233D5"/>
    <w:rPr>
      <w:rFonts w:asciiTheme="majorHAnsi" w:eastAsiaTheme="majorEastAsia" w:hAnsiTheme="majorHAnsi" w:cstheme="majorBidi"/>
      <w:color w:val="2E2D21" w:themeColor="text2" w:themeShade="BF"/>
      <w:spacing w:val="5"/>
      <w:kern w:val="28"/>
      <w:sz w:val="52"/>
      <w:szCs w:val="52"/>
    </w:rPr>
  </w:style>
  <w:style w:type="paragraph" w:styleId="Paragraphedeliste">
    <w:name w:val="List Paragraph"/>
    <w:basedOn w:val="Normal"/>
    <w:uiPriority w:val="34"/>
    <w:qFormat/>
    <w:rsid w:val="00A36BF8"/>
    <w:pPr>
      <w:ind w:left="720"/>
      <w:contextualSpacing/>
    </w:pPr>
  </w:style>
  <w:style w:type="character" w:styleId="lev">
    <w:name w:val="Strong"/>
    <w:basedOn w:val="Policepardfaut"/>
    <w:uiPriority w:val="22"/>
    <w:qFormat/>
    <w:rsid w:val="009555DF"/>
    <w:rPr>
      <w:b/>
      <w:bCs/>
    </w:rPr>
  </w:style>
  <w:style w:type="paragraph" w:styleId="Pieddepage">
    <w:name w:val="footer"/>
    <w:basedOn w:val="Normal"/>
    <w:link w:val="PieddepageCar"/>
    <w:uiPriority w:val="99"/>
    <w:unhideWhenUsed/>
    <w:rsid w:val="00C05621"/>
    <w:pPr>
      <w:tabs>
        <w:tab w:val="center" w:pos="4536"/>
        <w:tab w:val="right" w:pos="9072"/>
      </w:tabs>
    </w:pPr>
  </w:style>
  <w:style w:type="character" w:customStyle="1" w:styleId="PieddepageCar">
    <w:name w:val="Pied de page Car"/>
    <w:basedOn w:val="Policepardfaut"/>
    <w:link w:val="Pieddepage"/>
    <w:uiPriority w:val="99"/>
    <w:rsid w:val="00C05621"/>
  </w:style>
  <w:style w:type="character" w:styleId="Numrodepage">
    <w:name w:val="page number"/>
    <w:basedOn w:val="Policepardfaut"/>
    <w:uiPriority w:val="99"/>
    <w:semiHidden/>
    <w:unhideWhenUsed/>
    <w:rsid w:val="00C05621"/>
  </w:style>
  <w:style w:type="paragraph" w:styleId="En-tte">
    <w:name w:val="header"/>
    <w:basedOn w:val="Normal"/>
    <w:link w:val="En-tteCar"/>
    <w:uiPriority w:val="99"/>
    <w:unhideWhenUsed/>
    <w:rsid w:val="00C05621"/>
    <w:pPr>
      <w:tabs>
        <w:tab w:val="center" w:pos="4536"/>
        <w:tab w:val="right" w:pos="9072"/>
      </w:tabs>
    </w:pPr>
  </w:style>
  <w:style w:type="character" w:customStyle="1" w:styleId="En-tteCar">
    <w:name w:val="En-tête Car"/>
    <w:basedOn w:val="Policepardfaut"/>
    <w:link w:val="En-tte"/>
    <w:uiPriority w:val="99"/>
    <w:rsid w:val="00C05621"/>
  </w:style>
  <w:style w:type="character" w:styleId="Lienhypertexte">
    <w:name w:val="Hyperlink"/>
    <w:basedOn w:val="Policepardfaut"/>
    <w:uiPriority w:val="99"/>
    <w:unhideWhenUsed/>
    <w:rsid w:val="007F03C5"/>
    <w:rPr>
      <w:color w:val="E68200" w:themeColor="hyperlink"/>
      <w:u w:val="single"/>
    </w:rPr>
  </w:style>
  <w:style w:type="table" w:styleId="Grille">
    <w:name w:val="Table Grid"/>
    <w:basedOn w:val="TableauNormal"/>
    <w:uiPriority w:val="59"/>
    <w:rsid w:val="006C6D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eclaire-Accent1">
    <w:name w:val="Light List Accent 1"/>
    <w:basedOn w:val="TableauNormal"/>
    <w:uiPriority w:val="61"/>
    <w:rsid w:val="006C6DD5"/>
    <w:tblPr>
      <w:tblStyleRowBandSize w:val="1"/>
      <w:tblStyleColBandSize w:val="1"/>
      <w:tblInd w:w="0" w:type="dxa"/>
      <w:tblBorders>
        <w:top w:val="single" w:sz="8" w:space="0" w:color="94C600" w:themeColor="accent1"/>
        <w:left w:val="single" w:sz="8" w:space="0" w:color="94C600" w:themeColor="accent1"/>
        <w:bottom w:val="single" w:sz="8" w:space="0" w:color="94C600" w:themeColor="accent1"/>
        <w:right w:val="single" w:sz="8" w:space="0" w:color="94C60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4C600" w:themeFill="accent1"/>
      </w:tcPr>
    </w:tblStylePr>
    <w:tblStylePr w:type="lastRow">
      <w:pPr>
        <w:spacing w:before="0" w:after="0" w:line="240" w:lineRule="auto"/>
      </w:pPr>
      <w:rPr>
        <w:b/>
        <w:bCs/>
      </w:rPr>
      <w:tblPr/>
      <w:tcPr>
        <w:tcBorders>
          <w:top w:val="double" w:sz="6" w:space="0" w:color="94C600" w:themeColor="accent1"/>
          <w:left w:val="single" w:sz="8" w:space="0" w:color="94C600" w:themeColor="accent1"/>
          <w:bottom w:val="single" w:sz="8" w:space="0" w:color="94C600" w:themeColor="accent1"/>
          <w:right w:val="single" w:sz="8" w:space="0" w:color="94C600" w:themeColor="accent1"/>
        </w:tcBorders>
      </w:tcPr>
    </w:tblStylePr>
    <w:tblStylePr w:type="firstCol">
      <w:rPr>
        <w:b/>
        <w:bCs/>
      </w:rPr>
    </w:tblStylePr>
    <w:tblStylePr w:type="lastCol">
      <w:rPr>
        <w:b/>
        <w:bCs/>
      </w:rPr>
    </w:tblStylePr>
    <w:tblStylePr w:type="band1Vert">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tblStylePr w:type="band1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style>
  <w:style w:type="table" w:styleId="Grilleclaire-Accent1">
    <w:name w:val="Light Grid Accent 1"/>
    <w:basedOn w:val="TableauNormal"/>
    <w:uiPriority w:val="62"/>
    <w:rsid w:val="006C6DD5"/>
    <w:tblPr>
      <w:tblStyleRowBandSize w:val="1"/>
      <w:tblStyleColBandSize w:val="1"/>
      <w:tblInd w:w="0" w:type="dxa"/>
      <w:tblBorders>
        <w:top w:val="single" w:sz="8" w:space="0" w:color="94C600" w:themeColor="accent1"/>
        <w:left w:val="single" w:sz="8" w:space="0" w:color="94C600" w:themeColor="accent1"/>
        <w:bottom w:val="single" w:sz="8" w:space="0" w:color="94C600" w:themeColor="accent1"/>
        <w:right w:val="single" w:sz="8" w:space="0" w:color="94C600" w:themeColor="accent1"/>
        <w:insideH w:val="single" w:sz="8" w:space="0" w:color="94C600" w:themeColor="accent1"/>
        <w:insideV w:val="single" w:sz="8" w:space="0" w:color="94C600"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4C600" w:themeColor="accent1"/>
          <w:left w:val="single" w:sz="8" w:space="0" w:color="94C600" w:themeColor="accent1"/>
          <w:bottom w:val="single" w:sz="18" w:space="0" w:color="94C600" w:themeColor="accent1"/>
          <w:right w:val="single" w:sz="8" w:space="0" w:color="94C600" w:themeColor="accent1"/>
          <w:insideH w:val="nil"/>
          <w:insideV w:val="single" w:sz="8" w:space="0" w:color="94C60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4C600" w:themeColor="accent1"/>
          <w:left w:val="single" w:sz="8" w:space="0" w:color="94C600" w:themeColor="accent1"/>
          <w:bottom w:val="single" w:sz="8" w:space="0" w:color="94C600" w:themeColor="accent1"/>
          <w:right w:val="single" w:sz="8" w:space="0" w:color="94C600" w:themeColor="accent1"/>
          <w:insideH w:val="nil"/>
          <w:insideV w:val="single" w:sz="8" w:space="0" w:color="94C60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tblStylePr w:type="band1Vert">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shd w:val="clear" w:color="auto" w:fill="EBFFB1" w:themeFill="accent1" w:themeFillTint="3F"/>
      </w:tcPr>
    </w:tblStylePr>
    <w:tblStylePr w:type="band1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insideV w:val="single" w:sz="8" w:space="0" w:color="94C600" w:themeColor="accent1"/>
        </w:tcBorders>
        <w:shd w:val="clear" w:color="auto" w:fill="EBFFB1" w:themeFill="accent1" w:themeFillTint="3F"/>
      </w:tcPr>
    </w:tblStylePr>
    <w:tblStylePr w:type="band2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insideV w:val="single" w:sz="8" w:space="0" w:color="94C600" w:themeColor="accent1"/>
        </w:tcBorders>
      </w:tcPr>
    </w:tblStylePr>
  </w:style>
  <w:style w:type="table" w:styleId="Trameclaire-Accent1">
    <w:name w:val="Light Shading Accent 1"/>
    <w:basedOn w:val="TableauNormal"/>
    <w:uiPriority w:val="60"/>
    <w:rsid w:val="006C6DD5"/>
    <w:rPr>
      <w:color w:val="6E9400" w:themeColor="accent1" w:themeShade="BF"/>
    </w:rPr>
    <w:tblPr>
      <w:tblStyleRowBandSize w:val="1"/>
      <w:tblStyleColBandSize w:val="1"/>
      <w:tblInd w:w="0" w:type="dxa"/>
      <w:tblBorders>
        <w:top w:val="single" w:sz="8" w:space="0" w:color="94C600" w:themeColor="accent1"/>
        <w:bottom w:val="single" w:sz="8" w:space="0" w:color="94C600"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la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left w:val="nil"/>
          <w:right w:val="nil"/>
          <w:insideH w:val="nil"/>
          <w:insideV w:val="nil"/>
        </w:tcBorders>
        <w:shd w:val="clear" w:color="auto" w:fill="EBFFB1" w:themeFill="accent1" w:themeFillTint="3F"/>
      </w:tcPr>
    </w:tblStylePr>
  </w:style>
  <w:style w:type="table" w:styleId="Tramemoyenne1-Accent3">
    <w:name w:val="Medium Shading 1 Accent 3"/>
    <w:basedOn w:val="TableauNormal"/>
    <w:uiPriority w:val="63"/>
    <w:rsid w:val="006669D6"/>
    <w:tblPr>
      <w:tblStyleRowBandSize w:val="1"/>
      <w:tblStyleColBandSize w:val="1"/>
      <w:tblInd w:w="0" w:type="dxa"/>
      <w:tbl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single" w:sz="8" w:space="0" w:color="FF8D40"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nil"/>
          <w:insideV w:val="nil"/>
        </w:tcBorders>
        <w:shd w:val="clear" w:color="auto" w:fill="FF6700" w:themeFill="accent3"/>
      </w:tcPr>
    </w:tblStylePr>
    <w:tblStylePr w:type="lastRow">
      <w:pPr>
        <w:spacing w:before="0" w:after="0" w:line="240" w:lineRule="auto"/>
      </w:pPr>
      <w:rPr>
        <w:b/>
        <w:bCs/>
      </w:rPr>
      <w:tblPr/>
      <w:tcPr>
        <w:tcBorders>
          <w:top w:val="double" w:sz="6"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nil"/>
          <w:insideV w:val="nil"/>
        </w:tcBorders>
      </w:tcPr>
    </w:tblStylePr>
    <w:tblStylePr w:type="firstCol">
      <w:rPr>
        <w:b/>
        <w:bCs/>
      </w:rPr>
    </w:tblStylePr>
    <w:tblStylePr w:type="lastCol">
      <w:rPr>
        <w:b/>
        <w:bCs/>
      </w:rPr>
    </w:tblStylePr>
    <w:tblStylePr w:type="band1Vert">
      <w:tblPr/>
      <w:tcPr>
        <w:shd w:val="clear" w:color="auto" w:fill="FFD9C0" w:themeFill="accent3" w:themeFillTint="3F"/>
      </w:tcPr>
    </w:tblStylePr>
    <w:tblStylePr w:type="band1Horz">
      <w:tblPr/>
      <w:tcPr>
        <w:tcBorders>
          <w:insideH w:val="nil"/>
          <w:insideV w:val="nil"/>
        </w:tcBorders>
        <w:shd w:val="clear" w:color="auto" w:fill="FFD9C0" w:themeFill="accent3" w:themeFillTint="3F"/>
      </w:tcPr>
    </w:tblStylePr>
    <w:tblStylePr w:type="band2Horz">
      <w:tblPr/>
      <w:tcPr>
        <w:tcBorders>
          <w:insideH w:val="nil"/>
          <w:insideV w:val="nil"/>
        </w:tcBorders>
      </w:tcPr>
    </w:tblStylePr>
  </w:style>
  <w:style w:type="table" w:styleId="Tramemoyenne2-Accent4">
    <w:name w:val="Medium Shading 2 Accent 4"/>
    <w:basedOn w:val="TableauNormal"/>
    <w:uiPriority w:val="64"/>
    <w:rsid w:val="006669D6"/>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0946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09465" w:themeFill="accent4"/>
      </w:tcPr>
    </w:tblStylePr>
    <w:tblStylePr w:type="lastCol">
      <w:rPr>
        <w:b/>
        <w:bCs/>
        <w:color w:val="FFFFFF" w:themeColor="background1"/>
      </w:rPr>
      <w:tblPr/>
      <w:tcPr>
        <w:tcBorders>
          <w:left w:val="nil"/>
          <w:right w:val="nil"/>
          <w:insideH w:val="nil"/>
          <w:insideV w:val="nil"/>
        </w:tcBorders>
        <w:shd w:val="clear" w:color="auto" w:fill="90946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3">
    <w:name w:val="Medium List 2 Accent 3"/>
    <w:basedOn w:val="TableauNormal"/>
    <w:uiPriority w:val="66"/>
    <w:rsid w:val="006669D6"/>
    <w:rPr>
      <w:rFonts w:asciiTheme="majorHAnsi" w:eastAsiaTheme="majorEastAsia" w:hAnsiTheme="majorHAnsi" w:cstheme="majorBidi"/>
      <w:color w:val="000000" w:themeColor="text1"/>
    </w:rPr>
    <w:tblPr>
      <w:tblStyleRowBandSize w:val="1"/>
      <w:tblStyleColBandSize w:val="1"/>
      <w:tblInd w:w="0" w:type="dxa"/>
      <w:tblBorders>
        <w:top w:val="single" w:sz="8" w:space="0" w:color="FF6700" w:themeColor="accent3"/>
        <w:left w:val="single" w:sz="8" w:space="0" w:color="FF6700" w:themeColor="accent3"/>
        <w:bottom w:val="single" w:sz="8" w:space="0" w:color="FF6700" w:themeColor="accent3"/>
        <w:right w:val="single" w:sz="8" w:space="0" w:color="FF6700"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FF6700" w:themeColor="accent3"/>
          <w:right w:val="nil"/>
          <w:insideH w:val="nil"/>
          <w:insideV w:val="nil"/>
        </w:tcBorders>
        <w:shd w:val="clear" w:color="auto" w:fill="FFFFFF" w:themeFill="background1"/>
      </w:tcPr>
    </w:tblStylePr>
    <w:tblStylePr w:type="lastRow">
      <w:tblPr/>
      <w:tcPr>
        <w:tcBorders>
          <w:top w:val="single" w:sz="8" w:space="0" w:color="FF670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6700" w:themeColor="accent3"/>
          <w:insideH w:val="nil"/>
          <w:insideV w:val="nil"/>
        </w:tcBorders>
        <w:shd w:val="clear" w:color="auto" w:fill="FFFFFF" w:themeFill="background1"/>
      </w:tcPr>
    </w:tblStylePr>
    <w:tblStylePr w:type="lastCol">
      <w:tblPr/>
      <w:tcPr>
        <w:tcBorders>
          <w:top w:val="nil"/>
          <w:left w:val="single" w:sz="8" w:space="0" w:color="FF670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D9C0" w:themeFill="accent3" w:themeFillTint="3F"/>
      </w:tcPr>
    </w:tblStylePr>
    <w:tblStylePr w:type="band1Horz">
      <w:tblPr/>
      <w:tcPr>
        <w:tcBorders>
          <w:top w:val="nil"/>
          <w:bottom w:val="nil"/>
          <w:insideH w:val="nil"/>
          <w:insideV w:val="nil"/>
        </w:tcBorders>
        <w:shd w:val="clear" w:color="auto" w:fill="FFD9C0"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3-Accent3">
    <w:name w:val="Medium Grid 3 Accent 3"/>
    <w:basedOn w:val="TableauNormal"/>
    <w:uiPriority w:val="69"/>
    <w:rsid w:val="006669D6"/>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FD9C0"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670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670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670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670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B380"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B380" w:themeFill="accent3" w:themeFillTint="7F"/>
      </w:tcPr>
    </w:tblStylePr>
  </w:style>
  <w:style w:type="table" w:styleId="Grillemoyenne2-Accent3">
    <w:name w:val="Medium Grid 2 Accent 3"/>
    <w:basedOn w:val="TableauNormal"/>
    <w:uiPriority w:val="68"/>
    <w:rsid w:val="006669D6"/>
    <w:rPr>
      <w:rFonts w:asciiTheme="majorHAnsi" w:eastAsiaTheme="majorEastAsia" w:hAnsiTheme="majorHAnsi" w:cstheme="majorBidi"/>
      <w:color w:val="000000" w:themeColor="text1"/>
    </w:rPr>
    <w:tblPr>
      <w:tblStyleRowBandSize w:val="1"/>
      <w:tblStyleColBandSize w:val="1"/>
      <w:tblInd w:w="0" w:type="dxa"/>
      <w:tblBorders>
        <w:top w:val="single" w:sz="8" w:space="0" w:color="FF6700" w:themeColor="accent3"/>
        <w:left w:val="single" w:sz="8" w:space="0" w:color="FF6700" w:themeColor="accent3"/>
        <w:bottom w:val="single" w:sz="8" w:space="0" w:color="FF6700" w:themeColor="accent3"/>
        <w:right w:val="single" w:sz="8" w:space="0" w:color="FF6700" w:themeColor="accent3"/>
        <w:insideH w:val="single" w:sz="8" w:space="0" w:color="FF6700" w:themeColor="accent3"/>
        <w:insideV w:val="single" w:sz="8" w:space="0" w:color="FF6700" w:themeColor="accent3"/>
      </w:tblBorders>
      <w:tblCellMar>
        <w:top w:w="0" w:type="dxa"/>
        <w:left w:w="108" w:type="dxa"/>
        <w:bottom w:w="0" w:type="dxa"/>
        <w:right w:w="108" w:type="dxa"/>
      </w:tblCellMar>
    </w:tblPr>
    <w:tcPr>
      <w:shd w:val="clear" w:color="auto" w:fill="FFD9C0" w:themeFill="accent3" w:themeFillTint="3F"/>
    </w:tcPr>
    <w:tblStylePr w:type="firstRow">
      <w:rPr>
        <w:b/>
        <w:bCs/>
        <w:color w:val="000000" w:themeColor="text1"/>
      </w:rPr>
      <w:tblPr/>
      <w:tcPr>
        <w:shd w:val="clear" w:color="auto" w:fill="FFF0E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0CC" w:themeFill="accent3" w:themeFillTint="33"/>
      </w:tcPr>
    </w:tblStylePr>
    <w:tblStylePr w:type="band1Vert">
      <w:tblPr/>
      <w:tcPr>
        <w:shd w:val="clear" w:color="auto" w:fill="FFB380" w:themeFill="accent3" w:themeFillTint="7F"/>
      </w:tcPr>
    </w:tblStylePr>
    <w:tblStylePr w:type="band1Horz">
      <w:tblPr/>
      <w:tcPr>
        <w:tcBorders>
          <w:insideH w:val="single" w:sz="6" w:space="0" w:color="FF6700" w:themeColor="accent3"/>
          <w:insideV w:val="single" w:sz="6" w:space="0" w:color="FF6700" w:themeColor="accent3"/>
        </w:tcBorders>
        <w:shd w:val="clear" w:color="auto" w:fill="FFB380" w:themeFill="accent3" w:themeFillTint="7F"/>
      </w:tcPr>
    </w:tblStylePr>
    <w:tblStylePr w:type="nwCell">
      <w:tblPr/>
      <w:tcPr>
        <w:shd w:val="clear" w:color="auto" w:fill="FFFFFF" w:themeFill="background1"/>
      </w:tcPr>
    </w:tblStylePr>
  </w:style>
  <w:style w:type="table" w:styleId="Listefonce-Accent3">
    <w:name w:val="Dark List Accent 3"/>
    <w:basedOn w:val="TableauNormal"/>
    <w:uiPriority w:val="70"/>
    <w:rsid w:val="006669D6"/>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F670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3300"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BF4D0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BF4D00" w:themeFill="accent3" w:themeFillShade="BF"/>
      </w:tcPr>
    </w:tblStylePr>
    <w:tblStylePr w:type="band1Vert">
      <w:tblPr/>
      <w:tcPr>
        <w:tcBorders>
          <w:top w:val="nil"/>
          <w:left w:val="nil"/>
          <w:bottom w:val="nil"/>
          <w:right w:val="nil"/>
          <w:insideH w:val="nil"/>
          <w:insideV w:val="nil"/>
        </w:tcBorders>
        <w:shd w:val="clear" w:color="auto" w:fill="BF4D00" w:themeFill="accent3" w:themeFillShade="BF"/>
      </w:tcPr>
    </w:tblStylePr>
    <w:tblStylePr w:type="band1Horz">
      <w:tblPr/>
      <w:tcPr>
        <w:tcBorders>
          <w:top w:val="nil"/>
          <w:left w:val="nil"/>
          <w:bottom w:val="nil"/>
          <w:right w:val="nil"/>
          <w:insideH w:val="nil"/>
          <w:insideV w:val="nil"/>
        </w:tcBorders>
        <w:shd w:val="clear" w:color="auto" w:fill="BF4D00" w:themeFill="accent3" w:themeFillShade="BF"/>
      </w:tcPr>
    </w:tblStylePr>
  </w:style>
  <w:style w:type="table" w:styleId="Listefonce-Accent6">
    <w:name w:val="Dark List Accent 6"/>
    <w:basedOn w:val="TableauNormal"/>
    <w:uiPriority w:val="70"/>
    <w:rsid w:val="006669D6"/>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EA02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E51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D67B0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D67B01" w:themeFill="accent6" w:themeFillShade="BF"/>
      </w:tcPr>
    </w:tblStylePr>
    <w:tblStylePr w:type="band1Vert">
      <w:tblPr/>
      <w:tcPr>
        <w:tcBorders>
          <w:top w:val="nil"/>
          <w:left w:val="nil"/>
          <w:bottom w:val="nil"/>
          <w:right w:val="nil"/>
          <w:insideH w:val="nil"/>
          <w:insideV w:val="nil"/>
        </w:tcBorders>
        <w:shd w:val="clear" w:color="auto" w:fill="D67B01" w:themeFill="accent6" w:themeFillShade="BF"/>
      </w:tcPr>
    </w:tblStylePr>
    <w:tblStylePr w:type="band1Horz">
      <w:tblPr/>
      <w:tcPr>
        <w:tcBorders>
          <w:top w:val="nil"/>
          <w:left w:val="nil"/>
          <w:bottom w:val="nil"/>
          <w:right w:val="nil"/>
          <w:insideH w:val="nil"/>
          <w:insideV w:val="nil"/>
        </w:tcBorders>
        <w:shd w:val="clear" w:color="auto" w:fill="D67B01" w:themeFill="accent6" w:themeFillShade="BF"/>
      </w:tcPr>
    </w:tblStylePr>
  </w:style>
  <w:style w:type="table" w:styleId="Tramecouleur-Accent3">
    <w:name w:val="Colorful Shading Accent 3"/>
    <w:basedOn w:val="TableauNormal"/>
    <w:uiPriority w:val="71"/>
    <w:rsid w:val="006669D6"/>
    <w:rPr>
      <w:color w:val="000000" w:themeColor="text1"/>
    </w:rPr>
    <w:tblPr>
      <w:tblStyleRowBandSize w:val="1"/>
      <w:tblStyleColBandSize w:val="1"/>
      <w:tblInd w:w="0" w:type="dxa"/>
      <w:tblBorders>
        <w:top w:val="single" w:sz="24" w:space="0" w:color="909465" w:themeColor="accent4"/>
        <w:left w:val="single" w:sz="4" w:space="0" w:color="FF6700" w:themeColor="accent3"/>
        <w:bottom w:val="single" w:sz="4" w:space="0" w:color="FF6700" w:themeColor="accent3"/>
        <w:right w:val="single" w:sz="4" w:space="0" w:color="FF6700"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FF0E6" w:themeFill="accent3" w:themeFillTint="19"/>
    </w:tcPr>
    <w:tblStylePr w:type="firstRow">
      <w:rPr>
        <w:b/>
        <w:bCs/>
      </w:rPr>
      <w:tblPr/>
      <w:tcPr>
        <w:tcBorders>
          <w:top w:val="nil"/>
          <w:left w:val="nil"/>
          <w:bottom w:val="single" w:sz="24" w:space="0" w:color="90946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3D00" w:themeFill="accent3" w:themeFillShade="99"/>
      </w:tcPr>
    </w:tblStylePr>
    <w:tblStylePr w:type="firstCol">
      <w:rPr>
        <w:color w:val="FFFFFF" w:themeColor="background1"/>
      </w:rPr>
      <w:tblPr/>
      <w:tcPr>
        <w:tcBorders>
          <w:top w:val="nil"/>
          <w:left w:val="nil"/>
          <w:bottom w:val="nil"/>
          <w:right w:val="nil"/>
          <w:insideH w:val="single" w:sz="4" w:space="0" w:color="993D00" w:themeColor="accent3" w:themeShade="99"/>
          <w:insideV w:val="nil"/>
        </w:tcBorders>
        <w:shd w:val="clear" w:color="auto" w:fill="993D0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93D00" w:themeFill="accent3" w:themeFillShade="99"/>
      </w:tcPr>
    </w:tblStylePr>
    <w:tblStylePr w:type="band1Vert">
      <w:tblPr/>
      <w:tcPr>
        <w:shd w:val="clear" w:color="auto" w:fill="FFC299" w:themeFill="accent3" w:themeFillTint="66"/>
      </w:tcPr>
    </w:tblStylePr>
    <w:tblStylePr w:type="band1Horz">
      <w:tblPr/>
      <w:tcPr>
        <w:shd w:val="clear" w:color="auto" w:fill="FFB380" w:themeFill="accent3" w:themeFillTint="7F"/>
      </w:tcPr>
    </w:tblStylePr>
  </w:style>
  <w:style w:type="table" w:styleId="Listecouleur-Accent5">
    <w:name w:val="Colorful List Accent 5"/>
    <w:basedOn w:val="TableauNormal"/>
    <w:uiPriority w:val="72"/>
    <w:rsid w:val="006669D6"/>
    <w:rPr>
      <w:color w:val="000000" w:themeColor="text1"/>
    </w:rPr>
    <w:tblPr>
      <w:tblStyleRowBandSize w:val="1"/>
      <w:tblStyleColBandSize w:val="1"/>
      <w:tblInd w:w="0" w:type="dxa"/>
      <w:tblCellMar>
        <w:top w:w="0" w:type="dxa"/>
        <w:left w:w="108" w:type="dxa"/>
        <w:bottom w:w="0" w:type="dxa"/>
        <w:right w:w="108" w:type="dxa"/>
      </w:tblCellMar>
    </w:tblPr>
    <w:tcPr>
      <w:shd w:val="clear" w:color="auto" w:fill="F6F0EB" w:themeFill="accent5" w:themeFillTint="19"/>
    </w:tcPr>
    <w:tblStylePr w:type="firstRow">
      <w:rPr>
        <w:b/>
        <w:bCs/>
        <w:color w:val="FFFFFF" w:themeColor="background1"/>
      </w:rPr>
      <w:tblPr/>
      <w:tcPr>
        <w:tcBorders>
          <w:bottom w:val="single" w:sz="12" w:space="0" w:color="FFFFFF" w:themeColor="background1"/>
        </w:tcBorders>
        <w:shd w:val="clear" w:color="auto" w:fill="E58301" w:themeFill="accent6" w:themeFillShade="CC"/>
      </w:tcPr>
    </w:tblStylePr>
    <w:tblStylePr w:type="lastRow">
      <w:rPr>
        <w:b/>
        <w:bCs/>
        <w:color w:val="E58301"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DACC" w:themeFill="accent5" w:themeFillTint="3F"/>
      </w:tcPr>
    </w:tblStylePr>
    <w:tblStylePr w:type="band1Horz">
      <w:tblPr/>
      <w:tcPr>
        <w:shd w:val="clear" w:color="auto" w:fill="ECE1D6" w:themeFill="accent5" w:themeFillTint="33"/>
      </w:tcPr>
    </w:tblStylePr>
  </w:style>
  <w:style w:type="table" w:styleId="Tramemoyenne2-Accent3">
    <w:name w:val="Medium Shading 2 Accent 3"/>
    <w:basedOn w:val="TableauNormal"/>
    <w:uiPriority w:val="64"/>
    <w:rsid w:val="006669D6"/>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670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6700" w:themeFill="accent3"/>
      </w:tcPr>
    </w:tblStylePr>
    <w:tblStylePr w:type="lastCol">
      <w:rPr>
        <w:b/>
        <w:bCs/>
        <w:color w:val="FFFFFF" w:themeColor="background1"/>
      </w:rPr>
      <w:tblPr/>
      <w:tcPr>
        <w:tcBorders>
          <w:left w:val="nil"/>
          <w:right w:val="nil"/>
          <w:insideH w:val="nil"/>
          <w:insideV w:val="nil"/>
        </w:tcBorders>
        <w:shd w:val="clear" w:color="auto" w:fill="FF670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NormalWeb">
    <w:name w:val="Normal (Web)"/>
    <w:basedOn w:val="Normal"/>
    <w:uiPriority w:val="99"/>
    <w:semiHidden/>
    <w:unhideWhenUsed/>
    <w:rsid w:val="000831C1"/>
    <w:pPr>
      <w:spacing w:before="100" w:beforeAutospacing="1" w:after="100" w:afterAutospacing="1"/>
    </w:pPr>
    <w:rPr>
      <w:rFonts w:ascii="Times" w:hAnsi="Times"/>
      <w:sz w:val="20"/>
      <w:szCs w:val="20"/>
      <w:lang w:val="fr-CA" w:eastAsia="fr-FR"/>
    </w:rPr>
  </w:style>
  <w:style w:type="table" w:styleId="Tramemoyenne2-Accent1">
    <w:name w:val="Medium Shading 2 Accent 1"/>
    <w:basedOn w:val="TableauNormal"/>
    <w:uiPriority w:val="64"/>
    <w:rsid w:val="006E439B"/>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4C6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4C600" w:themeFill="accent1"/>
      </w:tcPr>
    </w:tblStylePr>
    <w:tblStylePr w:type="lastCol">
      <w:rPr>
        <w:b/>
        <w:bCs/>
        <w:color w:val="FFFFFF" w:themeColor="background1"/>
      </w:rPr>
      <w:tblPr/>
      <w:tcPr>
        <w:tcBorders>
          <w:left w:val="nil"/>
          <w:right w:val="nil"/>
          <w:insideH w:val="nil"/>
          <w:insideV w:val="nil"/>
        </w:tcBorders>
        <w:shd w:val="clear" w:color="auto" w:fill="94C6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1-Accent6">
    <w:name w:val="Medium Shading 1 Accent 6"/>
    <w:basedOn w:val="TableauNormal"/>
    <w:uiPriority w:val="63"/>
    <w:rsid w:val="006E439B"/>
    <w:tblPr>
      <w:tblStyleRowBandSize w:val="1"/>
      <w:tblStyleColBandSize w:val="1"/>
      <w:tblInd w:w="0" w:type="dxa"/>
      <w:tbl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single" w:sz="8" w:space="0" w:color="FEB759"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nil"/>
          <w:insideV w:val="nil"/>
        </w:tcBorders>
        <w:shd w:val="clear" w:color="auto" w:fill="FEA022" w:themeFill="accent6"/>
      </w:tcPr>
    </w:tblStylePr>
    <w:tblStylePr w:type="lastRow">
      <w:pPr>
        <w:spacing w:before="0" w:after="0" w:line="240" w:lineRule="auto"/>
      </w:pPr>
      <w:rPr>
        <w:b/>
        <w:bCs/>
      </w:rPr>
      <w:tblPr/>
      <w:tcPr>
        <w:tcBorders>
          <w:top w:val="double" w:sz="6"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EE7C8" w:themeFill="accent6" w:themeFillTint="3F"/>
      </w:tcPr>
    </w:tblStylePr>
    <w:tblStylePr w:type="band1Horz">
      <w:tblPr/>
      <w:tcPr>
        <w:tcBorders>
          <w:insideH w:val="nil"/>
          <w:insideV w:val="nil"/>
        </w:tcBorders>
        <w:shd w:val="clear" w:color="auto" w:fill="FEE7C8" w:themeFill="accent6" w:themeFillTint="3F"/>
      </w:tcPr>
    </w:tblStylePr>
    <w:tblStylePr w:type="band2Horz">
      <w:tblPr/>
      <w:tcPr>
        <w:tcBorders>
          <w:insideH w:val="nil"/>
          <w:insideV w:val="nil"/>
        </w:tcBorders>
      </w:tcPr>
    </w:tblStylePr>
  </w:style>
  <w:style w:type="table" w:styleId="Listefonce-Accent2">
    <w:name w:val="Dark List Accent 2"/>
    <w:basedOn w:val="TableauNormal"/>
    <w:uiPriority w:val="70"/>
    <w:rsid w:val="006E439B"/>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71685A"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8332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44D4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44D43" w:themeFill="accent2" w:themeFillShade="BF"/>
      </w:tcPr>
    </w:tblStylePr>
    <w:tblStylePr w:type="band1Vert">
      <w:tblPr/>
      <w:tcPr>
        <w:tcBorders>
          <w:top w:val="nil"/>
          <w:left w:val="nil"/>
          <w:bottom w:val="nil"/>
          <w:right w:val="nil"/>
          <w:insideH w:val="nil"/>
          <w:insideV w:val="nil"/>
        </w:tcBorders>
        <w:shd w:val="clear" w:color="auto" w:fill="544D43" w:themeFill="accent2" w:themeFillShade="BF"/>
      </w:tcPr>
    </w:tblStylePr>
    <w:tblStylePr w:type="band1Horz">
      <w:tblPr/>
      <w:tcPr>
        <w:tcBorders>
          <w:top w:val="nil"/>
          <w:left w:val="nil"/>
          <w:bottom w:val="nil"/>
          <w:right w:val="nil"/>
          <w:insideH w:val="nil"/>
          <w:insideV w:val="nil"/>
        </w:tcBorders>
        <w:shd w:val="clear" w:color="auto" w:fill="544D43" w:themeFill="accent2" w:themeFillShade="BF"/>
      </w:tcPr>
    </w:tblStylePr>
  </w:style>
  <w:style w:type="table" w:styleId="Grillemoyenne1-Accent6">
    <w:name w:val="Medium Grid 1 Accent 6"/>
    <w:basedOn w:val="TableauNormal"/>
    <w:uiPriority w:val="67"/>
    <w:rsid w:val="006E439B"/>
    <w:tblPr>
      <w:tblStyleRowBandSize w:val="1"/>
      <w:tblStyleColBandSize w:val="1"/>
      <w:tblInd w:w="0" w:type="dxa"/>
      <w:tbl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single" w:sz="8" w:space="0" w:color="FEB759" w:themeColor="accent6" w:themeTint="BF"/>
        <w:insideV w:val="single" w:sz="8" w:space="0" w:color="FEB759" w:themeColor="accent6" w:themeTint="BF"/>
      </w:tblBorders>
      <w:tblCellMar>
        <w:top w:w="0" w:type="dxa"/>
        <w:left w:w="108" w:type="dxa"/>
        <w:bottom w:w="0" w:type="dxa"/>
        <w:right w:w="108" w:type="dxa"/>
      </w:tblCellMar>
    </w:tblPr>
    <w:tcPr>
      <w:shd w:val="clear" w:color="auto" w:fill="FEE7C8" w:themeFill="accent6" w:themeFillTint="3F"/>
    </w:tcPr>
    <w:tblStylePr w:type="firstRow">
      <w:rPr>
        <w:b/>
        <w:bCs/>
      </w:rPr>
    </w:tblStylePr>
    <w:tblStylePr w:type="lastRow">
      <w:rPr>
        <w:b/>
        <w:bCs/>
      </w:rPr>
      <w:tblPr/>
      <w:tcPr>
        <w:tcBorders>
          <w:top w:val="single" w:sz="18" w:space="0" w:color="FEB759" w:themeColor="accent6" w:themeTint="BF"/>
        </w:tcBorders>
      </w:tcPr>
    </w:tblStylePr>
    <w:tblStylePr w:type="firstCol">
      <w:rPr>
        <w:b/>
        <w:bCs/>
      </w:rPr>
    </w:tblStylePr>
    <w:tblStylePr w:type="lastCol">
      <w:rPr>
        <w:b/>
        <w:bCs/>
      </w:rPr>
    </w:tblStylePr>
    <w:tblStylePr w:type="band1Vert">
      <w:tblPr/>
      <w:tcPr>
        <w:shd w:val="clear" w:color="auto" w:fill="FECF90" w:themeFill="accent6" w:themeFillTint="7F"/>
      </w:tcPr>
    </w:tblStylePr>
    <w:tblStylePr w:type="band1Horz">
      <w:tblPr/>
      <w:tcPr>
        <w:shd w:val="clear" w:color="auto" w:fill="FECF90" w:themeFill="accent6" w:themeFillTint="7F"/>
      </w:tcPr>
    </w:tblStylePr>
  </w:style>
  <w:style w:type="table" w:styleId="Grillemoyenne1-Accent5">
    <w:name w:val="Medium Grid 1 Accent 5"/>
    <w:basedOn w:val="TableauNormal"/>
    <w:uiPriority w:val="67"/>
    <w:rsid w:val="006E439B"/>
    <w:tblPr>
      <w:tblStyleRowBandSize w:val="1"/>
      <w:tblStyleColBandSize w:val="1"/>
      <w:tblInd w:w="0" w:type="dxa"/>
      <w:tblBorders>
        <w:top w:val="single" w:sz="8" w:space="0" w:color="BA8F67" w:themeColor="accent5" w:themeTint="BF"/>
        <w:left w:val="single" w:sz="8" w:space="0" w:color="BA8F67" w:themeColor="accent5" w:themeTint="BF"/>
        <w:bottom w:val="single" w:sz="8" w:space="0" w:color="BA8F67" w:themeColor="accent5" w:themeTint="BF"/>
        <w:right w:val="single" w:sz="8" w:space="0" w:color="BA8F67" w:themeColor="accent5" w:themeTint="BF"/>
        <w:insideH w:val="single" w:sz="8" w:space="0" w:color="BA8F67" w:themeColor="accent5" w:themeTint="BF"/>
        <w:insideV w:val="single" w:sz="8" w:space="0" w:color="BA8F67" w:themeColor="accent5" w:themeTint="BF"/>
      </w:tblBorders>
      <w:tblCellMar>
        <w:top w:w="0" w:type="dxa"/>
        <w:left w:w="108" w:type="dxa"/>
        <w:bottom w:w="0" w:type="dxa"/>
        <w:right w:w="108" w:type="dxa"/>
      </w:tblCellMar>
    </w:tblPr>
    <w:tcPr>
      <w:shd w:val="clear" w:color="auto" w:fill="E8DACC" w:themeFill="accent5" w:themeFillTint="3F"/>
    </w:tcPr>
    <w:tblStylePr w:type="firstRow">
      <w:rPr>
        <w:b/>
        <w:bCs/>
      </w:rPr>
    </w:tblStylePr>
    <w:tblStylePr w:type="lastRow">
      <w:rPr>
        <w:b/>
        <w:bCs/>
      </w:rPr>
      <w:tblPr/>
      <w:tcPr>
        <w:tcBorders>
          <w:top w:val="single" w:sz="18" w:space="0" w:color="BA8F67" w:themeColor="accent5" w:themeTint="BF"/>
        </w:tcBorders>
      </w:tcPr>
    </w:tblStylePr>
    <w:tblStylePr w:type="firstCol">
      <w:rPr>
        <w:b/>
        <w:bCs/>
      </w:rPr>
    </w:tblStylePr>
    <w:tblStylePr w:type="lastCol">
      <w:rPr>
        <w:b/>
        <w:bCs/>
      </w:rPr>
    </w:tblStylePr>
    <w:tblStylePr w:type="band1Vert">
      <w:tblPr/>
      <w:tcPr>
        <w:shd w:val="clear" w:color="auto" w:fill="D1B499" w:themeFill="accent5" w:themeFillTint="7F"/>
      </w:tcPr>
    </w:tblStylePr>
    <w:tblStylePr w:type="band1Horz">
      <w:tblPr/>
      <w:tcPr>
        <w:shd w:val="clear" w:color="auto" w:fill="D1B499" w:themeFill="accent5" w:themeFillTint="7F"/>
      </w:tcPr>
    </w:tblStylePr>
  </w:style>
  <w:style w:type="table" w:styleId="Grillemoyenne1-Accent3">
    <w:name w:val="Medium Grid 1 Accent 3"/>
    <w:basedOn w:val="TableauNormal"/>
    <w:uiPriority w:val="67"/>
    <w:rsid w:val="006E439B"/>
    <w:tblPr>
      <w:tblStyleRowBandSize w:val="1"/>
      <w:tblStyleColBandSize w:val="1"/>
      <w:tblInd w:w="0" w:type="dxa"/>
      <w:tbl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single" w:sz="8" w:space="0" w:color="FF8D40" w:themeColor="accent3" w:themeTint="BF"/>
        <w:insideV w:val="single" w:sz="8" w:space="0" w:color="FF8D40" w:themeColor="accent3" w:themeTint="BF"/>
      </w:tblBorders>
      <w:tblCellMar>
        <w:top w:w="0" w:type="dxa"/>
        <w:left w:w="108" w:type="dxa"/>
        <w:bottom w:w="0" w:type="dxa"/>
        <w:right w:w="108" w:type="dxa"/>
      </w:tblCellMar>
    </w:tblPr>
    <w:tcPr>
      <w:shd w:val="clear" w:color="auto" w:fill="FFD9C0" w:themeFill="accent3" w:themeFillTint="3F"/>
    </w:tcPr>
    <w:tblStylePr w:type="firstRow">
      <w:rPr>
        <w:b/>
        <w:bCs/>
      </w:rPr>
    </w:tblStylePr>
    <w:tblStylePr w:type="lastRow">
      <w:rPr>
        <w:b/>
        <w:bCs/>
      </w:rPr>
      <w:tblPr/>
      <w:tcPr>
        <w:tcBorders>
          <w:top w:val="single" w:sz="18" w:space="0" w:color="FF8D40" w:themeColor="accent3" w:themeTint="BF"/>
        </w:tcBorders>
      </w:tcPr>
    </w:tblStylePr>
    <w:tblStylePr w:type="firstCol">
      <w:rPr>
        <w:b/>
        <w:bCs/>
      </w:rPr>
    </w:tblStylePr>
    <w:tblStylePr w:type="lastCol">
      <w:rPr>
        <w:b/>
        <w:bCs/>
      </w:rPr>
    </w:tblStylePr>
    <w:tblStylePr w:type="band1Vert">
      <w:tblPr/>
      <w:tcPr>
        <w:shd w:val="clear" w:color="auto" w:fill="FFB380" w:themeFill="accent3" w:themeFillTint="7F"/>
      </w:tcPr>
    </w:tblStylePr>
    <w:tblStylePr w:type="band1Horz">
      <w:tblPr/>
      <w:tcPr>
        <w:shd w:val="clear" w:color="auto" w:fill="FFB380" w:themeFill="accent3" w:themeFillTint="7F"/>
      </w:tcPr>
    </w:tblStylePr>
  </w:style>
  <w:style w:type="table" w:styleId="Grillemoyenne1-Accent2">
    <w:name w:val="Medium Grid 1 Accent 2"/>
    <w:basedOn w:val="TableauNormal"/>
    <w:uiPriority w:val="67"/>
    <w:rsid w:val="006E439B"/>
    <w:tblPr>
      <w:tblStyleRowBandSize w:val="1"/>
      <w:tblStyleColBandSize w:val="1"/>
      <w:tblInd w:w="0" w:type="dxa"/>
      <w:tbl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single" w:sz="8" w:space="0" w:color="998E7E" w:themeColor="accent2" w:themeTint="BF"/>
        <w:insideV w:val="single" w:sz="8" w:space="0" w:color="998E7E" w:themeColor="accent2" w:themeTint="BF"/>
      </w:tblBorders>
      <w:tblCellMar>
        <w:top w:w="0" w:type="dxa"/>
        <w:left w:w="108" w:type="dxa"/>
        <w:bottom w:w="0" w:type="dxa"/>
        <w:right w:w="108" w:type="dxa"/>
      </w:tblCellMar>
    </w:tblPr>
    <w:tcPr>
      <w:shd w:val="clear" w:color="auto" w:fill="DDD9D4" w:themeFill="accent2" w:themeFillTint="3F"/>
    </w:tcPr>
    <w:tblStylePr w:type="firstRow">
      <w:rPr>
        <w:b/>
        <w:bCs/>
      </w:rPr>
    </w:tblStylePr>
    <w:tblStylePr w:type="lastRow">
      <w:rPr>
        <w:b/>
        <w:bCs/>
      </w:rPr>
      <w:tblPr/>
      <w:tcPr>
        <w:tcBorders>
          <w:top w:val="single" w:sz="18" w:space="0" w:color="998E7E" w:themeColor="accent2" w:themeTint="BF"/>
        </w:tcBorders>
      </w:tcPr>
    </w:tblStylePr>
    <w:tblStylePr w:type="firstCol">
      <w:rPr>
        <w:b/>
        <w:bCs/>
      </w:rPr>
    </w:tblStylePr>
    <w:tblStylePr w:type="lastCol">
      <w:rPr>
        <w:b/>
        <w:bCs/>
      </w:rPr>
    </w:tblStylePr>
    <w:tblStylePr w:type="band1Vert">
      <w:tblPr/>
      <w:tcPr>
        <w:shd w:val="clear" w:color="auto" w:fill="BBB4A9" w:themeFill="accent2" w:themeFillTint="7F"/>
      </w:tcPr>
    </w:tblStylePr>
    <w:tblStylePr w:type="band1Horz">
      <w:tblPr/>
      <w:tcPr>
        <w:shd w:val="clear" w:color="auto" w:fill="BBB4A9" w:themeFill="accent2" w:themeFillTint="7F"/>
      </w:tcPr>
    </w:tblStylePr>
  </w:style>
  <w:style w:type="table" w:styleId="Grillemoyenne1-Accent1">
    <w:name w:val="Medium Grid 1 Accent 1"/>
    <w:basedOn w:val="TableauNormal"/>
    <w:uiPriority w:val="67"/>
    <w:rsid w:val="006E439B"/>
    <w:tblPr>
      <w:tblStyleRowBandSize w:val="1"/>
      <w:tblStyleColBandSize w:val="1"/>
      <w:tblInd w:w="0" w:type="dxa"/>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insideV w:val="single" w:sz="8" w:space="0" w:color="C3FF15" w:themeColor="accent1" w:themeTint="BF"/>
      </w:tblBorders>
      <w:tblCellMar>
        <w:top w:w="0" w:type="dxa"/>
        <w:left w:w="108" w:type="dxa"/>
        <w:bottom w:w="0" w:type="dxa"/>
        <w:right w:w="108" w:type="dxa"/>
      </w:tblCellMar>
    </w:tblPr>
    <w:tcPr>
      <w:shd w:val="clear" w:color="auto" w:fill="EBFFB1" w:themeFill="accent1" w:themeFillTint="3F"/>
    </w:tcPr>
    <w:tblStylePr w:type="firstRow">
      <w:rPr>
        <w:b/>
        <w:bCs/>
      </w:rPr>
    </w:tblStylePr>
    <w:tblStylePr w:type="lastRow">
      <w:rPr>
        <w:b/>
        <w:bCs/>
      </w:rPr>
      <w:tblPr/>
      <w:tcPr>
        <w:tcBorders>
          <w:top w:val="single" w:sz="18" w:space="0" w:color="C3FF15" w:themeColor="accent1" w:themeTint="BF"/>
        </w:tcBorders>
      </w:tcPr>
    </w:tblStylePr>
    <w:tblStylePr w:type="firstCol">
      <w:rPr>
        <w:b/>
        <w:bCs/>
      </w:rPr>
    </w:tblStylePr>
    <w:tblStylePr w:type="lastCol">
      <w:rPr>
        <w:b/>
        <w:bCs/>
      </w:rPr>
    </w:tblStylePr>
    <w:tblStylePr w:type="band1Vert">
      <w:tblPr/>
      <w:tcPr>
        <w:shd w:val="clear" w:color="auto" w:fill="D7FF63" w:themeFill="accent1" w:themeFillTint="7F"/>
      </w:tcPr>
    </w:tblStylePr>
    <w:tblStylePr w:type="band1Horz">
      <w:tblPr/>
      <w:tcPr>
        <w:shd w:val="clear" w:color="auto" w:fill="D7FF63" w:themeFill="accent1" w:themeFillTint="7F"/>
      </w:tcPr>
    </w:tblStylePr>
  </w:style>
  <w:style w:type="table" w:styleId="Listeclaire-Accent3">
    <w:name w:val="Light List Accent 3"/>
    <w:basedOn w:val="TableauNormal"/>
    <w:uiPriority w:val="61"/>
    <w:rsid w:val="006E439B"/>
    <w:tblPr>
      <w:tblStyleRowBandSize w:val="1"/>
      <w:tblStyleColBandSize w:val="1"/>
      <w:tblInd w:w="0" w:type="dxa"/>
      <w:tblBorders>
        <w:top w:val="single" w:sz="8" w:space="0" w:color="FF6700" w:themeColor="accent3"/>
        <w:left w:val="single" w:sz="8" w:space="0" w:color="FF6700" w:themeColor="accent3"/>
        <w:bottom w:val="single" w:sz="8" w:space="0" w:color="FF6700" w:themeColor="accent3"/>
        <w:right w:val="single" w:sz="8" w:space="0" w:color="FF6700"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F6700" w:themeFill="accent3"/>
      </w:tcPr>
    </w:tblStylePr>
    <w:tblStylePr w:type="lastRow">
      <w:pPr>
        <w:spacing w:before="0" w:after="0" w:line="240" w:lineRule="auto"/>
      </w:pPr>
      <w:rPr>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tcBorders>
      </w:tcPr>
    </w:tblStylePr>
    <w:tblStylePr w:type="firstCol">
      <w:rPr>
        <w:b/>
        <w:bCs/>
      </w:rPr>
    </w:tblStylePr>
    <w:tblStylePr w:type="lastCol">
      <w:rPr>
        <w:b/>
        <w:bCs/>
      </w:r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style>
  <w:style w:type="table" w:styleId="Trameclaire-Accent6">
    <w:name w:val="Light Shading Accent 6"/>
    <w:basedOn w:val="TableauNormal"/>
    <w:uiPriority w:val="60"/>
    <w:rsid w:val="006E439B"/>
    <w:rPr>
      <w:color w:val="D67B01" w:themeColor="accent6" w:themeShade="BF"/>
    </w:rPr>
    <w:tblPr>
      <w:tblStyleRowBandSize w:val="1"/>
      <w:tblStyleColBandSize w:val="1"/>
      <w:tblInd w:w="0" w:type="dxa"/>
      <w:tblBorders>
        <w:top w:val="single" w:sz="8" w:space="0" w:color="FEA022" w:themeColor="accent6"/>
        <w:bottom w:val="single" w:sz="8" w:space="0" w:color="FEA022"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EA022" w:themeColor="accent6"/>
          <w:left w:val="nil"/>
          <w:bottom w:val="single" w:sz="8" w:space="0" w:color="FEA022" w:themeColor="accent6"/>
          <w:right w:val="nil"/>
          <w:insideH w:val="nil"/>
          <w:insideV w:val="nil"/>
        </w:tcBorders>
      </w:tcPr>
    </w:tblStylePr>
    <w:tblStylePr w:type="lastRow">
      <w:pPr>
        <w:spacing w:before="0" w:after="0" w:line="240" w:lineRule="auto"/>
      </w:pPr>
      <w:rPr>
        <w:b/>
        <w:bCs/>
      </w:rPr>
      <w:tblPr/>
      <w:tcPr>
        <w:tcBorders>
          <w:top w:val="single" w:sz="8" w:space="0" w:color="FEA022" w:themeColor="accent6"/>
          <w:left w:val="nil"/>
          <w:bottom w:val="single" w:sz="8" w:space="0" w:color="FEA02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7C8" w:themeFill="accent6" w:themeFillTint="3F"/>
      </w:tcPr>
    </w:tblStylePr>
    <w:tblStylePr w:type="band1Horz">
      <w:tblPr/>
      <w:tcPr>
        <w:tcBorders>
          <w:left w:val="nil"/>
          <w:right w:val="nil"/>
          <w:insideH w:val="nil"/>
          <w:insideV w:val="nil"/>
        </w:tcBorders>
        <w:shd w:val="clear" w:color="auto" w:fill="FEE7C8" w:themeFill="accent6" w:themeFillTint="3F"/>
      </w:tcPr>
    </w:tblStylePr>
  </w:style>
  <w:style w:type="table" w:styleId="Trameclaire-Accent3">
    <w:name w:val="Light Shading Accent 3"/>
    <w:basedOn w:val="TableauNormal"/>
    <w:uiPriority w:val="60"/>
    <w:rsid w:val="006E439B"/>
    <w:rPr>
      <w:color w:val="BF4D00" w:themeColor="accent3" w:themeShade="BF"/>
    </w:rPr>
    <w:tblPr>
      <w:tblStyleRowBandSize w:val="1"/>
      <w:tblStyleColBandSize w:val="1"/>
      <w:tblInd w:w="0" w:type="dxa"/>
      <w:tblBorders>
        <w:top w:val="single" w:sz="8" w:space="0" w:color="FF6700" w:themeColor="accent3"/>
        <w:bottom w:val="single" w:sz="8" w:space="0" w:color="FF6700"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6700" w:themeColor="accent3"/>
          <w:left w:val="nil"/>
          <w:bottom w:val="single" w:sz="8" w:space="0" w:color="FF6700" w:themeColor="accent3"/>
          <w:right w:val="nil"/>
          <w:insideH w:val="nil"/>
          <w:insideV w:val="nil"/>
        </w:tcBorders>
      </w:tcPr>
    </w:tblStylePr>
    <w:tblStylePr w:type="lastRow">
      <w:pPr>
        <w:spacing w:before="0" w:after="0" w:line="240" w:lineRule="auto"/>
      </w:pPr>
      <w:rPr>
        <w:b/>
        <w:bCs/>
      </w:rPr>
      <w:tblPr/>
      <w:tcPr>
        <w:tcBorders>
          <w:top w:val="single" w:sz="8" w:space="0" w:color="FF6700" w:themeColor="accent3"/>
          <w:left w:val="nil"/>
          <w:bottom w:val="single" w:sz="8" w:space="0" w:color="FF670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9C0" w:themeFill="accent3" w:themeFillTint="3F"/>
      </w:tcPr>
    </w:tblStylePr>
    <w:tblStylePr w:type="band1Horz">
      <w:tblPr/>
      <w:tcPr>
        <w:tcBorders>
          <w:left w:val="nil"/>
          <w:right w:val="nil"/>
          <w:insideH w:val="nil"/>
          <w:insideV w:val="nil"/>
        </w:tcBorders>
        <w:shd w:val="clear" w:color="auto" w:fill="FFD9C0" w:themeFill="accent3" w:themeFillTint="3F"/>
      </w:tcPr>
    </w:tblStylePr>
  </w:style>
  <w:style w:type="table" w:styleId="Listeclaire-Accent6">
    <w:name w:val="Light List Accent 6"/>
    <w:basedOn w:val="TableauNormal"/>
    <w:uiPriority w:val="61"/>
    <w:rsid w:val="006E439B"/>
    <w:tblPr>
      <w:tblStyleRowBandSize w:val="1"/>
      <w:tblStyleColBandSize w:val="1"/>
      <w:tblInd w:w="0" w:type="dxa"/>
      <w:tblBorders>
        <w:top w:val="single" w:sz="8" w:space="0" w:color="FEA022" w:themeColor="accent6"/>
        <w:left w:val="single" w:sz="8" w:space="0" w:color="FEA022" w:themeColor="accent6"/>
        <w:bottom w:val="single" w:sz="8" w:space="0" w:color="FEA022" w:themeColor="accent6"/>
        <w:right w:val="single" w:sz="8" w:space="0" w:color="FEA022"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EA022" w:themeFill="accent6"/>
      </w:tcPr>
    </w:tblStylePr>
    <w:tblStylePr w:type="lastRow">
      <w:pPr>
        <w:spacing w:before="0" w:after="0" w:line="240" w:lineRule="auto"/>
      </w:pPr>
      <w:rPr>
        <w:b/>
        <w:bCs/>
      </w:rPr>
      <w:tblPr/>
      <w:tcPr>
        <w:tcBorders>
          <w:top w:val="double" w:sz="6" w:space="0" w:color="FEA022" w:themeColor="accent6"/>
          <w:left w:val="single" w:sz="8" w:space="0" w:color="FEA022" w:themeColor="accent6"/>
          <w:bottom w:val="single" w:sz="8" w:space="0" w:color="FEA022" w:themeColor="accent6"/>
          <w:right w:val="single" w:sz="8" w:space="0" w:color="FEA022" w:themeColor="accent6"/>
        </w:tcBorders>
      </w:tcPr>
    </w:tblStylePr>
    <w:tblStylePr w:type="firstCol">
      <w:rPr>
        <w:b/>
        <w:bCs/>
      </w:rPr>
    </w:tblStylePr>
    <w:tblStylePr w:type="lastCol">
      <w:rPr>
        <w:b/>
        <w:bCs/>
      </w:rPr>
    </w:tblStylePr>
    <w:tblStylePr w:type="band1Vert">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tblStylePr w:type="band1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style>
  <w:style w:type="table" w:styleId="Grilleclaire-Accent3">
    <w:name w:val="Light Grid Accent 3"/>
    <w:basedOn w:val="TableauNormal"/>
    <w:uiPriority w:val="62"/>
    <w:rsid w:val="006E439B"/>
    <w:tblPr>
      <w:tblStyleRowBandSize w:val="1"/>
      <w:tblStyleColBandSize w:val="1"/>
      <w:tblInd w:w="0" w:type="dxa"/>
      <w:tblBorders>
        <w:top w:val="single" w:sz="8" w:space="0" w:color="FF6700" w:themeColor="accent3"/>
        <w:left w:val="single" w:sz="8" w:space="0" w:color="FF6700" w:themeColor="accent3"/>
        <w:bottom w:val="single" w:sz="8" w:space="0" w:color="FF6700" w:themeColor="accent3"/>
        <w:right w:val="single" w:sz="8" w:space="0" w:color="FF6700" w:themeColor="accent3"/>
        <w:insideH w:val="single" w:sz="8" w:space="0" w:color="FF6700" w:themeColor="accent3"/>
        <w:insideV w:val="single" w:sz="8" w:space="0" w:color="FF6700"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F6700" w:themeColor="accent3"/>
          <w:left w:val="single" w:sz="8" w:space="0" w:color="FF6700" w:themeColor="accent3"/>
          <w:bottom w:val="single" w:sz="18" w:space="0" w:color="FF6700" w:themeColor="accent3"/>
          <w:right w:val="single" w:sz="8" w:space="0" w:color="FF6700" w:themeColor="accent3"/>
          <w:insideH w:val="nil"/>
          <w:insideV w:val="single" w:sz="8" w:space="0" w:color="FF670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insideH w:val="nil"/>
          <w:insideV w:val="single" w:sz="8" w:space="0" w:color="FF670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shd w:val="clear" w:color="auto" w:fill="FFD9C0" w:themeFill="accent3" w:themeFillTint="3F"/>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insideV w:val="single" w:sz="8" w:space="0" w:color="FF6700" w:themeColor="accent3"/>
        </w:tcBorders>
        <w:shd w:val="clear" w:color="auto" w:fill="FFD9C0" w:themeFill="accent3" w:themeFillTint="3F"/>
      </w:tcPr>
    </w:tblStylePr>
    <w:tblStylePr w:type="band2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insideV w:val="single" w:sz="8" w:space="0" w:color="FF6700" w:themeColor="accent3"/>
        </w:tcBorders>
      </w:tcPr>
    </w:tblStylePr>
  </w:style>
  <w:style w:type="table" w:styleId="Grilleclaire-Accent6">
    <w:name w:val="Light Grid Accent 6"/>
    <w:basedOn w:val="TableauNormal"/>
    <w:uiPriority w:val="62"/>
    <w:rsid w:val="006E439B"/>
    <w:tblPr>
      <w:tblStyleRowBandSize w:val="1"/>
      <w:tblStyleColBandSize w:val="1"/>
      <w:tblInd w:w="0" w:type="dxa"/>
      <w:tblBorders>
        <w:top w:val="single" w:sz="8" w:space="0" w:color="FEA022" w:themeColor="accent6"/>
        <w:left w:val="single" w:sz="8" w:space="0" w:color="FEA022" w:themeColor="accent6"/>
        <w:bottom w:val="single" w:sz="8" w:space="0" w:color="FEA022" w:themeColor="accent6"/>
        <w:right w:val="single" w:sz="8" w:space="0" w:color="FEA022" w:themeColor="accent6"/>
        <w:insideH w:val="single" w:sz="8" w:space="0" w:color="FEA022" w:themeColor="accent6"/>
        <w:insideV w:val="single" w:sz="8" w:space="0" w:color="FEA022"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EA022" w:themeColor="accent6"/>
          <w:left w:val="single" w:sz="8" w:space="0" w:color="FEA022" w:themeColor="accent6"/>
          <w:bottom w:val="single" w:sz="18" w:space="0" w:color="FEA022" w:themeColor="accent6"/>
          <w:right w:val="single" w:sz="8" w:space="0" w:color="FEA022" w:themeColor="accent6"/>
          <w:insideH w:val="nil"/>
          <w:insideV w:val="single" w:sz="8" w:space="0" w:color="FEA02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EA022" w:themeColor="accent6"/>
          <w:left w:val="single" w:sz="8" w:space="0" w:color="FEA022" w:themeColor="accent6"/>
          <w:bottom w:val="single" w:sz="8" w:space="0" w:color="FEA022" w:themeColor="accent6"/>
          <w:right w:val="single" w:sz="8" w:space="0" w:color="FEA022" w:themeColor="accent6"/>
          <w:insideH w:val="nil"/>
          <w:insideV w:val="single" w:sz="8" w:space="0" w:color="FEA02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tblStylePr w:type="band1Vert">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shd w:val="clear" w:color="auto" w:fill="FEE7C8" w:themeFill="accent6" w:themeFillTint="3F"/>
      </w:tcPr>
    </w:tblStylePr>
    <w:tblStylePr w:type="band1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insideV w:val="single" w:sz="8" w:space="0" w:color="FEA022" w:themeColor="accent6"/>
        </w:tcBorders>
        <w:shd w:val="clear" w:color="auto" w:fill="FEE7C8" w:themeFill="accent6" w:themeFillTint="3F"/>
      </w:tcPr>
    </w:tblStylePr>
    <w:tblStylePr w:type="band2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insideV w:val="single" w:sz="8" w:space="0" w:color="FEA022" w:themeColor="accent6"/>
        </w:tcBorders>
      </w:tcPr>
    </w:tblStylePr>
  </w:style>
  <w:style w:type="table" w:styleId="Tramemoyenne1-Accent1">
    <w:name w:val="Medium Shading 1 Accent 1"/>
    <w:basedOn w:val="TableauNormal"/>
    <w:uiPriority w:val="63"/>
    <w:rsid w:val="006E439B"/>
    <w:tblPr>
      <w:tblStyleRowBandSize w:val="1"/>
      <w:tblStyleColBandSize w:val="1"/>
      <w:tblInd w:w="0" w:type="dxa"/>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shd w:val="clear" w:color="auto" w:fill="94C600" w:themeFill="accent1"/>
      </w:tcPr>
    </w:tblStylePr>
    <w:tblStylePr w:type="lastRow">
      <w:pPr>
        <w:spacing w:before="0" w:after="0" w:line="240" w:lineRule="auto"/>
      </w:pPr>
      <w:rPr>
        <w:b/>
        <w:bCs/>
      </w:rPr>
      <w:tblPr/>
      <w:tcPr>
        <w:tcBorders>
          <w:top w:val="double" w:sz="6"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tcPr>
    </w:tblStylePr>
    <w:tblStylePr w:type="firstCol">
      <w:rPr>
        <w:b/>
        <w:bCs/>
      </w:rPr>
    </w:tblStylePr>
    <w:tblStylePr w:type="lastCol">
      <w:rPr>
        <w:b/>
        <w:bCs/>
      </w:rPr>
    </w:tblStylePr>
    <w:tblStylePr w:type="band1Vert">
      <w:tblPr/>
      <w:tcPr>
        <w:shd w:val="clear" w:color="auto" w:fill="EBFFB1" w:themeFill="accent1" w:themeFillTint="3F"/>
      </w:tcPr>
    </w:tblStylePr>
    <w:tblStylePr w:type="band1Horz">
      <w:tblPr/>
      <w:tcPr>
        <w:tcBorders>
          <w:insideH w:val="nil"/>
          <w:insideV w:val="nil"/>
        </w:tcBorders>
        <w:shd w:val="clear" w:color="auto" w:fill="EBFFB1" w:themeFill="accent1" w:themeFillTint="3F"/>
      </w:tcPr>
    </w:tblStylePr>
    <w:tblStylePr w:type="band2Horz">
      <w:tblPr/>
      <w:tcPr>
        <w:tcBorders>
          <w:insideH w:val="nil"/>
          <w:insideV w:val="nil"/>
        </w:tcBorders>
      </w:tcPr>
    </w:tblStylePr>
  </w:style>
  <w:style w:type="table" w:styleId="Listemoyenne1-Accent1">
    <w:name w:val="Medium List 1 Accent 1"/>
    <w:basedOn w:val="TableauNormal"/>
    <w:uiPriority w:val="65"/>
    <w:rsid w:val="006E439B"/>
    <w:rPr>
      <w:color w:val="000000" w:themeColor="text1"/>
    </w:rPr>
    <w:tblPr>
      <w:tblStyleRowBandSize w:val="1"/>
      <w:tblStyleColBandSize w:val="1"/>
      <w:tblInd w:w="0" w:type="dxa"/>
      <w:tblBorders>
        <w:top w:val="single" w:sz="8" w:space="0" w:color="94C600" w:themeColor="accent1"/>
        <w:bottom w:val="single" w:sz="8" w:space="0" w:color="94C600"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4C600" w:themeColor="accent1"/>
        </w:tcBorders>
      </w:tcPr>
    </w:tblStylePr>
    <w:tblStylePr w:type="lastRow">
      <w:rPr>
        <w:b/>
        <w:bCs/>
        <w:color w:val="3E3D2D" w:themeColor="text2"/>
      </w:rPr>
      <w:tblPr/>
      <w:tcPr>
        <w:tcBorders>
          <w:top w:val="single" w:sz="8" w:space="0" w:color="94C600" w:themeColor="accent1"/>
          <w:bottom w:val="single" w:sz="8" w:space="0" w:color="94C600" w:themeColor="accent1"/>
        </w:tcBorders>
      </w:tcPr>
    </w:tblStylePr>
    <w:tblStylePr w:type="firstCol">
      <w:rPr>
        <w:b/>
        <w:bCs/>
      </w:rPr>
    </w:tblStylePr>
    <w:tblStylePr w:type="lastCol">
      <w:rPr>
        <w:b/>
        <w:bCs/>
      </w:rPr>
      <w:tblPr/>
      <w:tcPr>
        <w:tcBorders>
          <w:top w:val="single" w:sz="8" w:space="0" w:color="94C600" w:themeColor="accent1"/>
          <w:bottom w:val="single" w:sz="8" w:space="0" w:color="94C600" w:themeColor="accent1"/>
        </w:tcBorders>
      </w:tcPr>
    </w:tblStylePr>
    <w:tblStylePr w:type="band1Vert">
      <w:tblPr/>
      <w:tcPr>
        <w:shd w:val="clear" w:color="auto" w:fill="EBFFB1" w:themeFill="accent1" w:themeFillTint="3F"/>
      </w:tcPr>
    </w:tblStylePr>
    <w:tblStylePr w:type="band1Horz">
      <w:tblPr/>
      <w:tcPr>
        <w:shd w:val="clear" w:color="auto" w:fill="EBFFB1" w:themeFill="accent1" w:themeFillTint="3F"/>
      </w:tcPr>
    </w:tblStylePr>
  </w:style>
  <w:style w:type="table" w:styleId="Listemoyenne2-Accent1">
    <w:name w:val="Medium List 2 Accent 1"/>
    <w:basedOn w:val="TableauNormal"/>
    <w:uiPriority w:val="66"/>
    <w:rsid w:val="006E439B"/>
    <w:rPr>
      <w:rFonts w:asciiTheme="majorHAnsi" w:eastAsiaTheme="majorEastAsia" w:hAnsiTheme="majorHAnsi" w:cstheme="majorBidi"/>
      <w:color w:val="000000" w:themeColor="text1"/>
    </w:rPr>
    <w:tblPr>
      <w:tblStyleRowBandSize w:val="1"/>
      <w:tblStyleColBandSize w:val="1"/>
      <w:tblInd w:w="0" w:type="dxa"/>
      <w:tblBorders>
        <w:top w:val="single" w:sz="8" w:space="0" w:color="94C600" w:themeColor="accent1"/>
        <w:left w:val="single" w:sz="8" w:space="0" w:color="94C600" w:themeColor="accent1"/>
        <w:bottom w:val="single" w:sz="8" w:space="0" w:color="94C600" w:themeColor="accent1"/>
        <w:right w:val="single" w:sz="8" w:space="0" w:color="94C600"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94C600" w:themeColor="accent1"/>
          <w:right w:val="nil"/>
          <w:insideH w:val="nil"/>
          <w:insideV w:val="nil"/>
        </w:tcBorders>
        <w:shd w:val="clear" w:color="auto" w:fill="FFFFFF" w:themeFill="background1"/>
      </w:tcPr>
    </w:tblStylePr>
    <w:tblStylePr w:type="lastRow">
      <w:tblPr/>
      <w:tcPr>
        <w:tcBorders>
          <w:top w:val="single" w:sz="8" w:space="0" w:color="94C6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4C600" w:themeColor="accent1"/>
          <w:insideH w:val="nil"/>
          <w:insideV w:val="nil"/>
        </w:tcBorders>
        <w:shd w:val="clear" w:color="auto" w:fill="FFFFFF" w:themeFill="background1"/>
      </w:tcPr>
    </w:tblStylePr>
    <w:tblStylePr w:type="lastCol">
      <w:tblPr/>
      <w:tcPr>
        <w:tcBorders>
          <w:top w:val="nil"/>
          <w:left w:val="single" w:sz="8" w:space="0" w:color="94C6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top w:val="nil"/>
          <w:bottom w:val="nil"/>
          <w:insideH w:val="nil"/>
          <w:insideV w:val="nil"/>
        </w:tcBorders>
        <w:shd w:val="clear" w:color="auto" w:fill="EBFFB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fonce-Accent1">
    <w:name w:val="Dark List Accent 1"/>
    <w:basedOn w:val="TableauNormal"/>
    <w:uiPriority w:val="70"/>
    <w:rsid w:val="006E439B"/>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4C600"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9620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6E940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6E9400" w:themeFill="accent1" w:themeFillShade="BF"/>
      </w:tcPr>
    </w:tblStylePr>
    <w:tblStylePr w:type="band1Vert">
      <w:tblPr/>
      <w:tcPr>
        <w:tcBorders>
          <w:top w:val="nil"/>
          <w:left w:val="nil"/>
          <w:bottom w:val="nil"/>
          <w:right w:val="nil"/>
          <w:insideH w:val="nil"/>
          <w:insideV w:val="nil"/>
        </w:tcBorders>
        <w:shd w:val="clear" w:color="auto" w:fill="6E9400" w:themeFill="accent1" w:themeFillShade="BF"/>
      </w:tcPr>
    </w:tblStylePr>
    <w:tblStylePr w:type="band1Horz">
      <w:tblPr/>
      <w:tcPr>
        <w:tcBorders>
          <w:top w:val="nil"/>
          <w:left w:val="nil"/>
          <w:bottom w:val="nil"/>
          <w:right w:val="nil"/>
          <w:insideH w:val="nil"/>
          <w:insideV w:val="nil"/>
        </w:tcBorders>
        <w:shd w:val="clear" w:color="auto" w:fill="6E9400" w:themeFill="accent1" w:themeFillShade="BF"/>
      </w:tcPr>
    </w:tblStylePr>
  </w:style>
  <w:style w:type="table" w:styleId="Grillemoyenne3-Accent1">
    <w:name w:val="Medium Grid 3 Accent 1"/>
    <w:basedOn w:val="TableauNormal"/>
    <w:uiPriority w:val="69"/>
    <w:rsid w:val="006E439B"/>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BFFB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4C60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4C60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4C60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4C60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7FF6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7FF63" w:themeFill="accent1" w:themeFillTint="7F"/>
      </w:tcPr>
    </w:tblStylePr>
  </w:style>
  <w:style w:type="table" w:styleId="Grillemoyenne2-Accent1">
    <w:name w:val="Medium Grid 2 Accent 1"/>
    <w:basedOn w:val="TableauNormal"/>
    <w:uiPriority w:val="68"/>
    <w:rsid w:val="006E439B"/>
    <w:rPr>
      <w:rFonts w:asciiTheme="majorHAnsi" w:eastAsiaTheme="majorEastAsia" w:hAnsiTheme="majorHAnsi" w:cstheme="majorBidi"/>
      <w:color w:val="000000" w:themeColor="text1"/>
    </w:rPr>
    <w:tblPr>
      <w:tblStyleRowBandSize w:val="1"/>
      <w:tblStyleColBandSize w:val="1"/>
      <w:tblInd w:w="0" w:type="dxa"/>
      <w:tblBorders>
        <w:top w:val="single" w:sz="8" w:space="0" w:color="94C600" w:themeColor="accent1"/>
        <w:left w:val="single" w:sz="8" w:space="0" w:color="94C600" w:themeColor="accent1"/>
        <w:bottom w:val="single" w:sz="8" w:space="0" w:color="94C600" w:themeColor="accent1"/>
        <w:right w:val="single" w:sz="8" w:space="0" w:color="94C600" w:themeColor="accent1"/>
        <w:insideH w:val="single" w:sz="8" w:space="0" w:color="94C600" w:themeColor="accent1"/>
        <w:insideV w:val="single" w:sz="8" w:space="0" w:color="94C600" w:themeColor="accent1"/>
      </w:tblBorders>
      <w:tblCellMar>
        <w:top w:w="0" w:type="dxa"/>
        <w:left w:w="108" w:type="dxa"/>
        <w:bottom w:w="0" w:type="dxa"/>
        <w:right w:w="108" w:type="dxa"/>
      </w:tblCellMar>
    </w:tblPr>
    <w:tcPr>
      <w:shd w:val="clear" w:color="auto" w:fill="EBFFB1" w:themeFill="accent1" w:themeFillTint="3F"/>
    </w:tcPr>
    <w:tblStylePr w:type="firstRow">
      <w:rPr>
        <w:b/>
        <w:bCs/>
        <w:color w:val="000000" w:themeColor="text1"/>
      </w:rPr>
      <w:tblPr/>
      <w:tcPr>
        <w:shd w:val="clear" w:color="auto" w:fill="F7FFE0"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FFFC0" w:themeFill="accent1" w:themeFillTint="33"/>
      </w:tcPr>
    </w:tblStylePr>
    <w:tblStylePr w:type="band1Vert">
      <w:tblPr/>
      <w:tcPr>
        <w:shd w:val="clear" w:color="auto" w:fill="D7FF63" w:themeFill="accent1" w:themeFillTint="7F"/>
      </w:tcPr>
    </w:tblStylePr>
    <w:tblStylePr w:type="band1Horz">
      <w:tblPr/>
      <w:tcPr>
        <w:tcBorders>
          <w:insideH w:val="single" w:sz="6" w:space="0" w:color="94C600" w:themeColor="accent1"/>
          <w:insideV w:val="single" w:sz="6" w:space="0" w:color="94C600" w:themeColor="accent1"/>
        </w:tcBorders>
        <w:shd w:val="clear" w:color="auto" w:fill="D7FF63" w:themeFill="accent1" w:themeFillTint="7F"/>
      </w:tcPr>
    </w:tblStylePr>
    <w:tblStylePr w:type="nwCell">
      <w:tblPr/>
      <w:tcPr>
        <w:shd w:val="clear" w:color="auto" w:fill="FFFFFF" w:themeFill="background1"/>
      </w:tcPr>
    </w:tblStylePr>
  </w:style>
  <w:style w:type="table" w:styleId="Listemoyenne1-Accent3">
    <w:name w:val="Medium List 1 Accent 3"/>
    <w:basedOn w:val="TableauNormal"/>
    <w:uiPriority w:val="65"/>
    <w:rsid w:val="006E439B"/>
    <w:rPr>
      <w:color w:val="000000" w:themeColor="text1"/>
    </w:rPr>
    <w:tblPr>
      <w:tblStyleRowBandSize w:val="1"/>
      <w:tblStyleColBandSize w:val="1"/>
      <w:tblInd w:w="0" w:type="dxa"/>
      <w:tblBorders>
        <w:top w:val="single" w:sz="8" w:space="0" w:color="FF6700" w:themeColor="accent3"/>
        <w:bottom w:val="single" w:sz="8" w:space="0" w:color="FF6700"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F6700" w:themeColor="accent3"/>
        </w:tcBorders>
      </w:tcPr>
    </w:tblStylePr>
    <w:tblStylePr w:type="lastRow">
      <w:rPr>
        <w:b/>
        <w:bCs/>
        <w:color w:val="3E3D2D" w:themeColor="text2"/>
      </w:rPr>
      <w:tblPr/>
      <w:tcPr>
        <w:tcBorders>
          <w:top w:val="single" w:sz="8" w:space="0" w:color="FF6700" w:themeColor="accent3"/>
          <w:bottom w:val="single" w:sz="8" w:space="0" w:color="FF6700" w:themeColor="accent3"/>
        </w:tcBorders>
      </w:tcPr>
    </w:tblStylePr>
    <w:tblStylePr w:type="firstCol">
      <w:rPr>
        <w:b/>
        <w:bCs/>
      </w:rPr>
    </w:tblStylePr>
    <w:tblStylePr w:type="lastCol">
      <w:rPr>
        <w:b/>
        <w:bCs/>
      </w:rPr>
      <w:tblPr/>
      <w:tcPr>
        <w:tcBorders>
          <w:top w:val="single" w:sz="8" w:space="0" w:color="FF6700" w:themeColor="accent3"/>
          <w:bottom w:val="single" w:sz="8" w:space="0" w:color="FF6700" w:themeColor="accent3"/>
        </w:tcBorders>
      </w:tcPr>
    </w:tblStylePr>
    <w:tblStylePr w:type="band1Vert">
      <w:tblPr/>
      <w:tcPr>
        <w:shd w:val="clear" w:color="auto" w:fill="FFD9C0" w:themeFill="accent3" w:themeFillTint="3F"/>
      </w:tcPr>
    </w:tblStylePr>
    <w:tblStylePr w:type="band1Horz">
      <w:tblPr/>
      <w:tcPr>
        <w:shd w:val="clear" w:color="auto" w:fill="FFD9C0" w:themeFill="accent3" w:themeFillTint="3F"/>
      </w:tcPr>
    </w:tblStylePr>
  </w:style>
  <w:style w:type="table" w:styleId="Listeclaire">
    <w:name w:val="Light List"/>
    <w:basedOn w:val="TableauNormal"/>
    <w:uiPriority w:val="61"/>
    <w:rsid w:val="00E82A3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Grilleclaire">
    <w:name w:val="Light Grid"/>
    <w:basedOn w:val="TableauNormal"/>
    <w:uiPriority w:val="62"/>
    <w:rsid w:val="00F561C3"/>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Lgende">
    <w:name w:val="caption"/>
    <w:basedOn w:val="Normal"/>
    <w:next w:val="Normal"/>
    <w:uiPriority w:val="35"/>
    <w:unhideWhenUsed/>
    <w:qFormat/>
    <w:rsid w:val="00746418"/>
    <w:pPr>
      <w:spacing w:after="200"/>
    </w:pPr>
    <w:rPr>
      <w:b/>
      <w:bCs/>
      <w:color w:val="94C600" w:themeColor="accent1"/>
      <w:sz w:val="18"/>
      <w:szCs w:val="18"/>
    </w:rPr>
  </w:style>
  <w:style w:type="character" w:styleId="Lienhypertextesuivi">
    <w:name w:val="FollowedHyperlink"/>
    <w:basedOn w:val="Policepardfaut"/>
    <w:uiPriority w:val="99"/>
    <w:semiHidden/>
    <w:unhideWhenUsed/>
    <w:rsid w:val="009E4080"/>
    <w:rPr>
      <w:color w:val="FFA94A" w:themeColor="followedHyperlink"/>
      <w:u w:val="single"/>
    </w:rPr>
  </w:style>
  <w:style w:type="table" w:styleId="Ombrageclair">
    <w:name w:val="Light Shading"/>
    <w:basedOn w:val="TableauNormal"/>
    <w:uiPriority w:val="60"/>
    <w:rsid w:val="00DF17E2"/>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tedebasdepage">
    <w:name w:val="footnote text"/>
    <w:basedOn w:val="Normal"/>
    <w:link w:val="NotedebasdepageCar"/>
    <w:uiPriority w:val="99"/>
    <w:unhideWhenUsed/>
    <w:rsid w:val="008C4262"/>
  </w:style>
  <w:style w:type="character" w:customStyle="1" w:styleId="NotedebasdepageCar">
    <w:name w:val="Note de bas de page Car"/>
    <w:basedOn w:val="Policepardfaut"/>
    <w:link w:val="Notedebasdepage"/>
    <w:uiPriority w:val="99"/>
    <w:rsid w:val="008C4262"/>
    <w:rPr>
      <w:rFonts w:asciiTheme="minorHAnsi" w:hAnsiTheme="minorHAnsi"/>
    </w:rPr>
  </w:style>
  <w:style w:type="character" w:styleId="Marquenotebasdepage">
    <w:name w:val="footnote reference"/>
    <w:basedOn w:val="Policepardfaut"/>
    <w:uiPriority w:val="99"/>
    <w:unhideWhenUsed/>
    <w:rsid w:val="008C4262"/>
    <w:rPr>
      <w:vertAlign w:val="superscript"/>
    </w:rPr>
  </w:style>
  <w:style w:type="table" w:styleId="Tramemoyenne1">
    <w:name w:val="Medium Shading 1"/>
    <w:basedOn w:val="TableauNormal"/>
    <w:uiPriority w:val="63"/>
    <w:rsid w:val="001860FC"/>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Tramemoyenne2-Accent6">
    <w:name w:val="Medium Shading 2 Accent 6"/>
    <w:basedOn w:val="TableauNormal"/>
    <w:uiPriority w:val="64"/>
    <w:rsid w:val="001860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EA02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EA022" w:themeFill="accent6"/>
      </w:tcPr>
    </w:tblStylePr>
    <w:tblStylePr w:type="lastCol">
      <w:rPr>
        <w:b/>
        <w:bCs/>
        <w:color w:val="FFFFFF" w:themeColor="background1"/>
      </w:rPr>
      <w:tblPr/>
      <w:tcPr>
        <w:tcBorders>
          <w:left w:val="nil"/>
          <w:right w:val="nil"/>
          <w:insideH w:val="nil"/>
          <w:insideV w:val="nil"/>
        </w:tcBorders>
        <w:shd w:val="clear" w:color="auto" w:fill="FEA02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Explorateurdedocument">
    <w:name w:val="Document Map"/>
    <w:basedOn w:val="Normal"/>
    <w:link w:val="ExplorateurdedocumentCar"/>
    <w:uiPriority w:val="99"/>
    <w:semiHidden/>
    <w:unhideWhenUsed/>
    <w:rsid w:val="00FD3A91"/>
    <w:rPr>
      <w:rFonts w:ascii="Lucida Grande" w:hAnsi="Lucida Grande" w:cs="Lucida Grande"/>
    </w:rPr>
  </w:style>
  <w:style w:type="character" w:customStyle="1" w:styleId="ExplorateurdedocumentCar">
    <w:name w:val="Explorateur de document Car"/>
    <w:basedOn w:val="Policepardfaut"/>
    <w:link w:val="Explorateurdedocument"/>
    <w:uiPriority w:val="99"/>
    <w:semiHidden/>
    <w:rsid w:val="00FD3A91"/>
    <w:rPr>
      <w:rFonts w:ascii="Lucida Grande" w:hAnsi="Lucida Grande" w:cs="Lucida Grande"/>
    </w:rPr>
  </w:style>
  <w:style w:type="table" w:styleId="Listeclaire-Accent4">
    <w:name w:val="Light List Accent 4"/>
    <w:basedOn w:val="TableauNormal"/>
    <w:uiPriority w:val="61"/>
    <w:rsid w:val="00AD7BC6"/>
    <w:tblPr>
      <w:tblStyleRowBandSize w:val="1"/>
      <w:tblStyleColBandSize w:val="1"/>
      <w:tblInd w:w="0" w:type="dxa"/>
      <w:tblBorders>
        <w:top w:val="single" w:sz="8" w:space="0" w:color="909465" w:themeColor="accent4"/>
        <w:left w:val="single" w:sz="8" w:space="0" w:color="909465" w:themeColor="accent4"/>
        <w:bottom w:val="single" w:sz="8" w:space="0" w:color="909465" w:themeColor="accent4"/>
        <w:right w:val="single" w:sz="8" w:space="0" w:color="909465"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09465" w:themeFill="accent4"/>
      </w:tcPr>
    </w:tblStylePr>
    <w:tblStylePr w:type="lastRow">
      <w:pPr>
        <w:spacing w:before="0" w:after="0" w:line="240" w:lineRule="auto"/>
      </w:pPr>
      <w:rPr>
        <w:b/>
        <w:bCs/>
      </w:rPr>
      <w:tblPr/>
      <w:tcPr>
        <w:tcBorders>
          <w:top w:val="double" w:sz="6" w:space="0" w:color="909465" w:themeColor="accent4"/>
          <w:left w:val="single" w:sz="8" w:space="0" w:color="909465" w:themeColor="accent4"/>
          <w:bottom w:val="single" w:sz="8" w:space="0" w:color="909465" w:themeColor="accent4"/>
          <w:right w:val="single" w:sz="8" w:space="0" w:color="909465" w:themeColor="accent4"/>
        </w:tcBorders>
      </w:tcPr>
    </w:tblStylePr>
    <w:tblStylePr w:type="firstCol">
      <w:rPr>
        <w:b/>
        <w:bCs/>
      </w:rPr>
    </w:tblStylePr>
    <w:tblStylePr w:type="lastCol">
      <w:rPr>
        <w:b/>
        <w:bCs/>
      </w:rPr>
    </w:tblStylePr>
    <w:tblStylePr w:type="band1Vert">
      <w:tblPr/>
      <w:tcPr>
        <w:tcBorders>
          <w:top w:val="single" w:sz="8" w:space="0" w:color="909465" w:themeColor="accent4"/>
          <w:left w:val="single" w:sz="8" w:space="0" w:color="909465" w:themeColor="accent4"/>
          <w:bottom w:val="single" w:sz="8" w:space="0" w:color="909465" w:themeColor="accent4"/>
          <w:right w:val="single" w:sz="8" w:space="0" w:color="909465" w:themeColor="accent4"/>
        </w:tcBorders>
      </w:tcPr>
    </w:tblStylePr>
    <w:tblStylePr w:type="band1Horz">
      <w:tblPr/>
      <w:tcPr>
        <w:tcBorders>
          <w:top w:val="single" w:sz="8" w:space="0" w:color="909465" w:themeColor="accent4"/>
          <w:left w:val="single" w:sz="8" w:space="0" w:color="909465" w:themeColor="accent4"/>
          <w:bottom w:val="single" w:sz="8" w:space="0" w:color="909465" w:themeColor="accent4"/>
          <w:right w:val="single" w:sz="8" w:space="0" w:color="909465" w:themeColor="accent4"/>
        </w:tcBorders>
      </w:tcPr>
    </w:tblStylePr>
  </w:style>
  <w:style w:type="table" w:styleId="Listemoyenne2-Accent2">
    <w:name w:val="Medium List 2 Accent 2"/>
    <w:basedOn w:val="TableauNormal"/>
    <w:uiPriority w:val="66"/>
    <w:rsid w:val="00C50D84"/>
    <w:rPr>
      <w:rFonts w:asciiTheme="majorHAnsi" w:eastAsiaTheme="majorEastAsia" w:hAnsiTheme="majorHAnsi" w:cstheme="majorBidi"/>
      <w:color w:val="000000" w:themeColor="text1"/>
    </w:rPr>
    <w:tblPr>
      <w:tblStyleRowBandSize w:val="1"/>
      <w:tblStyleColBandSize w:val="1"/>
      <w:tblInd w:w="0" w:type="dxa"/>
      <w:tblBorders>
        <w:top w:val="single" w:sz="8" w:space="0" w:color="71685A" w:themeColor="accent2"/>
        <w:left w:val="single" w:sz="8" w:space="0" w:color="71685A" w:themeColor="accent2"/>
        <w:bottom w:val="single" w:sz="8" w:space="0" w:color="71685A" w:themeColor="accent2"/>
        <w:right w:val="single" w:sz="8" w:space="0" w:color="71685A"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71685A" w:themeColor="accent2"/>
          <w:right w:val="nil"/>
          <w:insideH w:val="nil"/>
          <w:insideV w:val="nil"/>
        </w:tcBorders>
        <w:shd w:val="clear" w:color="auto" w:fill="FFFFFF" w:themeFill="background1"/>
      </w:tcPr>
    </w:tblStylePr>
    <w:tblStylePr w:type="lastRow">
      <w:tblPr/>
      <w:tcPr>
        <w:tcBorders>
          <w:top w:val="single" w:sz="8" w:space="0" w:color="71685A"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1685A" w:themeColor="accent2"/>
          <w:insideH w:val="nil"/>
          <w:insideV w:val="nil"/>
        </w:tcBorders>
        <w:shd w:val="clear" w:color="auto" w:fill="FFFFFF" w:themeFill="background1"/>
      </w:tcPr>
    </w:tblStylePr>
    <w:tblStylePr w:type="lastCol">
      <w:tblPr/>
      <w:tcPr>
        <w:tcBorders>
          <w:top w:val="nil"/>
          <w:left w:val="single" w:sz="8" w:space="0" w:color="71685A"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DD9D4" w:themeFill="accent2" w:themeFillTint="3F"/>
      </w:tcPr>
    </w:tblStylePr>
    <w:tblStylePr w:type="band1Horz">
      <w:tblPr/>
      <w:tcPr>
        <w:tcBorders>
          <w:top w:val="nil"/>
          <w:bottom w:val="nil"/>
          <w:insideH w:val="nil"/>
          <w:insideV w:val="nil"/>
        </w:tcBorders>
        <w:shd w:val="clear" w:color="auto" w:fill="DDD9D4" w:themeFill="accent2" w:themeFillTint="3F"/>
      </w:tcPr>
    </w:tblStylePr>
    <w:tblStylePr w:type="nwCell">
      <w:tblPr/>
      <w:tcPr>
        <w:shd w:val="clear" w:color="auto" w:fill="FFFFFF" w:themeFill="background1"/>
      </w:tcPr>
    </w:tblStylePr>
    <w:tblStylePr w:type="swCell">
      <w:tblPr/>
      <w:tcPr>
        <w:tcBorders>
          <w:top w:val="nil"/>
        </w:tcBorders>
      </w:tcPr>
    </w:tblStylePr>
  </w:style>
  <w:style w:type="paragraph" w:styleId="Notedefin">
    <w:name w:val="endnote text"/>
    <w:basedOn w:val="Normal"/>
    <w:link w:val="NotedefinCar"/>
    <w:uiPriority w:val="99"/>
    <w:unhideWhenUsed/>
    <w:rsid w:val="00B1437E"/>
  </w:style>
  <w:style w:type="character" w:customStyle="1" w:styleId="NotedefinCar">
    <w:name w:val="Note de fin Car"/>
    <w:basedOn w:val="Policepardfaut"/>
    <w:link w:val="Notedefin"/>
    <w:uiPriority w:val="99"/>
    <w:rsid w:val="00B1437E"/>
    <w:rPr>
      <w:rFonts w:asciiTheme="minorHAnsi" w:hAnsiTheme="minorHAnsi"/>
    </w:rPr>
  </w:style>
  <w:style w:type="character" w:styleId="Marquedenotedefin">
    <w:name w:val="endnote reference"/>
    <w:basedOn w:val="Policepardfaut"/>
    <w:uiPriority w:val="99"/>
    <w:unhideWhenUsed/>
    <w:rsid w:val="00B1437E"/>
    <w:rPr>
      <w:vertAlign w:val="superscript"/>
    </w:rPr>
  </w:style>
  <w:style w:type="character" w:customStyle="1" w:styleId="Titre9Car">
    <w:name w:val="Titre 9 Car"/>
    <w:basedOn w:val="Policepardfaut"/>
    <w:link w:val="Titre9"/>
    <w:uiPriority w:val="9"/>
    <w:semiHidden/>
    <w:rsid w:val="002256F1"/>
    <w:rPr>
      <w:rFonts w:asciiTheme="majorHAnsi" w:eastAsiaTheme="majorEastAsia" w:hAnsiTheme="majorHAnsi" w:cstheme="majorBidi"/>
      <w:i/>
      <w:iCs/>
      <w:color w:val="404040" w:themeColor="text1" w:themeTint="BF"/>
      <w:sz w:val="20"/>
      <w:szCs w:val="20"/>
    </w:rPr>
  </w:style>
  <w:style w:type="table" w:styleId="Tramemoyenne2-Accent2">
    <w:name w:val="Medium Shading 2 Accent 2"/>
    <w:basedOn w:val="TableauNormal"/>
    <w:uiPriority w:val="64"/>
    <w:rsid w:val="005556E3"/>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1685A"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1685A" w:themeFill="accent2"/>
      </w:tcPr>
    </w:tblStylePr>
    <w:tblStylePr w:type="lastCol">
      <w:rPr>
        <w:b/>
        <w:bCs/>
        <w:color w:val="FFFFFF" w:themeColor="background1"/>
      </w:rPr>
      <w:tblPr/>
      <w:tcPr>
        <w:tcBorders>
          <w:left w:val="nil"/>
          <w:right w:val="nil"/>
          <w:insideH w:val="nil"/>
          <w:insideV w:val="nil"/>
        </w:tcBorders>
        <w:shd w:val="clear" w:color="auto" w:fill="71685A"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llemoyenne3">
    <w:name w:val="Medium Grid 3"/>
    <w:basedOn w:val="TableauNormal"/>
    <w:uiPriority w:val="69"/>
    <w:rsid w:val="005556E3"/>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Listefonce">
    <w:name w:val="Dark List"/>
    <w:basedOn w:val="TableauNormal"/>
    <w:uiPriority w:val="70"/>
    <w:rsid w:val="005556E3"/>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efonce-Accent4">
    <w:name w:val="Dark List Accent 4"/>
    <w:basedOn w:val="TableauNormal"/>
    <w:uiPriority w:val="70"/>
    <w:rsid w:val="005556E3"/>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0946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7493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B6E4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B6E4B" w:themeFill="accent4" w:themeFillShade="BF"/>
      </w:tcPr>
    </w:tblStylePr>
    <w:tblStylePr w:type="band1Vert">
      <w:tblPr/>
      <w:tcPr>
        <w:tcBorders>
          <w:top w:val="nil"/>
          <w:left w:val="nil"/>
          <w:bottom w:val="nil"/>
          <w:right w:val="nil"/>
          <w:insideH w:val="nil"/>
          <w:insideV w:val="nil"/>
        </w:tcBorders>
        <w:shd w:val="clear" w:color="auto" w:fill="6B6E4B" w:themeFill="accent4" w:themeFillShade="BF"/>
      </w:tcPr>
    </w:tblStylePr>
    <w:tblStylePr w:type="band1Horz">
      <w:tblPr/>
      <w:tcPr>
        <w:tcBorders>
          <w:top w:val="nil"/>
          <w:left w:val="nil"/>
          <w:bottom w:val="nil"/>
          <w:right w:val="nil"/>
          <w:insideH w:val="nil"/>
          <w:insideV w:val="nil"/>
        </w:tcBorders>
        <w:shd w:val="clear" w:color="auto" w:fill="6B6E4B" w:themeFill="accent4" w:themeFillShade="BF"/>
      </w:tcPr>
    </w:tblStylePr>
  </w:style>
  <w:style w:type="table" w:styleId="Grillecouleur-Accent4">
    <w:name w:val="Colorful Grid Accent 4"/>
    <w:basedOn w:val="TableauNormal"/>
    <w:uiPriority w:val="73"/>
    <w:rsid w:val="005556E3"/>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8E9DF" w:themeFill="accent4" w:themeFillTint="33"/>
    </w:tcPr>
    <w:tblStylePr w:type="firstRow">
      <w:rPr>
        <w:b/>
        <w:bCs/>
      </w:rPr>
      <w:tblPr/>
      <w:tcPr>
        <w:shd w:val="clear" w:color="auto" w:fill="D2D4C0" w:themeFill="accent4" w:themeFillTint="66"/>
      </w:tcPr>
    </w:tblStylePr>
    <w:tblStylePr w:type="lastRow">
      <w:rPr>
        <w:b/>
        <w:bCs/>
        <w:color w:val="000000" w:themeColor="text1"/>
      </w:rPr>
      <w:tblPr/>
      <w:tcPr>
        <w:shd w:val="clear" w:color="auto" w:fill="D2D4C0" w:themeFill="accent4" w:themeFillTint="66"/>
      </w:tcPr>
    </w:tblStylePr>
    <w:tblStylePr w:type="firstCol">
      <w:rPr>
        <w:color w:val="FFFFFF" w:themeColor="background1"/>
      </w:rPr>
      <w:tblPr/>
      <w:tcPr>
        <w:shd w:val="clear" w:color="auto" w:fill="6B6E4B" w:themeFill="accent4" w:themeFillShade="BF"/>
      </w:tcPr>
    </w:tblStylePr>
    <w:tblStylePr w:type="lastCol">
      <w:rPr>
        <w:color w:val="FFFFFF" w:themeColor="background1"/>
      </w:rPr>
      <w:tblPr/>
      <w:tcPr>
        <w:shd w:val="clear" w:color="auto" w:fill="6B6E4B" w:themeFill="accent4" w:themeFillShade="BF"/>
      </w:tcPr>
    </w:tblStylePr>
    <w:tblStylePr w:type="band1Vert">
      <w:tblPr/>
      <w:tcPr>
        <w:shd w:val="clear" w:color="auto" w:fill="C8CAB1" w:themeFill="accent4" w:themeFillTint="7F"/>
      </w:tcPr>
    </w:tblStylePr>
    <w:tblStylePr w:type="band1Horz">
      <w:tblPr/>
      <w:tcPr>
        <w:shd w:val="clear" w:color="auto" w:fill="C8CAB1" w:themeFill="accent4" w:themeFillTint="7F"/>
      </w:tcPr>
    </w:tblStylePr>
  </w:style>
  <w:style w:type="table" w:styleId="Grillemoyenne2">
    <w:name w:val="Medium Grid 2"/>
    <w:basedOn w:val="TableauNormal"/>
    <w:uiPriority w:val="68"/>
    <w:rsid w:val="005556E3"/>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rillemoyenne2-Accent2">
    <w:name w:val="Medium Grid 2 Accent 2"/>
    <w:basedOn w:val="TableauNormal"/>
    <w:uiPriority w:val="68"/>
    <w:rsid w:val="005556E3"/>
    <w:rPr>
      <w:rFonts w:asciiTheme="majorHAnsi" w:eastAsiaTheme="majorEastAsia" w:hAnsiTheme="majorHAnsi" w:cstheme="majorBidi"/>
      <w:color w:val="000000" w:themeColor="text1"/>
    </w:rPr>
    <w:tblPr>
      <w:tblStyleRowBandSize w:val="1"/>
      <w:tblStyleColBandSize w:val="1"/>
      <w:tblInd w:w="0" w:type="dxa"/>
      <w:tblBorders>
        <w:top w:val="single" w:sz="8" w:space="0" w:color="71685A" w:themeColor="accent2"/>
        <w:left w:val="single" w:sz="8" w:space="0" w:color="71685A" w:themeColor="accent2"/>
        <w:bottom w:val="single" w:sz="8" w:space="0" w:color="71685A" w:themeColor="accent2"/>
        <w:right w:val="single" w:sz="8" w:space="0" w:color="71685A" w:themeColor="accent2"/>
        <w:insideH w:val="single" w:sz="8" w:space="0" w:color="71685A" w:themeColor="accent2"/>
        <w:insideV w:val="single" w:sz="8" w:space="0" w:color="71685A" w:themeColor="accent2"/>
      </w:tblBorders>
      <w:tblCellMar>
        <w:top w:w="0" w:type="dxa"/>
        <w:left w:w="108" w:type="dxa"/>
        <w:bottom w:w="0" w:type="dxa"/>
        <w:right w:w="108" w:type="dxa"/>
      </w:tblCellMar>
    </w:tblPr>
    <w:tcPr>
      <w:shd w:val="clear" w:color="auto" w:fill="DDD9D4" w:themeFill="accent2" w:themeFillTint="3F"/>
    </w:tcPr>
    <w:tblStylePr w:type="firstRow">
      <w:rPr>
        <w:b/>
        <w:bCs/>
        <w:color w:val="000000" w:themeColor="text1"/>
      </w:rPr>
      <w:tblPr/>
      <w:tcPr>
        <w:shd w:val="clear" w:color="auto" w:fill="F1F0EE"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E0DC" w:themeFill="accent2" w:themeFillTint="33"/>
      </w:tcPr>
    </w:tblStylePr>
    <w:tblStylePr w:type="band1Vert">
      <w:tblPr/>
      <w:tcPr>
        <w:shd w:val="clear" w:color="auto" w:fill="BBB4A9" w:themeFill="accent2" w:themeFillTint="7F"/>
      </w:tcPr>
    </w:tblStylePr>
    <w:tblStylePr w:type="band1Horz">
      <w:tblPr/>
      <w:tcPr>
        <w:tcBorders>
          <w:insideH w:val="single" w:sz="6" w:space="0" w:color="71685A" w:themeColor="accent2"/>
          <w:insideV w:val="single" w:sz="6" w:space="0" w:color="71685A" w:themeColor="accent2"/>
        </w:tcBorders>
        <w:shd w:val="clear" w:color="auto" w:fill="BBB4A9" w:themeFill="accent2" w:themeFillTint="7F"/>
      </w:tcPr>
    </w:tblStylePr>
    <w:tblStylePr w:type="nwCell">
      <w:tblPr/>
      <w:tcPr>
        <w:shd w:val="clear" w:color="auto" w:fill="FFFFFF" w:themeFill="background1"/>
      </w:tcPr>
    </w:tblStylePr>
  </w:style>
  <w:style w:type="table" w:styleId="Grillemoyenne2-Accent4">
    <w:name w:val="Medium Grid 2 Accent 4"/>
    <w:basedOn w:val="TableauNormal"/>
    <w:uiPriority w:val="68"/>
    <w:rsid w:val="005556E3"/>
    <w:rPr>
      <w:rFonts w:asciiTheme="majorHAnsi" w:eastAsiaTheme="majorEastAsia" w:hAnsiTheme="majorHAnsi" w:cstheme="majorBidi"/>
      <w:color w:val="000000" w:themeColor="text1"/>
    </w:rPr>
    <w:tblPr>
      <w:tblStyleRowBandSize w:val="1"/>
      <w:tblStyleColBandSize w:val="1"/>
      <w:tblInd w:w="0" w:type="dxa"/>
      <w:tblBorders>
        <w:top w:val="single" w:sz="8" w:space="0" w:color="909465" w:themeColor="accent4"/>
        <w:left w:val="single" w:sz="8" w:space="0" w:color="909465" w:themeColor="accent4"/>
        <w:bottom w:val="single" w:sz="8" w:space="0" w:color="909465" w:themeColor="accent4"/>
        <w:right w:val="single" w:sz="8" w:space="0" w:color="909465" w:themeColor="accent4"/>
        <w:insideH w:val="single" w:sz="8" w:space="0" w:color="909465" w:themeColor="accent4"/>
        <w:insideV w:val="single" w:sz="8" w:space="0" w:color="909465" w:themeColor="accent4"/>
      </w:tblBorders>
      <w:tblCellMar>
        <w:top w:w="0" w:type="dxa"/>
        <w:left w:w="108" w:type="dxa"/>
        <w:bottom w:w="0" w:type="dxa"/>
        <w:right w:w="108" w:type="dxa"/>
      </w:tblCellMar>
    </w:tblPr>
    <w:tcPr>
      <w:shd w:val="clear" w:color="auto" w:fill="E3E4D8" w:themeFill="accent4" w:themeFillTint="3F"/>
    </w:tcPr>
    <w:tblStylePr w:type="firstRow">
      <w:rPr>
        <w:b/>
        <w:bCs/>
        <w:color w:val="000000" w:themeColor="text1"/>
      </w:rPr>
      <w:tblPr/>
      <w:tcPr>
        <w:shd w:val="clear" w:color="auto" w:fill="F4F4E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9DF" w:themeFill="accent4" w:themeFillTint="33"/>
      </w:tcPr>
    </w:tblStylePr>
    <w:tblStylePr w:type="band1Vert">
      <w:tblPr/>
      <w:tcPr>
        <w:shd w:val="clear" w:color="auto" w:fill="C8CAB1" w:themeFill="accent4" w:themeFillTint="7F"/>
      </w:tcPr>
    </w:tblStylePr>
    <w:tblStylePr w:type="band1Horz">
      <w:tblPr/>
      <w:tcPr>
        <w:tcBorders>
          <w:insideH w:val="single" w:sz="6" w:space="0" w:color="909465" w:themeColor="accent4"/>
          <w:insideV w:val="single" w:sz="6" w:space="0" w:color="909465" w:themeColor="accent4"/>
        </w:tcBorders>
        <w:shd w:val="clear" w:color="auto" w:fill="C8CAB1" w:themeFill="accent4" w:themeFillTint="7F"/>
      </w:tcPr>
    </w:tblStylePr>
    <w:tblStylePr w:type="nwCell">
      <w:tblPr/>
      <w:tcPr>
        <w:shd w:val="clear" w:color="auto" w:fill="FFFFFF" w:themeFill="background1"/>
      </w:tcPr>
    </w:tblStylePr>
  </w:style>
  <w:style w:type="table" w:styleId="Grillemoyenne1">
    <w:name w:val="Medium Grid 1"/>
    <w:basedOn w:val="TableauNormal"/>
    <w:uiPriority w:val="67"/>
    <w:rsid w:val="005556E3"/>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Listemoyenne1-Accent4">
    <w:name w:val="Medium List 1 Accent 4"/>
    <w:basedOn w:val="TableauNormal"/>
    <w:uiPriority w:val="65"/>
    <w:rsid w:val="005556E3"/>
    <w:rPr>
      <w:color w:val="000000" w:themeColor="text1"/>
    </w:rPr>
    <w:tblPr>
      <w:tblStyleRowBandSize w:val="1"/>
      <w:tblStyleColBandSize w:val="1"/>
      <w:tblInd w:w="0" w:type="dxa"/>
      <w:tblBorders>
        <w:top w:val="single" w:sz="8" w:space="0" w:color="909465" w:themeColor="accent4"/>
        <w:bottom w:val="single" w:sz="8" w:space="0" w:color="909465"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09465" w:themeColor="accent4"/>
        </w:tcBorders>
      </w:tcPr>
    </w:tblStylePr>
    <w:tblStylePr w:type="lastRow">
      <w:rPr>
        <w:b/>
        <w:bCs/>
        <w:color w:val="3E3D2D" w:themeColor="text2"/>
      </w:rPr>
      <w:tblPr/>
      <w:tcPr>
        <w:tcBorders>
          <w:top w:val="single" w:sz="8" w:space="0" w:color="909465" w:themeColor="accent4"/>
          <w:bottom w:val="single" w:sz="8" w:space="0" w:color="909465" w:themeColor="accent4"/>
        </w:tcBorders>
      </w:tcPr>
    </w:tblStylePr>
    <w:tblStylePr w:type="firstCol">
      <w:rPr>
        <w:b/>
        <w:bCs/>
      </w:rPr>
    </w:tblStylePr>
    <w:tblStylePr w:type="lastCol">
      <w:rPr>
        <w:b/>
        <w:bCs/>
      </w:rPr>
      <w:tblPr/>
      <w:tcPr>
        <w:tcBorders>
          <w:top w:val="single" w:sz="8" w:space="0" w:color="909465" w:themeColor="accent4"/>
          <w:bottom w:val="single" w:sz="8" w:space="0" w:color="909465" w:themeColor="accent4"/>
        </w:tcBorders>
      </w:tcPr>
    </w:tblStylePr>
    <w:tblStylePr w:type="band1Vert">
      <w:tblPr/>
      <w:tcPr>
        <w:shd w:val="clear" w:color="auto" w:fill="E3E4D8" w:themeFill="accent4" w:themeFillTint="3F"/>
      </w:tcPr>
    </w:tblStylePr>
    <w:tblStylePr w:type="band1Horz">
      <w:tblPr/>
      <w:tcPr>
        <w:shd w:val="clear" w:color="auto" w:fill="E3E4D8" w:themeFill="accent4" w:themeFillTint="3F"/>
      </w:tcPr>
    </w:tblStylePr>
  </w:style>
  <w:style w:type="table" w:styleId="Listemoyenne2">
    <w:name w:val="Medium List 2"/>
    <w:basedOn w:val="TableauNormal"/>
    <w:uiPriority w:val="66"/>
    <w:rsid w:val="005556E3"/>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1-Accent5">
    <w:name w:val="Medium List 1 Accent 5"/>
    <w:basedOn w:val="TableauNormal"/>
    <w:uiPriority w:val="65"/>
    <w:rsid w:val="005556E3"/>
    <w:rPr>
      <w:color w:val="000000" w:themeColor="text1"/>
    </w:rPr>
    <w:tblPr>
      <w:tblStyleRowBandSize w:val="1"/>
      <w:tblStyleColBandSize w:val="1"/>
      <w:tblInd w:w="0" w:type="dxa"/>
      <w:tblBorders>
        <w:top w:val="single" w:sz="8" w:space="0" w:color="956B43" w:themeColor="accent5"/>
        <w:bottom w:val="single" w:sz="8" w:space="0" w:color="956B43"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56B43" w:themeColor="accent5"/>
        </w:tcBorders>
      </w:tcPr>
    </w:tblStylePr>
    <w:tblStylePr w:type="lastRow">
      <w:rPr>
        <w:b/>
        <w:bCs/>
        <w:color w:val="3E3D2D" w:themeColor="text2"/>
      </w:rPr>
      <w:tblPr/>
      <w:tcPr>
        <w:tcBorders>
          <w:top w:val="single" w:sz="8" w:space="0" w:color="956B43" w:themeColor="accent5"/>
          <w:bottom w:val="single" w:sz="8" w:space="0" w:color="956B43" w:themeColor="accent5"/>
        </w:tcBorders>
      </w:tcPr>
    </w:tblStylePr>
    <w:tblStylePr w:type="firstCol">
      <w:rPr>
        <w:b/>
        <w:bCs/>
      </w:rPr>
    </w:tblStylePr>
    <w:tblStylePr w:type="lastCol">
      <w:rPr>
        <w:b/>
        <w:bCs/>
      </w:rPr>
      <w:tblPr/>
      <w:tcPr>
        <w:tcBorders>
          <w:top w:val="single" w:sz="8" w:space="0" w:color="956B43" w:themeColor="accent5"/>
          <w:bottom w:val="single" w:sz="8" w:space="0" w:color="956B43" w:themeColor="accent5"/>
        </w:tcBorders>
      </w:tcPr>
    </w:tblStylePr>
    <w:tblStylePr w:type="band1Vert">
      <w:tblPr/>
      <w:tcPr>
        <w:shd w:val="clear" w:color="auto" w:fill="E8DACC" w:themeFill="accent5" w:themeFillTint="3F"/>
      </w:tcPr>
    </w:tblStylePr>
    <w:tblStylePr w:type="band1Horz">
      <w:tblPr/>
      <w:tcPr>
        <w:shd w:val="clear" w:color="auto" w:fill="E8DACC" w:themeFill="accent5" w:themeFillTint="3F"/>
      </w:tcPr>
    </w:tblStylePr>
  </w:style>
  <w:style w:type="table" w:styleId="Tramemoyenne1-Accent2">
    <w:name w:val="Medium Shading 1 Accent 2"/>
    <w:basedOn w:val="TableauNormal"/>
    <w:uiPriority w:val="63"/>
    <w:rsid w:val="005556E3"/>
    <w:tblPr>
      <w:tblStyleRowBandSize w:val="1"/>
      <w:tblStyleColBandSize w:val="1"/>
      <w:tblInd w:w="0" w:type="dxa"/>
      <w:tbl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single" w:sz="8" w:space="0" w:color="998E7E"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nil"/>
          <w:insideV w:val="nil"/>
        </w:tcBorders>
        <w:shd w:val="clear" w:color="auto" w:fill="71685A" w:themeFill="accent2"/>
      </w:tcPr>
    </w:tblStylePr>
    <w:tblStylePr w:type="lastRow">
      <w:pPr>
        <w:spacing w:before="0" w:after="0" w:line="240" w:lineRule="auto"/>
      </w:pPr>
      <w:rPr>
        <w:b/>
        <w:bCs/>
      </w:rPr>
      <w:tblPr/>
      <w:tcPr>
        <w:tcBorders>
          <w:top w:val="double" w:sz="6"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nil"/>
          <w:insideV w:val="nil"/>
        </w:tcBorders>
      </w:tcPr>
    </w:tblStylePr>
    <w:tblStylePr w:type="firstCol">
      <w:rPr>
        <w:b/>
        <w:bCs/>
      </w:rPr>
    </w:tblStylePr>
    <w:tblStylePr w:type="lastCol">
      <w:rPr>
        <w:b/>
        <w:bCs/>
      </w:rPr>
    </w:tblStylePr>
    <w:tblStylePr w:type="band1Vert">
      <w:tblPr/>
      <w:tcPr>
        <w:shd w:val="clear" w:color="auto" w:fill="DDD9D4" w:themeFill="accent2" w:themeFillTint="3F"/>
      </w:tcPr>
    </w:tblStylePr>
    <w:tblStylePr w:type="band1Horz">
      <w:tblPr/>
      <w:tcPr>
        <w:tcBorders>
          <w:insideH w:val="nil"/>
          <w:insideV w:val="nil"/>
        </w:tcBorders>
        <w:shd w:val="clear" w:color="auto" w:fill="DDD9D4" w:themeFill="accent2" w:themeFillTint="3F"/>
      </w:tcPr>
    </w:tblStylePr>
    <w:tblStylePr w:type="band2Horz">
      <w:tblPr/>
      <w:tcPr>
        <w:tcBorders>
          <w:insideH w:val="nil"/>
          <w:insideV w:val="nil"/>
        </w:tcBorders>
      </w:tcPr>
    </w:tblStylePr>
  </w:style>
  <w:style w:type="table" w:styleId="Grilleclaire-Accent2">
    <w:name w:val="Light Grid Accent 2"/>
    <w:basedOn w:val="TableauNormal"/>
    <w:uiPriority w:val="62"/>
    <w:rsid w:val="005556E3"/>
    <w:tblPr>
      <w:tblStyleRowBandSize w:val="1"/>
      <w:tblStyleColBandSize w:val="1"/>
      <w:tblInd w:w="0" w:type="dxa"/>
      <w:tblBorders>
        <w:top w:val="single" w:sz="8" w:space="0" w:color="71685A" w:themeColor="accent2"/>
        <w:left w:val="single" w:sz="8" w:space="0" w:color="71685A" w:themeColor="accent2"/>
        <w:bottom w:val="single" w:sz="8" w:space="0" w:color="71685A" w:themeColor="accent2"/>
        <w:right w:val="single" w:sz="8" w:space="0" w:color="71685A" w:themeColor="accent2"/>
        <w:insideH w:val="single" w:sz="8" w:space="0" w:color="71685A" w:themeColor="accent2"/>
        <w:insideV w:val="single" w:sz="8" w:space="0" w:color="71685A"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1685A" w:themeColor="accent2"/>
          <w:left w:val="single" w:sz="8" w:space="0" w:color="71685A" w:themeColor="accent2"/>
          <w:bottom w:val="single" w:sz="18" w:space="0" w:color="71685A" w:themeColor="accent2"/>
          <w:right w:val="single" w:sz="8" w:space="0" w:color="71685A" w:themeColor="accent2"/>
          <w:insideH w:val="nil"/>
          <w:insideV w:val="single" w:sz="8" w:space="0" w:color="71685A"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685A" w:themeColor="accent2"/>
          <w:left w:val="single" w:sz="8" w:space="0" w:color="71685A" w:themeColor="accent2"/>
          <w:bottom w:val="single" w:sz="8" w:space="0" w:color="71685A" w:themeColor="accent2"/>
          <w:right w:val="single" w:sz="8" w:space="0" w:color="71685A" w:themeColor="accent2"/>
          <w:insideH w:val="nil"/>
          <w:insideV w:val="single" w:sz="8" w:space="0" w:color="71685A"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685A" w:themeColor="accent2"/>
          <w:left w:val="single" w:sz="8" w:space="0" w:color="71685A" w:themeColor="accent2"/>
          <w:bottom w:val="single" w:sz="8" w:space="0" w:color="71685A" w:themeColor="accent2"/>
          <w:right w:val="single" w:sz="8" w:space="0" w:color="71685A" w:themeColor="accent2"/>
        </w:tcBorders>
      </w:tcPr>
    </w:tblStylePr>
    <w:tblStylePr w:type="band1Vert">
      <w:tblPr/>
      <w:tcPr>
        <w:tcBorders>
          <w:top w:val="single" w:sz="8" w:space="0" w:color="71685A" w:themeColor="accent2"/>
          <w:left w:val="single" w:sz="8" w:space="0" w:color="71685A" w:themeColor="accent2"/>
          <w:bottom w:val="single" w:sz="8" w:space="0" w:color="71685A" w:themeColor="accent2"/>
          <w:right w:val="single" w:sz="8" w:space="0" w:color="71685A" w:themeColor="accent2"/>
        </w:tcBorders>
        <w:shd w:val="clear" w:color="auto" w:fill="DDD9D4" w:themeFill="accent2" w:themeFillTint="3F"/>
      </w:tcPr>
    </w:tblStylePr>
    <w:tblStylePr w:type="band1Horz">
      <w:tblPr/>
      <w:tcPr>
        <w:tcBorders>
          <w:top w:val="single" w:sz="8" w:space="0" w:color="71685A" w:themeColor="accent2"/>
          <w:left w:val="single" w:sz="8" w:space="0" w:color="71685A" w:themeColor="accent2"/>
          <w:bottom w:val="single" w:sz="8" w:space="0" w:color="71685A" w:themeColor="accent2"/>
          <w:right w:val="single" w:sz="8" w:space="0" w:color="71685A" w:themeColor="accent2"/>
          <w:insideV w:val="single" w:sz="8" w:space="0" w:color="71685A" w:themeColor="accent2"/>
        </w:tcBorders>
        <w:shd w:val="clear" w:color="auto" w:fill="DDD9D4" w:themeFill="accent2" w:themeFillTint="3F"/>
      </w:tcPr>
    </w:tblStylePr>
    <w:tblStylePr w:type="band2Horz">
      <w:tblPr/>
      <w:tcPr>
        <w:tcBorders>
          <w:top w:val="single" w:sz="8" w:space="0" w:color="71685A" w:themeColor="accent2"/>
          <w:left w:val="single" w:sz="8" w:space="0" w:color="71685A" w:themeColor="accent2"/>
          <w:bottom w:val="single" w:sz="8" w:space="0" w:color="71685A" w:themeColor="accent2"/>
          <w:right w:val="single" w:sz="8" w:space="0" w:color="71685A" w:themeColor="accent2"/>
          <w:insideV w:val="single" w:sz="8" w:space="0" w:color="71685A" w:themeColor="accent2"/>
        </w:tcBorders>
      </w:tcPr>
    </w:tblStylePr>
  </w:style>
  <w:style w:type="table" w:styleId="Trameclaire-Accent4">
    <w:name w:val="Light Shading Accent 4"/>
    <w:basedOn w:val="TableauNormal"/>
    <w:uiPriority w:val="60"/>
    <w:rsid w:val="005556E3"/>
    <w:rPr>
      <w:color w:val="6B6E4B" w:themeColor="accent4" w:themeShade="BF"/>
    </w:rPr>
    <w:tblPr>
      <w:tblStyleRowBandSize w:val="1"/>
      <w:tblStyleColBandSize w:val="1"/>
      <w:tblInd w:w="0" w:type="dxa"/>
      <w:tblBorders>
        <w:top w:val="single" w:sz="8" w:space="0" w:color="909465" w:themeColor="accent4"/>
        <w:bottom w:val="single" w:sz="8" w:space="0" w:color="909465"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09465" w:themeColor="accent4"/>
          <w:left w:val="nil"/>
          <w:bottom w:val="single" w:sz="8" w:space="0" w:color="909465" w:themeColor="accent4"/>
          <w:right w:val="nil"/>
          <w:insideH w:val="nil"/>
          <w:insideV w:val="nil"/>
        </w:tcBorders>
      </w:tcPr>
    </w:tblStylePr>
    <w:tblStylePr w:type="lastRow">
      <w:pPr>
        <w:spacing w:before="0" w:after="0" w:line="240" w:lineRule="auto"/>
      </w:pPr>
      <w:rPr>
        <w:b/>
        <w:bCs/>
      </w:rPr>
      <w:tblPr/>
      <w:tcPr>
        <w:tcBorders>
          <w:top w:val="single" w:sz="8" w:space="0" w:color="909465" w:themeColor="accent4"/>
          <w:left w:val="nil"/>
          <w:bottom w:val="single" w:sz="8" w:space="0" w:color="90946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4D8" w:themeFill="accent4" w:themeFillTint="3F"/>
      </w:tcPr>
    </w:tblStylePr>
    <w:tblStylePr w:type="band1Horz">
      <w:tblPr/>
      <w:tcPr>
        <w:tcBorders>
          <w:left w:val="nil"/>
          <w:right w:val="nil"/>
          <w:insideH w:val="nil"/>
          <w:insideV w:val="nil"/>
        </w:tcBorders>
        <w:shd w:val="clear" w:color="auto" w:fill="E3E4D8" w:themeFill="accent4" w:themeFillTint="3F"/>
      </w:tcPr>
    </w:tblStylePr>
  </w:style>
  <w:style w:type="table" w:styleId="Listemoyenne1">
    <w:name w:val="Medium List 1"/>
    <w:basedOn w:val="TableauNormal"/>
    <w:uiPriority w:val="65"/>
    <w:rsid w:val="005556E3"/>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E3D2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emoyenne2-Accent4">
    <w:name w:val="Medium List 2 Accent 4"/>
    <w:basedOn w:val="TableauNormal"/>
    <w:uiPriority w:val="66"/>
    <w:rsid w:val="005556E3"/>
    <w:rPr>
      <w:rFonts w:asciiTheme="majorHAnsi" w:eastAsiaTheme="majorEastAsia" w:hAnsiTheme="majorHAnsi" w:cstheme="majorBidi"/>
      <w:color w:val="000000" w:themeColor="text1"/>
    </w:rPr>
    <w:tblPr>
      <w:tblStyleRowBandSize w:val="1"/>
      <w:tblStyleColBandSize w:val="1"/>
      <w:tblInd w:w="0" w:type="dxa"/>
      <w:tblBorders>
        <w:top w:val="single" w:sz="8" w:space="0" w:color="909465" w:themeColor="accent4"/>
        <w:left w:val="single" w:sz="8" w:space="0" w:color="909465" w:themeColor="accent4"/>
        <w:bottom w:val="single" w:sz="8" w:space="0" w:color="909465" w:themeColor="accent4"/>
        <w:right w:val="single" w:sz="8" w:space="0" w:color="909465"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909465" w:themeColor="accent4"/>
          <w:right w:val="nil"/>
          <w:insideH w:val="nil"/>
          <w:insideV w:val="nil"/>
        </w:tcBorders>
        <w:shd w:val="clear" w:color="auto" w:fill="FFFFFF" w:themeFill="background1"/>
      </w:tcPr>
    </w:tblStylePr>
    <w:tblStylePr w:type="lastRow">
      <w:tblPr/>
      <w:tcPr>
        <w:tcBorders>
          <w:top w:val="single" w:sz="8" w:space="0" w:color="90946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09465" w:themeColor="accent4"/>
          <w:insideH w:val="nil"/>
          <w:insideV w:val="nil"/>
        </w:tcBorders>
        <w:shd w:val="clear" w:color="auto" w:fill="FFFFFF" w:themeFill="background1"/>
      </w:tcPr>
    </w:tblStylePr>
    <w:tblStylePr w:type="lastCol">
      <w:tblPr/>
      <w:tcPr>
        <w:tcBorders>
          <w:top w:val="nil"/>
          <w:left w:val="single" w:sz="8" w:space="0" w:color="90946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E4D8" w:themeFill="accent4" w:themeFillTint="3F"/>
      </w:tcPr>
    </w:tblStylePr>
    <w:tblStylePr w:type="band1Horz">
      <w:tblPr/>
      <w:tcPr>
        <w:tcBorders>
          <w:top w:val="nil"/>
          <w:bottom w:val="nil"/>
          <w:insideH w:val="nil"/>
          <w:insideV w:val="nil"/>
        </w:tcBorders>
        <w:shd w:val="clear" w:color="auto" w:fill="E3E4D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4">
    <w:name w:val="Medium Grid 1 Accent 4"/>
    <w:basedOn w:val="TableauNormal"/>
    <w:uiPriority w:val="67"/>
    <w:rsid w:val="005556E3"/>
    <w:tblPr>
      <w:tblStyleRowBandSize w:val="1"/>
      <w:tblStyleColBandSize w:val="1"/>
      <w:tblInd w:w="0" w:type="dxa"/>
      <w:tblBorders>
        <w:top w:val="single" w:sz="8" w:space="0" w:color="ACAF8A" w:themeColor="accent4" w:themeTint="BF"/>
        <w:left w:val="single" w:sz="8" w:space="0" w:color="ACAF8A" w:themeColor="accent4" w:themeTint="BF"/>
        <w:bottom w:val="single" w:sz="8" w:space="0" w:color="ACAF8A" w:themeColor="accent4" w:themeTint="BF"/>
        <w:right w:val="single" w:sz="8" w:space="0" w:color="ACAF8A" w:themeColor="accent4" w:themeTint="BF"/>
        <w:insideH w:val="single" w:sz="8" w:space="0" w:color="ACAF8A" w:themeColor="accent4" w:themeTint="BF"/>
        <w:insideV w:val="single" w:sz="8" w:space="0" w:color="ACAF8A" w:themeColor="accent4" w:themeTint="BF"/>
      </w:tblBorders>
      <w:tblCellMar>
        <w:top w:w="0" w:type="dxa"/>
        <w:left w:w="108" w:type="dxa"/>
        <w:bottom w:w="0" w:type="dxa"/>
        <w:right w:w="108" w:type="dxa"/>
      </w:tblCellMar>
    </w:tblPr>
    <w:tcPr>
      <w:shd w:val="clear" w:color="auto" w:fill="E3E4D8" w:themeFill="accent4" w:themeFillTint="3F"/>
    </w:tcPr>
    <w:tblStylePr w:type="firstRow">
      <w:rPr>
        <w:b/>
        <w:bCs/>
      </w:rPr>
    </w:tblStylePr>
    <w:tblStylePr w:type="lastRow">
      <w:rPr>
        <w:b/>
        <w:bCs/>
      </w:rPr>
      <w:tblPr/>
      <w:tcPr>
        <w:tcBorders>
          <w:top w:val="single" w:sz="18" w:space="0" w:color="ACAF8A" w:themeColor="accent4" w:themeTint="BF"/>
        </w:tcBorders>
      </w:tcPr>
    </w:tblStylePr>
    <w:tblStylePr w:type="firstCol">
      <w:rPr>
        <w:b/>
        <w:bCs/>
      </w:rPr>
    </w:tblStylePr>
    <w:tblStylePr w:type="lastCol">
      <w:rPr>
        <w:b/>
        <w:bCs/>
      </w:rPr>
    </w:tblStylePr>
    <w:tblStylePr w:type="band1Vert">
      <w:tblPr/>
      <w:tcPr>
        <w:shd w:val="clear" w:color="auto" w:fill="C8CAB1" w:themeFill="accent4" w:themeFillTint="7F"/>
      </w:tcPr>
    </w:tblStylePr>
    <w:tblStylePr w:type="band1Horz">
      <w:tblPr/>
      <w:tcPr>
        <w:shd w:val="clear" w:color="auto" w:fill="C8CAB1" w:themeFill="accent4" w:themeFillTint="7F"/>
      </w:tcPr>
    </w:tblStylePr>
  </w:style>
  <w:style w:type="table" w:styleId="Tramecouleur">
    <w:name w:val="Colorful Shading"/>
    <w:basedOn w:val="TableauNormal"/>
    <w:uiPriority w:val="71"/>
    <w:rsid w:val="005556E3"/>
    <w:rPr>
      <w:color w:val="000000" w:themeColor="text1"/>
    </w:rPr>
    <w:tblPr>
      <w:tblStyleRowBandSize w:val="1"/>
      <w:tblStyleColBandSize w:val="1"/>
      <w:tblInd w:w="0" w:type="dxa"/>
      <w:tblBorders>
        <w:top w:val="single" w:sz="24" w:space="0" w:color="71685A"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71685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Listefonce-Accent5">
    <w:name w:val="Dark List Accent 5"/>
    <w:basedOn w:val="TableauNormal"/>
    <w:uiPriority w:val="70"/>
    <w:rsid w:val="005556E3"/>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56B4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A3521"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6F4F3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6F4F32" w:themeFill="accent5" w:themeFillShade="BF"/>
      </w:tcPr>
    </w:tblStylePr>
    <w:tblStylePr w:type="band1Vert">
      <w:tblPr/>
      <w:tcPr>
        <w:tcBorders>
          <w:top w:val="nil"/>
          <w:left w:val="nil"/>
          <w:bottom w:val="nil"/>
          <w:right w:val="nil"/>
          <w:insideH w:val="nil"/>
          <w:insideV w:val="nil"/>
        </w:tcBorders>
        <w:shd w:val="clear" w:color="auto" w:fill="6F4F32" w:themeFill="accent5" w:themeFillShade="BF"/>
      </w:tcPr>
    </w:tblStylePr>
    <w:tblStylePr w:type="band1Horz">
      <w:tblPr/>
      <w:tcPr>
        <w:tcBorders>
          <w:top w:val="nil"/>
          <w:left w:val="nil"/>
          <w:bottom w:val="nil"/>
          <w:right w:val="nil"/>
          <w:insideH w:val="nil"/>
          <w:insideV w:val="nil"/>
        </w:tcBorders>
        <w:shd w:val="clear" w:color="auto" w:fill="6F4F32" w:themeFill="accent5" w:themeFillShade="BF"/>
      </w:tcPr>
    </w:tblStylePr>
  </w:style>
  <w:style w:type="table" w:styleId="Listecouleur-Accent2">
    <w:name w:val="Colorful List Accent 2"/>
    <w:basedOn w:val="TableauNormal"/>
    <w:uiPriority w:val="72"/>
    <w:rsid w:val="005556E3"/>
    <w:rPr>
      <w:color w:val="000000" w:themeColor="text1"/>
    </w:rPr>
    <w:tblPr>
      <w:tblStyleRowBandSize w:val="1"/>
      <w:tblStyleColBandSize w:val="1"/>
      <w:tblInd w:w="0" w:type="dxa"/>
      <w:tblCellMar>
        <w:top w:w="0" w:type="dxa"/>
        <w:left w:w="108" w:type="dxa"/>
        <w:bottom w:w="0" w:type="dxa"/>
        <w:right w:w="108" w:type="dxa"/>
      </w:tblCellMar>
    </w:tblPr>
    <w:tcPr>
      <w:shd w:val="clear" w:color="auto" w:fill="F1F0EE" w:themeFill="accent2" w:themeFillTint="19"/>
    </w:tcPr>
    <w:tblStylePr w:type="firstRow">
      <w:rPr>
        <w:b/>
        <w:bCs/>
        <w:color w:val="FFFFFF" w:themeColor="background1"/>
      </w:rPr>
      <w:tblPr/>
      <w:tcPr>
        <w:tcBorders>
          <w:bottom w:val="single" w:sz="12" w:space="0" w:color="FFFFFF" w:themeColor="background1"/>
        </w:tcBorders>
        <w:shd w:val="clear" w:color="auto" w:fill="5A5348" w:themeFill="accent2" w:themeFillShade="CC"/>
      </w:tcPr>
    </w:tblStylePr>
    <w:tblStylePr w:type="lastRow">
      <w:rPr>
        <w:b/>
        <w:bCs/>
        <w:color w:val="5A534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DD9D4" w:themeFill="accent2" w:themeFillTint="3F"/>
      </w:tcPr>
    </w:tblStylePr>
    <w:tblStylePr w:type="band1Horz">
      <w:tblPr/>
      <w:tcPr>
        <w:shd w:val="clear" w:color="auto" w:fill="E3E0DC" w:themeFill="accent2" w:themeFillTint="33"/>
      </w:tcPr>
    </w:tblStylePr>
  </w:style>
  <w:style w:type="table" w:styleId="Listecouleur-Accent1">
    <w:name w:val="Colorful List Accent 1"/>
    <w:basedOn w:val="TableauNormal"/>
    <w:uiPriority w:val="72"/>
    <w:rsid w:val="005556E3"/>
    <w:rPr>
      <w:color w:val="000000" w:themeColor="text1"/>
    </w:rPr>
    <w:tblPr>
      <w:tblStyleRowBandSize w:val="1"/>
      <w:tblStyleColBandSize w:val="1"/>
      <w:tblInd w:w="0" w:type="dxa"/>
      <w:tblCellMar>
        <w:top w:w="0" w:type="dxa"/>
        <w:left w:w="108" w:type="dxa"/>
        <w:bottom w:w="0" w:type="dxa"/>
        <w:right w:w="108" w:type="dxa"/>
      </w:tblCellMar>
    </w:tblPr>
    <w:tcPr>
      <w:shd w:val="clear" w:color="auto" w:fill="F7FFE0" w:themeFill="accent1" w:themeFillTint="19"/>
    </w:tcPr>
    <w:tblStylePr w:type="firstRow">
      <w:rPr>
        <w:b/>
        <w:bCs/>
        <w:color w:val="FFFFFF" w:themeColor="background1"/>
      </w:rPr>
      <w:tblPr/>
      <w:tcPr>
        <w:tcBorders>
          <w:bottom w:val="single" w:sz="12" w:space="0" w:color="FFFFFF" w:themeColor="background1"/>
        </w:tcBorders>
        <w:shd w:val="clear" w:color="auto" w:fill="5A5348" w:themeFill="accent2" w:themeFillShade="CC"/>
      </w:tcPr>
    </w:tblStylePr>
    <w:tblStylePr w:type="lastRow">
      <w:rPr>
        <w:b/>
        <w:bCs/>
        <w:color w:val="5A534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BFFB1" w:themeFill="accent1" w:themeFillTint="3F"/>
      </w:tcPr>
    </w:tblStylePr>
    <w:tblStylePr w:type="band1Horz">
      <w:tblPr/>
      <w:tcPr>
        <w:shd w:val="clear" w:color="auto" w:fill="EFFFC0" w:themeFill="accent1" w:themeFillTint="33"/>
      </w:tcPr>
    </w:tblStylePr>
  </w:style>
  <w:style w:type="table" w:styleId="Grillecouleur-Accent3">
    <w:name w:val="Colorful Grid Accent 3"/>
    <w:basedOn w:val="TableauNormal"/>
    <w:uiPriority w:val="73"/>
    <w:rsid w:val="005556E3"/>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FE0CC" w:themeFill="accent3" w:themeFillTint="33"/>
    </w:tcPr>
    <w:tblStylePr w:type="firstRow">
      <w:rPr>
        <w:b/>
        <w:bCs/>
      </w:rPr>
      <w:tblPr/>
      <w:tcPr>
        <w:shd w:val="clear" w:color="auto" w:fill="FFC299" w:themeFill="accent3" w:themeFillTint="66"/>
      </w:tcPr>
    </w:tblStylePr>
    <w:tblStylePr w:type="lastRow">
      <w:rPr>
        <w:b/>
        <w:bCs/>
        <w:color w:val="000000" w:themeColor="text1"/>
      </w:rPr>
      <w:tblPr/>
      <w:tcPr>
        <w:shd w:val="clear" w:color="auto" w:fill="FFC299" w:themeFill="accent3" w:themeFillTint="66"/>
      </w:tcPr>
    </w:tblStylePr>
    <w:tblStylePr w:type="firstCol">
      <w:rPr>
        <w:color w:val="FFFFFF" w:themeColor="background1"/>
      </w:rPr>
      <w:tblPr/>
      <w:tcPr>
        <w:shd w:val="clear" w:color="auto" w:fill="BF4D00" w:themeFill="accent3" w:themeFillShade="BF"/>
      </w:tcPr>
    </w:tblStylePr>
    <w:tblStylePr w:type="lastCol">
      <w:rPr>
        <w:color w:val="FFFFFF" w:themeColor="background1"/>
      </w:rPr>
      <w:tblPr/>
      <w:tcPr>
        <w:shd w:val="clear" w:color="auto" w:fill="BF4D00" w:themeFill="accent3" w:themeFillShade="BF"/>
      </w:tcPr>
    </w:tblStylePr>
    <w:tblStylePr w:type="band1Vert">
      <w:tblPr/>
      <w:tcPr>
        <w:shd w:val="clear" w:color="auto" w:fill="FFB380" w:themeFill="accent3" w:themeFillTint="7F"/>
      </w:tcPr>
    </w:tblStylePr>
    <w:tblStylePr w:type="band1Horz">
      <w:tblPr/>
      <w:tcPr>
        <w:shd w:val="clear" w:color="auto" w:fill="FFB380" w:themeFill="accent3" w:themeFillTint="7F"/>
      </w:tcPr>
    </w:tblStylePr>
  </w:style>
  <w:style w:type="table" w:styleId="Grillecouleur-Accent6">
    <w:name w:val="Colorful Grid Accent 6"/>
    <w:basedOn w:val="TableauNormal"/>
    <w:uiPriority w:val="73"/>
    <w:rsid w:val="005556E3"/>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EEBD2" w:themeFill="accent6" w:themeFillTint="33"/>
    </w:tcPr>
    <w:tblStylePr w:type="firstRow">
      <w:rPr>
        <w:b/>
        <w:bCs/>
      </w:rPr>
      <w:tblPr/>
      <w:tcPr>
        <w:shd w:val="clear" w:color="auto" w:fill="FED8A6" w:themeFill="accent6" w:themeFillTint="66"/>
      </w:tcPr>
    </w:tblStylePr>
    <w:tblStylePr w:type="lastRow">
      <w:rPr>
        <w:b/>
        <w:bCs/>
        <w:color w:val="000000" w:themeColor="text1"/>
      </w:rPr>
      <w:tblPr/>
      <w:tcPr>
        <w:shd w:val="clear" w:color="auto" w:fill="FED8A6" w:themeFill="accent6" w:themeFillTint="66"/>
      </w:tcPr>
    </w:tblStylePr>
    <w:tblStylePr w:type="firstCol">
      <w:rPr>
        <w:color w:val="FFFFFF" w:themeColor="background1"/>
      </w:rPr>
      <w:tblPr/>
      <w:tcPr>
        <w:shd w:val="clear" w:color="auto" w:fill="D67B01" w:themeFill="accent6" w:themeFillShade="BF"/>
      </w:tcPr>
    </w:tblStylePr>
    <w:tblStylePr w:type="lastCol">
      <w:rPr>
        <w:color w:val="FFFFFF" w:themeColor="background1"/>
      </w:rPr>
      <w:tblPr/>
      <w:tcPr>
        <w:shd w:val="clear" w:color="auto" w:fill="D67B01" w:themeFill="accent6" w:themeFillShade="BF"/>
      </w:tcPr>
    </w:tblStylePr>
    <w:tblStylePr w:type="band1Vert">
      <w:tblPr/>
      <w:tcPr>
        <w:shd w:val="clear" w:color="auto" w:fill="FECF90" w:themeFill="accent6" w:themeFillTint="7F"/>
      </w:tcPr>
    </w:tblStylePr>
    <w:tblStylePr w:type="band1Horz">
      <w:tblPr/>
      <w:tcPr>
        <w:shd w:val="clear" w:color="auto" w:fill="FECF90" w:themeFill="accent6" w:themeFillTint="7F"/>
      </w:tcPr>
    </w:tblStylePr>
  </w:style>
  <w:style w:type="table" w:styleId="Listecouleur-Accent3">
    <w:name w:val="Colorful List Accent 3"/>
    <w:basedOn w:val="TableauNormal"/>
    <w:uiPriority w:val="72"/>
    <w:rsid w:val="005556E3"/>
    <w:rPr>
      <w:color w:val="000000" w:themeColor="text1"/>
    </w:rPr>
    <w:tblPr>
      <w:tblStyleRowBandSize w:val="1"/>
      <w:tblStyleColBandSize w:val="1"/>
      <w:tblInd w:w="0" w:type="dxa"/>
      <w:tblCellMar>
        <w:top w:w="0" w:type="dxa"/>
        <w:left w:w="108" w:type="dxa"/>
        <w:bottom w:w="0" w:type="dxa"/>
        <w:right w:w="108" w:type="dxa"/>
      </w:tblCellMar>
    </w:tblPr>
    <w:tcPr>
      <w:shd w:val="clear" w:color="auto" w:fill="FFF0E6" w:themeFill="accent3" w:themeFillTint="19"/>
    </w:tcPr>
    <w:tblStylePr w:type="firstRow">
      <w:rPr>
        <w:b/>
        <w:bCs/>
        <w:color w:val="FFFFFF" w:themeColor="background1"/>
      </w:rPr>
      <w:tblPr/>
      <w:tcPr>
        <w:tcBorders>
          <w:bottom w:val="single" w:sz="12" w:space="0" w:color="FFFFFF" w:themeColor="background1"/>
        </w:tcBorders>
        <w:shd w:val="clear" w:color="auto" w:fill="727650" w:themeFill="accent4" w:themeFillShade="CC"/>
      </w:tcPr>
    </w:tblStylePr>
    <w:tblStylePr w:type="lastRow">
      <w:rPr>
        <w:b/>
        <w:bCs/>
        <w:color w:val="72765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D9C0" w:themeFill="accent3" w:themeFillTint="3F"/>
      </w:tcPr>
    </w:tblStylePr>
    <w:tblStylePr w:type="band1Horz">
      <w:tblPr/>
      <w:tcPr>
        <w:shd w:val="clear" w:color="auto" w:fill="FFE0CC" w:themeFill="accent3" w:themeFillTint="33"/>
      </w:tcPr>
    </w:tblStylePr>
  </w:style>
  <w:style w:type="table" w:styleId="Listecouleur-Accent4">
    <w:name w:val="Colorful List Accent 4"/>
    <w:basedOn w:val="TableauNormal"/>
    <w:uiPriority w:val="72"/>
    <w:rsid w:val="005911DA"/>
    <w:rPr>
      <w:color w:val="000000" w:themeColor="text1"/>
    </w:rPr>
    <w:tblPr>
      <w:tblStyleRowBandSize w:val="1"/>
      <w:tblStyleColBandSize w:val="1"/>
      <w:tblInd w:w="0" w:type="dxa"/>
      <w:tblCellMar>
        <w:top w:w="0" w:type="dxa"/>
        <w:left w:w="108" w:type="dxa"/>
        <w:bottom w:w="0" w:type="dxa"/>
        <w:right w:w="108" w:type="dxa"/>
      </w:tblCellMar>
    </w:tblPr>
    <w:tcPr>
      <w:shd w:val="clear" w:color="auto" w:fill="F4F4EF" w:themeFill="accent4" w:themeFillTint="19"/>
    </w:tcPr>
    <w:tblStylePr w:type="firstRow">
      <w:rPr>
        <w:b/>
        <w:bCs/>
        <w:color w:val="FFFFFF" w:themeColor="background1"/>
      </w:rPr>
      <w:tblPr/>
      <w:tcPr>
        <w:tcBorders>
          <w:bottom w:val="single" w:sz="12" w:space="0" w:color="FFFFFF" w:themeColor="background1"/>
        </w:tcBorders>
        <w:shd w:val="clear" w:color="auto" w:fill="CC5200" w:themeFill="accent3" w:themeFillShade="CC"/>
      </w:tcPr>
    </w:tblStylePr>
    <w:tblStylePr w:type="lastRow">
      <w:rPr>
        <w:b/>
        <w:bCs/>
        <w:color w:val="CC520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E4D8" w:themeFill="accent4" w:themeFillTint="3F"/>
      </w:tcPr>
    </w:tblStylePr>
    <w:tblStylePr w:type="band1Horz">
      <w:tblPr/>
      <w:tcPr>
        <w:shd w:val="clear" w:color="auto" w:fill="E8E9DF" w:themeFill="accent4" w:themeFillTint="33"/>
      </w:tcPr>
    </w:tblStylePr>
  </w:style>
  <w:style w:type="table" w:styleId="Listemoyenne2-Accent6">
    <w:name w:val="Medium List 2 Accent 6"/>
    <w:basedOn w:val="TableauNormal"/>
    <w:uiPriority w:val="66"/>
    <w:rsid w:val="00036496"/>
    <w:rPr>
      <w:rFonts w:asciiTheme="majorHAnsi" w:eastAsiaTheme="majorEastAsia" w:hAnsiTheme="majorHAnsi" w:cstheme="majorBidi"/>
      <w:color w:val="000000" w:themeColor="text1"/>
    </w:rPr>
    <w:tblPr>
      <w:tblStyleRowBandSize w:val="1"/>
      <w:tblStyleColBandSize w:val="1"/>
      <w:tblInd w:w="0" w:type="dxa"/>
      <w:tblBorders>
        <w:top w:val="single" w:sz="8" w:space="0" w:color="FEA022" w:themeColor="accent6"/>
        <w:left w:val="single" w:sz="8" w:space="0" w:color="FEA022" w:themeColor="accent6"/>
        <w:bottom w:val="single" w:sz="8" w:space="0" w:color="FEA022" w:themeColor="accent6"/>
        <w:right w:val="single" w:sz="8" w:space="0" w:color="FEA022"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EA022" w:themeColor="accent6"/>
          <w:right w:val="nil"/>
          <w:insideH w:val="nil"/>
          <w:insideV w:val="nil"/>
        </w:tcBorders>
        <w:shd w:val="clear" w:color="auto" w:fill="FFFFFF" w:themeFill="background1"/>
      </w:tcPr>
    </w:tblStylePr>
    <w:tblStylePr w:type="lastRow">
      <w:tblPr/>
      <w:tcPr>
        <w:tcBorders>
          <w:top w:val="single" w:sz="8" w:space="0" w:color="FEA02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EA022" w:themeColor="accent6"/>
          <w:insideH w:val="nil"/>
          <w:insideV w:val="nil"/>
        </w:tcBorders>
        <w:shd w:val="clear" w:color="auto" w:fill="FFFFFF" w:themeFill="background1"/>
      </w:tcPr>
    </w:tblStylePr>
    <w:tblStylePr w:type="lastCol">
      <w:tblPr/>
      <w:tcPr>
        <w:tcBorders>
          <w:top w:val="nil"/>
          <w:left w:val="single" w:sz="8" w:space="0" w:color="FEA02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E7C8" w:themeFill="accent6" w:themeFillTint="3F"/>
      </w:tcPr>
    </w:tblStylePr>
    <w:tblStylePr w:type="band1Horz">
      <w:tblPr/>
      <w:tcPr>
        <w:tcBorders>
          <w:top w:val="nil"/>
          <w:bottom w:val="nil"/>
          <w:insideH w:val="nil"/>
          <w:insideV w:val="nil"/>
        </w:tcBorders>
        <w:shd w:val="clear" w:color="auto" w:fill="FEE7C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5">
    <w:name w:val="Medium List 2 Accent 5"/>
    <w:basedOn w:val="TableauNormal"/>
    <w:uiPriority w:val="66"/>
    <w:rsid w:val="00F35CDC"/>
    <w:rPr>
      <w:rFonts w:asciiTheme="majorHAnsi" w:eastAsiaTheme="majorEastAsia" w:hAnsiTheme="majorHAnsi" w:cstheme="majorBidi"/>
      <w:color w:val="000000" w:themeColor="text1"/>
    </w:rPr>
    <w:tblPr>
      <w:tblStyleRowBandSize w:val="1"/>
      <w:tblStyleColBandSize w:val="1"/>
      <w:tblInd w:w="0" w:type="dxa"/>
      <w:tblBorders>
        <w:top w:val="single" w:sz="8" w:space="0" w:color="956B43" w:themeColor="accent5"/>
        <w:left w:val="single" w:sz="8" w:space="0" w:color="956B43" w:themeColor="accent5"/>
        <w:bottom w:val="single" w:sz="8" w:space="0" w:color="956B43" w:themeColor="accent5"/>
        <w:right w:val="single" w:sz="8" w:space="0" w:color="956B43"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956B43" w:themeColor="accent5"/>
          <w:right w:val="nil"/>
          <w:insideH w:val="nil"/>
          <w:insideV w:val="nil"/>
        </w:tcBorders>
        <w:shd w:val="clear" w:color="auto" w:fill="FFFFFF" w:themeFill="background1"/>
      </w:tcPr>
    </w:tblStylePr>
    <w:tblStylePr w:type="lastRow">
      <w:tblPr/>
      <w:tcPr>
        <w:tcBorders>
          <w:top w:val="single" w:sz="8" w:space="0" w:color="956B4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56B43" w:themeColor="accent5"/>
          <w:insideH w:val="nil"/>
          <w:insideV w:val="nil"/>
        </w:tcBorders>
        <w:shd w:val="clear" w:color="auto" w:fill="FFFFFF" w:themeFill="background1"/>
      </w:tcPr>
    </w:tblStylePr>
    <w:tblStylePr w:type="lastCol">
      <w:tblPr/>
      <w:tcPr>
        <w:tcBorders>
          <w:top w:val="nil"/>
          <w:left w:val="single" w:sz="8" w:space="0" w:color="956B4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DACC" w:themeFill="accent5" w:themeFillTint="3F"/>
      </w:tcPr>
    </w:tblStylePr>
    <w:tblStylePr w:type="band1Horz">
      <w:tblPr/>
      <w:tcPr>
        <w:tcBorders>
          <w:top w:val="nil"/>
          <w:bottom w:val="nil"/>
          <w:insideH w:val="nil"/>
          <w:insideV w:val="nil"/>
        </w:tcBorders>
        <w:shd w:val="clear" w:color="auto" w:fill="E8DACC"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couleur-Accent1">
    <w:name w:val="Colorful Grid Accent 1"/>
    <w:basedOn w:val="TableauNormal"/>
    <w:uiPriority w:val="73"/>
    <w:rsid w:val="00F35CD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FFFC0" w:themeFill="accent1" w:themeFillTint="33"/>
    </w:tcPr>
    <w:tblStylePr w:type="firstRow">
      <w:rPr>
        <w:b/>
        <w:bCs/>
      </w:rPr>
      <w:tblPr/>
      <w:tcPr>
        <w:shd w:val="clear" w:color="auto" w:fill="DFFF82" w:themeFill="accent1" w:themeFillTint="66"/>
      </w:tcPr>
    </w:tblStylePr>
    <w:tblStylePr w:type="lastRow">
      <w:rPr>
        <w:b/>
        <w:bCs/>
        <w:color w:val="000000" w:themeColor="text1"/>
      </w:rPr>
      <w:tblPr/>
      <w:tcPr>
        <w:shd w:val="clear" w:color="auto" w:fill="DFFF82" w:themeFill="accent1" w:themeFillTint="66"/>
      </w:tcPr>
    </w:tblStylePr>
    <w:tblStylePr w:type="firstCol">
      <w:rPr>
        <w:color w:val="FFFFFF" w:themeColor="background1"/>
      </w:rPr>
      <w:tblPr/>
      <w:tcPr>
        <w:shd w:val="clear" w:color="auto" w:fill="6E9400" w:themeFill="accent1" w:themeFillShade="BF"/>
      </w:tcPr>
    </w:tblStylePr>
    <w:tblStylePr w:type="lastCol">
      <w:rPr>
        <w:color w:val="FFFFFF" w:themeColor="background1"/>
      </w:rPr>
      <w:tblPr/>
      <w:tcPr>
        <w:shd w:val="clear" w:color="auto" w:fill="6E9400" w:themeFill="accent1" w:themeFillShade="BF"/>
      </w:tcPr>
    </w:tblStylePr>
    <w:tblStylePr w:type="band1Vert">
      <w:tblPr/>
      <w:tcPr>
        <w:shd w:val="clear" w:color="auto" w:fill="D7FF63" w:themeFill="accent1" w:themeFillTint="7F"/>
      </w:tcPr>
    </w:tblStylePr>
    <w:tblStylePr w:type="band1Horz">
      <w:tblPr/>
      <w:tcPr>
        <w:shd w:val="clear" w:color="auto" w:fill="D7FF63" w:themeFill="accent1" w:themeFillTint="7F"/>
      </w:tcPr>
    </w:tblStylePr>
  </w:style>
  <w:style w:type="table" w:styleId="Grillemoyenne3-Accent5">
    <w:name w:val="Medium Grid 3 Accent 5"/>
    <w:basedOn w:val="TableauNormal"/>
    <w:uiPriority w:val="69"/>
    <w:rsid w:val="00F35CD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DACC"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56B4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56B4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56B4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56B4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1B499"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1B499" w:themeFill="accent5" w:themeFillTint="7F"/>
      </w:tcPr>
    </w:tblStylePr>
  </w:style>
  <w:style w:type="table" w:styleId="Grillemoyenne3-Accent2">
    <w:name w:val="Medium Grid 3 Accent 2"/>
    <w:basedOn w:val="TableauNormal"/>
    <w:uiPriority w:val="69"/>
    <w:rsid w:val="00F35CD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DD9D4"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1685A"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1685A"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1685A"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1685A"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BB4A9"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BB4A9" w:themeFill="accent2" w:themeFillTint="7F"/>
      </w:tcPr>
    </w:tblStylePr>
  </w:style>
  <w:style w:type="table" w:styleId="Grillemoyenne3-Accent4">
    <w:name w:val="Medium Grid 3 Accent 4"/>
    <w:basedOn w:val="TableauNormal"/>
    <w:uiPriority w:val="69"/>
    <w:rsid w:val="007636E3"/>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3E4D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0946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0946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0946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0946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8CAB1"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8CAB1" w:themeFill="accent4" w:themeFillTint="7F"/>
      </w:tcPr>
    </w:tblStylePr>
  </w:style>
  <w:style w:type="table" w:styleId="Grillecouleur-Accent2">
    <w:name w:val="Colorful Grid Accent 2"/>
    <w:basedOn w:val="TableauNormal"/>
    <w:uiPriority w:val="73"/>
    <w:rsid w:val="007636E3"/>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3E0DC" w:themeFill="accent2" w:themeFillTint="33"/>
    </w:tcPr>
    <w:tblStylePr w:type="firstRow">
      <w:rPr>
        <w:b/>
        <w:bCs/>
      </w:rPr>
      <w:tblPr/>
      <w:tcPr>
        <w:shd w:val="clear" w:color="auto" w:fill="C8C3BA" w:themeFill="accent2" w:themeFillTint="66"/>
      </w:tcPr>
    </w:tblStylePr>
    <w:tblStylePr w:type="lastRow">
      <w:rPr>
        <w:b/>
        <w:bCs/>
        <w:color w:val="000000" w:themeColor="text1"/>
      </w:rPr>
      <w:tblPr/>
      <w:tcPr>
        <w:shd w:val="clear" w:color="auto" w:fill="C8C3BA" w:themeFill="accent2" w:themeFillTint="66"/>
      </w:tcPr>
    </w:tblStylePr>
    <w:tblStylePr w:type="firstCol">
      <w:rPr>
        <w:color w:val="FFFFFF" w:themeColor="background1"/>
      </w:rPr>
      <w:tblPr/>
      <w:tcPr>
        <w:shd w:val="clear" w:color="auto" w:fill="544D43" w:themeFill="accent2" w:themeFillShade="BF"/>
      </w:tcPr>
    </w:tblStylePr>
    <w:tblStylePr w:type="lastCol">
      <w:rPr>
        <w:color w:val="FFFFFF" w:themeColor="background1"/>
      </w:rPr>
      <w:tblPr/>
      <w:tcPr>
        <w:shd w:val="clear" w:color="auto" w:fill="544D43" w:themeFill="accent2" w:themeFillShade="BF"/>
      </w:tcPr>
    </w:tblStylePr>
    <w:tblStylePr w:type="band1Vert">
      <w:tblPr/>
      <w:tcPr>
        <w:shd w:val="clear" w:color="auto" w:fill="BBB4A9" w:themeFill="accent2" w:themeFillTint="7F"/>
      </w:tcPr>
    </w:tblStylePr>
    <w:tblStylePr w:type="band1Horz">
      <w:tblPr/>
      <w:tcPr>
        <w:shd w:val="clear" w:color="auto" w:fill="BBB4A9" w:themeFill="accent2" w:themeFillTint="7F"/>
      </w:tcPr>
    </w:tblStylePr>
  </w:style>
  <w:style w:type="table" w:styleId="Grillecouleur">
    <w:name w:val="Colorful Grid"/>
    <w:basedOn w:val="TableauNormal"/>
    <w:uiPriority w:val="73"/>
    <w:rsid w:val="007636E3"/>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llemoyenne3-Accent6">
    <w:name w:val="Medium Grid 3 Accent 6"/>
    <w:basedOn w:val="TableauNormal"/>
    <w:uiPriority w:val="69"/>
    <w:rsid w:val="00441B65"/>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EE7C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EA02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EA02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EA02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EA02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CF9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CF90" w:themeFill="accent6" w:themeFillTint="7F"/>
      </w:tcPr>
    </w:tblStylePr>
  </w:style>
  <w:style w:type="paragraph" w:styleId="En-ttedetabledesmatires">
    <w:name w:val="TOC Heading"/>
    <w:basedOn w:val="Titre1"/>
    <w:next w:val="Normal"/>
    <w:uiPriority w:val="39"/>
    <w:semiHidden/>
    <w:unhideWhenUsed/>
    <w:qFormat/>
    <w:rsid w:val="009D1796"/>
    <w:pPr>
      <w:numPr>
        <w:numId w:val="0"/>
      </w:numPr>
      <w:spacing w:line="276" w:lineRule="auto"/>
      <w:outlineLvl w:val="9"/>
    </w:pPr>
    <w:rPr>
      <w:color w:val="6E9400" w:themeColor="accent1" w:themeShade="BF"/>
      <w:sz w:val="28"/>
      <w:szCs w:val="28"/>
      <w:lang w:val="fr-CA" w:eastAsia="fr-C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F569A"/>
    <w:rPr>
      <w:rFonts w:asciiTheme="minorHAnsi" w:hAnsiTheme="minorHAnsi"/>
    </w:rPr>
  </w:style>
  <w:style w:type="paragraph" w:styleId="Titre1">
    <w:name w:val="heading 1"/>
    <w:basedOn w:val="Normal"/>
    <w:next w:val="Normal"/>
    <w:link w:val="Titre1Car"/>
    <w:uiPriority w:val="9"/>
    <w:qFormat/>
    <w:rsid w:val="00A36BF8"/>
    <w:pPr>
      <w:keepNext/>
      <w:keepLines/>
      <w:numPr>
        <w:numId w:val="48"/>
      </w:numPr>
      <w:spacing w:before="480"/>
      <w:outlineLvl w:val="0"/>
    </w:pPr>
    <w:rPr>
      <w:rFonts w:asciiTheme="majorHAnsi" w:eastAsiaTheme="majorEastAsia" w:hAnsiTheme="majorHAnsi" w:cstheme="majorBidi"/>
      <w:b/>
      <w:bCs/>
      <w:color w:val="4A6300" w:themeColor="accent1" w:themeShade="80"/>
      <w:sz w:val="32"/>
      <w:szCs w:val="32"/>
    </w:rPr>
  </w:style>
  <w:style w:type="paragraph" w:styleId="Titre2">
    <w:name w:val="heading 2"/>
    <w:basedOn w:val="Normal"/>
    <w:next w:val="Normal"/>
    <w:link w:val="Titre2Car"/>
    <w:uiPriority w:val="9"/>
    <w:unhideWhenUsed/>
    <w:qFormat/>
    <w:rsid w:val="007B5563"/>
    <w:pPr>
      <w:keepNext/>
      <w:keepLines/>
      <w:numPr>
        <w:ilvl w:val="1"/>
        <w:numId w:val="48"/>
      </w:numPr>
      <w:spacing w:before="200"/>
      <w:outlineLvl w:val="1"/>
    </w:pPr>
    <w:rPr>
      <w:rFonts w:asciiTheme="majorHAnsi" w:eastAsiaTheme="majorEastAsia" w:hAnsiTheme="majorHAnsi" w:cstheme="majorBidi"/>
      <w:b/>
      <w:bCs/>
      <w:color w:val="6E9400" w:themeColor="accent1" w:themeShade="BF"/>
      <w:sz w:val="28"/>
      <w:szCs w:val="26"/>
    </w:rPr>
  </w:style>
  <w:style w:type="paragraph" w:styleId="Titre3">
    <w:name w:val="heading 3"/>
    <w:basedOn w:val="Normal"/>
    <w:next w:val="Normal"/>
    <w:link w:val="Titre3Car"/>
    <w:uiPriority w:val="9"/>
    <w:unhideWhenUsed/>
    <w:qFormat/>
    <w:rsid w:val="007B5563"/>
    <w:pPr>
      <w:keepNext/>
      <w:keepLines/>
      <w:numPr>
        <w:ilvl w:val="2"/>
        <w:numId w:val="48"/>
      </w:numPr>
      <w:spacing w:before="200"/>
      <w:outlineLvl w:val="2"/>
    </w:pPr>
    <w:rPr>
      <w:rFonts w:asciiTheme="majorHAnsi" w:eastAsiaTheme="majorEastAsia" w:hAnsiTheme="majorHAnsi" w:cstheme="majorBidi"/>
      <w:b/>
      <w:bCs/>
      <w:color w:val="2E2D21" w:themeColor="text2" w:themeShade="BF"/>
      <w:sz w:val="26"/>
    </w:rPr>
  </w:style>
  <w:style w:type="paragraph" w:styleId="Titre4">
    <w:name w:val="heading 4"/>
    <w:basedOn w:val="Normal"/>
    <w:next w:val="Normal"/>
    <w:link w:val="Titre4Car"/>
    <w:uiPriority w:val="9"/>
    <w:unhideWhenUsed/>
    <w:qFormat/>
    <w:rsid w:val="00403EC3"/>
    <w:pPr>
      <w:keepNext/>
      <w:keepLines/>
      <w:spacing w:before="200"/>
      <w:outlineLvl w:val="3"/>
    </w:pPr>
    <w:rPr>
      <w:rFonts w:asciiTheme="majorHAnsi" w:eastAsiaTheme="majorEastAsia" w:hAnsiTheme="majorHAnsi" w:cstheme="majorBidi"/>
      <w:b/>
      <w:bCs/>
      <w:i/>
      <w:iCs/>
      <w:color w:val="94C600" w:themeColor="accent1"/>
    </w:rPr>
  </w:style>
  <w:style w:type="paragraph" w:styleId="Titre5">
    <w:name w:val="heading 5"/>
    <w:basedOn w:val="Normal"/>
    <w:next w:val="Normal"/>
    <w:link w:val="Titre5Car"/>
    <w:uiPriority w:val="9"/>
    <w:unhideWhenUsed/>
    <w:qFormat/>
    <w:rsid w:val="007B5563"/>
    <w:pPr>
      <w:keepNext/>
      <w:keepLines/>
      <w:numPr>
        <w:ilvl w:val="4"/>
        <w:numId w:val="48"/>
      </w:numPr>
      <w:spacing w:before="200"/>
      <w:outlineLvl w:val="4"/>
    </w:pPr>
    <w:rPr>
      <w:rFonts w:asciiTheme="majorHAnsi" w:eastAsiaTheme="majorEastAsia" w:hAnsiTheme="majorHAnsi" w:cstheme="majorBidi"/>
      <w:color w:val="496200" w:themeColor="accent1" w:themeShade="7F"/>
      <w:sz w:val="26"/>
    </w:rPr>
  </w:style>
  <w:style w:type="paragraph" w:styleId="Titre6">
    <w:name w:val="heading 6"/>
    <w:basedOn w:val="Normal"/>
    <w:next w:val="Normal"/>
    <w:link w:val="Titre6Car"/>
    <w:uiPriority w:val="9"/>
    <w:unhideWhenUsed/>
    <w:qFormat/>
    <w:rsid w:val="00403EC3"/>
    <w:pPr>
      <w:keepNext/>
      <w:keepLines/>
      <w:numPr>
        <w:ilvl w:val="5"/>
        <w:numId w:val="48"/>
      </w:numPr>
      <w:spacing w:before="200"/>
      <w:outlineLvl w:val="5"/>
    </w:pPr>
    <w:rPr>
      <w:rFonts w:asciiTheme="majorHAnsi" w:eastAsiaTheme="majorEastAsia" w:hAnsiTheme="majorHAnsi" w:cstheme="majorBidi"/>
      <w:i/>
      <w:iCs/>
      <w:color w:val="496200" w:themeColor="accent1" w:themeShade="7F"/>
    </w:rPr>
  </w:style>
  <w:style w:type="paragraph" w:styleId="Titre7">
    <w:name w:val="heading 7"/>
    <w:basedOn w:val="Normal"/>
    <w:next w:val="Normal"/>
    <w:link w:val="Titre7Car"/>
    <w:uiPriority w:val="9"/>
    <w:unhideWhenUsed/>
    <w:qFormat/>
    <w:rsid w:val="00403EC3"/>
    <w:pPr>
      <w:keepNext/>
      <w:keepLines/>
      <w:numPr>
        <w:ilvl w:val="6"/>
        <w:numId w:val="48"/>
      </w:numPr>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unhideWhenUsed/>
    <w:qFormat/>
    <w:rsid w:val="00403EC3"/>
    <w:pPr>
      <w:keepNext/>
      <w:keepLines/>
      <w:numPr>
        <w:ilvl w:val="7"/>
        <w:numId w:val="48"/>
      </w:numPr>
      <w:spacing w:before="20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2256F1"/>
    <w:pPr>
      <w:keepNext/>
      <w:keepLines/>
      <w:numPr>
        <w:ilvl w:val="8"/>
        <w:numId w:val="48"/>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414B4"/>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414B4"/>
    <w:rPr>
      <w:rFonts w:ascii="Lucida Grande" w:eastAsia="Arial" w:hAnsi="Lucida Grande" w:cs="Lucida Grande"/>
      <w:sz w:val="18"/>
      <w:szCs w:val="18"/>
      <w:lang w:val="fr-CA"/>
    </w:rPr>
  </w:style>
  <w:style w:type="character" w:customStyle="1" w:styleId="Titre1Car">
    <w:name w:val="Titre 1 Car"/>
    <w:basedOn w:val="Policepardfaut"/>
    <w:link w:val="Titre1"/>
    <w:uiPriority w:val="9"/>
    <w:rsid w:val="00A36BF8"/>
    <w:rPr>
      <w:rFonts w:asciiTheme="majorHAnsi" w:eastAsiaTheme="majorEastAsia" w:hAnsiTheme="majorHAnsi" w:cstheme="majorBidi"/>
      <w:b/>
      <w:bCs/>
      <w:color w:val="4A6300" w:themeColor="accent1" w:themeShade="80"/>
      <w:sz w:val="32"/>
      <w:szCs w:val="32"/>
    </w:rPr>
  </w:style>
  <w:style w:type="paragraph" w:styleId="Sous-titre">
    <w:name w:val="Subtitle"/>
    <w:basedOn w:val="Normal"/>
    <w:next w:val="Normal"/>
    <w:link w:val="Sous-titreCar"/>
    <w:uiPriority w:val="11"/>
    <w:qFormat/>
    <w:rsid w:val="0083426E"/>
    <w:pPr>
      <w:numPr>
        <w:ilvl w:val="1"/>
      </w:numPr>
    </w:pPr>
    <w:rPr>
      <w:rFonts w:asciiTheme="majorHAnsi" w:eastAsiaTheme="majorEastAsia" w:hAnsiTheme="majorHAnsi" w:cstheme="majorBidi"/>
      <w:i/>
      <w:iCs/>
      <w:color w:val="94C600" w:themeColor="accent1"/>
      <w:spacing w:val="15"/>
    </w:rPr>
  </w:style>
  <w:style w:type="character" w:customStyle="1" w:styleId="Sous-titreCar">
    <w:name w:val="Sous-titre Car"/>
    <w:basedOn w:val="Policepardfaut"/>
    <w:link w:val="Sous-titre"/>
    <w:uiPriority w:val="11"/>
    <w:rsid w:val="0083426E"/>
    <w:rPr>
      <w:rFonts w:asciiTheme="majorHAnsi" w:eastAsiaTheme="majorEastAsia" w:hAnsiTheme="majorHAnsi" w:cstheme="majorBidi"/>
      <w:i/>
      <w:iCs/>
      <w:color w:val="94C600" w:themeColor="accent1"/>
      <w:spacing w:val="15"/>
    </w:rPr>
  </w:style>
  <w:style w:type="character" w:customStyle="1" w:styleId="Titre2Car">
    <w:name w:val="Titre 2 Car"/>
    <w:basedOn w:val="Policepardfaut"/>
    <w:link w:val="Titre2"/>
    <w:uiPriority w:val="9"/>
    <w:rsid w:val="007B5563"/>
    <w:rPr>
      <w:rFonts w:asciiTheme="majorHAnsi" w:eastAsiaTheme="majorEastAsia" w:hAnsiTheme="majorHAnsi" w:cstheme="majorBidi"/>
      <w:b/>
      <w:bCs/>
      <w:color w:val="6E9400" w:themeColor="accent1" w:themeShade="BF"/>
      <w:sz w:val="28"/>
      <w:szCs w:val="26"/>
    </w:rPr>
  </w:style>
  <w:style w:type="paragraph" w:styleId="TM1">
    <w:name w:val="toc 1"/>
    <w:basedOn w:val="Titre1"/>
    <w:next w:val="Normal"/>
    <w:autoRedefine/>
    <w:uiPriority w:val="39"/>
    <w:unhideWhenUsed/>
    <w:rsid w:val="0083426E"/>
    <w:pPr>
      <w:keepNext w:val="0"/>
      <w:keepLines w:val="0"/>
      <w:numPr>
        <w:numId w:val="0"/>
      </w:numPr>
      <w:spacing w:before="120"/>
      <w:outlineLvl w:val="9"/>
    </w:pPr>
    <w:rPr>
      <w:rFonts w:asciiTheme="minorHAnsi" w:eastAsiaTheme="minorEastAsia" w:hAnsiTheme="minorHAnsi" w:cs="Times New Roman"/>
      <w:bCs w:val="0"/>
      <w:color w:val="auto"/>
      <w:sz w:val="22"/>
      <w:szCs w:val="22"/>
    </w:rPr>
  </w:style>
  <w:style w:type="paragraph" w:styleId="TM2">
    <w:name w:val="toc 2"/>
    <w:basedOn w:val="Titre2"/>
    <w:next w:val="Normal"/>
    <w:autoRedefine/>
    <w:uiPriority w:val="39"/>
    <w:unhideWhenUsed/>
    <w:rsid w:val="0083426E"/>
    <w:pPr>
      <w:keepNext w:val="0"/>
      <w:keepLines w:val="0"/>
      <w:numPr>
        <w:ilvl w:val="0"/>
        <w:numId w:val="0"/>
      </w:numPr>
      <w:spacing w:before="0"/>
      <w:ind w:left="240"/>
      <w:outlineLvl w:val="9"/>
    </w:pPr>
    <w:rPr>
      <w:rFonts w:asciiTheme="minorHAnsi" w:eastAsiaTheme="minorEastAsia" w:hAnsiTheme="minorHAnsi" w:cs="Times New Roman"/>
      <w:b w:val="0"/>
      <w:bCs w:val="0"/>
      <w:i/>
      <w:color w:val="auto"/>
      <w:sz w:val="22"/>
      <w:szCs w:val="22"/>
    </w:rPr>
  </w:style>
  <w:style w:type="paragraph" w:styleId="TM3">
    <w:name w:val="toc 3"/>
    <w:basedOn w:val="Titre3"/>
    <w:next w:val="Normal"/>
    <w:autoRedefine/>
    <w:uiPriority w:val="39"/>
    <w:unhideWhenUsed/>
    <w:rsid w:val="0083426E"/>
    <w:pPr>
      <w:keepNext w:val="0"/>
      <w:keepLines w:val="0"/>
      <w:numPr>
        <w:ilvl w:val="0"/>
        <w:numId w:val="0"/>
      </w:numPr>
      <w:spacing w:before="0"/>
      <w:ind w:left="480"/>
      <w:outlineLvl w:val="9"/>
    </w:pPr>
    <w:rPr>
      <w:rFonts w:asciiTheme="minorHAnsi" w:eastAsiaTheme="minorEastAsia" w:hAnsiTheme="minorHAnsi" w:cs="Times New Roman"/>
      <w:b w:val="0"/>
      <w:bCs w:val="0"/>
      <w:color w:val="auto"/>
      <w:sz w:val="22"/>
      <w:szCs w:val="22"/>
    </w:rPr>
  </w:style>
  <w:style w:type="paragraph" w:styleId="TM4">
    <w:name w:val="toc 4"/>
    <w:basedOn w:val="Titre4"/>
    <w:next w:val="Normal"/>
    <w:autoRedefine/>
    <w:uiPriority w:val="39"/>
    <w:unhideWhenUsed/>
    <w:rsid w:val="0083426E"/>
    <w:pPr>
      <w:keepNext w:val="0"/>
      <w:keepLines w:val="0"/>
      <w:spacing w:before="0"/>
      <w:ind w:left="720"/>
      <w:outlineLvl w:val="9"/>
    </w:pPr>
    <w:rPr>
      <w:rFonts w:asciiTheme="minorHAnsi" w:eastAsiaTheme="minorEastAsia" w:hAnsiTheme="minorHAnsi" w:cs="Times New Roman"/>
      <w:b w:val="0"/>
      <w:bCs w:val="0"/>
      <w:i w:val="0"/>
      <w:iCs w:val="0"/>
      <w:color w:val="auto"/>
      <w:sz w:val="20"/>
      <w:szCs w:val="20"/>
    </w:rPr>
  </w:style>
  <w:style w:type="paragraph" w:styleId="TM5">
    <w:name w:val="toc 5"/>
    <w:basedOn w:val="Titre5"/>
    <w:next w:val="Normal"/>
    <w:autoRedefine/>
    <w:uiPriority w:val="39"/>
    <w:unhideWhenUsed/>
    <w:rsid w:val="0083426E"/>
    <w:pPr>
      <w:keepNext w:val="0"/>
      <w:keepLines w:val="0"/>
      <w:numPr>
        <w:ilvl w:val="0"/>
        <w:numId w:val="0"/>
      </w:numPr>
      <w:spacing w:before="0"/>
      <w:ind w:left="960"/>
      <w:outlineLvl w:val="9"/>
    </w:pPr>
    <w:rPr>
      <w:rFonts w:asciiTheme="minorHAnsi" w:eastAsiaTheme="minorEastAsia" w:hAnsiTheme="minorHAnsi" w:cs="Times New Roman"/>
      <w:color w:val="auto"/>
      <w:sz w:val="20"/>
      <w:szCs w:val="20"/>
    </w:rPr>
  </w:style>
  <w:style w:type="paragraph" w:styleId="TM6">
    <w:name w:val="toc 6"/>
    <w:basedOn w:val="Normal"/>
    <w:next w:val="Normal"/>
    <w:autoRedefine/>
    <w:uiPriority w:val="39"/>
    <w:unhideWhenUsed/>
    <w:rsid w:val="0083426E"/>
    <w:pPr>
      <w:ind w:left="1200"/>
    </w:pPr>
    <w:rPr>
      <w:sz w:val="20"/>
      <w:szCs w:val="20"/>
    </w:rPr>
  </w:style>
  <w:style w:type="paragraph" w:styleId="TM7">
    <w:name w:val="toc 7"/>
    <w:basedOn w:val="Normal"/>
    <w:next w:val="Normal"/>
    <w:autoRedefine/>
    <w:uiPriority w:val="39"/>
    <w:unhideWhenUsed/>
    <w:rsid w:val="0083426E"/>
    <w:pPr>
      <w:ind w:left="1440"/>
    </w:pPr>
    <w:rPr>
      <w:sz w:val="20"/>
      <w:szCs w:val="20"/>
    </w:rPr>
  </w:style>
  <w:style w:type="paragraph" w:styleId="TM8">
    <w:name w:val="toc 8"/>
    <w:basedOn w:val="Normal"/>
    <w:next w:val="Normal"/>
    <w:autoRedefine/>
    <w:uiPriority w:val="39"/>
    <w:unhideWhenUsed/>
    <w:rsid w:val="0083426E"/>
    <w:pPr>
      <w:ind w:left="1680"/>
    </w:pPr>
    <w:rPr>
      <w:sz w:val="20"/>
      <w:szCs w:val="20"/>
    </w:rPr>
  </w:style>
  <w:style w:type="paragraph" w:styleId="TM9">
    <w:name w:val="toc 9"/>
    <w:basedOn w:val="Normal"/>
    <w:next w:val="Normal"/>
    <w:autoRedefine/>
    <w:uiPriority w:val="39"/>
    <w:unhideWhenUsed/>
    <w:rsid w:val="0083426E"/>
    <w:pPr>
      <w:ind w:left="1920"/>
    </w:pPr>
    <w:rPr>
      <w:sz w:val="20"/>
      <w:szCs w:val="20"/>
    </w:rPr>
  </w:style>
  <w:style w:type="character" w:customStyle="1" w:styleId="Titre3Car">
    <w:name w:val="Titre 3 Car"/>
    <w:basedOn w:val="Policepardfaut"/>
    <w:link w:val="Titre3"/>
    <w:uiPriority w:val="9"/>
    <w:rsid w:val="007B5563"/>
    <w:rPr>
      <w:rFonts w:asciiTheme="majorHAnsi" w:eastAsiaTheme="majorEastAsia" w:hAnsiTheme="majorHAnsi" w:cstheme="majorBidi"/>
      <w:b/>
      <w:bCs/>
      <w:color w:val="2E2D21" w:themeColor="text2" w:themeShade="BF"/>
      <w:sz w:val="26"/>
    </w:rPr>
  </w:style>
  <w:style w:type="character" w:customStyle="1" w:styleId="Titre4Car">
    <w:name w:val="Titre 4 Car"/>
    <w:basedOn w:val="Policepardfaut"/>
    <w:link w:val="Titre4"/>
    <w:uiPriority w:val="9"/>
    <w:rsid w:val="00403EC3"/>
    <w:rPr>
      <w:rFonts w:asciiTheme="majorHAnsi" w:eastAsiaTheme="majorEastAsia" w:hAnsiTheme="majorHAnsi" w:cstheme="majorBidi"/>
      <w:b/>
      <w:bCs/>
      <w:i/>
      <w:iCs/>
      <w:color w:val="94C600" w:themeColor="accent1"/>
    </w:rPr>
  </w:style>
  <w:style w:type="character" w:customStyle="1" w:styleId="Titre5Car">
    <w:name w:val="Titre 5 Car"/>
    <w:basedOn w:val="Policepardfaut"/>
    <w:link w:val="Titre5"/>
    <w:uiPriority w:val="9"/>
    <w:rsid w:val="007B5563"/>
    <w:rPr>
      <w:rFonts w:asciiTheme="majorHAnsi" w:eastAsiaTheme="majorEastAsia" w:hAnsiTheme="majorHAnsi" w:cstheme="majorBidi"/>
      <w:color w:val="496200" w:themeColor="accent1" w:themeShade="7F"/>
      <w:sz w:val="26"/>
    </w:rPr>
  </w:style>
  <w:style w:type="character" w:customStyle="1" w:styleId="Titre6Car">
    <w:name w:val="Titre 6 Car"/>
    <w:basedOn w:val="Policepardfaut"/>
    <w:link w:val="Titre6"/>
    <w:uiPriority w:val="9"/>
    <w:rsid w:val="00403EC3"/>
    <w:rPr>
      <w:rFonts w:asciiTheme="majorHAnsi" w:eastAsiaTheme="majorEastAsia" w:hAnsiTheme="majorHAnsi" w:cstheme="majorBidi"/>
      <w:i/>
      <w:iCs/>
      <w:color w:val="496200" w:themeColor="accent1" w:themeShade="7F"/>
    </w:rPr>
  </w:style>
  <w:style w:type="character" w:customStyle="1" w:styleId="Titre7Car">
    <w:name w:val="Titre 7 Car"/>
    <w:basedOn w:val="Policepardfaut"/>
    <w:link w:val="Titre7"/>
    <w:uiPriority w:val="9"/>
    <w:rsid w:val="00403EC3"/>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rsid w:val="00403EC3"/>
    <w:rPr>
      <w:rFonts w:asciiTheme="majorHAnsi" w:eastAsiaTheme="majorEastAsia" w:hAnsiTheme="majorHAnsi" w:cstheme="majorBidi"/>
      <w:color w:val="404040" w:themeColor="text1" w:themeTint="BF"/>
      <w:sz w:val="20"/>
      <w:szCs w:val="20"/>
    </w:rPr>
  </w:style>
  <w:style w:type="paragraph" w:styleId="Titre">
    <w:name w:val="Title"/>
    <w:basedOn w:val="Normal"/>
    <w:next w:val="Normal"/>
    <w:link w:val="TitreCar"/>
    <w:uiPriority w:val="10"/>
    <w:qFormat/>
    <w:rsid w:val="005233D5"/>
    <w:pPr>
      <w:pBdr>
        <w:bottom w:val="single" w:sz="8" w:space="4" w:color="94C600" w:themeColor="accent1"/>
      </w:pBdr>
      <w:spacing w:after="300"/>
      <w:contextualSpacing/>
    </w:pPr>
    <w:rPr>
      <w:rFonts w:asciiTheme="majorHAnsi" w:eastAsiaTheme="majorEastAsia" w:hAnsiTheme="majorHAnsi" w:cstheme="majorBidi"/>
      <w:color w:val="2E2D21" w:themeColor="text2" w:themeShade="BF"/>
      <w:spacing w:val="5"/>
      <w:kern w:val="28"/>
      <w:sz w:val="52"/>
      <w:szCs w:val="52"/>
    </w:rPr>
  </w:style>
  <w:style w:type="character" w:customStyle="1" w:styleId="TitreCar">
    <w:name w:val="Titre Car"/>
    <w:basedOn w:val="Policepardfaut"/>
    <w:link w:val="Titre"/>
    <w:uiPriority w:val="10"/>
    <w:rsid w:val="005233D5"/>
    <w:rPr>
      <w:rFonts w:asciiTheme="majorHAnsi" w:eastAsiaTheme="majorEastAsia" w:hAnsiTheme="majorHAnsi" w:cstheme="majorBidi"/>
      <w:color w:val="2E2D21" w:themeColor="text2" w:themeShade="BF"/>
      <w:spacing w:val="5"/>
      <w:kern w:val="28"/>
      <w:sz w:val="52"/>
      <w:szCs w:val="52"/>
    </w:rPr>
  </w:style>
  <w:style w:type="paragraph" w:styleId="Paragraphedeliste">
    <w:name w:val="List Paragraph"/>
    <w:basedOn w:val="Normal"/>
    <w:uiPriority w:val="34"/>
    <w:qFormat/>
    <w:rsid w:val="00A36BF8"/>
    <w:pPr>
      <w:ind w:left="720"/>
      <w:contextualSpacing/>
    </w:pPr>
  </w:style>
  <w:style w:type="character" w:styleId="lev">
    <w:name w:val="Strong"/>
    <w:basedOn w:val="Policepardfaut"/>
    <w:uiPriority w:val="22"/>
    <w:qFormat/>
    <w:rsid w:val="009555DF"/>
    <w:rPr>
      <w:b/>
      <w:bCs/>
    </w:rPr>
  </w:style>
  <w:style w:type="paragraph" w:styleId="Pieddepage">
    <w:name w:val="footer"/>
    <w:basedOn w:val="Normal"/>
    <w:link w:val="PieddepageCar"/>
    <w:uiPriority w:val="99"/>
    <w:unhideWhenUsed/>
    <w:rsid w:val="00C05621"/>
    <w:pPr>
      <w:tabs>
        <w:tab w:val="center" w:pos="4536"/>
        <w:tab w:val="right" w:pos="9072"/>
      </w:tabs>
    </w:pPr>
  </w:style>
  <w:style w:type="character" w:customStyle="1" w:styleId="PieddepageCar">
    <w:name w:val="Pied de page Car"/>
    <w:basedOn w:val="Policepardfaut"/>
    <w:link w:val="Pieddepage"/>
    <w:uiPriority w:val="99"/>
    <w:rsid w:val="00C05621"/>
  </w:style>
  <w:style w:type="character" w:styleId="Numrodepage">
    <w:name w:val="page number"/>
    <w:basedOn w:val="Policepardfaut"/>
    <w:uiPriority w:val="99"/>
    <w:semiHidden/>
    <w:unhideWhenUsed/>
    <w:rsid w:val="00C05621"/>
  </w:style>
  <w:style w:type="paragraph" w:styleId="En-tte">
    <w:name w:val="header"/>
    <w:basedOn w:val="Normal"/>
    <w:link w:val="En-tteCar"/>
    <w:uiPriority w:val="99"/>
    <w:unhideWhenUsed/>
    <w:rsid w:val="00C05621"/>
    <w:pPr>
      <w:tabs>
        <w:tab w:val="center" w:pos="4536"/>
        <w:tab w:val="right" w:pos="9072"/>
      </w:tabs>
    </w:pPr>
  </w:style>
  <w:style w:type="character" w:customStyle="1" w:styleId="En-tteCar">
    <w:name w:val="En-tête Car"/>
    <w:basedOn w:val="Policepardfaut"/>
    <w:link w:val="En-tte"/>
    <w:uiPriority w:val="99"/>
    <w:rsid w:val="00C05621"/>
  </w:style>
  <w:style w:type="character" w:styleId="Lienhypertexte">
    <w:name w:val="Hyperlink"/>
    <w:basedOn w:val="Policepardfaut"/>
    <w:uiPriority w:val="99"/>
    <w:unhideWhenUsed/>
    <w:rsid w:val="007F03C5"/>
    <w:rPr>
      <w:color w:val="E68200" w:themeColor="hyperlink"/>
      <w:u w:val="single"/>
    </w:rPr>
  </w:style>
  <w:style w:type="table" w:styleId="Grille">
    <w:name w:val="Table Grid"/>
    <w:basedOn w:val="TableauNormal"/>
    <w:uiPriority w:val="59"/>
    <w:rsid w:val="006C6D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eclaire-Accent1">
    <w:name w:val="Light List Accent 1"/>
    <w:basedOn w:val="TableauNormal"/>
    <w:uiPriority w:val="61"/>
    <w:rsid w:val="006C6DD5"/>
    <w:tblPr>
      <w:tblStyleRowBandSize w:val="1"/>
      <w:tblStyleColBandSize w:val="1"/>
      <w:tblInd w:w="0" w:type="dxa"/>
      <w:tblBorders>
        <w:top w:val="single" w:sz="8" w:space="0" w:color="94C600" w:themeColor="accent1"/>
        <w:left w:val="single" w:sz="8" w:space="0" w:color="94C600" w:themeColor="accent1"/>
        <w:bottom w:val="single" w:sz="8" w:space="0" w:color="94C600" w:themeColor="accent1"/>
        <w:right w:val="single" w:sz="8" w:space="0" w:color="94C60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4C600" w:themeFill="accent1"/>
      </w:tcPr>
    </w:tblStylePr>
    <w:tblStylePr w:type="lastRow">
      <w:pPr>
        <w:spacing w:before="0" w:after="0" w:line="240" w:lineRule="auto"/>
      </w:pPr>
      <w:rPr>
        <w:b/>
        <w:bCs/>
      </w:rPr>
      <w:tblPr/>
      <w:tcPr>
        <w:tcBorders>
          <w:top w:val="double" w:sz="6" w:space="0" w:color="94C600" w:themeColor="accent1"/>
          <w:left w:val="single" w:sz="8" w:space="0" w:color="94C600" w:themeColor="accent1"/>
          <w:bottom w:val="single" w:sz="8" w:space="0" w:color="94C600" w:themeColor="accent1"/>
          <w:right w:val="single" w:sz="8" w:space="0" w:color="94C600" w:themeColor="accent1"/>
        </w:tcBorders>
      </w:tcPr>
    </w:tblStylePr>
    <w:tblStylePr w:type="firstCol">
      <w:rPr>
        <w:b/>
        <w:bCs/>
      </w:rPr>
    </w:tblStylePr>
    <w:tblStylePr w:type="lastCol">
      <w:rPr>
        <w:b/>
        <w:bCs/>
      </w:rPr>
    </w:tblStylePr>
    <w:tblStylePr w:type="band1Vert">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tblStylePr w:type="band1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style>
  <w:style w:type="table" w:styleId="Grilleclaire-Accent1">
    <w:name w:val="Light Grid Accent 1"/>
    <w:basedOn w:val="TableauNormal"/>
    <w:uiPriority w:val="62"/>
    <w:rsid w:val="006C6DD5"/>
    <w:tblPr>
      <w:tblStyleRowBandSize w:val="1"/>
      <w:tblStyleColBandSize w:val="1"/>
      <w:tblInd w:w="0" w:type="dxa"/>
      <w:tblBorders>
        <w:top w:val="single" w:sz="8" w:space="0" w:color="94C600" w:themeColor="accent1"/>
        <w:left w:val="single" w:sz="8" w:space="0" w:color="94C600" w:themeColor="accent1"/>
        <w:bottom w:val="single" w:sz="8" w:space="0" w:color="94C600" w:themeColor="accent1"/>
        <w:right w:val="single" w:sz="8" w:space="0" w:color="94C600" w:themeColor="accent1"/>
        <w:insideH w:val="single" w:sz="8" w:space="0" w:color="94C600" w:themeColor="accent1"/>
        <w:insideV w:val="single" w:sz="8" w:space="0" w:color="94C600"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4C600" w:themeColor="accent1"/>
          <w:left w:val="single" w:sz="8" w:space="0" w:color="94C600" w:themeColor="accent1"/>
          <w:bottom w:val="single" w:sz="18" w:space="0" w:color="94C600" w:themeColor="accent1"/>
          <w:right w:val="single" w:sz="8" w:space="0" w:color="94C600" w:themeColor="accent1"/>
          <w:insideH w:val="nil"/>
          <w:insideV w:val="single" w:sz="8" w:space="0" w:color="94C60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4C600" w:themeColor="accent1"/>
          <w:left w:val="single" w:sz="8" w:space="0" w:color="94C600" w:themeColor="accent1"/>
          <w:bottom w:val="single" w:sz="8" w:space="0" w:color="94C600" w:themeColor="accent1"/>
          <w:right w:val="single" w:sz="8" w:space="0" w:color="94C600" w:themeColor="accent1"/>
          <w:insideH w:val="nil"/>
          <w:insideV w:val="single" w:sz="8" w:space="0" w:color="94C60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tblStylePr w:type="band1Vert">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shd w:val="clear" w:color="auto" w:fill="EBFFB1" w:themeFill="accent1" w:themeFillTint="3F"/>
      </w:tcPr>
    </w:tblStylePr>
    <w:tblStylePr w:type="band1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insideV w:val="single" w:sz="8" w:space="0" w:color="94C600" w:themeColor="accent1"/>
        </w:tcBorders>
        <w:shd w:val="clear" w:color="auto" w:fill="EBFFB1" w:themeFill="accent1" w:themeFillTint="3F"/>
      </w:tcPr>
    </w:tblStylePr>
    <w:tblStylePr w:type="band2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insideV w:val="single" w:sz="8" w:space="0" w:color="94C600" w:themeColor="accent1"/>
        </w:tcBorders>
      </w:tcPr>
    </w:tblStylePr>
  </w:style>
  <w:style w:type="table" w:styleId="Trameclaire-Accent1">
    <w:name w:val="Light Shading Accent 1"/>
    <w:basedOn w:val="TableauNormal"/>
    <w:uiPriority w:val="60"/>
    <w:rsid w:val="006C6DD5"/>
    <w:rPr>
      <w:color w:val="6E9400" w:themeColor="accent1" w:themeShade="BF"/>
    </w:rPr>
    <w:tblPr>
      <w:tblStyleRowBandSize w:val="1"/>
      <w:tblStyleColBandSize w:val="1"/>
      <w:tblInd w:w="0" w:type="dxa"/>
      <w:tblBorders>
        <w:top w:val="single" w:sz="8" w:space="0" w:color="94C600" w:themeColor="accent1"/>
        <w:bottom w:val="single" w:sz="8" w:space="0" w:color="94C600"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la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left w:val="nil"/>
          <w:right w:val="nil"/>
          <w:insideH w:val="nil"/>
          <w:insideV w:val="nil"/>
        </w:tcBorders>
        <w:shd w:val="clear" w:color="auto" w:fill="EBFFB1" w:themeFill="accent1" w:themeFillTint="3F"/>
      </w:tcPr>
    </w:tblStylePr>
  </w:style>
  <w:style w:type="table" w:styleId="Tramemoyenne1-Accent3">
    <w:name w:val="Medium Shading 1 Accent 3"/>
    <w:basedOn w:val="TableauNormal"/>
    <w:uiPriority w:val="63"/>
    <w:rsid w:val="006669D6"/>
    <w:tblPr>
      <w:tblStyleRowBandSize w:val="1"/>
      <w:tblStyleColBandSize w:val="1"/>
      <w:tblInd w:w="0" w:type="dxa"/>
      <w:tbl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single" w:sz="8" w:space="0" w:color="FF8D40"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nil"/>
          <w:insideV w:val="nil"/>
        </w:tcBorders>
        <w:shd w:val="clear" w:color="auto" w:fill="FF6700" w:themeFill="accent3"/>
      </w:tcPr>
    </w:tblStylePr>
    <w:tblStylePr w:type="lastRow">
      <w:pPr>
        <w:spacing w:before="0" w:after="0" w:line="240" w:lineRule="auto"/>
      </w:pPr>
      <w:rPr>
        <w:b/>
        <w:bCs/>
      </w:rPr>
      <w:tblPr/>
      <w:tcPr>
        <w:tcBorders>
          <w:top w:val="double" w:sz="6"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nil"/>
          <w:insideV w:val="nil"/>
        </w:tcBorders>
      </w:tcPr>
    </w:tblStylePr>
    <w:tblStylePr w:type="firstCol">
      <w:rPr>
        <w:b/>
        <w:bCs/>
      </w:rPr>
    </w:tblStylePr>
    <w:tblStylePr w:type="lastCol">
      <w:rPr>
        <w:b/>
        <w:bCs/>
      </w:rPr>
    </w:tblStylePr>
    <w:tblStylePr w:type="band1Vert">
      <w:tblPr/>
      <w:tcPr>
        <w:shd w:val="clear" w:color="auto" w:fill="FFD9C0" w:themeFill="accent3" w:themeFillTint="3F"/>
      </w:tcPr>
    </w:tblStylePr>
    <w:tblStylePr w:type="band1Horz">
      <w:tblPr/>
      <w:tcPr>
        <w:tcBorders>
          <w:insideH w:val="nil"/>
          <w:insideV w:val="nil"/>
        </w:tcBorders>
        <w:shd w:val="clear" w:color="auto" w:fill="FFD9C0" w:themeFill="accent3" w:themeFillTint="3F"/>
      </w:tcPr>
    </w:tblStylePr>
    <w:tblStylePr w:type="band2Horz">
      <w:tblPr/>
      <w:tcPr>
        <w:tcBorders>
          <w:insideH w:val="nil"/>
          <w:insideV w:val="nil"/>
        </w:tcBorders>
      </w:tcPr>
    </w:tblStylePr>
  </w:style>
  <w:style w:type="table" w:styleId="Tramemoyenne2-Accent4">
    <w:name w:val="Medium Shading 2 Accent 4"/>
    <w:basedOn w:val="TableauNormal"/>
    <w:uiPriority w:val="64"/>
    <w:rsid w:val="006669D6"/>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0946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09465" w:themeFill="accent4"/>
      </w:tcPr>
    </w:tblStylePr>
    <w:tblStylePr w:type="lastCol">
      <w:rPr>
        <w:b/>
        <w:bCs/>
        <w:color w:val="FFFFFF" w:themeColor="background1"/>
      </w:rPr>
      <w:tblPr/>
      <w:tcPr>
        <w:tcBorders>
          <w:left w:val="nil"/>
          <w:right w:val="nil"/>
          <w:insideH w:val="nil"/>
          <w:insideV w:val="nil"/>
        </w:tcBorders>
        <w:shd w:val="clear" w:color="auto" w:fill="90946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3">
    <w:name w:val="Medium List 2 Accent 3"/>
    <w:basedOn w:val="TableauNormal"/>
    <w:uiPriority w:val="66"/>
    <w:rsid w:val="006669D6"/>
    <w:rPr>
      <w:rFonts w:asciiTheme="majorHAnsi" w:eastAsiaTheme="majorEastAsia" w:hAnsiTheme="majorHAnsi" w:cstheme="majorBidi"/>
      <w:color w:val="000000" w:themeColor="text1"/>
    </w:rPr>
    <w:tblPr>
      <w:tblStyleRowBandSize w:val="1"/>
      <w:tblStyleColBandSize w:val="1"/>
      <w:tblInd w:w="0" w:type="dxa"/>
      <w:tblBorders>
        <w:top w:val="single" w:sz="8" w:space="0" w:color="FF6700" w:themeColor="accent3"/>
        <w:left w:val="single" w:sz="8" w:space="0" w:color="FF6700" w:themeColor="accent3"/>
        <w:bottom w:val="single" w:sz="8" w:space="0" w:color="FF6700" w:themeColor="accent3"/>
        <w:right w:val="single" w:sz="8" w:space="0" w:color="FF6700"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FF6700" w:themeColor="accent3"/>
          <w:right w:val="nil"/>
          <w:insideH w:val="nil"/>
          <w:insideV w:val="nil"/>
        </w:tcBorders>
        <w:shd w:val="clear" w:color="auto" w:fill="FFFFFF" w:themeFill="background1"/>
      </w:tcPr>
    </w:tblStylePr>
    <w:tblStylePr w:type="lastRow">
      <w:tblPr/>
      <w:tcPr>
        <w:tcBorders>
          <w:top w:val="single" w:sz="8" w:space="0" w:color="FF670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6700" w:themeColor="accent3"/>
          <w:insideH w:val="nil"/>
          <w:insideV w:val="nil"/>
        </w:tcBorders>
        <w:shd w:val="clear" w:color="auto" w:fill="FFFFFF" w:themeFill="background1"/>
      </w:tcPr>
    </w:tblStylePr>
    <w:tblStylePr w:type="lastCol">
      <w:tblPr/>
      <w:tcPr>
        <w:tcBorders>
          <w:top w:val="nil"/>
          <w:left w:val="single" w:sz="8" w:space="0" w:color="FF670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D9C0" w:themeFill="accent3" w:themeFillTint="3F"/>
      </w:tcPr>
    </w:tblStylePr>
    <w:tblStylePr w:type="band1Horz">
      <w:tblPr/>
      <w:tcPr>
        <w:tcBorders>
          <w:top w:val="nil"/>
          <w:bottom w:val="nil"/>
          <w:insideH w:val="nil"/>
          <w:insideV w:val="nil"/>
        </w:tcBorders>
        <w:shd w:val="clear" w:color="auto" w:fill="FFD9C0"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3-Accent3">
    <w:name w:val="Medium Grid 3 Accent 3"/>
    <w:basedOn w:val="TableauNormal"/>
    <w:uiPriority w:val="69"/>
    <w:rsid w:val="006669D6"/>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FD9C0"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670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670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670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670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B380"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B380" w:themeFill="accent3" w:themeFillTint="7F"/>
      </w:tcPr>
    </w:tblStylePr>
  </w:style>
  <w:style w:type="table" w:styleId="Grillemoyenne2-Accent3">
    <w:name w:val="Medium Grid 2 Accent 3"/>
    <w:basedOn w:val="TableauNormal"/>
    <w:uiPriority w:val="68"/>
    <w:rsid w:val="006669D6"/>
    <w:rPr>
      <w:rFonts w:asciiTheme="majorHAnsi" w:eastAsiaTheme="majorEastAsia" w:hAnsiTheme="majorHAnsi" w:cstheme="majorBidi"/>
      <w:color w:val="000000" w:themeColor="text1"/>
    </w:rPr>
    <w:tblPr>
      <w:tblStyleRowBandSize w:val="1"/>
      <w:tblStyleColBandSize w:val="1"/>
      <w:tblInd w:w="0" w:type="dxa"/>
      <w:tblBorders>
        <w:top w:val="single" w:sz="8" w:space="0" w:color="FF6700" w:themeColor="accent3"/>
        <w:left w:val="single" w:sz="8" w:space="0" w:color="FF6700" w:themeColor="accent3"/>
        <w:bottom w:val="single" w:sz="8" w:space="0" w:color="FF6700" w:themeColor="accent3"/>
        <w:right w:val="single" w:sz="8" w:space="0" w:color="FF6700" w:themeColor="accent3"/>
        <w:insideH w:val="single" w:sz="8" w:space="0" w:color="FF6700" w:themeColor="accent3"/>
        <w:insideV w:val="single" w:sz="8" w:space="0" w:color="FF6700" w:themeColor="accent3"/>
      </w:tblBorders>
      <w:tblCellMar>
        <w:top w:w="0" w:type="dxa"/>
        <w:left w:w="108" w:type="dxa"/>
        <w:bottom w:w="0" w:type="dxa"/>
        <w:right w:w="108" w:type="dxa"/>
      </w:tblCellMar>
    </w:tblPr>
    <w:tcPr>
      <w:shd w:val="clear" w:color="auto" w:fill="FFD9C0" w:themeFill="accent3" w:themeFillTint="3F"/>
    </w:tcPr>
    <w:tblStylePr w:type="firstRow">
      <w:rPr>
        <w:b/>
        <w:bCs/>
        <w:color w:val="000000" w:themeColor="text1"/>
      </w:rPr>
      <w:tblPr/>
      <w:tcPr>
        <w:shd w:val="clear" w:color="auto" w:fill="FFF0E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0CC" w:themeFill="accent3" w:themeFillTint="33"/>
      </w:tcPr>
    </w:tblStylePr>
    <w:tblStylePr w:type="band1Vert">
      <w:tblPr/>
      <w:tcPr>
        <w:shd w:val="clear" w:color="auto" w:fill="FFB380" w:themeFill="accent3" w:themeFillTint="7F"/>
      </w:tcPr>
    </w:tblStylePr>
    <w:tblStylePr w:type="band1Horz">
      <w:tblPr/>
      <w:tcPr>
        <w:tcBorders>
          <w:insideH w:val="single" w:sz="6" w:space="0" w:color="FF6700" w:themeColor="accent3"/>
          <w:insideV w:val="single" w:sz="6" w:space="0" w:color="FF6700" w:themeColor="accent3"/>
        </w:tcBorders>
        <w:shd w:val="clear" w:color="auto" w:fill="FFB380" w:themeFill="accent3" w:themeFillTint="7F"/>
      </w:tcPr>
    </w:tblStylePr>
    <w:tblStylePr w:type="nwCell">
      <w:tblPr/>
      <w:tcPr>
        <w:shd w:val="clear" w:color="auto" w:fill="FFFFFF" w:themeFill="background1"/>
      </w:tcPr>
    </w:tblStylePr>
  </w:style>
  <w:style w:type="table" w:styleId="Listefonce-Accent3">
    <w:name w:val="Dark List Accent 3"/>
    <w:basedOn w:val="TableauNormal"/>
    <w:uiPriority w:val="70"/>
    <w:rsid w:val="006669D6"/>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F670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3300"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BF4D0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BF4D00" w:themeFill="accent3" w:themeFillShade="BF"/>
      </w:tcPr>
    </w:tblStylePr>
    <w:tblStylePr w:type="band1Vert">
      <w:tblPr/>
      <w:tcPr>
        <w:tcBorders>
          <w:top w:val="nil"/>
          <w:left w:val="nil"/>
          <w:bottom w:val="nil"/>
          <w:right w:val="nil"/>
          <w:insideH w:val="nil"/>
          <w:insideV w:val="nil"/>
        </w:tcBorders>
        <w:shd w:val="clear" w:color="auto" w:fill="BF4D00" w:themeFill="accent3" w:themeFillShade="BF"/>
      </w:tcPr>
    </w:tblStylePr>
    <w:tblStylePr w:type="band1Horz">
      <w:tblPr/>
      <w:tcPr>
        <w:tcBorders>
          <w:top w:val="nil"/>
          <w:left w:val="nil"/>
          <w:bottom w:val="nil"/>
          <w:right w:val="nil"/>
          <w:insideH w:val="nil"/>
          <w:insideV w:val="nil"/>
        </w:tcBorders>
        <w:shd w:val="clear" w:color="auto" w:fill="BF4D00" w:themeFill="accent3" w:themeFillShade="BF"/>
      </w:tcPr>
    </w:tblStylePr>
  </w:style>
  <w:style w:type="table" w:styleId="Listefonce-Accent6">
    <w:name w:val="Dark List Accent 6"/>
    <w:basedOn w:val="TableauNormal"/>
    <w:uiPriority w:val="70"/>
    <w:rsid w:val="006669D6"/>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EA02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E51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D67B0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D67B01" w:themeFill="accent6" w:themeFillShade="BF"/>
      </w:tcPr>
    </w:tblStylePr>
    <w:tblStylePr w:type="band1Vert">
      <w:tblPr/>
      <w:tcPr>
        <w:tcBorders>
          <w:top w:val="nil"/>
          <w:left w:val="nil"/>
          <w:bottom w:val="nil"/>
          <w:right w:val="nil"/>
          <w:insideH w:val="nil"/>
          <w:insideV w:val="nil"/>
        </w:tcBorders>
        <w:shd w:val="clear" w:color="auto" w:fill="D67B01" w:themeFill="accent6" w:themeFillShade="BF"/>
      </w:tcPr>
    </w:tblStylePr>
    <w:tblStylePr w:type="band1Horz">
      <w:tblPr/>
      <w:tcPr>
        <w:tcBorders>
          <w:top w:val="nil"/>
          <w:left w:val="nil"/>
          <w:bottom w:val="nil"/>
          <w:right w:val="nil"/>
          <w:insideH w:val="nil"/>
          <w:insideV w:val="nil"/>
        </w:tcBorders>
        <w:shd w:val="clear" w:color="auto" w:fill="D67B01" w:themeFill="accent6" w:themeFillShade="BF"/>
      </w:tcPr>
    </w:tblStylePr>
  </w:style>
  <w:style w:type="table" w:styleId="Tramecouleur-Accent3">
    <w:name w:val="Colorful Shading Accent 3"/>
    <w:basedOn w:val="TableauNormal"/>
    <w:uiPriority w:val="71"/>
    <w:rsid w:val="006669D6"/>
    <w:rPr>
      <w:color w:val="000000" w:themeColor="text1"/>
    </w:rPr>
    <w:tblPr>
      <w:tblStyleRowBandSize w:val="1"/>
      <w:tblStyleColBandSize w:val="1"/>
      <w:tblInd w:w="0" w:type="dxa"/>
      <w:tblBorders>
        <w:top w:val="single" w:sz="24" w:space="0" w:color="909465" w:themeColor="accent4"/>
        <w:left w:val="single" w:sz="4" w:space="0" w:color="FF6700" w:themeColor="accent3"/>
        <w:bottom w:val="single" w:sz="4" w:space="0" w:color="FF6700" w:themeColor="accent3"/>
        <w:right w:val="single" w:sz="4" w:space="0" w:color="FF6700"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FF0E6" w:themeFill="accent3" w:themeFillTint="19"/>
    </w:tcPr>
    <w:tblStylePr w:type="firstRow">
      <w:rPr>
        <w:b/>
        <w:bCs/>
      </w:rPr>
      <w:tblPr/>
      <w:tcPr>
        <w:tcBorders>
          <w:top w:val="nil"/>
          <w:left w:val="nil"/>
          <w:bottom w:val="single" w:sz="24" w:space="0" w:color="90946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3D00" w:themeFill="accent3" w:themeFillShade="99"/>
      </w:tcPr>
    </w:tblStylePr>
    <w:tblStylePr w:type="firstCol">
      <w:rPr>
        <w:color w:val="FFFFFF" w:themeColor="background1"/>
      </w:rPr>
      <w:tblPr/>
      <w:tcPr>
        <w:tcBorders>
          <w:top w:val="nil"/>
          <w:left w:val="nil"/>
          <w:bottom w:val="nil"/>
          <w:right w:val="nil"/>
          <w:insideH w:val="single" w:sz="4" w:space="0" w:color="993D00" w:themeColor="accent3" w:themeShade="99"/>
          <w:insideV w:val="nil"/>
        </w:tcBorders>
        <w:shd w:val="clear" w:color="auto" w:fill="993D0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93D00" w:themeFill="accent3" w:themeFillShade="99"/>
      </w:tcPr>
    </w:tblStylePr>
    <w:tblStylePr w:type="band1Vert">
      <w:tblPr/>
      <w:tcPr>
        <w:shd w:val="clear" w:color="auto" w:fill="FFC299" w:themeFill="accent3" w:themeFillTint="66"/>
      </w:tcPr>
    </w:tblStylePr>
    <w:tblStylePr w:type="band1Horz">
      <w:tblPr/>
      <w:tcPr>
        <w:shd w:val="clear" w:color="auto" w:fill="FFB380" w:themeFill="accent3" w:themeFillTint="7F"/>
      </w:tcPr>
    </w:tblStylePr>
  </w:style>
  <w:style w:type="table" w:styleId="Listecouleur-Accent5">
    <w:name w:val="Colorful List Accent 5"/>
    <w:basedOn w:val="TableauNormal"/>
    <w:uiPriority w:val="72"/>
    <w:rsid w:val="006669D6"/>
    <w:rPr>
      <w:color w:val="000000" w:themeColor="text1"/>
    </w:rPr>
    <w:tblPr>
      <w:tblStyleRowBandSize w:val="1"/>
      <w:tblStyleColBandSize w:val="1"/>
      <w:tblInd w:w="0" w:type="dxa"/>
      <w:tblCellMar>
        <w:top w:w="0" w:type="dxa"/>
        <w:left w:w="108" w:type="dxa"/>
        <w:bottom w:w="0" w:type="dxa"/>
        <w:right w:w="108" w:type="dxa"/>
      </w:tblCellMar>
    </w:tblPr>
    <w:tcPr>
      <w:shd w:val="clear" w:color="auto" w:fill="F6F0EB" w:themeFill="accent5" w:themeFillTint="19"/>
    </w:tcPr>
    <w:tblStylePr w:type="firstRow">
      <w:rPr>
        <w:b/>
        <w:bCs/>
        <w:color w:val="FFFFFF" w:themeColor="background1"/>
      </w:rPr>
      <w:tblPr/>
      <w:tcPr>
        <w:tcBorders>
          <w:bottom w:val="single" w:sz="12" w:space="0" w:color="FFFFFF" w:themeColor="background1"/>
        </w:tcBorders>
        <w:shd w:val="clear" w:color="auto" w:fill="E58301" w:themeFill="accent6" w:themeFillShade="CC"/>
      </w:tcPr>
    </w:tblStylePr>
    <w:tblStylePr w:type="lastRow">
      <w:rPr>
        <w:b/>
        <w:bCs/>
        <w:color w:val="E58301"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DACC" w:themeFill="accent5" w:themeFillTint="3F"/>
      </w:tcPr>
    </w:tblStylePr>
    <w:tblStylePr w:type="band1Horz">
      <w:tblPr/>
      <w:tcPr>
        <w:shd w:val="clear" w:color="auto" w:fill="ECE1D6" w:themeFill="accent5" w:themeFillTint="33"/>
      </w:tcPr>
    </w:tblStylePr>
  </w:style>
  <w:style w:type="table" w:styleId="Tramemoyenne2-Accent3">
    <w:name w:val="Medium Shading 2 Accent 3"/>
    <w:basedOn w:val="TableauNormal"/>
    <w:uiPriority w:val="64"/>
    <w:rsid w:val="006669D6"/>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670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6700" w:themeFill="accent3"/>
      </w:tcPr>
    </w:tblStylePr>
    <w:tblStylePr w:type="lastCol">
      <w:rPr>
        <w:b/>
        <w:bCs/>
        <w:color w:val="FFFFFF" w:themeColor="background1"/>
      </w:rPr>
      <w:tblPr/>
      <w:tcPr>
        <w:tcBorders>
          <w:left w:val="nil"/>
          <w:right w:val="nil"/>
          <w:insideH w:val="nil"/>
          <w:insideV w:val="nil"/>
        </w:tcBorders>
        <w:shd w:val="clear" w:color="auto" w:fill="FF670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NormalWeb">
    <w:name w:val="Normal (Web)"/>
    <w:basedOn w:val="Normal"/>
    <w:uiPriority w:val="99"/>
    <w:semiHidden/>
    <w:unhideWhenUsed/>
    <w:rsid w:val="000831C1"/>
    <w:pPr>
      <w:spacing w:before="100" w:beforeAutospacing="1" w:after="100" w:afterAutospacing="1"/>
    </w:pPr>
    <w:rPr>
      <w:rFonts w:ascii="Times" w:hAnsi="Times"/>
      <w:sz w:val="20"/>
      <w:szCs w:val="20"/>
      <w:lang w:val="fr-CA" w:eastAsia="fr-FR"/>
    </w:rPr>
  </w:style>
  <w:style w:type="table" w:styleId="Tramemoyenne2-Accent1">
    <w:name w:val="Medium Shading 2 Accent 1"/>
    <w:basedOn w:val="TableauNormal"/>
    <w:uiPriority w:val="64"/>
    <w:rsid w:val="006E439B"/>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4C6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4C600" w:themeFill="accent1"/>
      </w:tcPr>
    </w:tblStylePr>
    <w:tblStylePr w:type="lastCol">
      <w:rPr>
        <w:b/>
        <w:bCs/>
        <w:color w:val="FFFFFF" w:themeColor="background1"/>
      </w:rPr>
      <w:tblPr/>
      <w:tcPr>
        <w:tcBorders>
          <w:left w:val="nil"/>
          <w:right w:val="nil"/>
          <w:insideH w:val="nil"/>
          <w:insideV w:val="nil"/>
        </w:tcBorders>
        <w:shd w:val="clear" w:color="auto" w:fill="94C6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1-Accent6">
    <w:name w:val="Medium Shading 1 Accent 6"/>
    <w:basedOn w:val="TableauNormal"/>
    <w:uiPriority w:val="63"/>
    <w:rsid w:val="006E439B"/>
    <w:tblPr>
      <w:tblStyleRowBandSize w:val="1"/>
      <w:tblStyleColBandSize w:val="1"/>
      <w:tblInd w:w="0" w:type="dxa"/>
      <w:tbl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single" w:sz="8" w:space="0" w:color="FEB759"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nil"/>
          <w:insideV w:val="nil"/>
        </w:tcBorders>
        <w:shd w:val="clear" w:color="auto" w:fill="FEA022" w:themeFill="accent6"/>
      </w:tcPr>
    </w:tblStylePr>
    <w:tblStylePr w:type="lastRow">
      <w:pPr>
        <w:spacing w:before="0" w:after="0" w:line="240" w:lineRule="auto"/>
      </w:pPr>
      <w:rPr>
        <w:b/>
        <w:bCs/>
      </w:rPr>
      <w:tblPr/>
      <w:tcPr>
        <w:tcBorders>
          <w:top w:val="double" w:sz="6"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EE7C8" w:themeFill="accent6" w:themeFillTint="3F"/>
      </w:tcPr>
    </w:tblStylePr>
    <w:tblStylePr w:type="band1Horz">
      <w:tblPr/>
      <w:tcPr>
        <w:tcBorders>
          <w:insideH w:val="nil"/>
          <w:insideV w:val="nil"/>
        </w:tcBorders>
        <w:shd w:val="clear" w:color="auto" w:fill="FEE7C8" w:themeFill="accent6" w:themeFillTint="3F"/>
      </w:tcPr>
    </w:tblStylePr>
    <w:tblStylePr w:type="band2Horz">
      <w:tblPr/>
      <w:tcPr>
        <w:tcBorders>
          <w:insideH w:val="nil"/>
          <w:insideV w:val="nil"/>
        </w:tcBorders>
      </w:tcPr>
    </w:tblStylePr>
  </w:style>
  <w:style w:type="table" w:styleId="Listefonce-Accent2">
    <w:name w:val="Dark List Accent 2"/>
    <w:basedOn w:val="TableauNormal"/>
    <w:uiPriority w:val="70"/>
    <w:rsid w:val="006E439B"/>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71685A"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8332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44D4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44D43" w:themeFill="accent2" w:themeFillShade="BF"/>
      </w:tcPr>
    </w:tblStylePr>
    <w:tblStylePr w:type="band1Vert">
      <w:tblPr/>
      <w:tcPr>
        <w:tcBorders>
          <w:top w:val="nil"/>
          <w:left w:val="nil"/>
          <w:bottom w:val="nil"/>
          <w:right w:val="nil"/>
          <w:insideH w:val="nil"/>
          <w:insideV w:val="nil"/>
        </w:tcBorders>
        <w:shd w:val="clear" w:color="auto" w:fill="544D43" w:themeFill="accent2" w:themeFillShade="BF"/>
      </w:tcPr>
    </w:tblStylePr>
    <w:tblStylePr w:type="band1Horz">
      <w:tblPr/>
      <w:tcPr>
        <w:tcBorders>
          <w:top w:val="nil"/>
          <w:left w:val="nil"/>
          <w:bottom w:val="nil"/>
          <w:right w:val="nil"/>
          <w:insideH w:val="nil"/>
          <w:insideV w:val="nil"/>
        </w:tcBorders>
        <w:shd w:val="clear" w:color="auto" w:fill="544D43" w:themeFill="accent2" w:themeFillShade="BF"/>
      </w:tcPr>
    </w:tblStylePr>
  </w:style>
  <w:style w:type="table" w:styleId="Grillemoyenne1-Accent6">
    <w:name w:val="Medium Grid 1 Accent 6"/>
    <w:basedOn w:val="TableauNormal"/>
    <w:uiPriority w:val="67"/>
    <w:rsid w:val="006E439B"/>
    <w:tblPr>
      <w:tblStyleRowBandSize w:val="1"/>
      <w:tblStyleColBandSize w:val="1"/>
      <w:tblInd w:w="0" w:type="dxa"/>
      <w:tbl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single" w:sz="8" w:space="0" w:color="FEB759" w:themeColor="accent6" w:themeTint="BF"/>
        <w:insideV w:val="single" w:sz="8" w:space="0" w:color="FEB759" w:themeColor="accent6" w:themeTint="BF"/>
      </w:tblBorders>
      <w:tblCellMar>
        <w:top w:w="0" w:type="dxa"/>
        <w:left w:w="108" w:type="dxa"/>
        <w:bottom w:w="0" w:type="dxa"/>
        <w:right w:w="108" w:type="dxa"/>
      </w:tblCellMar>
    </w:tblPr>
    <w:tcPr>
      <w:shd w:val="clear" w:color="auto" w:fill="FEE7C8" w:themeFill="accent6" w:themeFillTint="3F"/>
    </w:tcPr>
    <w:tblStylePr w:type="firstRow">
      <w:rPr>
        <w:b/>
        <w:bCs/>
      </w:rPr>
    </w:tblStylePr>
    <w:tblStylePr w:type="lastRow">
      <w:rPr>
        <w:b/>
        <w:bCs/>
      </w:rPr>
      <w:tblPr/>
      <w:tcPr>
        <w:tcBorders>
          <w:top w:val="single" w:sz="18" w:space="0" w:color="FEB759" w:themeColor="accent6" w:themeTint="BF"/>
        </w:tcBorders>
      </w:tcPr>
    </w:tblStylePr>
    <w:tblStylePr w:type="firstCol">
      <w:rPr>
        <w:b/>
        <w:bCs/>
      </w:rPr>
    </w:tblStylePr>
    <w:tblStylePr w:type="lastCol">
      <w:rPr>
        <w:b/>
        <w:bCs/>
      </w:rPr>
    </w:tblStylePr>
    <w:tblStylePr w:type="band1Vert">
      <w:tblPr/>
      <w:tcPr>
        <w:shd w:val="clear" w:color="auto" w:fill="FECF90" w:themeFill="accent6" w:themeFillTint="7F"/>
      </w:tcPr>
    </w:tblStylePr>
    <w:tblStylePr w:type="band1Horz">
      <w:tblPr/>
      <w:tcPr>
        <w:shd w:val="clear" w:color="auto" w:fill="FECF90" w:themeFill="accent6" w:themeFillTint="7F"/>
      </w:tcPr>
    </w:tblStylePr>
  </w:style>
  <w:style w:type="table" w:styleId="Grillemoyenne1-Accent5">
    <w:name w:val="Medium Grid 1 Accent 5"/>
    <w:basedOn w:val="TableauNormal"/>
    <w:uiPriority w:val="67"/>
    <w:rsid w:val="006E439B"/>
    <w:tblPr>
      <w:tblStyleRowBandSize w:val="1"/>
      <w:tblStyleColBandSize w:val="1"/>
      <w:tblInd w:w="0" w:type="dxa"/>
      <w:tblBorders>
        <w:top w:val="single" w:sz="8" w:space="0" w:color="BA8F67" w:themeColor="accent5" w:themeTint="BF"/>
        <w:left w:val="single" w:sz="8" w:space="0" w:color="BA8F67" w:themeColor="accent5" w:themeTint="BF"/>
        <w:bottom w:val="single" w:sz="8" w:space="0" w:color="BA8F67" w:themeColor="accent5" w:themeTint="BF"/>
        <w:right w:val="single" w:sz="8" w:space="0" w:color="BA8F67" w:themeColor="accent5" w:themeTint="BF"/>
        <w:insideH w:val="single" w:sz="8" w:space="0" w:color="BA8F67" w:themeColor="accent5" w:themeTint="BF"/>
        <w:insideV w:val="single" w:sz="8" w:space="0" w:color="BA8F67" w:themeColor="accent5" w:themeTint="BF"/>
      </w:tblBorders>
      <w:tblCellMar>
        <w:top w:w="0" w:type="dxa"/>
        <w:left w:w="108" w:type="dxa"/>
        <w:bottom w:w="0" w:type="dxa"/>
        <w:right w:w="108" w:type="dxa"/>
      </w:tblCellMar>
    </w:tblPr>
    <w:tcPr>
      <w:shd w:val="clear" w:color="auto" w:fill="E8DACC" w:themeFill="accent5" w:themeFillTint="3F"/>
    </w:tcPr>
    <w:tblStylePr w:type="firstRow">
      <w:rPr>
        <w:b/>
        <w:bCs/>
      </w:rPr>
    </w:tblStylePr>
    <w:tblStylePr w:type="lastRow">
      <w:rPr>
        <w:b/>
        <w:bCs/>
      </w:rPr>
      <w:tblPr/>
      <w:tcPr>
        <w:tcBorders>
          <w:top w:val="single" w:sz="18" w:space="0" w:color="BA8F67" w:themeColor="accent5" w:themeTint="BF"/>
        </w:tcBorders>
      </w:tcPr>
    </w:tblStylePr>
    <w:tblStylePr w:type="firstCol">
      <w:rPr>
        <w:b/>
        <w:bCs/>
      </w:rPr>
    </w:tblStylePr>
    <w:tblStylePr w:type="lastCol">
      <w:rPr>
        <w:b/>
        <w:bCs/>
      </w:rPr>
    </w:tblStylePr>
    <w:tblStylePr w:type="band1Vert">
      <w:tblPr/>
      <w:tcPr>
        <w:shd w:val="clear" w:color="auto" w:fill="D1B499" w:themeFill="accent5" w:themeFillTint="7F"/>
      </w:tcPr>
    </w:tblStylePr>
    <w:tblStylePr w:type="band1Horz">
      <w:tblPr/>
      <w:tcPr>
        <w:shd w:val="clear" w:color="auto" w:fill="D1B499" w:themeFill="accent5" w:themeFillTint="7F"/>
      </w:tcPr>
    </w:tblStylePr>
  </w:style>
  <w:style w:type="table" w:styleId="Grillemoyenne1-Accent3">
    <w:name w:val="Medium Grid 1 Accent 3"/>
    <w:basedOn w:val="TableauNormal"/>
    <w:uiPriority w:val="67"/>
    <w:rsid w:val="006E439B"/>
    <w:tblPr>
      <w:tblStyleRowBandSize w:val="1"/>
      <w:tblStyleColBandSize w:val="1"/>
      <w:tblInd w:w="0" w:type="dxa"/>
      <w:tbl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single" w:sz="8" w:space="0" w:color="FF8D40" w:themeColor="accent3" w:themeTint="BF"/>
        <w:insideV w:val="single" w:sz="8" w:space="0" w:color="FF8D40" w:themeColor="accent3" w:themeTint="BF"/>
      </w:tblBorders>
      <w:tblCellMar>
        <w:top w:w="0" w:type="dxa"/>
        <w:left w:w="108" w:type="dxa"/>
        <w:bottom w:w="0" w:type="dxa"/>
        <w:right w:w="108" w:type="dxa"/>
      </w:tblCellMar>
    </w:tblPr>
    <w:tcPr>
      <w:shd w:val="clear" w:color="auto" w:fill="FFD9C0" w:themeFill="accent3" w:themeFillTint="3F"/>
    </w:tcPr>
    <w:tblStylePr w:type="firstRow">
      <w:rPr>
        <w:b/>
        <w:bCs/>
      </w:rPr>
    </w:tblStylePr>
    <w:tblStylePr w:type="lastRow">
      <w:rPr>
        <w:b/>
        <w:bCs/>
      </w:rPr>
      <w:tblPr/>
      <w:tcPr>
        <w:tcBorders>
          <w:top w:val="single" w:sz="18" w:space="0" w:color="FF8D40" w:themeColor="accent3" w:themeTint="BF"/>
        </w:tcBorders>
      </w:tcPr>
    </w:tblStylePr>
    <w:tblStylePr w:type="firstCol">
      <w:rPr>
        <w:b/>
        <w:bCs/>
      </w:rPr>
    </w:tblStylePr>
    <w:tblStylePr w:type="lastCol">
      <w:rPr>
        <w:b/>
        <w:bCs/>
      </w:rPr>
    </w:tblStylePr>
    <w:tblStylePr w:type="band1Vert">
      <w:tblPr/>
      <w:tcPr>
        <w:shd w:val="clear" w:color="auto" w:fill="FFB380" w:themeFill="accent3" w:themeFillTint="7F"/>
      </w:tcPr>
    </w:tblStylePr>
    <w:tblStylePr w:type="band1Horz">
      <w:tblPr/>
      <w:tcPr>
        <w:shd w:val="clear" w:color="auto" w:fill="FFB380" w:themeFill="accent3" w:themeFillTint="7F"/>
      </w:tcPr>
    </w:tblStylePr>
  </w:style>
  <w:style w:type="table" w:styleId="Grillemoyenne1-Accent2">
    <w:name w:val="Medium Grid 1 Accent 2"/>
    <w:basedOn w:val="TableauNormal"/>
    <w:uiPriority w:val="67"/>
    <w:rsid w:val="006E439B"/>
    <w:tblPr>
      <w:tblStyleRowBandSize w:val="1"/>
      <w:tblStyleColBandSize w:val="1"/>
      <w:tblInd w:w="0" w:type="dxa"/>
      <w:tbl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single" w:sz="8" w:space="0" w:color="998E7E" w:themeColor="accent2" w:themeTint="BF"/>
        <w:insideV w:val="single" w:sz="8" w:space="0" w:color="998E7E" w:themeColor="accent2" w:themeTint="BF"/>
      </w:tblBorders>
      <w:tblCellMar>
        <w:top w:w="0" w:type="dxa"/>
        <w:left w:w="108" w:type="dxa"/>
        <w:bottom w:w="0" w:type="dxa"/>
        <w:right w:w="108" w:type="dxa"/>
      </w:tblCellMar>
    </w:tblPr>
    <w:tcPr>
      <w:shd w:val="clear" w:color="auto" w:fill="DDD9D4" w:themeFill="accent2" w:themeFillTint="3F"/>
    </w:tcPr>
    <w:tblStylePr w:type="firstRow">
      <w:rPr>
        <w:b/>
        <w:bCs/>
      </w:rPr>
    </w:tblStylePr>
    <w:tblStylePr w:type="lastRow">
      <w:rPr>
        <w:b/>
        <w:bCs/>
      </w:rPr>
      <w:tblPr/>
      <w:tcPr>
        <w:tcBorders>
          <w:top w:val="single" w:sz="18" w:space="0" w:color="998E7E" w:themeColor="accent2" w:themeTint="BF"/>
        </w:tcBorders>
      </w:tcPr>
    </w:tblStylePr>
    <w:tblStylePr w:type="firstCol">
      <w:rPr>
        <w:b/>
        <w:bCs/>
      </w:rPr>
    </w:tblStylePr>
    <w:tblStylePr w:type="lastCol">
      <w:rPr>
        <w:b/>
        <w:bCs/>
      </w:rPr>
    </w:tblStylePr>
    <w:tblStylePr w:type="band1Vert">
      <w:tblPr/>
      <w:tcPr>
        <w:shd w:val="clear" w:color="auto" w:fill="BBB4A9" w:themeFill="accent2" w:themeFillTint="7F"/>
      </w:tcPr>
    </w:tblStylePr>
    <w:tblStylePr w:type="band1Horz">
      <w:tblPr/>
      <w:tcPr>
        <w:shd w:val="clear" w:color="auto" w:fill="BBB4A9" w:themeFill="accent2" w:themeFillTint="7F"/>
      </w:tcPr>
    </w:tblStylePr>
  </w:style>
  <w:style w:type="table" w:styleId="Grillemoyenne1-Accent1">
    <w:name w:val="Medium Grid 1 Accent 1"/>
    <w:basedOn w:val="TableauNormal"/>
    <w:uiPriority w:val="67"/>
    <w:rsid w:val="006E439B"/>
    <w:tblPr>
      <w:tblStyleRowBandSize w:val="1"/>
      <w:tblStyleColBandSize w:val="1"/>
      <w:tblInd w:w="0" w:type="dxa"/>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insideV w:val="single" w:sz="8" w:space="0" w:color="C3FF15" w:themeColor="accent1" w:themeTint="BF"/>
      </w:tblBorders>
      <w:tblCellMar>
        <w:top w:w="0" w:type="dxa"/>
        <w:left w:w="108" w:type="dxa"/>
        <w:bottom w:w="0" w:type="dxa"/>
        <w:right w:w="108" w:type="dxa"/>
      </w:tblCellMar>
    </w:tblPr>
    <w:tcPr>
      <w:shd w:val="clear" w:color="auto" w:fill="EBFFB1" w:themeFill="accent1" w:themeFillTint="3F"/>
    </w:tcPr>
    <w:tblStylePr w:type="firstRow">
      <w:rPr>
        <w:b/>
        <w:bCs/>
      </w:rPr>
    </w:tblStylePr>
    <w:tblStylePr w:type="lastRow">
      <w:rPr>
        <w:b/>
        <w:bCs/>
      </w:rPr>
      <w:tblPr/>
      <w:tcPr>
        <w:tcBorders>
          <w:top w:val="single" w:sz="18" w:space="0" w:color="C3FF15" w:themeColor="accent1" w:themeTint="BF"/>
        </w:tcBorders>
      </w:tcPr>
    </w:tblStylePr>
    <w:tblStylePr w:type="firstCol">
      <w:rPr>
        <w:b/>
        <w:bCs/>
      </w:rPr>
    </w:tblStylePr>
    <w:tblStylePr w:type="lastCol">
      <w:rPr>
        <w:b/>
        <w:bCs/>
      </w:rPr>
    </w:tblStylePr>
    <w:tblStylePr w:type="band1Vert">
      <w:tblPr/>
      <w:tcPr>
        <w:shd w:val="clear" w:color="auto" w:fill="D7FF63" w:themeFill="accent1" w:themeFillTint="7F"/>
      </w:tcPr>
    </w:tblStylePr>
    <w:tblStylePr w:type="band1Horz">
      <w:tblPr/>
      <w:tcPr>
        <w:shd w:val="clear" w:color="auto" w:fill="D7FF63" w:themeFill="accent1" w:themeFillTint="7F"/>
      </w:tcPr>
    </w:tblStylePr>
  </w:style>
  <w:style w:type="table" w:styleId="Listeclaire-Accent3">
    <w:name w:val="Light List Accent 3"/>
    <w:basedOn w:val="TableauNormal"/>
    <w:uiPriority w:val="61"/>
    <w:rsid w:val="006E439B"/>
    <w:tblPr>
      <w:tblStyleRowBandSize w:val="1"/>
      <w:tblStyleColBandSize w:val="1"/>
      <w:tblInd w:w="0" w:type="dxa"/>
      <w:tblBorders>
        <w:top w:val="single" w:sz="8" w:space="0" w:color="FF6700" w:themeColor="accent3"/>
        <w:left w:val="single" w:sz="8" w:space="0" w:color="FF6700" w:themeColor="accent3"/>
        <w:bottom w:val="single" w:sz="8" w:space="0" w:color="FF6700" w:themeColor="accent3"/>
        <w:right w:val="single" w:sz="8" w:space="0" w:color="FF6700"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F6700" w:themeFill="accent3"/>
      </w:tcPr>
    </w:tblStylePr>
    <w:tblStylePr w:type="lastRow">
      <w:pPr>
        <w:spacing w:before="0" w:after="0" w:line="240" w:lineRule="auto"/>
      </w:pPr>
      <w:rPr>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tcBorders>
      </w:tcPr>
    </w:tblStylePr>
    <w:tblStylePr w:type="firstCol">
      <w:rPr>
        <w:b/>
        <w:bCs/>
      </w:rPr>
    </w:tblStylePr>
    <w:tblStylePr w:type="lastCol">
      <w:rPr>
        <w:b/>
        <w:bCs/>
      </w:r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style>
  <w:style w:type="table" w:styleId="Trameclaire-Accent6">
    <w:name w:val="Light Shading Accent 6"/>
    <w:basedOn w:val="TableauNormal"/>
    <w:uiPriority w:val="60"/>
    <w:rsid w:val="006E439B"/>
    <w:rPr>
      <w:color w:val="D67B01" w:themeColor="accent6" w:themeShade="BF"/>
    </w:rPr>
    <w:tblPr>
      <w:tblStyleRowBandSize w:val="1"/>
      <w:tblStyleColBandSize w:val="1"/>
      <w:tblInd w:w="0" w:type="dxa"/>
      <w:tblBorders>
        <w:top w:val="single" w:sz="8" w:space="0" w:color="FEA022" w:themeColor="accent6"/>
        <w:bottom w:val="single" w:sz="8" w:space="0" w:color="FEA022"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EA022" w:themeColor="accent6"/>
          <w:left w:val="nil"/>
          <w:bottom w:val="single" w:sz="8" w:space="0" w:color="FEA022" w:themeColor="accent6"/>
          <w:right w:val="nil"/>
          <w:insideH w:val="nil"/>
          <w:insideV w:val="nil"/>
        </w:tcBorders>
      </w:tcPr>
    </w:tblStylePr>
    <w:tblStylePr w:type="lastRow">
      <w:pPr>
        <w:spacing w:before="0" w:after="0" w:line="240" w:lineRule="auto"/>
      </w:pPr>
      <w:rPr>
        <w:b/>
        <w:bCs/>
      </w:rPr>
      <w:tblPr/>
      <w:tcPr>
        <w:tcBorders>
          <w:top w:val="single" w:sz="8" w:space="0" w:color="FEA022" w:themeColor="accent6"/>
          <w:left w:val="nil"/>
          <w:bottom w:val="single" w:sz="8" w:space="0" w:color="FEA02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7C8" w:themeFill="accent6" w:themeFillTint="3F"/>
      </w:tcPr>
    </w:tblStylePr>
    <w:tblStylePr w:type="band1Horz">
      <w:tblPr/>
      <w:tcPr>
        <w:tcBorders>
          <w:left w:val="nil"/>
          <w:right w:val="nil"/>
          <w:insideH w:val="nil"/>
          <w:insideV w:val="nil"/>
        </w:tcBorders>
        <w:shd w:val="clear" w:color="auto" w:fill="FEE7C8" w:themeFill="accent6" w:themeFillTint="3F"/>
      </w:tcPr>
    </w:tblStylePr>
  </w:style>
  <w:style w:type="table" w:styleId="Trameclaire-Accent3">
    <w:name w:val="Light Shading Accent 3"/>
    <w:basedOn w:val="TableauNormal"/>
    <w:uiPriority w:val="60"/>
    <w:rsid w:val="006E439B"/>
    <w:rPr>
      <w:color w:val="BF4D00" w:themeColor="accent3" w:themeShade="BF"/>
    </w:rPr>
    <w:tblPr>
      <w:tblStyleRowBandSize w:val="1"/>
      <w:tblStyleColBandSize w:val="1"/>
      <w:tblInd w:w="0" w:type="dxa"/>
      <w:tblBorders>
        <w:top w:val="single" w:sz="8" w:space="0" w:color="FF6700" w:themeColor="accent3"/>
        <w:bottom w:val="single" w:sz="8" w:space="0" w:color="FF6700"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6700" w:themeColor="accent3"/>
          <w:left w:val="nil"/>
          <w:bottom w:val="single" w:sz="8" w:space="0" w:color="FF6700" w:themeColor="accent3"/>
          <w:right w:val="nil"/>
          <w:insideH w:val="nil"/>
          <w:insideV w:val="nil"/>
        </w:tcBorders>
      </w:tcPr>
    </w:tblStylePr>
    <w:tblStylePr w:type="lastRow">
      <w:pPr>
        <w:spacing w:before="0" w:after="0" w:line="240" w:lineRule="auto"/>
      </w:pPr>
      <w:rPr>
        <w:b/>
        <w:bCs/>
      </w:rPr>
      <w:tblPr/>
      <w:tcPr>
        <w:tcBorders>
          <w:top w:val="single" w:sz="8" w:space="0" w:color="FF6700" w:themeColor="accent3"/>
          <w:left w:val="nil"/>
          <w:bottom w:val="single" w:sz="8" w:space="0" w:color="FF670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9C0" w:themeFill="accent3" w:themeFillTint="3F"/>
      </w:tcPr>
    </w:tblStylePr>
    <w:tblStylePr w:type="band1Horz">
      <w:tblPr/>
      <w:tcPr>
        <w:tcBorders>
          <w:left w:val="nil"/>
          <w:right w:val="nil"/>
          <w:insideH w:val="nil"/>
          <w:insideV w:val="nil"/>
        </w:tcBorders>
        <w:shd w:val="clear" w:color="auto" w:fill="FFD9C0" w:themeFill="accent3" w:themeFillTint="3F"/>
      </w:tcPr>
    </w:tblStylePr>
  </w:style>
  <w:style w:type="table" w:styleId="Listeclaire-Accent6">
    <w:name w:val="Light List Accent 6"/>
    <w:basedOn w:val="TableauNormal"/>
    <w:uiPriority w:val="61"/>
    <w:rsid w:val="006E439B"/>
    <w:tblPr>
      <w:tblStyleRowBandSize w:val="1"/>
      <w:tblStyleColBandSize w:val="1"/>
      <w:tblInd w:w="0" w:type="dxa"/>
      <w:tblBorders>
        <w:top w:val="single" w:sz="8" w:space="0" w:color="FEA022" w:themeColor="accent6"/>
        <w:left w:val="single" w:sz="8" w:space="0" w:color="FEA022" w:themeColor="accent6"/>
        <w:bottom w:val="single" w:sz="8" w:space="0" w:color="FEA022" w:themeColor="accent6"/>
        <w:right w:val="single" w:sz="8" w:space="0" w:color="FEA022"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EA022" w:themeFill="accent6"/>
      </w:tcPr>
    </w:tblStylePr>
    <w:tblStylePr w:type="lastRow">
      <w:pPr>
        <w:spacing w:before="0" w:after="0" w:line="240" w:lineRule="auto"/>
      </w:pPr>
      <w:rPr>
        <w:b/>
        <w:bCs/>
      </w:rPr>
      <w:tblPr/>
      <w:tcPr>
        <w:tcBorders>
          <w:top w:val="double" w:sz="6" w:space="0" w:color="FEA022" w:themeColor="accent6"/>
          <w:left w:val="single" w:sz="8" w:space="0" w:color="FEA022" w:themeColor="accent6"/>
          <w:bottom w:val="single" w:sz="8" w:space="0" w:color="FEA022" w:themeColor="accent6"/>
          <w:right w:val="single" w:sz="8" w:space="0" w:color="FEA022" w:themeColor="accent6"/>
        </w:tcBorders>
      </w:tcPr>
    </w:tblStylePr>
    <w:tblStylePr w:type="firstCol">
      <w:rPr>
        <w:b/>
        <w:bCs/>
      </w:rPr>
    </w:tblStylePr>
    <w:tblStylePr w:type="lastCol">
      <w:rPr>
        <w:b/>
        <w:bCs/>
      </w:rPr>
    </w:tblStylePr>
    <w:tblStylePr w:type="band1Vert">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tblStylePr w:type="band1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style>
  <w:style w:type="table" w:styleId="Grilleclaire-Accent3">
    <w:name w:val="Light Grid Accent 3"/>
    <w:basedOn w:val="TableauNormal"/>
    <w:uiPriority w:val="62"/>
    <w:rsid w:val="006E439B"/>
    <w:tblPr>
      <w:tblStyleRowBandSize w:val="1"/>
      <w:tblStyleColBandSize w:val="1"/>
      <w:tblInd w:w="0" w:type="dxa"/>
      <w:tblBorders>
        <w:top w:val="single" w:sz="8" w:space="0" w:color="FF6700" w:themeColor="accent3"/>
        <w:left w:val="single" w:sz="8" w:space="0" w:color="FF6700" w:themeColor="accent3"/>
        <w:bottom w:val="single" w:sz="8" w:space="0" w:color="FF6700" w:themeColor="accent3"/>
        <w:right w:val="single" w:sz="8" w:space="0" w:color="FF6700" w:themeColor="accent3"/>
        <w:insideH w:val="single" w:sz="8" w:space="0" w:color="FF6700" w:themeColor="accent3"/>
        <w:insideV w:val="single" w:sz="8" w:space="0" w:color="FF6700"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F6700" w:themeColor="accent3"/>
          <w:left w:val="single" w:sz="8" w:space="0" w:color="FF6700" w:themeColor="accent3"/>
          <w:bottom w:val="single" w:sz="18" w:space="0" w:color="FF6700" w:themeColor="accent3"/>
          <w:right w:val="single" w:sz="8" w:space="0" w:color="FF6700" w:themeColor="accent3"/>
          <w:insideH w:val="nil"/>
          <w:insideV w:val="single" w:sz="8" w:space="0" w:color="FF670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insideH w:val="nil"/>
          <w:insideV w:val="single" w:sz="8" w:space="0" w:color="FF670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shd w:val="clear" w:color="auto" w:fill="FFD9C0" w:themeFill="accent3" w:themeFillTint="3F"/>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insideV w:val="single" w:sz="8" w:space="0" w:color="FF6700" w:themeColor="accent3"/>
        </w:tcBorders>
        <w:shd w:val="clear" w:color="auto" w:fill="FFD9C0" w:themeFill="accent3" w:themeFillTint="3F"/>
      </w:tcPr>
    </w:tblStylePr>
    <w:tblStylePr w:type="band2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insideV w:val="single" w:sz="8" w:space="0" w:color="FF6700" w:themeColor="accent3"/>
        </w:tcBorders>
      </w:tcPr>
    </w:tblStylePr>
  </w:style>
  <w:style w:type="table" w:styleId="Grilleclaire-Accent6">
    <w:name w:val="Light Grid Accent 6"/>
    <w:basedOn w:val="TableauNormal"/>
    <w:uiPriority w:val="62"/>
    <w:rsid w:val="006E439B"/>
    <w:tblPr>
      <w:tblStyleRowBandSize w:val="1"/>
      <w:tblStyleColBandSize w:val="1"/>
      <w:tblInd w:w="0" w:type="dxa"/>
      <w:tblBorders>
        <w:top w:val="single" w:sz="8" w:space="0" w:color="FEA022" w:themeColor="accent6"/>
        <w:left w:val="single" w:sz="8" w:space="0" w:color="FEA022" w:themeColor="accent6"/>
        <w:bottom w:val="single" w:sz="8" w:space="0" w:color="FEA022" w:themeColor="accent6"/>
        <w:right w:val="single" w:sz="8" w:space="0" w:color="FEA022" w:themeColor="accent6"/>
        <w:insideH w:val="single" w:sz="8" w:space="0" w:color="FEA022" w:themeColor="accent6"/>
        <w:insideV w:val="single" w:sz="8" w:space="0" w:color="FEA022"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EA022" w:themeColor="accent6"/>
          <w:left w:val="single" w:sz="8" w:space="0" w:color="FEA022" w:themeColor="accent6"/>
          <w:bottom w:val="single" w:sz="18" w:space="0" w:color="FEA022" w:themeColor="accent6"/>
          <w:right w:val="single" w:sz="8" w:space="0" w:color="FEA022" w:themeColor="accent6"/>
          <w:insideH w:val="nil"/>
          <w:insideV w:val="single" w:sz="8" w:space="0" w:color="FEA02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EA022" w:themeColor="accent6"/>
          <w:left w:val="single" w:sz="8" w:space="0" w:color="FEA022" w:themeColor="accent6"/>
          <w:bottom w:val="single" w:sz="8" w:space="0" w:color="FEA022" w:themeColor="accent6"/>
          <w:right w:val="single" w:sz="8" w:space="0" w:color="FEA022" w:themeColor="accent6"/>
          <w:insideH w:val="nil"/>
          <w:insideV w:val="single" w:sz="8" w:space="0" w:color="FEA02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tblStylePr w:type="band1Vert">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shd w:val="clear" w:color="auto" w:fill="FEE7C8" w:themeFill="accent6" w:themeFillTint="3F"/>
      </w:tcPr>
    </w:tblStylePr>
    <w:tblStylePr w:type="band1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insideV w:val="single" w:sz="8" w:space="0" w:color="FEA022" w:themeColor="accent6"/>
        </w:tcBorders>
        <w:shd w:val="clear" w:color="auto" w:fill="FEE7C8" w:themeFill="accent6" w:themeFillTint="3F"/>
      </w:tcPr>
    </w:tblStylePr>
    <w:tblStylePr w:type="band2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insideV w:val="single" w:sz="8" w:space="0" w:color="FEA022" w:themeColor="accent6"/>
        </w:tcBorders>
      </w:tcPr>
    </w:tblStylePr>
  </w:style>
  <w:style w:type="table" w:styleId="Tramemoyenne1-Accent1">
    <w:name w:val="Medium Shading 1 Accent 1"/>
    <w:basedOn w:val="TableauNormal"/>
    <w:uiPriority w:val="63"/>
    <w:rsid w:val="006E439B"/>
    <w:tblPr>
      <w:tblStyleRowBandSize w:val="1"/>
      <w:tblStyleColBandSize w:val="1"/>
      <w:tblInd w:w="0" w:type="dxa"/>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shd w:val="clear" w:color="auto" w:fill="94C600" w:themeFill="accent1"/>
      </w:tcPr>
    </w:tblStylePr>
    <w:tblStylePr w:type="lastRow">
      <w:pPr>
        <w:spacing w:before="0" w:after="0" w:line="240" w:lineRule="auto"/>
      </w:pPr>
      <w:rPr>
        <w:b/>
        <w:bCs/>
      </w:rPr>
      <w:tblPr/>
      <w:tcPr>
        <w:tcBorders>
          <w:top w:val="double" w:sz="6"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tcPr>
    </w:tblStylePr>
    <w:tblStylePr w:type="firstCol">
      <w:rPr>
        <w:b/>
        <w:bCs/>
      </w:rPr>
    </w:tblStylePr>
    <w:tblStylePr w:type="lastCol">
      <w:rPr>
        <w:b/>
        <w:bCs/>
      </w:rPr>
    </w:tblStylePr>
    <w:tblStylePr w:type="band1Vert">
      <w:tblPr/>
      <w:tcPr>
        <w:shd w:val="clear" w:color="auto" w:fill="EBFFB1" w:themeFill="accent1" w:themeFillTint="3F"/>
      </w:tcPr>
    </w:tblStylePr>
    <w:tblStylePr w:type="band1Horz">
      <w:tblPr/>
      <w:tcPr>
        <w:tcBorders>
          <w:insideH w:val="nil"/>
          <w:insideV w:val="nil"/>
        </w:tcBorders>
        <w:shd w:val="clear" w:color="auto" w:fill="EBFFB1" w:themeFill="accent1" w:themeFillTint="3F"/>
      </w:tcPr>
    </w:tblStylePr>
    <w:tblStylePr w:type="band2Horz">
      <w:tblPr/>
      <w:tcPr>
        <w:tcBorders>
          <w:insideH w:val="nil"/>
          <w:insideV w:val="nil"/>
        </w:tcBorders>
      </w:tcPr>
    </w:tblStylePr>
  </w:style>
  <w:style w:type="table" w:styleId="Listemoyenne1-Accent1">
    <w:name w:val="Medium List 1 Accent 1"/>
    <w:basedOn w:val="TableauNormal"/>
    <w:uiPriority w:val="65"/>
    <w:rsid w:val="006E439B"/>
    <w:rPr>
      <w:color w:val="000000" w:themeColor="text1"/>
    </w:rPr>
    <w:tblPr>
      <w:tblStyleRowBandSize w:val="1"/>
      <w:tblStyleColBandSize w:val="1"/>
      <w:tblInd w:w="0" w:type="dxa"/>
      <w:tblBorders>
        <w:top w:val="single" w:sz="8" w:space="0" w:color="94C600" w:themeColor="accent1"/>
        <w:bottom w:val="single" w:sz="8" w:space="0" w:color="94C600"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4C600" w:themeColor="accent1"/>
        </w:tcBorders>
      </w:tcPr>
    </w:tblStylePr>
    <w:tblStylePr w:type="lastRow">
      <w:rPr>
        <w:b/>
        <w:bCs/>
        <w:color w:val="3E3D2D" w:themeColor="text2"/>
      </w:rPr>
      <w:tblPr/>
      <w:tcPr>
        <w:tcBorders>
          <w:top w:val="single" w:sz="8" w:space="0" w:color="94C600" w:themeColor="accent1"/>
          <w:bottom w:val="single" w:sz="8" w:space="0" w:color="94C600" w:themeColor="accent1"/>
        </w:tcBorders>
      </w:tcPr>
    </w:tblStylePr>
    <w:tblStylePr w:type="firstCol">
      <w:rPr>
        <w:b/>
        <w:bCs/>
      </w:rPr>
    </w:tblStylePr>
    <w:tblStylePr w:type="lastCol">
      <w:rPr>
        <w:b/>
        <w:bCs/>
      </w:rPr>
      <w:tblPr/>
      <w:tcPr>
        <w:tcBorders>
          <w:top w:val="single" w:sz="8" w:space="0" w:color="94C600" w:themeColor="accent1"/>
          <w:bottom w:val="single" w:sz="8" w:space="0" w:color="94C600" w:themeColor="accent1"/>
        </w:tcBorders>
      </w:tcPr>
    </w:tblStylePr>
    <w:tblStylePr w:type="band1Vert">
      <w:tblPr/>
      <w:tcPr>
        <w:shd w:val="clear" w:color="auto" w:fill="EBFFB1" w:themeFill="accent1" w:themeFillTint="3F"/>
      </w:tcPr>
    </w:tblStylePr>
    <w:tblStylePr w:type="band1Horz">
      <w:tblPr/>
      <w:tcPr>
        <w:shd w:val="clear" w:color="auto" w:fill="EBFFB1" w:themeFill="accent1" w:themeFillTint="3F"/>
      </w:tcPr>
    </w:tblStylePr>
  </w:style>
  <w:style w:type="table" w:styleId="Listemoyenne2-Accent1">
    <w:name w:val="Medium List 2 Accent 1"/>
    <w:basedOn w:val="TableauNormal"/>
    <w:uiPriority w:val="66"/>
    <w:rsid w:val="006E439B"/>
    <w:rPr>
      <w:rFonts w:asciiTheme="majorHAnsi" w:eastAsiaTheme="majorEastAsia" w:hAnsiTheme="majorHAnsi" w:cstheme="majorBidi"/>
      <w:color w:val="000000" w:themeColor="text1"/>
    </w:rPr>
    <w:tblPr>
      <w:tblStyleRowBandSize w:val="1"/>
      <w:tblStyleColBandSize w:val="1"/>
      <w:tblInd w:w="0" w:type="dxa"/>
      <w:tblBorders>
        <w:top w:val="single" w:sz="8" w:space="0" w:color="94C600" w:themeColor="accent1"/>
        <w:left w:val="single" w:sz="8" w:space="0" w:color="94C600" w:themeColor="accent1"/>
        <w:bottom w:val="single" w:sz="8" w:space="0" w:color="94C600" w:themeColor="accent1"/>
        <w:right w:val="single" w:sz="8" w:space="0" w:color="94C600"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94C600" w:themeColor="accent1"/>
          <w:right w:val="nil"/>
          <w:insideH w:val="nil"/>
          <w:insideV w:val="nil"/>
        </w:tcBorders>
        <w:shd w:val="clear" w:color="auto" w:fill="FFFFFF" w:themeFill="background1"/>
      </w:tcPr>
    </w:tblStylePr>
    <w:tblStylePr w:type="lastRow">
      <w:tblPr/>
      <w:tcPr>
        <w:tcBorders>
          <w:top w:val="single" w:sz="8" w:space="0" w:color="94C6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4C600" w:themeColor="accent1"/>
          <w:insideH w:val="nil"/>
          <w:insideV w:val="nil"/>
        </w:tcBorders>
        <w:shd w:val="clear" w:color="auto" w:fill="FFFFFF" w:themeFill="background1"/>
      </w:tcPr>
    </w:tblStylePr>
    <w:tblStylePr w:type="lastCol">
      <w:tblPr/>
      <w:tcPr>
        <w:tcBorders>
          <w:top w:val="nil"/>
          <w:left w:val="single" w:sz="8" w:space="0" w:color="94C6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top w:val="nil"/>
          <w:bottom w:val="nil"/>
          <w:insideH w:val="nil"/>
          <w:insideV w:val="nil"/>
        </w:tcBorders>
        <w:shd w:val="clear" w:color="auto" w:fill="EBFFB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fonce-Accent1">
    <w:name w:val="Dark List Accent 1"/>
    <w:basedOn w:val="TableauNormal"/>
    <w:uiPriority w:val="70"/>
    <w:rsid w:val="006E439B"/>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4C600"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9620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6E940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6E9400" w:themeFill="accent1" w:themeFillShade="BF"/>
      </w:tcPr>
    </w:tblStylePr>
    <w:tblStylePr w:type="band1Vert">
      <w:tblPr/>
      <w:tcPr>
        <w:tcBorders>
          <w:top w:val="nil"/>
          <w:left w:val="nil"/>
          <w:bottom w:val="nil"/>
          <w:right w:val="nil"/>
          <w:insideH w:val="nil"/>
          <w:insideV w:val="nil"/>
        </w:tcBorders>
        <w:shd w:val="clear" w:color="auto" w:fill="6E9400" w:themeFill="accent1" w:themeFillShade="BF"/>
      </w:tcPr>
    </w:tblStylePr>
    <w:tblStylePr w:type="band1Horz">
      <w:tblPr/>
      <w:tcPr>
        <w:tcBorders>
          <w:top w:val="nil"/>
          <w:left w:val="nil"/>
          <w:bottom w:val="nil"/>
          <w:right w:val="nil"/>
          <w:insideH w:val="nil"/>
          <w:insideV w:val="nil"/>
        </w:tcBorders>
        <w:shd w:val="clear" w:color="auto" w:fill="6E9400" w:themeFill="accent1" w:themeFillShade="BF"/>
      </w:tcPr>
    </w:tblStylePr>
  </w:style>
  <w:style w:type="table" w:styleId="Grillemoyenne3-Accent1">
    <w:name w:val="Medium Grid 3 Accent 1"/>
    <w:basedOn w:val="TableauNormal"/>
    <w:uiPriority w:val="69"/>
    <w:rsid w:val="006E439B"/>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BFFB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4C60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4C60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4C60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4C60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7FF6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7FF63" w:themeFill="accent1" w:themeFillTint="7F"/>
      </w:tcPr>
    </w:tblStylePr>
  </w:style>
  <w:style w:type="table" w:styleId="Grillemoyenne2-Accent1">
    <w:name w:val="Medium Grid 2 Accent 1"/>
    <w:basedOn w:val="TableauNormal"/>
    <w:uiPriority w:val="68"/>
    <w:rsid w:val="006E439B"/>
    <w:rPr>
      <w:rFonts w:asciiTheme="majorHAnsi" w:eastAsiaTheme="majorEastAsia" w:hAnsiTheme="majorHAnsi" w:cstheme="majorBidi"/>
      <w:color w:val="000000" w:themeColor="text1"/>
    </w:rPr>
    <w:tblPr>
      <w:tblStyleRowBandSize w:val="1"/>
      <w:tblStyleColBandSize w:val="1"/>
      <w:tblInd w:w="0" w:type="dxa"/>
      <w:tblBorders>
        <w:top w:val="single" w:sz="8" w:space="0" w:color="94C600" w:themeColor="accent1"/>
        <w:left w:val="single" w:sz="8" w:space="0" w:color="94C600" w:themeColor="accent1"/>
        <w:bottom w:val="single" w:sz="8" w:space="0" w:color="94C600" w:themeColor="accent1"/>
        <w:right w:val="single" w:sz="8" w:space="0" w:color="94C600" w:themeColor="accent1"/>
        <w:insideH w:val="single" w:sz="8" w:space="0" w:color="94C600" w:themeColor="accent1"/>
        <w:insideV w:val="single" w:sz="8" w:space="0" w:color="94C600" w:themeColor="accent1"/>
      </w:tblBorders>
      <w:tblCellMar>
        <w:top w:w="0" w:type="dxa"/>
        <w:left w:w="108" w:type="dxa"/>
        <w:bottom w:w="0" w:type="dxa"/>
        <w:right w:w="108" w:type="dxa"/>
      </w:tblCellMar>
    </w:tblPr>
    <w:tcPr>
      <w:shd w:val="clear" w:color="auto" w:fill="EBFFB1" w:themeFill="accent1" w:themeFillTint="3F"/>
    </w:tcPr>
    <w:tblStylePr w:type="firstRow">
      <w:rPr>
        <w:b/>
        <w:bCs/>
        <w:color w:val="000000" w:themeColor="text1"/>
      </w:rPr>
      <w:tblPr/>
      <w:tcPr>
        <w:shd w:val="clear" w:color="auto" w:fill="F7FFE0"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FFFC0" w:themeFill="accent1" w:themeFillTint="33"/>
      </w:tcPr>
    </w:tblStylePr>
    <w:tblStylePr w:type="band1Vert">
      <w:tblPr/>
      <w:tcPr>
        <w:shd w:val="clear" w:color="auto" w:fill="D7FF63" w:themeFill="accent1" w:themeFillTint="7F"/>
      </w:tcPr>
    </w:tblStylePr>
    <w:tblStylePr w:type="band1Horz">
      <w:tblPr/>
      <w:tcPr>
        <w:tcBorders>
          <w:insideH w:val="single" w:sz="6" w:space="0" w:color="94C600" w:themeColor="accent1"/>
          <w:insideV w:val="single" w:sz="6" w:space="0" w:color="94C600" w:themeColor="accent1"/>
        </w:tcBorders>
        <w:shd w:val="clear" w:color="auto" w:fill="D7FF63" w:themeFill="accent1" w:themeFillTint="7F"/>
      </w:tcPr>
    </w:tblStylePr>
    <w:tblStylePr w:type="nwCell">
      <w:tblPr/>
      <w:tcPr>
        <w:shd w:val="clear" w:color="auto" w:fill="FFFFFF" w:themeFill="background1"/>
      </w:tcPr>
    </w:tblStylePr>
  </w:style>
  <w:style w:type="table" w:styleId="Listemoyenne1-Accent3">
    <w:name w:val="Medium List 1 Accent 3"/>
    <w:basedOn w:val="TableauNormal"/>
    <w:uiPriority w:val="65"/>
    <w:rsid w:val="006E439B"/>
    <w:rPr>
      <w:color w:val="000000" w:themeColor="text1"/>
    </w:rPr>
    <w:tblPr>
      <w:tblStyleRowBandSize w:val="1"/>
      <w:tblStyleColBandSize w:val="1"/>
      <w:tblInd w:w="0" w:type="dxa"/>
      <w:tblBorders>
        <w:top w:val="single" w:sz="8" w:space="0" w:color="FF6700" w:themeColor="accent3"/>
        <w:bottom w:val="single" w:sz="8" w:space="0" w:color="FF6700"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F6700" w:themeColor="accent3"/>
        </w:tcBorders>
      </w:tcPr>
    </w:tblStylePr>
    <w:tblStylePr w:type="lastRow">
      <w:rPr>
        <w:b/>
        <w:bCs/>
        <w:color w:val="3E3D2D" w:themeColor="text2"/>
      </w:rPr>
      <w:tblPr/>
      <w:tcPr>
        <w:tcBorders>
          <w:top w:val="single" w:sz="8" w:space="0" w:color="FF6700" w:themeColor="accent3"/>
          <w:bottom w:val="single" w:sz="8" w:space="0" w:color="FF6700" w:themeColor="accent3"/>
        </w:tcBorders>
      </w:tcPr>
    </w:tblStylePr>
    <w:tblStylePr w:type="firstCol">
      <w:rPr>
        <w:b/>
        <w:bCs/>
      </w:rPr>
    </w:tblStylePr>
    <w:tblStylePr w:type="lastCol">
      <w:rPr>
        <w:b/>
        <w:bCs/>
      </w:rPr>
      <w:tblPr/>
      <w:tcPr>
        <w:tcBorders>
          <w:top w:val="single" w:sz="8" w:space="0" w:color="FF6700" w:themeColor="accent3"/>
          <w:bottom w:val="single" w:sz="8" w:space="0" w:color="FF6700" w:themeColor="accent3"/>
        </w:tcBorders>
      </w:tcPr>
    </w:tblStylePr>
    <w:tblStylePr w:type="band1Vert">
      <w:tblPr/>
      <w:tcPr>
        <w:shd w:val="clear" w:color="auto" w:fill="FFD9C0" w:themeFill="accent3" w:themeFillTint="3F"/>
      </w:tcPr>
    </w:tblStylePr>
    <w:tblStylePr w:type="band1Horz">
      <w:tblPr/>
      <w:tcPr>
        <w:shd w:val="clear" w:color="auto" w:fill="FFD9C0" w:themeFill="accent3" w:themeFillTint="3F"/>
      </w:tcPr>
    </w:tblStylePr>
  </w:style>
  <w:style w:type="table" w:styleId="Listeclaire">
    <w:name w:val="Light List"/>
    <w:basedOn w:val="TableauNormal"/>
    <w:uiPriority w:val="61"/>
    <w:rsid w:val="00E82A3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Grilleclaire">
    <w:name w:val="Light Grid"/>
    <w:basedOn w:val="TableauNormal"/>
    <w:uiPriority w:val="62"/>
    <w:rsid w:val="00F561C3"/>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Lgende">
    <w:name w:val="caption"/>
    <w:basedOn w:val="Normal"/>
    <w:next w:val="Normal"/>
    <w:uiPriority w:val="35"/>
    <w:unhideWhenUsed/>
    <w:qFormat/>
    <w:rsid w:val="00746418"/>
    <w:pPr>
      <w:spacing w:after="200"/>
    </w:pPr>
    <w:rPr>
      <w:b/>
      <w:bCs/>
      <w:color w:val="94C600" w:themeColor="accent1"/>
      <w:sz w:val="18"/>
      <w:szCs w:val="18"/>
    </w:rPr>
  </w:style>
  <w:style w:type="character" w:styleId="Lienhypertextesuivi">
    <w:name w:val="FollowedHyperlink"/>
    <w:basedOn w:val="Policepardfaut"/>
    <w:uiPriority w:val="99"/>
    <w:semiHidden/>
    <w:unhideWhenUsed/>
    <w:rsid w:val="009E4080"/>
    <w:rPr>
      <w:color w:val="FFA94A" w:themeColor="followedHyperlink"/>
      <w:u w:val="single"/>
    </w:rPr>
  </w:style>
  <w:style w:type="table" w:styleId="Ombrageclair">
    <w:name w:val="Light Shading"/>
    <w:basedOn w:val="TableauNormal"/>
    <w:uiPriority w:val="60"/>
    <w:rsid w:val="00DF17E2"/>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tedebasdepage">
    <w:name w:val="footnote text"/>
    <w:basedOn w:val="Normal"/>
    <w:link w:val="NotedebasdepageCar"/>
    <w:uiPriority w:val="99"/>
    <w:unhideWhenUsed/>
    <w:rsid w:val="008C4262"/>
  </w:style>
  <w:style w:type="character" w:customStyle="1" w:styleId="NotedebasdepageCar">
    <w:name w:val="Note de bas de page Car"/>
    <w:basedOn w:val="Policepardfaut"/>
    <w:link w:val="Notedebasdepage"/>
    <w:uiPriority w:val="99"/>
    <w:rsid w:val="008C4262"/>
    <w:rPr>
      <w:rFonts w:asciiTheme="minorHAnsi" w:hAnsiTheme="minorHAnsi"/>
    </w:rPr>
  </w:style>
  <w:style w:type="character" w:styleId="Marquenotebasdepage">
    <w:name w:val="footnote reference"/>
    <w:basedOn w:val="Policepardfaut"/>
    <w:uiPriority w:val="99"/>
    <w:unhideWhenUsed/>
    <w:rsid w:val="008C4262"/>
    <w:rPr>
      <w:vertAlign w:val="superscript"/>
    </w:rPr>
  </w:style>
  <w:style w:type="table" w:styleId="Tramemoyenne1">
    <w:name w:val="Medium Shading 1"/>
    <w:basedOn w:val="TableauNormal"/>
    <w:uiPriority w:val="63"/>
    <w:rsid w:val="001860FC"/>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Tramemoyenne2-Accent6">
    <w:name w:val="Medium Shading 2 Accent 6"/>
    <w:basedOn w:val="TableauNormal"/>
    <w:uiPriority w:val="64"/>
    <w:rsid w:val="001860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EA02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EA022" w:themeFill="accent6"/>
      </w:tcPr>
    </w:tblStylePr>
    <w:tblStylePr w:type="lastCol">
      <w:rPr>
        <w:b/>
        <w:bCs/>
        <w:color w:val="FFFFFF" w:themeColor="background1"/>
      </w:rPr>
      <w:tblPr/>
      <w:tcPr>
        <w:tcBorders>
          <w:left w:val="nil"/>
          <w:right w:val="nil"/>
          <w:insideH w:val="nil"/>
          <w:insideV w:val="nil"/>
        </w:tcBorders>
        <w:shd w:val="clear" w:color="auto" w:fill="FEA02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Explorateurdedocument">
    <w:name w:val="Document Map"/>
    <w:basedOn w:val="Normal"/>
    <w:link w:val="ExplorateurdedocumentCar"/>
    <w:uiPriority w:val="99"/>
    <w:semiHidden/>
    <w:unhideWhenUsed/>
    <w:rsid w:val="00FD3A91"/>
    <w:rPr>
      <w:rFonts w:ascii="Lucida Grande" w:hAnsi="Lucida Grande" w:cs="Lucida Grande"/>
    </w:rPr>
  </w:style>
  <w:style w:type="character" w:customStyle="1" w:styleId="ExplorateurdedocumentCar">
    <w:name w:val="Explorateur de document Car"/>
    <w:basedOn w:val="Policepardfaut"/>
    <w:link w:val="Explorateurdedocument"/>
    <w:uiPriority w:val="99"/>
    <w:semiHidden/>
    <w:rsid w:val="00FD3A91"/>
    <w:rPr>
      <w:rFonts w:ascii="Lucida Grande" w:hAnsi="Lucida Grande" w:cs="Lucida Grande"/>
    </w:rPr>
  </w:style>
  <w:style w:type="table" w:styleId="Listeclaire-Accent4">
    <w:name w:val="Light List Accent 4"/>
    <w:basedOn w:val="TableauNormal"/>
    <w:uiPriority w:val="61"/>
    <w:rsid w:val="00AD7BC6"/>
    <w:tblPr>
      <w:tblStyleRowBandSize w:val="1"/>
      <w:tblStyleColBandSize w:val="1"/>
      <w:tblInd w:w="0" w:type="dxa"/>
      <w:tblBorders>
        <w:top w:val="single" w:sz="8" w:space="0" w:color="909465" w:themeColor="accent4"/>
        <w:left w:val="single" w:sz="8" w:space="0" w:color="909465" w:themeColor="accent4"/>
        <w:bottom w:val="single" w:sz="8" w:space="0" w:color="909465" w:themeColor="accent4"/>
        <w:right w:val="single" w:sz="8" w:space="0" w:color="909465"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09465" w:themeFill="accent4"/>
      </w:tcPr>
    </w:tblStylePr>
    <w:tblStylePr w:type="lastRow">
      <w:pPr>
        <w:spacing w:before="0" w:after="0" w:line="240" w:lineRule="auto"/>
      </w:pPr>
      <w:rPr>
        <w:b/>
        <w:bCs/>
      </w:rPr>
      <w:tblPr/>
      <w:tcPr>
        <w:tcBorders>
          <w:top w:val="double" w:sz="6" w:space="0" w:color="909465" w:themeColor="accent4"/>
          <w:left w:val="single" w:sz="8" w:space="0" w:color="909465" w:themeColor="accent4"/>
          <w:bottom w:val="single" w:sz="8" w:space="0" w:color="909465" w:themeColor="accent4"/>
          <w:right w:val="single" w:sz="8" w:space="0" w:color="909465" w:themeColor="accent4"/>
        </w:tcBorders>
      </w:tcPr>
    </w:tblStylePr>
    <w:tblStylePr w:type="firstCol">
      <w:rPr>
        <w:b/>
        <w:bCs/>
      </w:rPr>
    </w:tblStylePr>
    <w:tblStylePr w:type="lastCol">
      <w:rPr>
        <w:b/>
        <w:bCs/>
      </w:rPr>
    </w:tblStylePr>
    <w:tblStylePr w:type="band1Vert">
      <w:tblPr/>
      <w:tcPr>
        <w:tcBorders>
          <w:top w:val="single" w:sz="8" w:space="0" w:color="909465" w:themeColor="accent4"/>
          <w:left w:val="single" w:sz="8" w:space="0" w:color="909465" w:themeColor="accent4"/>
          <w:bottom w:val="single" w:sz="8" w:space="0" w:color="909465" w:themeColor="accent4"/>
          <w:right w:val="single" w:sz="8" w:space="0" w:color="909465" w:themeColor="accent4"/>
        </w:tcBorders>
      </w:tcPr>
    </w:tblStylePr>
    <w:tblStylePr w:type="band1Horz">
      <w:tblPr/>
      <w:tcPr>
        <w:tcBorders>
          <w:top w:val="single" w:sz="8" w:space="0" w:color="909465" w:themeColor="accent4"/>
          <w:left w:val="single" w:sz="8" w:space="0" w:color="909465" w:themeColor="accent4"/>
          <w:bottom w:val="single" w:sz="8" w:space="0" w:color="909465" w:themeColor="accent4"/>
          <w:right w:val="single" w:sz="8" w:space="0" w:color="909465" w:themeColor="accent4"/>
        </w:tcBorders>
      </w:tcPr>
    </w:tblStylePr>
  </w:style>
  <w:style w:type="table" w:styleId="Listemoyenne2-Accent2">
    <w:name w:val="Medium List 2 Accent 2"/>
    <w:basedOn w:val="TableauNormal"/>
    <w:uiPriority w:val="66"/>
    <w:rsid w:val="00C50D84"/>
    <w:rPr>
      <w:rFonts w:asciiTheme="majorHAnsi" w:eastAsiaTheme="majorEastAsia" w:hAnsiTheme="majorHAnsi" w:cstheme="majorBidi"/>
      <w:color w:val="000000" w:themeColor="text1"/>
    </w:rPr>
    <w:tblPr>
      <w:tblStyleRowBandSize w:val="1"/>
      <w:tblStyleColBandSize w:val="1"/>
      <w:tblInd w:w="0" w:type="dxa"/>
      <w:tblBorders>
        <w:top w:val="single" w:sz="8" w:space="0" w:color="71685A" w:themeColor="accent2"/>
        <w:left w:val="single" w:sz="8" w:space="0" w:color="71685A" w:themeColor="accent2"/>
        <w:bottom w:val="single" w:sz="8" w:space="0" w:color="71685A" w:themeColor="accent2"/>
        <w:right w:val="single" w:sz="8" w:space="0" w:color="71685A"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71685A" w:themeColor="accent2"/>
          <w:right w:val="nil"/>
          <w:insideH w:val="nil"/>
          <w:insideV w:val="nil"/>
        </w:tcBorders>
        <w:shd w:val="clear" w:color="auto" w:fill="FFFFFF" w:themeFill="background1"/>
      </w:tcPr>
    </w:tblStylePr>
    <w:tblStylePr w:type="lastRow">
      <w:tblPr/>
      <w:tcPr>
        <w:tcBorders>
          <w:top w:val="single" w:sz="8" w:space="0" w:color="71685A"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1685A" w:themeColor="accent2"/>
          <w:insideH w:val="nil"/>
          <w:insideV w:val="nil"/>
        </w:tcBorders>
        <w:shd w:val="clear" w:color="auto" w:fill="FFFFFF" w:themeFill="background1"/>
      </w:tcPr>
    </w:tblStylePr>
    <w:tblStylePr w:type="lastCol">
      <w:tblPr/>
      <w:tcPr>
        <w:tcBorders>
          <w:top w:val="nil"/>
          <w:left w:val="single" w:sz="8" w:space="0" w:color="71685A"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DD9D4" w:themeFill="accent2" w:themeFillTint="3F"/>
      </w:tcPr>
    </w:tblStylePr>
    <w:tblStylePr w:type="band1Horz">
      <w:tblPr/>
      <w:tcPr>
        <w:tcBorders>
          <w:top w:val="nil"/>
          <w:bottom w:val="nil"/>
          <w:insideH w:val="nil"/>
          <w:insideV w:val="nil"/>
        </w:tcBorders>
        <w:shd w:val="clear" w:color="auto" w:fill="DDD9D4" w:themeFill="accent2" w:themeFillTint="3F"/>
      </w:tcPr>
    </w:tblStylePr>
    <w:tblStylePr w:type="nwCell">
      <w:tblPr/>
      <w:tcPr>
        <w:shd w:val="clear" w:color="auto" w:fill="FFFFFF" w:themeFill="background1"/>
      </w:tcPr>
    </w:tblStylePr>
    <w:tblStylePr w:type="swCell">
      <w:tblPr/>
      <w:tcPr>
        <w:tcBorders>
          <w:top w:val="nil"/>
        </w:tcBorders>
      </w:tcPr>
    </w:tblStylePr>
  </w:style>
  <w:style w:type="paragraph" w:styleId="Notedefin">
    <w:name w:val="endnote text"/>
    <w:basedOn w:val="Normal"/>
    <w:link w:val="NotedefinCar"/>
    <w:uiPriority w:val="99"/>
    <w:unhideWhenUsed/>
    <w:rsid w:val="00B1437E"/>
  </w:style>
  <w:style w:type="character" w:customStyle="1" w:styleId="NotedefinCar">
    <w:name w:val="Note de fin Car"/>
    <w:basedOn w:val="Policepardfaut"/>
    <w:link w:val="Notedefin"/>
    <w:uiPriority w:val="99"/>
    <w:rsid w:val="00B1437E"/>
    <w:rPr>
      <w:rFonts w:asciiTheme="minorHAnsi" w:hAnsiTheme="minorHAnsi"/>
    </w:rPr>
  </w:style>
  <w:style w:type="character" w:styleId="Marquedenotedefin">
    <w:name w:val="endnote reference"/>
    <w:basedOn w:val="Policepardfaut"/>
    <w:uiPriority w:val="99"/>
    <w:unhideWhenUsed/>
    <w:rsid w:val="00B1437E"/>
    <w:rPr>
      <w:vertAlign w:val="superscript"/>
    </w:rPr>
  </w:style>
  <w:style w:type="character" w:customStyle="1" w:styleId="Titre9Car">
    <w:name w:val="Titre 9 Car"/>
    <w:basedOn w:val="Policepardfaut"/>
    <w:link w:val="Titre9"/>
    <w:uiPriority w:val="9"/>
    <w:semiHidden/>
    <w:rsid w:val="002256F1"/>
    <w:rPr>
      <w:rFonts w:asciiTheme="majorHAnsi" w:eastAsiaTheme="majorEastAsia" w:hAnsiTheme="majorHAnsi" w:cstheme="majorBidi"/>
      <w:i/>
      <w:iCs/>
      <w:color w:val="404040" w:themeColor="text1" w:themeTint="BF"/>
      <w:sz w:val="20"/>
      <w:szCs w:val="20"/>
    </w:rPr>
  </w:style>
  <w:style w:type="table" w:styleId="Tramemoyenne2-Accent2">
    <w:name w:val="Medium Shading 2 Accent 2"/>
    <w:basedOn w:val="TableauNormal"/>
    <w:uiPriority w:val="64"/>
    <w:rsid w:val="005556E3"/>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1685A"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1685A" w:themeFill="accent2"/>
      </w:tcPr>
    </w:tblStylePr>
    <w:tblStylePr w:type="lastCol">
      <w:rPr>
        <w:b/>
        <w:bCs/>
        <w:color w:val="FFFFFF" w:themeColor="background1"/>
      </w:rPr>
      <w:tblPr/>
      <w:tcPr>
        <w:tcBorders>
          <w:left w:val="nil"/>
          <w:right w:val="nil"/>
          <w:insideH w:val="nil"/>
          <w:insideV w:val="nil"/>
        </w:tcBorders>
        <w:shd w:val="clear" w:color="auto" w:fill="71685A"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llemoyenne3">
    <w:name w:val="Medium Grid 3"/>
    <w:basedOn w:val="TableauNormal"/>
    <w:uiPriority w:val="69"/>
    <w:rsid w:val="005556E3"/>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Listefonce">
    <w:name w:val="Dark List"/>
    <w:basedOn w:val="TableauNormal"/>
    <w:uiPriority w:val="70"/>
    <w:rsid w:val="005556E3"/>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efonce-Accent4">
    <w:name w:val="Dark List Accent 4"/>
    <w:basedOn w:val="TableauNormal"/>
    <w:uiPriority w:val="70"/>
    <w:rsid w:val="005556E3"/>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0946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7493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B6E4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B6E4B" w:themeFill="accent4" w:themeFillShade="BF"/>
      </w:tcPr>
    </w:tblStylePr>
    <w:tblStylePr w:type="band1Vert">
      <w:tblPr/>
      <w:tcPr>
        <w:tcBorders>
          <w:top w:val="nil"/>
          <w:left w:val="nil"/>
          <w:bottom w:val="nil"/>
          <w:right w:val="nil"/>
          <w:insideH w:val="nil"/>
          <w:insideV w:val="nil"/>
        </w:tcBorders>
        <w:shd w:val="clear" w:color="auto" w:fill="6B6E4B" w:themeFill="accent4" w:themeFillShade="BF"/>
      </w:tcPr>
    </w:tblStylePr>
    <w:tblStylePr w:type="band1Horz">
      <w:tblPr/>
      <w:tcPr>
        <w:tcBorders>
          <w:top w:val="nil"/>
          <w:left w:val="nil"/>
          <w:bottom w:val="nil"/>
          <w:right w:val="nil"/>
          <w:insideH w:val="nil"/>
          <w:insideV w:val="nil"/>
        </w:tcBorders>
        <w:shd w:val="clear" w:color="auto" w:fill="6B6E4B" w:themeFill="accent4" w:themeFillShade="BF"/>
      </w:tcPr>
    </w:tblStylePr>
  </w:style>
  <w:style w:type="table" w:styleId="Grillecouleur-Accent4">
    <w:name w:val="Colorful Grid Accent 4"/>
    <w:basedOn w:val="TableauNormal"/>
    <w:uiPriority w:val="73"/>
    <w:rsid w:val="005556E3"/>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8E9DF" w:themeFill="accent4" w:themeFillTint="33"/>
    </w:tcPr>
    <w:tblStylePr w:type="firstRow">
      <w:rPr>
        <w:b/>
        <w:bCs/>
      </w:rPr>
      <w:tblPr/>
      <w:tcPr>
        <w:shd w:val="clear" w:color="auto" w:fill="D2D4C0" w:themeFill="accent4" w:themeFillTint="66"/>
      </w:tcPr>
    </w:tblStylePr>
    <w:tblStylePr w:type="lastRow">
      <w:rPr>
        <w:b/>
        <w:bCs/>
        <w:color w:val="000000" w:themeColor="text1"/>
      </w:rPr>
      <w:tblPr/>
      <w:tcPr>
        <w:shd w:val="clear" w:color="auto" w:fill="D2D4C0" w:themeFill="accent4" w:themeFillTint="66"/>
      </w:tcPr>
    </w:tblStylePr>
    <w:tblStylePr w:type="firstCol">
      <w:rPr>
        <w:color w:val="FFFFFF" w:themeColor="background1"/>
      </w:rPr>
      <w:tblPr/>
      <w:tcPr>
        <w:shd w:val="clear" w:color="auto" w:fill="6B6E4B" w:themeFill="accent4" w:themeFillShade="BF"/>
      </w:tcPr>
    </w:tblStylePr>
    <w:tblStylePr w:type="lastCol">
      <w:rPr>
        <w:color w:val="FFFFFF" w:themeColor="background1"/>
      </w:rPr>
      <w:tblPr/>
      <w:tcPr>
        <w:shd w:val="clear" w:color="auto" w:fill="6B6E4B" w:themeFill="accent4" w:themeFillShade="BF"/>
      </w:tcPr>
    </w:tblStylePr>
    <w:tblStylePr w:type="band1Vert">
      <w:tblPr/>
      <w:tcPr>
        <w:shd w:val="clear" w:color="auto" w:fill="C8CAB1" w:themeFill="accent4" w:themeFillTint="7F"/>
      </w:tcPr>
    </w:tblStylePr>
    <w:tblStylePr w:type="band1Horz">
      <w:tblPr/>
      <w:tcPr>
        <w:shd w:val="clear" w:color="auto" w:fill="C8CAB1" w:themeFill="accent4" w:themeFillTint="7F"/>
      </w:tcPr>
    </w:tblStylePr>
  </w:style>
  <w:style w:type="table" w:styleId="Grillemoyenne2">
    <w:name w:val="Medium Grid 2"/>
    <w:basedOn w:val="TableauNormal"/>
    <w:uiPriority w:val="68"/>
    <w:rsid w:val="005556E3"/>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rillemoyenne2-Accent2">
    <w:name w:val="Medium Grid 2 Accent 2"/>
    <w:basedOn w:val="TableauNormal"/>
    <w:uiPriority w:val="68"/>
    <w:rsid w:val="005556E3"/>
    <w:rPr>
      <w:rFonts w:asciiTheme="majorHAnsi" w:eastAsiaTheme="majorEastAsia" w:hAnsiTheme="majorHAnsi" w:cstheme="majorBidi"/>
      <w:color w:val="000000" w:themeColor="text1"/>
    </w:rPr>
    <w:tblPr>
      <w:tblStyleRowBandSize w:val="1"/>
      <w:tblStyleColBandSize w:val="1"/>
      <w:tblInd w:w="0" w:type="dxa"/>
      <w:tblBorders>
        <w:top w:val="single" w:sz="8" w:space="0" w:color="71685A" w:themeColor="accent2"/>
        <w:left w:val="single" w:sz="8" w:space="0" w:color="71685A" w:themeColor="accent2"/>
        <w:bottom w:val="single" w:sz="8" w:space="0" w:color="71685A" w:themeColor="accent2"/>
        <w:right w:val="single" w:sz="8" w:space="0" w:color="71685A" w:themeColor="accent2"/>
        <w:insideH w:val="single" w:sz="8" w:space="0" w:color="71685A" w:themeColor="accent2"/>
        <w:insideV w:val="single" w:sz="8" w:space="0" w:color="71685A" w:themeColor="accent2"/>
      </w:tblBorders>
      <w:tblCellMar>
        <w:top w:w="0" w:type="dxa"/>
        <w:left w:w="108" w:type="dxa"/>
        <w:bottom w:w="0" w:type="dxa"/>
        <w:right w:w="108" w:type="dxa"/>
      </w:tblCellMar>
    </w:tblPr>
    <w:tcPr>
      <w:shd w:val="clear" w:color="auto" w:fill="DDD9D4" w:themeFill="accent2" w:themeFillTint="3F"/>
    </w:tcPr>
    <w:tblStylePr w:type="firstRow">
      <w:rPr>
        <w:b/>
        <w:bCs/>
        <w:color w:val="000000" w:themeColor="text1"/>
      </w:rPr>
      <w:tblPr/>
      <w:tcPr>
        <w:shd w:val="clear" w:color="auto" w:fill="F1F0EE"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E0DC" w:themeFill="accent2" w:themeFillTint="33"/>
      </w:tcPr>
    </w:tblStylePr>
    <w:tblStylePr w:type="band1Vert">
      <w:tblPr/>
      <w:tcPr>
        <w:shd w:val="clear" w:color="auto" w:fill="BBB4A9" w:themeFill="accent2" w:themeFillTint="7F"/>
      </w:tcPr>
    </w:tblStylePr>
    <w:tblStylePr w:type="band1Horz">
      <w:tblPr/>
      <w:tcPr>
        <w:tcBorders>
          <w:insideH w:val="single" w:sz="6" w:space="0" w:color="71685A" w:themeColor="accent2"/>
          <w:insideV w:val="single" w:sz="6" w:space="0" w:color="71685A" w:themeColor="accent2"/>
        </w:tcBorders>
        <w:shd w:val="clear" w:color="auto" w:fill="BBB4A9" w:themeFill="accent2" w:themeFillTint="7F"/>
      </w:tcPr>
    </w:tblStylePr>
    <w:tblStylePr w:type="nwCell">
      <w:tblPr/>
      <w:tcPr>
        <w:shd w:val="clear" w:color="auto" w:fill="FFFFFF" w:themeFill="background1"/>
      </w:tcPr>
    </w:tblStylePr>
  </w:style>
  <w:style w:type="table" w:styleId="Grillemoyenne2-Accent4">
    <w:name w:val="Medium Grid 2 Accent 4"/>
    <w:basedOn w:val="TableauNormal"/>
    <w:uiPriority w:val="68"/>
    <w:rsid w:val="005556E3"/>
    <w:rPr>
      <w:rFonts w:asciiTheme="majorHAnsi" w:eastAsiaTheme="majorEastAsia" w:hAnsiTheme="majorHAnsi" w:cstheme="majorBidi"/>
      <w:color w:val="000000" w:themeColor="text1"/>
    </w:rPr>
    <w:tblPr>
      <w:tblStyleRowBandSize w:val="1"/>
      <w:tblStyleColBandSize w:val="1"/>
      <w:tblInd w:w="0" w:type="dxa"/>
      <w:tblBorders>
        <w:top w:val="single" w:sz="8" w:space="0" w:color="909465" w:themeColor="accent4"/>
        <w:left w:val="single" w:sz="8" w:space="0" w:color="909465" w:themeColor="accent4"/>
        <w:bottom w:val="single" w:sz="8" w:space="0" w:color="909465" w:themeColor="accent4"/>
        <w:right w:val="single" w:sz="8" w:space="0" w:color="909465" w:themeColor="accent4"/>
        <w:insideH w:val="single" w:sz="8" w:space="0" w:color="909465" w:themeColor="accent4"/>
        <w:insideV w:val="single" w:sz="8" w:space="0" w:color="909465" w:themeColor="accent4"/>
      </w:tblBorders>
      <w:tblCellMar>
        <w:top w:w="0" w:type="dxa"/>
        <w:left w:w="108" w:type="dxa"/>
        <w:bottom w:w="0" w:type="dxa"/>
        <w:right w:w="108" w:type="dxa"/>
      </w:tblCellMar>
    </w:tblPr>
    <w:tcPr>
      <w:shd w:val="clear" w:color="auto" w:fill="E3E4D8" w:themeFill="accent4" w:themeFillTint="3F"/>
    </w:tcPr>
    <w:tblStylePr w:type="firstRow">
      <w:rPr>
        <w:b/>
        <w:bCs/>
        <w:color w:val="000000" w:themeColor="text1"/>
      </w:rPr>
      <w:tblPr/>
      <w:tcPr>
        <w:shd w:val="clear" w:color="auto" w:fill="F4F4E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9DF" w:themeFill="accent4" w:themeFillTint="33"/>
      </w:tcPr>
    </w:tblStylePr>
    <w:tblStylePr w:type="band1Vert">
      <w:tblPr/>
      <w:tcPr>
        <w:shd w:val="clear" w:color="auto" w:fill="C8CAB1" w:themeFill="accent4" w:themeFillTint="7F"/>
      </w:tcPr>
    </w:tblStylePr>
    <w:tblStylePr w:type="band1Horz">
      <w:tblPr/>
      <w:tcPr>
        <w:tcBorders>
          <w:insideH w:val="single" w:sz="6" w:space="0" w:color="909465" w:themeColor="accent4"/>
          <w:insideV w:val="single" w:sz="6" w:space="0" w:color="909465" w:themeColor="accent4"/>
        </w:tcBorders>
        <w:shd w:val="clear" w:color="auto" w:fill="C8CAB1" w:themeFill="accent4" w:themeFillTint="7F"/>
      </w:tcPr>
    </w:tblStylePr>
    <w:tblStylePr w:type="nwCell">
      <w:tblPr/>
      <w:tcPr>
        <w:shd w:val="clear" w:color="auto" w:fill="FFFFFF" w:themeFill="background1"/>
      </w:tcPr>
    </w:tblStylePr>
  </w:style>
  <w:style w:type="table" w:styleId="Grillemoyenne1">
    <w:name w:val="Medium Grid 1"/>
    <w:basedOn w:val="TableauNormal"/>
    <w:uiPriority w:val="67"/>
    <w:rsid w:val="005556E3"/>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Listemoyenne1-Accent4">
    <w:name w:val="Medium List 1 Accent 4"/>
    <w:basedOn w:val="TableauNormal"/>
    <w:uiPriority w:val="65"/>
    <w:rsid w:val="005556E3"/>
    <w:rPr>
      <w:color w:val="000000" w:themeColor="text1"/>
    </w:rPr>
    <w:tblPr>
      <w:tblStyleRowBandSize w:val="1"/>
      <w:tblStyleColBandSize w:val="1"/>
      <w:tblInd w:w="0" w:type="dxa"/>
      <w:tblBorders>
        <w:top w:val="single" w:sz="8" w:space="0" w:color="909465" w:themeColor="accent4"/>
        <w:bottom w:val="single" w:sz="8" w:space="0" w:color="909465"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09465" w:themeColor="accent4"/>
        </w:tcBorders>
      </w:tcPr>
    </w:tblStylePr>
    <w:tblStylePr w:type="lastRow">
      <w:rPr>
        <w:b/>
        <w:bCs/>
        <w:color w:val="3E3D2D" w:themeColor="text2"/>
      </w:rPr>
      <w:tblPr/>
      <w:tcPr>
        <w:tcBorders>
          <w:top w:val="single" w:sz="8" w:space="0" w:color="909465" w:themeColor="accent4"/>
          <w:bottom w:val="single" w:sz="8" w:space="0" w:color="909465" w:themeColor="accent4"/>
        </w:tcBorders>
      </w:tcPr>
    </w:tblStylePr>
    <w:tblStylePr w:type="firstCol">
      <w:rPr>
        <w:b/>
        <w:bCs/>
      </w:rPr>
    </w:tblStylePr>
    <w:tblStylePr w:type="lastCol">
      <w:rPr>
        <w:b/>
        <w:bCs/>
      </w:rPr>
      <w:tblPr/>
      <w:tcPr>
        <w:tcBorders>
          <w:top w:val="single" w:sz="8" w:space="0" w:color="909465" w:themeColor="accent4"/>
          <w:bottom w:val="single" w:sz="8" w:space="0" w:color="909465" w:themeColor="accent4"/>
        </w:tcBorders>
      </w:tcPr>
    </w:tblStylePr>
    <w:tblStylePr w:type="band1Vert">
      <w:tblPr/>
      <w:tcPr>
        <w:shd w:val="clear" w:color="auto" w:fill="E3E4D8" w:themeFill="accent4" w:themeFillTint="3F"/>
      </w:tcPr>
    </w:tblStylePr>
    <w:tblStylePr w:type="band1Horz">
      <w:tblPr/>
      <w:tcPr>
        <w:shd w:val="clear" w:color="auto" w:fill="E3E4D8" w:themeFill="accent4" w:themeFillTint="3F"/>
      </w:tcPr>
    </w:tblStylePr>
  </w:style>
  <w:style w:type="table" w:styleId="Listemoyenne2">
    <w:name w:val="Medium List 2"/>
    <w:basedOn w:val="TableauNormal"/>
    <w:uiPriority w:val="66"/>
    <w:rsid w:val="005556E3"/>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1-Accent5">
    <w:name w:val="Medium List 1 Accent 5"/>
    <w:basedOn w:val="TableauNormal"/>
    <w:uiPriority w:val="65"/>
    <w:rsid w:val="005556E3"/>
    <w:rPr>
      <w:color w:val="000000" w:themeColor="text1"/>
    </w:rPr>
    <w:tblPr>
      <w:tblStyleRowBandSize w:val="1"/>
      <w:tblStyleColBandSize w:val="1"/>
      <w:tblInd w:w="0" w:type="dxa"/>
      <w:tblBorders>
        <w:top w:val="single" w:sz="8" w:space="0" w:color="956B43" w:themeColor="accent5"/>
        <w:bottom w:val="single" w:sz="8" w:space="0" w:color="956B43"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56B43" w:themeColor="accent5"/>
        </w:tcBorders>
      </w:tcPr>
    </w:tblStylePr>
    <w:tblStylePr w:type="lastRow">
      <w:rPr>
        <w:b/>
        <w:bCs/>
        <w:color w:val="3E3D2D" w:themeColor="text2"/>
      </w:rPr>
      <w:tblPr/>
      <w:tcPr>
        <w:tcBorders>
          <w:top w:val="single" w:sz="8" w:space="0" w:color="956B43" w:themeColor="accent5"/>
          <w:bottom w:val="single" w:sz="8" w:space="0" w:color="956B43" w:themeColor="accent5"/>
        </w:tcBorders>
      </w:tcPr>
    </w:tblStylePr>
    <w:tblStylePr w:type="firstCol">
      <w:rPr>
        <w:b/>
        <w:bCs/>
      </w:rPr>
    </w:tblStylePr>
    <w:tblStylePr w:type="lastCol">
      <w:rPr>
        <w:b/>
        <w:bCs/>
      </w:rPr>
      <w:tblPr/>
      <w:tcPr>
        <w:tcBorders>
          <w:top w:val="single" w:sz="8" w:space="0" w:color="956B43" w:themeColor="accent5"/>
          <w:bottom w:val="single" w:sz="8" w:space="0" w:color="956B43" w:themeColor="accent5"/>
        </w:tcBorders>
      </w:tcPr>
    </w:tblStylePr>
    <w:tblStylePr w:type="band1Vert">
      <w:tblPr/>
      <w:tcPr>
        <w:shd w:val="clear" w:color="auto" w:fill="E8DACC" w:themeFill="accent5" w:themeFillTint="3F"/>
      </w:tcPr>
    </w:tblStylePr>
    <w:tblStylePr w:type="band1Horz">
      <w:tblPr/>
      <w:tcPr>
        <w:shd w:val="clear" w:color="auto" w:fill="E8DACC" w:themeFill="accent5" w:themeFillTint="3F"/>
      </w:tcPr>
    </w:tblStylePr>
  </w:style>
  <w:style w:type="table" w:styleId="Tramemoyenne1-Accent2">
    <w:name w:val="Medium Shading 1 Accent 2"/>
    <w:basedOn w:val="TableauNormal"/>
    <w:uiPriority w:val="63"/>
    <w:rsid w:val="005556E3"/>
    <w:tblPr>
      <w:tblStyleRowBandSize w:val="1"/>
      <w:tblStyleColBandSize w:val="1"/>
      <w:tblInd w:w="0" w:type="dxa"/>
      <w:tbl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single" w:sz="8" w:space="0" w:color="998E7E"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nil"/>
          <w:insideV w:val="nil"/>
        </w:tcBorders>
        <w:shd w:val="clear" w:color="auto" w:fill="71685A" w:themeFill="accent2"/>
      </w:tcPr>
    </w:tblStylePr>
    <w:tblStylePr w:type="lastRow">
      <w:pPr>
        <w:spacing w:before="0" w:after="0" w:line="240" w:lineRule="auto"/>
      </w:pPr>
      <w:rPr>
        <w:b/>
        <w:bCs/>
      </w:rPr>
      <w:tblPr/>
      <w:tcPr>
        <w:tcBorders>
          <w:top w:val="double" w:sz="6"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nil"/>
          <w:insideV w:val="nil"/>
        </w:tcBorders>
      </w:tcPr>
    </w:tblStylePr>
    <w:tblStylePr w:type="firstCol">
      <w:rPr>
        <w:b/>
        <w:bCs/>
      </w:rPr>
    </w:tblStylePr>
    <w:tblStylePr w:type="lastCol">
      <w:rPr>
        <w:b/>
        <w:bCs/>
      </w:rPr>
    </w:tblStylePr>
    <w:tblStylePr w:type="band1Vert">
      <w:tblPr/>
      <w:tcPr>
        <w:shd w:val="clear" w:color="auto" w:fill="DDD9D4" w:themeFill="accent2" w:themeFillTint="3F"/>
      </w:tcPr>
    </w:tblStylePr>
    <w:tblStylePr w:type="band1Horz">
      <w:tblPr/>
      <w:tcPr>
        <w:tcBorders>
          <w:insideH w:val="nil"/>
          <w:insideV w:val="nil"/>
        </w:tcBorders>
        <w:shd w:val="clear" w:color="auto" w:fill="DDD9D4" w:themeFill="accent2" w:themeFillTint="3F"/>
      </w:tcPr>
    </w:tblStylePr>
    <w:tblStylePr w:type="band2Horz">
      <w:tblPr/>
      <w:tcPr>
        <w:tcBorders>
          <w:insideH w:val="nil"/>
          <w:insideV w:val="nil"/>
        </w:tcBorders>
      </w:tcPr>
    </w:tblStylePr>
  </w:style>
  <w:style w:type="table" w:styleId="Grilleclaire-Accent2">
    <w:name w:val="Light Grid Accent 2"/>
    <w:basedOn w:val="TableauNormal"/>
    <w:uiPriority w:val="62"/>
    <w:rsid w:val="005556E3"/>
    <w:tblPr>
      <w:tblStyleRowBandSize w:val="1"/>
      <w:tblStyleColBandSize w:val="1"/>
      <w:tblInd w:w="0" w:type="dxa"/>
      <w:tblBorders>
        <w:top w:val="single" w:sz="8" w:space="0" w:color="71685A" w:themeColor="accent2"/>
        <w:left w:val="single" w:sz="8" w:space="0" w:color="71685A" w:themeColor="accent2"/>
        <w:bottom w:val="single" w:sz="8" w:space="0" w:color="71685A" w:themeColor="accent2"/>
        <w:right w:val="single" w:sz="8" w:space="0" w:color="71685A" w:themeColor="accent2"/>
        <w:insideH w:val="single" w:sz="8" w:space="0" w:color="71685A" w:themeColor="accent2"/>
        <w:insideV w:val="single" w:sz="8" w:space="0" w:color="71685A"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1685A" w:themeColor="accent2"/>
          <w:left w:val="single" w:sz="8" w:space="0" w:color="71685A" w:themeColor="accent2"/>
          <w:bottom w:val="single" w:sz="18" w:space="0" w:color="71685A" w:themeColor="accent2"/>
          <w:right w:val="single" w:sz="8" w:space="0" w:color="71685A" w:themeColor="accent2"/>
          <w:insideH w:val="nil"/>
          <w:insideV w:val="single" w:sz="8" w:space="0" w:color="71685A"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685A" w:themeColor="accent2"/>
          <w:left w:val="single" w:sz="8" w:space="0" w:color="71685A" w:themeColor="accent2"/>
          <w:bottom w:val="single" w:sz="8" w:space="0" w:color="71685A" w:themeColor="accent2"/>
          <w:right w:val="single" w:sz="8" w:space="0" w:color="71685A" w:themeColor="accent2"/>
          <w:insideH w:val="nil"/>
          <w:insideV w:val="single" w:sz="8" w:space="0" w:color="71685A"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685A" w:themeColor="accent2"/>
          <w:left w:val="single" w:sz="8" w:space="0" w:color="71685A" w:themeColor="accent2"/>
          <w:bottom w:val="single" w:sz="8" w:space="0" w:color="71685A" w:themeColor="accent2"/>
          <w:right w:val="single" w:sz="8" w:space="0" w:color="71685A" w:themeColor="accent2"/>
        </w:tcBorders>
      </w:tcPr>
    </w:tblStylePr>
    <w:tblStylePr w:type="band1Vert">
      <w:tblPr/>
      <w:tcPr>
        <w:tcBorders>
          <w:top w:val="single" w:sz="8" w:space="0" w:color="71685A" w:themeColor="accent2"/>
          <w:left w:val="single" w:sz="8" w:space="0" w:color="71685A" w:themeColor="accent2"/>
          <w:bottom w:val="single" w:sz="8" w:space="0" w:color="71685A" w:themeColor="accent2"/>
          <w:right w:val="single" w:sz="8" w:space="0" w:color="71685A" w:themeColor="accent2"/>
        </w:tcBorders>
        <w:shd w:val="clear" w:color="auto" w:fill="DDD9D4" w:themeFill="accent2" w:themeFillTint="3F"/>
      </w:tcPr>
    </w:tblStylePr>
    <w:tblStylePr w:type="band1Horz">
      <w:tblPr/>
      <w:tcPr>
        <w:tcBorders>
          <w:top w:val="single" w:sz="8" w:space="0" w:color="71685A" w:themeColor="accent2"/>
          <w:left w:val="single" w:sz="8" w:space="0" w:color="71685A" w:themeColor="accent2"/>
          <w:bottom w:val="single" w:sz="8" w:space="0" w:color="71685A" w:themeColor="accent2"/>
          <w:right w:val="single" w:sz="8" w:space="0" w:color="71685A" w:themeColor="accent2"/>
          <w:insideV w:val="single" w:sz="8" w:space="0" w:color="71685A" w:themeColor="accent2"/>
        </w:tcBorders>
        <w:shd w:val="clear" w:color="auto" w:fill="DDD9D4" w:themeFill="accent2" w:themeFillTint="3F"/>
      </w:tcPr>
    </w:tblStylePr>
    <w:tblStylePr w:type="band2Horz">
      <w:tblPr/>
      <w:tcPr>
        <w:tcBorders>
          <w:top w:val="single" w:sz="8" w:space="0" w:color="71685A" w:themeColor="accent2"/>
          <w:left w:val="single" w:sz="8" w:space="0" w:color="71685A" w:themeColor="accent2"/>
          <w:bottom w:val="single" w:sz="8" w:space="0" w:color="71685A" w:themeColor="accent2"/>
          <w:right w:val="single" w:sz="8" w:space="0" w:color="71685A" w:themeColor="accent2"/>
          <w:insideV w:val="single" w:sz="8" w:space="0" w:color="71685A" w:themeColor="accent2"/>
        </w:tcBorders>
      </w:tcPr>
    </w:tblStylePr>
  </w:style>
  <w:style w:type="table" w:styleId="Trameclaire-Accent4">
    <w:name w:val="Light Shading Accent 4"/>
    <w:basedOn w:val="TableauNormal"/>
    <w:uiPriority w:val="60"/>
    <w:rsid w:val="005556E3"/>
    <w:rPr>
      <w:color w:val="6B6E4B" w:themeColor="accent4" w:themeShade="BF"/>
    </w:rPr>
    <w:tblPr>
      <w:tblStyleRowBandSize w:val="1"/>
      <w:tblStyleColBandSize w:val="1"/>
      <w:tblInd w:w="0" w:type="dxa"/>
      <w:tblBorders>
        <w:top w:val="single" w:sz="8" w:space="0" w:color="909465" w:themeColor="accent4"/>
        <w:bottom w:val="single" w:sz="8" w:space="0" w:color="909465"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09465" w:themeColor="accent4"/>
          <w:left w:val="nil"/>
          <w:bottom w:val="single" w:sz="8" w:space="0" w:color="909465" w:themeColor="accent4"/>
          <w:right w:val="nil"/>
          <w:insideH w:val="nil"/>
          <w:insideV w:val="nil"/>
        </w:tcBorders>
      </w:tcPr>
    </w:tblStylePr>
    <w:tblStylePr w:type="lastRow">
      <w:pPr>
        <w:spacing w:before="0" w:after="0" w:line="240" w:lineRule="auto"/>
      </w:pPr>
      <w:rPr>
        <w:b/>
        <w:bCs/>
      </w:rPr>
      <w:tblPr/>
      <w:tcPr>
        <w:tcBorders>
          <w:top w:val="single" w:sz="8" w:space="0" w:color="909465" w:themeColor="accent4"/>
          <w:left w:val="nil"/>
          <w:bottom w:val="single" w:sz="8" w:space="0" w:color="90946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4D8" w:themeFill="accent4" w:themeFillTint="3F"/>
      </w:tcPr>
    </w:tblStylePr>
    <w:tblStylePr w:type="band1Horz">
      <w:tblPr/>
      <w:tcPr>
        <w:tcBorders>
          <w:left w:val="nil"/>
          <w:right w:val="nil"/>
          <w:insideH w:val="nil"/>
          <w:insideV w:val="nil"/>
        </w:tcBorders>
        <w:shd w:val="clear" w:color="auto" w:fill="E3E4D8" w:themeFill="accent4" w:themeFillTint="3F"/>
      </w:tcPr>
    </w:tblStylePr>
  </w:style>
  <w:style w:type="table" w:styleId="Listemoyenne1">
    <w:name w:val="Medium List 1"/>
    <w:basedOn w:val="TableauNormal"/>
    <w:uiPriority w:val="65"/>
    <w:rsid w:val="005556E3"/>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E3D2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emoyenne2-Accent4">
    <w:name w:val="Medium List 2 Accent 4"/>
    <w:basedOn w:val="TableauNormal"/>
    <w:uiPriority w:val="66"/>
    <w:rsid w:val="005556E3"/>
    <w:rPr>
      <w:rFonts w:asciiTheme="majorHAnsi" w:eastAsiaTheme="majorEastAsia" w:hAnsiTheme="majorHAnsi" w:cstheme="majorBidi"/>
      <w:color w:val="000000" w:themeColor="text1"/>
    </w:rPr>
    <w:tblPr>
      <w:tblStyleRowBandSize w:val="1"/>
      <w:tblStyleColBandSize w:val="1"/>
      <w:tblInd w:w="0" w:type="dxa"/>
      <w:tblBorders>
        <w:top w:val="single" w:sz="8" w:space="0" w:color="909465" w:themeColor="accent4"/>
        <w:left w:val="single" w:sz="8" w:space="0" w:color="909465" w:themeColor="accent4"/>
        <w:bottom w:val="single" w:sz="8" w:space="0" w:color="909465" w:themeColor="accent4"/>
        <w:right w:val="single" w:sz="8" w:space="0" w:color="909465"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909465" w:themeColor="accent4"/>
          <w:right w:val="nil"/>
          <w:insideH w:val="nil"/>
          <w:insideV w:val="nil"/>
        </w:tcBorders>
        <w:shd w:val="clear" w:color="auto" w:fill="FFFFFF" w:themeFill="background1"/>
      </w:tcPr>
    </w:tblStylePr>
    <w:tblStylePr w:type="lastRow">
      <w:tblPr/>
      <w:tcPr>
        <w:tcBorders>
          <w:top w:val="single" w:sz="8" w:space="0" w:color="90946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09465" w:themeColor="accent4"/>
          <w:insideH w:val="nil"/>
          <w:insideV w:val="nil"/>
        </w:tcBorders>
        <w:shd w:val="clear" w:color="auto" w:fill="FFFFFF" w:themeFill="background1"/>
      </w:tcPr>
    </w:tblStylePr>
    <w:tblStylePr w:type="lastCol">
      <w:tblPr/>
      <w:tcPr>
        <w:tcBorders>
          <w:top w:val="nil"/>
          <w:left w:val="single" w:sz="8" w:space="0" w:color="90946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E4D8" w:themeFill="accent4" w:themeFillTint="3F"/>
      </w:tcPr>
    </w:tblStylePr>
    <w:tblStylePr w:type="band1Horz">
      <w:tblPr/>
      <w:tcPr>
        <w:tcBorders>
          <w:top w:val="nil"/>
          <w:bottom w:val="nil"/>
          <w:insideH w:val="nil"/>
          <w:insideV w:val="nil"/>
        </w:tcBorders>
        <w:shd w:val="clear" w:color="auto" w:fill="E3E4D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4">
    <w:name w:val="Medium Grid 1 Accent 4"/>
    <w:basedOn w:val="TableauNormal"/>
    <w:uiPriority w:val="67"/>
    <w:rsid w:val="005556E3"/>
    <w:tblPr>
      <w:tblStyleRowBandSize w:val="1"/>
      <w:tblStyleColBandSize w:val="1"/>
      <w:tblInd w:w="0" w:type="dxa"/>
      <w:tblBorders>
        <w:top w:val="single" w:sz="8" w:space="0" w:color="ACAF8A" w:themeColor="accent4" w:themeTint="BF"/>
        <w:left w:val="single" w:sz="8" w:space="0" w:color="ACAF8A" w:themeColor="accent4" w:themeTint="BF"/>
        <w:bottom w:val="single" w:sz="8" w:space="0" w:color="ACAF8A" w:themeColor="accent4" w:themeTint="BF"/>
        <w:right w:val="single" w:sz="8" w:space="0" w:color="ACAF8A" w:themeColor="accent4" w:themeTint="BF"/>
        <w:insideH w:val="single" w:sz="8" w:space="0" w:color="ACAF8A" w:themeColor="accent4" w:themeTint="BF"/>
        <w:insideV w:val="single" w:sz="8" w:space="0" w:color="ACAF8A" w:themeColor="accent4" w:themeTint="BF"/>
      </w:tblBorders>
      <w:tblCellMar>
        <w:top w:w="0" w:type="dxa"/>
        <w:left w:w="108" w:type="dxa"/>
        <w:bottom w:w="0" w:type="dxa"/>
        <w:right w:w="108" w:type="dxa"/>
      </w:tblCellMar>
    </w:tblPr>
    <w:tcPr>
      <w:shd w:val="clear" w:color="auto" w:fill="E3E4D8" w:themeFill="accent4" w:themeFillTint="3F"/>
    </w:tcPr>
    <w:tblStylePr w:type="firstRow">
      <w:rPr>
        <w:b/>
        <w:bCs/>
      </w:rPr>
    </w:tblStylePr>
    <w:tblStylePr w:type="lastRow">
      <w:rPr>
        <w:b/>
        <w:bCs/>
      </w:rPr>
      <w:tblPr/>
      <w:tcPr>
        <w:tcBorders>
          <w:top w:val="single" w:sz="18" w:space="0" w:color="ACAF8A" w:themeColor="accent4" w:themeTint="BF"/>
        </w:tcBorders>
      </w:tcPr>
    </w:tblStylePr>
    <w:tblStylePr w:type="firstCol">
      <w:rPr>
        <w:b/>
        <w:bCs/>
      </w:rPr>
    </w:tblStylePr>
    <w:tblStylePr w:type="lastCol">
      <w:rPr>
        <w:b/>
        <w:bCs/>
      </w:rPr>
    </w:tblStylePr>
    <w:tblStylePr w:type="band1Vert">
      <w:tblPr/>
      <w:tcPr>
        <w:shd w:val="clear" w:color="auto" w:fill="C8CAB1" w:themeFill="accent4" w:themeFillTint="7F"/>
      </w:tcPr>
    </w:tblStylePr>
    <w:tblStylePr w:type="band1Horz">
      <w:tblPr/>
      <w:tcPr>
        <w:shd w:val="clear" w:color="auto" w:fill="C8CAB1" w:themeFill="accent4" w:themeFillTint="7F"/>
      </w:tcPr>
    </w:tblStylePr>
  </w:style>
  <w:style w:type="table" w:styleId="Tramecouleur">
    <w:name w:val="Colorful Shading"/>
    <w:basedOn w:val="TableauNormal"/>
    <w:uiPriority w:val="71"/>
    <w:rsid w:val="005556E3"/>
    <w:rPr>
      <w:color w:val="000000" w:themeColor="text1"/>
    </w:rPr>
    <w:tblPr>
      <w:tblStyleRowBandSize w:val="1"/>
      <w:tblStyleColBandSize w:val="1"/>
      <w:tblInd w:w="0" w:type="dxa"/>
      <w:tblBorders>
        <w:top w:val="single" w:sz="24" w:space="0" w:color="71685A"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71685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Listefonce-Accent5">
    <w:name w:val="Dark List Accent 5"/>
    <w:basedOn w:val="TableauNormal"/>
    <w:uiPriority w:val="70"/>
    <w:rsid w:val="005556E3"/>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56B4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A3521"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6F4F3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6F4F32" w:themeFill="accent5" w:themeFillShade="BF"/>
      </w:tcPr>
    </w:tblStylePr>
    <w:tblStylePr w:type="band1Vert">
      <w:tblPr/>
      <w:tcPr>
        <w:tcBorders>
          <w:top w:val="nil"/>
          <w:left w:val="nil"/>
          <w:bottom w:val="nil"/>
          <w:right w:val="nil"/>
          <w:insideH w:val="nil"/>
          <w:insideV w:val="nil"/>
        </w:tcBorders>
        <w:shd w:val="clear" w:color="auto" w:fill="6F4F32" w:themeFill="accent5" w:themeFillShade="BF"/>
      </w:tcPr>
    </w:tblStylePr>
    <w:tblStylePr w:type="band1Horz">
      <w:tblPr/>
      <w:tcPr>
        <w:tcBorders>
          <w:top w:val="nil"/>
          <w:left w:val="nil"/>
          <w:bottom w:val="nil"/>
          <w:right w:val="nil"/>
          <w:insideH w:val="nil"/>
          <w:insideV w:val="nil"/>
        </w:tcBorders>
        <w:shd w:val="clear" w:color="auto" w:fill="6F4F32" w:themeFill="accent5" w:themeFillShade="BF"/>
      </w:tcPr>
    </w:tblStylePr>
  </w:style>
  <w:style w:type="table" w:styleId="Listecouleur-Accent2">
    <w:name w:val="Colorful List Accent 2"/>
    <w:basedOn w:val="TableauNormal"/>
    <w:uiPriority w:val="72"/>
    <w:rsid w:val="005556E3"/>
    <w:rPr>
      <w:color w:val="000000" w:themeColor="text1"/>
    </w:rPr>
    <w:tblPr>
      <w:tblStyleRowBandSize w:val="1"/>
      <w:tblStyleColBandSize w:val="1"/>
      <w:tblInd w:w="0" w:type="dxa"/>
      <w:tblCellMar>
        <w:top w:w="0" w:type="dxa"/>
        <w:left w:w="108" w:type="dxa"/>
        <w:bottom w:w="0" w:type="dxa"/>
        <w:right w:w="108" w:type="dxa"/>
      </w:tblCellMar>
    </w:tblPr>
    <w:tcPr>
      <w:shd w:val="clear" w:color="auto" w:fill="F1F0EE" w:themeFill="accent2" w:themeFillTint="19"/>
    </w:tcPr>
    <w:tblStylePr w:type="firstRow">
      <w:rPr>
        <w:b/>
        <w:bCs/>
        <w:color w:val="FFFFFF" w:themeColor="background1"/>
      </w:rPr>
      <w:tblPr/>
      <w:tcPr>
        <w:tcBorders>
          <w:bottom w:val="single" w:sz="12" w:space="0" w:color="FFFFFF" w:themeColor="background1"/>
        </w:tcBorders>
        <w:shd w:val="clear" w:color="auto" w:fill="5A5348" w:themeFill="accent2" w:themeFillShade="CC"/>
      </w:tcPr>
    </w:tblStylePr>
    <w:tblStylePr w:type="lastRow">
      <w:rPr>
        <w:b/>
        <w:bCs/>
        <w:color w:val="5A534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DD9D4" w:themeFill="accent2" w:themeFillTint="3F"/>
      </w:tcPr>
    </w:tblStylePr>
    <w:tblStylePr w:type="band1Horz">
      <w:tblPr/>
      <w:tcPr>
        <w:shd w:val="clear" w:color="auto" w:fill="E3E0DC" w:themeFill="accent2" w:themeFillTint="33"/>
      </w:tcPr>
    </w:tblStylePr>
  </w:style>
  <w:style w:type="table" w:styleId="Listecouleur-Accent1">
    <w:name w:val="Colorful List Accent 1"/>
    <w:basedOn w:val="TableauNormal"/>
    <w:uiPriority w:val="72"/>
    <w:rsid w:val="005556E3"/>
    <w:rPr>
      <w:color w:val="000000" w:themeColor="text1"/>
    </w:rPr>
    <w:tblPr>
      <w:tblStyleRowBandSize w:val="1"/>
      <w:tblStyleColBandSize w:val="1"/>
      <w:tblInd w:w="0" w:type="dxa"/>
      <w:tblCellMar>
        <w:top w:w="0" w:type="dxa"/>
        <w:left w:w="108" w:type="dxa"/>
        <w:bottom w:w="0" w:type="dxa"/>
        <w:right w:w="108" w:type="dxa"/>
      </w:tblCellMar>
    </w:tblPr>
    <w:tcPr>
      <w:shd w:val="clear" w:color="auto" w:fill="F7FFE0" w:themeFill="accent1" w:themeFillTint="19"/>
    </w:tcPr>
    <w:tblStylePr w:type="firstRow">
      <w:rPr>
        <w:b/>
        <w:bCs/>
        <w:color w:val="FFFFFF" w:themeColor="background1"/>
      </w:rPr>
      <w:tblPr/>
      <w:tcPr>
        <w:tcBorders>
          <w:bottom w:val="single" w:sz="12" w:space="0" w:color="FFFFFF" w:themeColor="background1"/>
        </w:tcBorders>
        <w:shd w:val="clear" w:color="auto" w:fill="5A5348" w:themeFill="accent2" w:themeFillShade="CC"/>
      </w:tcPr>
    </w:tblStylePr>
    <w:tblStylePr w:type="lastRow">
      <w:rPr>
        <w:b/>
        <w:bCs/>
        <w:color w:val="5A534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BFFB1" w:themeFill="accent1" w:themeFillTint="3F"/>
      </w:tcPr>
    </w:tblStylePr>
    <w:tblStylePr w:type="band1Horz">
      <w:tblPr/>
      <w:tcPr>
        <w:shd w:val="clear" w:color="auto" w:fill="EFFFC0" w:themeFill="accent1" w:themeFillTint="33"/>
      </w:tcPr>
    </w:tblStylePr>
  </w:style>
  <w:style w:type="table" w:styleId="Grillecouleur-Accent3">
    <w:name w:val="Colorful Grid Accent 3"/>
    <w:basedOn w:val="TableauNormal"/>
    <w:uiPriority w:val="73"/>
    <w:rsid w:val="005556E3"/>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FE0CC" w:themeFill="accent3" w:themeFillTint="33"/>
    </w:tcPr>
    <w:tblStylePr w:type="firstRow">
      <w:rPr>
        <w:b/>
        <w:bCs/>
      </w:rPr>
      <w:tblPr/>
      <w:tcPr>
        <w:shd w:val="clear" w:color="auto" w:fill="FFC299" w:themeFill="accent3" w:themeFillTint="66"/>
      </w:tcPr>
    </w:tblStylePr>
    <w:tblStylePr w:type="lastRow">
      <w:rPr>
        <w:b/>
        <w:bCs/>
        <w:color w:val="000000" w:themeColor="text1"/>
      </w:rPr>
      <w:tblPr/>
      <w:tcPr>
        <w:shd w:val="clear" w:color="auto" w:fill="FFC299" w:themeFill="accent3" w:themeFillTint="66"/>
      </w:tcPr>
    </w:tblStylePr>
    <w:tblStylePr w:type="firstCol">
      <w:rPr>
        <w:color w:val="FFFFFF" w:themeColor="background1"/>
      </w:rPr>
      <w:tblPr/>
      <w:tcPr>
        <w:shd w:val="clear" w:color="auto" w:fill="BF4D00" w:themeFill="accent3" w:themeFillShade="BF"/>
      </w:tcPr>
    </w:tblStylePr>
    <w:tblStylePr w:type="lastCol">
      <w:rPr>
        <w:color w:val="FFFFFF" w:themeColor="background1"/>
      </w:rPr>
      <w:tblPr/>
      <w:tcPr>
        <w:shd w:val="clear" w:color="auto" w:fill="BF4D00" w:themeFill="accent3" w:themeFillShade="BF"/>
      </w:tcPr>
    </w:tblStylePr>
    <w:tblStylePr w:type="band1Vert">
      <w:tblPr/>
      <w:tcPr>
        <w:shd w:val="clear" w:color="auto" w:fill="FFB380" w:themeFill="accent3" w:themeFillTint="7F"/>
      </w:tcPr>
    </w:tblStylePr>
    <w:tblStylePr w:type="band1Horz">
      <w:tblPr/>
      <w:tcPr>
        <w:shd w:val="clear" w:color="auto" w:fill="FFB380" w:themeFill="accent3" w:themeFillTint="7F"/>
      </w:tcPr>
    </w:tblStylePr>
  </w:style>
  <w:style w:type="table" w:styleId="Grillecouleur-Accent6">
    <w:name w:val="Colorful Grid Accent 6"/>
    <w:basedOn w:val="TableauNormal"/>
    <w:uiPriority w:val="73"/>
    <w:rsid w:val="005556E3"/>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EEBD2" w:themeFill="accent6" w:themeFillTint="33"/>
    </w:tcPr>
    <w:tblStylePr w:type="firstRow">
      <w:rPr>
        <w:b/>
        <w:bCs/>
      </w:rPr>
      <w:tblPr/>
      <w:tcPr>
        <w:shd w:val="clear" w:color="auto" w:fill="FED8A6" w:themeFill="accent6" w:themeFillTint="66"/>
      </w:tcPr>
    </w:tblStylePr>
    <w:tblStylePr w:type="lastRow">
      <w:rPr>
        <w:b/>
        <w:bCs/>
        <w:color w:val="000000" w:themeColor="text1"/>
      </w:rPr>
      <w:tblPr/>
      <w:tcPr>
        <w:shd w:val="clear" w:color="auto" w:fill="FED8A6" w:themeFill="accent6" w:themeFillTint="66"/>
      </w:tcPr>
    </w:tblStylePr>
    <w:tblStylePr w:type="firstCol">
      <w:rPr>
        <w:color w:val="FFFFFF" w:themeColor="background1"/>
      </w:rPr>
      <w:tblPr/>
      <w:tcPr>
        <w:shd w:val="clear" w:color="auto" w:fill="D67B01" w:themeFill="accent6" w:themeFillShade="BF"/>
      </w:tcPr>
    </w:tblStylePr>
    <w:tblStylePr w:type="lastCol">
      <w:rPr>
        <w:color w:val="FFFFFF" w:themeColor="background1"/>
      </w:rPr>
      <w:tblPr/>
      <w:tcPr>
        <w:shd w:val="clear" w:color="auto" w:fill="D67B01" w:themeFill="accent6" w:themeFillShade="BF"/>
      </w:tcPr>
    </w:tblStylePr>
    <w:tblStylePr w:type="band1Vert">
      <w:tblPr/>
      <w:tcPr>
        <w:shd w:val="clear" w:color="auto" w:fill="FECF90" w:themeFill="accent6" w:themeFillTint="7F"/>
      </w:tcPr>
    </w:tblStylePr>
    <w:tblStylePr w:type="band1Horz">
      <w:tblPr/>
      <w:tcPr>
        <w:shd w:val="clear" w:color="auto" w:fill="FECF90" w:themeFill="accent6" w:themeFillTint="7F"/>
      </w:tcPr>
    </w:tblStylePr>
  </w:style>
  <w:style w:type="table" w:styleId="Listecouleur-Accent3">
    <w:name w:val="Colorful List Accent 3"/>
    <w:basedOn w:val="TableauNormal"/>
    <w:uiPriority w:val="72"/>
    <w:rsid w:val="005556E3"/>
    <w:rPr>
      <w:color w:val="000000" w:themeColor="text1"/>
    </w:rPr>
    <w:tblPr>
      <w:tblStyleRowBandSize w:val="1"/>
      <w:tblStyleColBandSize w:val="1"/>
      <w:tblInd w:w="0" w:type="dxa"/>
      <w:tblCellMar>
        <w:top w:w="0" w:type="dxa"/>
        <w:left w:w="108" w:type="dxa"/>
        <w:bottom w:w="0" w:type="dxa"/>
        <w:right w:w="108" w:type="dxa"/>
      </w:tblCellMar>
    </w:tblPr>
    <w:tcPr>
      <w:shd w:val="clear" w:color="auto" w:fill="FFF0E6" w:themeFill="accent3" w:themeFillTint="19"/>
    </w:tcPr>
    <w:tblStylePr w:type="firstRow">
      <w:rPr>
        <w:b/>
        <w:bCs/>
        <w:color w:val="FFFFFF" w:themeColor="background1"/>
      </w:rPr>
      <w:tblPr/>
      <w:tcPr>
        <w:tcBorders>
          <w:bottom w:val="single" w:sz="12" w:space="0" w:color="FFFFFF" w:themeColor="background1"/>
        </w:tcBorders>
        <w:shd w:val="clear" w:color="auto" w:fill="727650" w:themeFill="accent4" w:themeFillShade="CC"/>
      </w:tcPr>
    </w:tblStylePr>
    <w:tblStylePr w:type="lastRow">
      <w:rPr>
        <w:b/>
        <w:bCs/>
        <w:color w:val="72765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D9C0" w:themeFill="accent3" w:themeFillTint="3F"/>
      </w:tcPr>
    </w:tblStylePr>
    <w:tblStylePr w:type="band1Horz">
      <w:tblPr/>
      <w:tcPr>
        <w:shd w:val="clear" w:color="auto" w:fill="FFE0CC" w:themeFill="accent3" w:themeFillTint="33"/>
      </w:tcPr>
    </w:tblStylePr>
  </w:style>
  <w:style w:type="table" w:styleId="Listecouleur-Accent4">
    <w:name w:val="Colorful List Accent 4"/>
    <w:basedOn w:val="TableauNormal"/>
    <w:uiPriority w:val="72"/>
    <w:rsid w:val="005911DA"/>
    <w:rPr>
      <w:color w:val="000000" w:themeColor="text1"/>
    </w:rPr>
    <w:tblPr>
      <w:tblStyleRowBandSize w:val="1"/>
      <w:tblStyleColBandSize w:val="1"/>
      <w:tblInd w:w="0" w:type="dxa"/>
      <w:tblCellMar>
        <w:top w:w="0" w:type="dxa"/>
        <w:left w:w="108" w:type="dxa"/>
        <w:bottom w:w="0" w:type="dxa"/>
        <w:right w:w="108" w:type="dxa"/>
      </w:tblCellMar>
    </w:tblPr>
    <w:tcPr>
      <w:shd w:val="clear" w:color="auto" w:fill="F4F4EF" w:themeFill="accent4" w:themeFillTint="19"/>
    </w:tcPr>
    <w:tblStylePr w:type="firstRow">
      <w:rPr>
        <w:b/>
        <w:bCs/>
        <w:color w:val="FFFFFF" w:themeColor="background1"/>
      </w:rPr>
      <w:tblPr/>
      <w:tcPr>
        <w:tcBorders>
          <w:bottom w:val="single" w:sz="12" w:space="0" w:color="FFFFFF" w:themeColor="background1"/>
        </w:tcBorders>
        <w:shd w:val="clear" w:color="auto" w:fill="CC5200" w:themeFill="accent3" w:themeFillShade="CC"/>
      </w:tcPr>
    </w:tblStylePr>
    <w:tblStylePr w:type="lastRow">
      <w:rPr>
        <w:b/>
        <w:bCs/>
        <w:color w:val="CC520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E4D8" w:themeFill="accent4" w:themeFillTint="3F"/>
      </w:tcPr>
    </w:tblStylePr>
    <w:tblStylePr w:type="band1Horz">
      <w:tblPr/>
      <w:tcPr>
        <w:shd w:val="clear" w:color="auto" w:fill="E8E9DF" w:themeFill="accent4" w:themeFillTint="33"/>
      </w:tcPr>
    </w:tblStylePr>
  </w:style>
  <w:style w:type="table" w:styleId="Listemoyenne2-Accent6">
    <w:name w:val="Medium List 2 Accent 6"/>
    <w:basedOn w:val="TableauNormal"/>
    <w:uiPriority w:val="66"/>
    <w:rsid w:val="00036496"/>
    <w:rPr>
      <w:rFonts w:asciiTheme="majorHAnsi" w:eastAsiaTheme="majorEastAsia" w:hAnsiTheme="majorHAnsi" w:cstheme="majorBidi"/>
      <w:color w:val="000000" w:themeColor="text1"/>
    </w:rPr>
    <w:tblPr>
      <w:tblStyleRowBandSize w:val="1"/>
      <w:tblStyleColBandSize w:val="1"/>
      <w:tblInd w:w="0" w:type="dxa"/>
      <w:tblBorders>
        <w:top w:val="single" w:sz="8" w:space="0" w:color="FEA022" w:themeColor="accent6"/>
        <w:left w:val="single" w:sz="8" w:space="0" w:color="FEA022" w:themeColor="accent6"/>
        <w:bottom w:val="single" w:sz="8" w:space="0" w:color="FEA022" w:themeColor="accent6"/>
        <w:right w:val="single" w:sz="8" w:space="0" w:color="FEA022"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EA022" w:themeColor="accent6"/>
          <w:right w:val="nil"/>
          <w:insideH w:val="nil"/>
          <w:insideV w:val="nil"/>
        </w:tcBorders>
        <w:shd w:val="clear" w:color="auto" w:fill="FFFFFF" w:themeFill="background1"/>
      </w:tcPr>
    </w:tblStylePr>
    <w:tblStylePr w:type="lastRow">
      <w:tblPr/>
      <w:tcPr>
        <w:tcBorders>
          <w:top w:val="single" w:sz="8" w:space="0" w:color="FEA02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EA022" w:themeColor="accent6"/>
          <w:insideH w:val="nil"/>
          <w:insideV w:val="nil"/>
        </w:tcBorders>
        <w:shd w:val="clear" w:color="auto" w:fill="FFFFFF" w:themeFill="background1"/>
      </w:tcPr>
    </w:tblStylePr>
    <w:tblStylePr w:type="lastCol">
      <w:tblPr/>
      <w:tcPr>
        <w:tcBorders>
          <w:top w:val="nil"/>
          <w:left w:val="single" w:sz="8" w:space="0" w:color="FEA02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E7C8" w:themeFill="accent6" w:themeFillTint="3F"/>
      </w:tcPr>
    </w:tblStylePr>
    <w:tblStylePr w:type="band1Horz">
      <w:tblPr/>
      <w:tcPr>
        <w:tcBorders>
          <w:top w:val="nil"/>
          <w:bottom w:val="nil"/>
          <w:insideH w:val="nil"/>
          <w:insideV w:val="nil"/>
        </w:tcBorders>
        <w:shd w:val="clear" w:color="auto" w:fill="FEE7C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5">
    <w:name w:val="Medium List 2 Accent 5"/>
    <w:basedOn w:val="TableauNormal"/>
    <w:uiPriority w:val="66"/>
    <w:rsid w:val="00F35CDC"/>
    <w:rPr>
      <w:rFonts w:asciiTheme="majorHAnsi" w:eastAsiaTheme="majorEastAsia" w:hAnsiTheme="majorHAnsi" w:cstheme="majorBidi"/>
      <w:color w:val="000000" w:themeColor="text1"/>
    </w:rPr>
    <w:tblPr>
      <w:tblStyleRowBandSize w:val="1"/>
      <w:tblStyleColBandSize w:val="1"/>
      <w:tblInd w:w="0" w:type="dxa"/>
      <w:tblBorders>
        <w:top w:val="single" w:sz="8" w:space="0" w:color="956B43" w:themeColor="accent5"/>
        <w:left w:val="single" w:sz="8" w:space="0" w:color="956B43" w:themeColor="accent5"/>
        <w:bottom w:val="single" w:sz="8" w:space="0" w:color="956B43" w:themeColor="accent5"/>
        <w:right w:val="single" w:sz="8" w:space="0" w:color="956B43"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956B43" w:themeColor="accent5"/>
          <w:right w:val="nil"/>
          <w:insideH w:val="nil"/>
          <w:insideV w:val="nil"/>
        </w:tcBorders>
        <w:shd w:val="clear" w:color="auto" w:fill="FFFFFF" w:themeFill="background1"/>
      </w:tcPr>
    </w:tblStylePr>
    <w:tblStylePr w:type="lastRow">
      <w:tblPr/>
      <w:tcPr>
        <w:tcBorders>
          <w:top w:val="single" w:sz="8" w:space="0" w:color="956B4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56B43" w:themeColor="accent5"/>
          <w:insideH w:val="nil"/>
          <w:insideV w:val="nil"/>
        </w:tcBorders>
        <w:shd w:val="clear" w:color="auto" w:fill="FFFFFF" w:themeFill="background1"/>
      </w:tcPr>
    </w:tblStylePr>
    <w:tblStylePr w:type="lastCol">
      <w:tblPr/>
      <w:tcPr>
        <w:tcBorders>
          <w:top w:val="nil"/>
          <w:left w:val="single" w:sz="8" w:space="0" w:color="956B4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DACC" w:themeFill="accent5" w:themeFillTint="3F"/>
      </w:tcPr>
    </w:tblStylePr>
    <w:tblStylePr w:type="band1Horz">
      <w:tblPr/>
      <w:tcPr>
        <w:tcBorders>
          <w:top w:val="nil"/>
          <w:bottom w:val="nil"/>
          <w:insideH w:val="nil"/>
          <w:insideV w:val="nil"/>
        </w:tcBorders>
        <w:shd w:val="clear" w:color="auto" w:fill="E8DACC"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couleur-Accent1">
    <w:name w:val="Colorful Grid Accent 1"/>
    <w:basedOn w:val="TableauNormal"/>
    <w:uiPriority w:val="73"/>
    <w:rsid w:val="00F35CD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FFFC0" w:themeFill="accent1" w:themeFillTint="33"/>
    </w:tcPr>
    <w:tblStylePr w:type="firstRow">
      <w:rPr>
        <w:b/>
        <w:bCs/>
      </w:rPr>
      <w:tblPr/>
      <w:tcPr>
        <w:shd w:val="clear" w:color="auto" w:fill="DFFF82" w:themeFill="accent1" w:themeFillTint="66"/>
      </w:tcPr>
    </w:tblStylePr>
    <w:tblStylePr w:type="lastRow">
      <w:rPr>
        <w:b/>
        <w:bCs/>
        <w:color w:val="000000" w:themeColor="text1"/>
      </w:rPr>
      <w:tblPr/>
      <w:tcPr>
        <w:shd w:val="clear" w:color="auto" w:fill="DFFF82" w:themeFill="accent1" w:themeFillTint="66"/>
      </w:tcPr>
    </w:tblStylePr>
    <w:tblStylePr w:type="firstCol">
      <w:rPr>
        <w:color w:val="FFFFFF" w:themeColor="background1"/>
      </w:rPr>
      <w:tblPr/>
      <w:tcPr>
        <w:shd w:val="clear" w:color="auto" w:fill="6E9400" w:themeFill="accent1" w:themeFillShade="BF"/>
      </w:tcPr>
    </w:tblStylePr>
    <w:tblStylePr w:type="lastCol">
      <w:rPr>
        <w:color w:val="FFFFFF" w:themeColor="background1"/>
      </w:rPr>
      <w:tblPr/>
      <w:tcPr>
        <w:shd w:val="clear" w:color="auto" w:fill="6E9400" w:themeFill="accent1" w:themeFillShade="BF"/>
      </w:tcPr>
    </w:tblStylePr>
    <w:tblStylePr w:type="band1Vert">
      <w:tblPr/>
      <w:tcPr>
        <w:shd w:val="clear" w:color="auto" w:fill="D7FF63" w:themeFill="accent1" w:themeFillTint="7F"/>
      </w:tcPr>
    </w:tblStylePr>
    <w:tblStylePr w:type="band1Horz">
      <w:tblPr/>
      <w:tcPr>
        <w:shd w:val="clear" w:color="auto" w:fill="D7FF63" w:themeFill="accent1" w:themeFillTint="7F"/>
      </w:tcPr>
    </w:tblStylePr>
  </w:style>
  <w:style w:type="table" w:styleId="Grillemoyenne3-Accent5">
    <w:name w:val="Medium Grid 3 Accent 5"/>
    <w:basedOn w:val="TableauNormal"/>
    <w:uiPriority w:val="69"/>
    <w:rsid w:val="00F35CD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DACC"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56B4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56B4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56B4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56B4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1B499"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1B499" w:themeFill="accent5" w:themeFillTint="7F"/>
      </w:tcPr>
    </w:tblStylePr>
  </w:style>
  <w:style w:type="table" w:styleId="Grillemoyenne3-Accent2">
    <w:name w:val="Medium Grid 3 Accent 2"/>
    <w:basedOn w:val="TableauNormal"/>
    <w:uiPriority w:val="69"/>
    <w:rsid w:val="00F35CD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DD9D4"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1685A"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1685A"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1685A"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1685A"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BB4A9"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BB4A9" w:themeFill="accent2" w:themeFillTint="7F"/>
      </w:tcPr>
    </w:tblStylePr>
  </w:style>
  <w:style w:type="table" w:styleId="Grillemoyenne3-Accent4">
    <w:name w:val="Medium Grid 3 Accent 4"/>
    <w:basedOn w:val="TableauNormal"/>
    <w:uiPriority w:val="69"/>
    <w:rsid w:val="007636E3"/>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3E4D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0946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0946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0946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0946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8CAB1"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8CAB1" w:themeFill="accent4" w:themeFillTint="7F"/>
      </w:tcPr>
    </w:tblStylePr>
  </w:style>
  <w:style w:type="table" w:styleId="Grillecouleur-Accent2">
    <w:name w:val="Colorful Grid Accent 2"/>
    <w:basedOn w:val="TableauNormal"/>
    <w:uiPriority w:val="73"/>
    <w:rsid w:val="007636E3"/>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3E0DC" w:themeFill="accent2" w:themeFillTint="33"/>
    </w:tcPr>
    <w:tblStylePr w:type="firstRow">
      <w:rPr>
        <w:b/>
        <w:bCs/>
      </w:rPr>
      <w:tblPr/>
      <w:tcPr>
        <w:shd w:val="clear" w:color="auto" w:fill="C8C3BA" w:themeFill="accent2" w:themeFillTint="66"/>
      </w:tcPr>
    </w:tblStylePr>
    <w:tblStylePr w:type="lastRow">
      <w:rPr>
        <w:b/>
        <w:bCs/>
        <w:color w:val="000000" w:themeColor="text1"/>
      </w:rPr>
      <w:tblPr/>
      <w:tcPr>
        <w:shd w:val="clear" w:color="auto" w:fill="C8C3BA" w:themeFill="accent2" w:themeFillTint="66"/>
      </w:tcPr>
    </w:tblStylePr>
    <w:tblStylePr w:type="firstCol">
      <w:rPr>
        <w:color w:val="FFFFFF" w:themeColor="background1"/>
      </w:rPr>
      <w:tblPr/>
      <w:tcPr>
        <w:shd w:val="clear" w:color="auto" w:fill="544D43" w:themeFill="accent2" w:themeFillShade="BF"/>
      </w:tcPr>
    </w:tblStylePr>
    <w:tblStylePr w:type="lastCol">
      <w:rPr>
        <w:color w:val="FFFFFF" w:themeColor="background1"/>
      </w:rPr>
      <w:tblPr/>
      <w:tcPr>
        <w:shd w:val="clear" w:color="auto" w:fill="544D43" w:themeFill="accent2" w:themeFillShade="BF"/>
      </w:tcPr>
    </w:tblStylePr>
    <w:tblStylePr w:type="band1Vert">
      <w:tblPr/>
      <w:tcPr>
        <w:shd w:val="clear" w:color="auto" w:fill="BBB4A9" w:themeFill="accent2" w:themeFillTint="7F"/>
      </w:tcPr>
    </w:tblStylePr>
    <w:tblStylePr w:type="band1Horz">
      <w:tblPr/>
      <w:tcPr>
        <w:shd w:val="clear" w:color="auto" w:fill="BBB4A9" w:themeFill="accent2" w:themeFillTint="7F"/>
      </w:tcPr>
    </w:tblStylePr>
  </w:style>
  <w:style w:type="table" w:styleId="Grillecouleur">
    <w:name w:val="Colorful Grid"/>
    <w:basedOn w:val="TableauNormal"/>
    <w:uiPriority w:val="73"/>
    <w:rsid w:val="007636E3"/>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llemoyenne3-Accent6">
    <w:name w:val="Medium Grid 3 Accent 6"/>
    <w:basedOn w:val="TableauNormal"/>
    <w:uiPriority w:val="69"/>
    <w:rsid w:val="00441B65"/>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EE7C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EA02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EA02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EA02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EA02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CF9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CF90" w:themeFill="accent6" w:themeFillTint="7F"/>
      </w:tcPr>
    </w:tblStylePr>
  </w:style>
  <w:style w:type="paragraph" w:styleId="En-ttedetabledesmatires">
    <w:name w:val="TOC Heading"/>
    <w:basedOn w:val="Titre1"/>
    <w:next w:val="Normal"/>
    <w:uiPriority w:val="39"/>
    <w:semiHidden/>
    <w:unhideWhenUsed/>
    <w:qFormat/>
    <w:rsid w:val="009D1796"/>
    <w:pPr>
      <w:numPr>
        <w:numId w:val="0"/>
      </w:numPr>
      <w:spacing w:line="276" w:lineRule="auto"/>
      <w:outlineLvl w:val="9"/>
    </w:pPr>
    <w:rPr>
      <w:color w:val="6E9400" w:themeColor="accent1" w:themeShade="BF"/>
      <w:sz w:val="28"/>
      <w:szCs w:val="28"/>
      <w:lang w:val="fr-CA"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96127">
      <w:bodyDiv w:val="1"/>
      <w:marLeft w:val="0"/>
      <w:marRight w:val="0"/>
      <w:marTop w:val="0"/>
      <w:marBottom w:val="0"/>
      <w:divBdr>
        <w:top w:val="none" w:sz="0" w:space="0" w:color="auto"/>
        <w:left w:val="none" w:sz="0" w:space="0" w:color="auto"/>
        <w:bottom w:val="none" w:sz="0" w:space="0" w:color="auto"/>
        <w:right w:val="none" w:sz="0" w:space="0" w:color="auto"/>
      </w:divBdr>
      <w:divsChild>
        <w:div w:id="183179399">
          <w:marLeft w:val="0"/>
          <w:marRight w:val="0"/>
          <w:marTop w:val="0"/>
          <w:marBottom w:val="0"/>
          <w:divBdr>
            <w:top w:val="none" w:sz="0" w:space="0" w:color="auto"/>
            <w:left w:val="none" w:sz="0" w:space="0" w:color="auto"/>
            <w:bottom w:val="none" w:sz="0" w:space="0" w:color="auto"/>
            <w:right w:val="none" w:sz="0" w:space="0" w:color="auto"/>
          </w:divBdr>
          <w:divsChild>
            <w:div w:id="1065185688">
              <w:marLeft w:val="0"/>
              <w:marRight w:val="0"/>
              <w:marTop w:val="0"/>
              <w:marBottom w:val="0"/>
              <w:divBdr>
                <w:top w:val="none" w:sz="0" w:space="0" w:color="auto"/>
                <w:left w:val="none" w:sz="0" w:space="0" w:color="auto"/>
                <w:bottom w:val="none" w:sz="0" w:space="0" w:color="auto"/>
                <w:right w:val="none" w:sz="0" w:space="0" w:color="auto"/>
              </w:divBdr>
              <w:divsChild>
                <w:div w:id="80531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1913">
      <w:bodyDiv w:val="1"/>
      <w:marLeft w:val="0"/>
      <w:marRight w:val="0"/>
      <w:marTop w:val="0"/>
      <w:marBottom w:val="0"/>
      <w:divBdr>
        <w:top w:val="none" w:sz="0" w:space="0" w:color="auto"/>
        <w:left w:val="none" w:sz="0" w:space="0" w:color="auto"/>
        <w:bottom w:val="none" w:sz="0" w:space="0" w:color="auto"/>
        <w:right w:val="none" w:sz="0" w:space="0" w:color="auto"/>
      </w:divBdr>
    </w:div>
    <w:div w:id="15154439">
      <w:bodyDiv w:val="1"/>
      <w:marLeft w:val="0"/>
      <w:marRight w:val="0"/>
      <w:marTop w:val="0"/>
      <w:marBottom w:val="0"/>
      <w:divBdr>
        <w:top w:val="none" w:sz="0" w:space="0" w:color="auto"/>
        <w:left w:val="none" w:sz="0" w:space="0" w:color="auto"/>
        <w:bottom w:val="none" w:sz="0" w:space="0" w:color="auto"/>
        <w:right w:val="none" w:sz="0" w:space="0" w:color="auto"/>
      </w:divBdr>
    </w:div>
    <w:div w:id="25449628">
      <w:bodyDiv w:val="1"/>
      <w:marLeft w:val="0"/>
      <w:marRight w:val="0"/>
      <w:marTop w:val="0"/>
      <w:marBottom w:val="0"/>
      <w:divBdr>
        <w:top w:val="none" w:sz="0" w:space="0" w:color="auto"/>
        <w:left w:val="none" w:sz="0" w:space="0" w:color="auto"/>
        <w:bottom w:val="none" w:sz="0" w:space="0" w:color="auto"/>
        <w:right w:val="none" w:sz="0" w:space="0" w:color="auto"/>
      </w:divBdr>
    </w:div>
    <w:div w:id="40791064">
      <w:bodyDiv w:val="1"/>
      <w:marLeft w:val="0"/>
      <w:marRight w:val="0"/>
      <w:marTop w:val="0"/>
      <w:marBottom w:val="0"/>
      <w:divBdr>
        <w:top w:val="none" w:sz="0" w:space="0" w:color="auto"/>
        <w:left w:val="none" w:sz="0" w:space="0" w:color="auto"/>
        <w:bottom w:val="none" w:sz="0" w:space="0" w:color="auto"/>
        <w:right w:val="none" w:sz="0" w:space="0" w:color="auto"/>
      </w:divBdr>
      <w:divsChild>
        <w:div w:id="1452553646">
          <w:marLeft w:val="0"/>
          <w:marRight w:val="0"/>
          <w:marTop w:val="0"/>
          <w:marBottom w:val="0"/>
          <w:divBdr>
            <w:top w:val="none" w:sz="0" w:space="0" w:color="auto"/>
            <w:left w:val="none" w:sz="0" w:space="0" w:color="auto"/>
            <w:bottom w:val="none" w:sz="0" w:space="0" w:color="auto"/>
            <w:right w:val="none" w:sz="0" w:space="0" w:color="auto"/>
          </w:divBdr>
          <w:divsChild>
            <w:div w:id="1061977936">
              <w:marLeft w:val="0"/>
              <w:marRight w:val="0"/>
              <w:marTop w:val="0"/>
              <w:marBottom w:val="0"/>
              <w:divBdr>
                <w:top w:val="none" w:sz="0" w:space="0" w:color="auto"/>
                <w:left w:val="none" w:sz="0" w:space="0" w:color="auto"/>
                <w:bottom w:val="none" w:sz="0" w:space="0" w:color="auto"/>
                <w:right w:val="none" w:sz="0" w:space="0" w:color="auto"/>
              </w:divBdr>
              <w:divsChild>
                <w:div w:id="208884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403418">
          <w:marLeft w:val="0"/>
          <w:marRight w:val="0"/>
          <w:marTop w:val="0"/>
          <w:marBottom w:val="0"/>
          <w:divBdr>
            <w:top w:val="none" w:sz="0" w:space="0" w:color="auto"/>
            <w:left w:val="none" w:sz="0" w:space="0" w:color="auto"/>
            <w:bottom w:val="none" w:sz="0" w:space="0" w:color="auto"/>
            <w:right w:val="none" w:sz="0" w:space="0" w:color="auto"/>
          </w:divBdr>
          <w:divsChild>
            <w:div w:id="689918276">
              <w:marLeft w:val="0"/>
              <w:marRight w:val="0"/>
              <w:marTop w:val="0"/>
              <w:marBottom w:val="0"/>
              <w:divBdr>
                <w:top w:val="none" w:sz="0" w:space="0" w:color="auto"/>
                <w:left w:val="none" w:sz="0" w:space="0" w:color="auto"/>
                <w:bottom w:val="none" w:sz="0" w:space="0" w:color="auto"/>
                <w:right w:val="none" w:sz="0" w:space="0" w:color="auto"/>
              </w:divBdr>
              <w:divsChild>
                <w:div w:id="10636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589966">
          <w:marLeft w:val="0"/>
          <w:marRight w:val="0"/>
          <w:marTop w:val="0"/>
          <w:marBottom w:val="0"/>
          <w:divBdr>
            <w:top w:val="none" w:sz="0" w:space="0" w:color="auto"/>
            <w:left w:val="none" w:sz="0" w:space="0" w:color="auto"/>
            <w:bottom w:val="none" w:sz="0" w:space="0" w:color="auto"/>
            <w:right w:val="none" w:sz="0" w:space="0" w:color="auto"/>
          </w:divBdr>
          <w:divsChild>
            <w:div w:id="666903186">
              <w:marLeft w:val="0"/>
              <w:marRight w:val="0"/>
              <w:marTop w:val="0"/>
              <w:marBottom w:val="0"/>
              <w:divBdr>
                <w:top w:val="none" w:sz="0" w:space="0" w:color="auto"/>
                <w:left w:val="none" w:sz="0" w:space="0" w:color="auto"/>
                <w:bottom w:val="none" w:sz="0" w:space="0" w:color="auto"/>
                <w:right w:val="none" w:sz="0" w:space="0" w:color="auto"/>
              </w:divBdr>
              <w:divsChild>
                <w:div w:id="794296691">
                  <w:marLeft w:val="0"/>
                  <w:marRight w:val="0"/>
                  <w:marTop w:val="0"/>
                  <w:marBottom w:val="0"/>
                  <w:divBdr>
                    <w:top w:val="none" w:sz="0" w:space="0" w:color="auto"/>
                    <w:left w:val="none" w:sz="0" w:space="0" w:color="auto"/>
                    <w:bottom w:val="none" w:sz="0" w:space="0" w:color="auto"/>
                    <w:right w:val="none" w:sz="0" w:space="0" w:color="auto"/>
                  </w:divBdr>
                </w:div>
              </w:divsChild>
            </w:div>
            <w:div w:id="434712960">
              <w:marLeft w:val="0"/>
              <w:marRight w:val="0"/>
              <w:marTop w:val="0"/>
              <w:marBottom w:val="0"/>
              <w:divBdr>
                <w:top w:val="none" w:sz="0" w:space="0" w:color="auto"/>
                <w:left w:val="none" w:sz="0" w:space="0" w:color="auto"/>
                <w:bottom w:val="none" w:sz="0" w:space="0" w:color="auto"/>
                <w:right w:val="none" w:sz="0" w:space="0" w:color="auto"/>
              </w:divBdr>
              <w:divsChild>
                <w:div w:id="1599367900">
                  <w:marLeft w:val="0"/>
                  <w:marRight w:val="0"/>
                  <w:marTop w:val="0"/>
                  <w:marBottom w:val="0"/>
                  <w:divBdr>
                    <w:top w:val="none" w:sz="0" w:space="0" w:color="auto"/>
                    <w:left w:val="none" w:sz="0" w:space="0" w:color="auto"/>
                    <w:bottom w:val="none" w:sz="0" w:space="0" w:color="auto"/>
                    <w:right w:val="none" w:sz="0" w:space="0" w:color="auto"/>
                  </w:divBdr>
                </w:div>
              </w:divsChild>
            </w:div>
            <w:div w:id="475803913">
              <w:marLeft w:val="0"/>
              <w:marRight w:val="0"/>
              <w:marTop w:val="0"/>
              <w:marBottom w:val="0"/>
              <w:divBdr>
                <w:top w:val="none" w:sz="0" w:space="0" w:color="auto"/>
                <w:left w:val="none" w:sz="0" w:space="0" w:color="auto"/>
                <w:bottom w:val="none" w:sz="0" w:space="0" w:color="auto"/>
                <w:right w:val="none" w:sz="0" w:space="0" w:color="auto"/>
              </w:divBdr>
              <w:divsChild>
                <w:div w:id="91555981">
                  <w:marLeft w:val="0"/>
                  <w:marRight w:val="0"/>
                  <w:marTop w:val="0"/>
                  <w:marBottom w:val="0"/>
                  <w:divBdr>
                    <w:top w:val="none" w:sz="0" w:space="0" w:color="auto"/>
                    <w:left w:val="none" w:sz="0" w:space="0" w:color="auto"/>
                    <w:bottom w:val="none" w:sz="0" w:space="0" w:color="auto"/>
                    <w:right w:val="none" w:sz="0" w:space="0" w:color="auto"/>
                  </w:divBdr>
                </w:div>
              </w:divsChild>
            </w:div>
            <w:div w:id="1888057083">
              <w:marLeft w:val="0"/>
              <w:marRight w:val="0"/>
              <w:marTop w:val="0"/>
              <w:marBottom w:val="0"/>
              <w:divBdr>
                <w:top w:val="none" w:sz="0" w:space="0" w:color="auto"/>
                <w:left w:val="none" w:sz="0" w:space="0" w:color="auto"/>
                <w:bottom w:val="none" w:sz="0" w:space="0" w:color="auto"/>
                <w:right w:val="none" w:sz="0" w:space="0" w:color="auto"/>
              </w:divBdr>
              <w:divsChild>
                <w:div w:id="1024671678">
                  <w:marLeft w:val="0"/>
                  <w:marRight w:val="0"/>
                  <w:marTop w:val="0"/>
                  <w:marBottom w:val="0"/>
                  <w:divBdr>
                    <w:top w:val="none" w:sz="0" w:space="0" w:color="auto"/>
                    <w:left w:val="none" w:sz="0" w:space="0" w:color="auto"/>
                    <w:bottom w:val="none" w:sz="0" w:space="0" w:color="auto"/>
                    <w:right w:val="none" w:sz="0" w:space="0" w:color="auto"/>
                  </w:divBdr>
                </w:div>
              </w:divsChild>
            </w:div>
            <w:div w:id="1223905902">
              <w:marLeft w:val="0"/>
              <w:marRight w:val="0"/>
              <w:marTop w:val="0"/>
              <w:marBottom w:val="0"/>
              <w:divBdr>
                <w:top w:val="none" w:sz="0" w:space="0" w:color="auto"/>
                <w:left w:val="none" w:sz="0" w:space="0" w:color="auto"/>
                <w:bottom w:val="none" w:sz="0" w:space="0" w:color="auto"/>
                <w:right w:val="none" w:sz="0" w:space="0" w:color="auto"/>
              </w:divBdr>
              <w:divsChild>
                <w:div w:id="808782817">
                  <w:marLeft w:val="0"/>
                  <w:marRight w:val="0"/>
                  <w:marTop w:val="0"/>
                  <w:marBottom w:val="0"/>
                  <w:divBdr>
                    <w:top w:val="none" w:sz="0" w:space="0" w:color="auto"/>
                    <w:left w:val="none" w:sz="0" w:space="0" w:color="auto"/>
                    <w:bottom w:val="none" w:sz="0" w:space="0" w:color="auto"/>
                    <w:right w:val="none" w:sz="0" w:space="0" w:color="auto"/>
                  </w:divBdr>
                </w:div>
              </w:divsChild>
            </w:div>
            <w:div w:id="1046486147">
              <w:marLeft w:val="0"/>
              <w:marRight w:val="0"/>
              <w:marTop w:val="0"/>
              <w:marBottom w:val="0"/>
              <w:divBdr>
                <w:top w:val="none" w:sz="0" w:space="0" w:color="auto"/>
                <w:left w:val="none" w:sz="0" w:space="0" w:color="auto"/>
                <w:bottom w:val="none" w:sz="0" w:space="0" w:color="auto"/>
                <w:right w:val="none" w:sz="0" w:space="0" w:color="auto"/>
              </w:divBdr>
              <w:divsChild>
                <w:div w:id="1624965382">
                  <w:marLeft w:val="0"/>
                  <w:marRight w:val="0"/>
                  <w:marTop w:val="0"/>
                  <w:marBottom w:val="0"/>
                  <w:divBdr>
                    <w:top w:val="none" w:sz="0" w:space="0" w:color="auto"/>
                    <w:left w:val="none" w:sz="0" w:space="0" w:color="auto"/>
                    <w:bottom w:val="none" w:sz="0" w:space="0" w:color="auto"/>
                    <w:right w:val="none" w:sz="0" w:space="0" w:color="auto"/>
                  </w:divBdr>
                </w:div>
              </w:divsChild>
            </w:div>
            <w:div w:id="1475246911">
              <w:marLeft w:val="0"/>
              <w:marRight w:val="0"/>
              <w:marTop w:val="0"/>
              <w:marBottom w:val="0"/>
              <w:divBdr>
                <w:top w:val="none" w:sz="0" w:space="0" w:color="auto"/>
                <w:left w:val="none" w:sz="0" w:space="0" w:color="auto"/>
                <w:bottom w:val="none" w:sz="0" w:space="0" w:color="auto"/>
                <w:right w:val="none" w:sz="0" w:space="0" w:color="auto"/>
              </w:divBdr>
              <w:divsChild>
                <w:div w:id="1513228861">
                  <w:marLeft w:val="0"/>
                  <w:marRight w:val="0"/>
                  <w:marTop w:val="0"/>
                  <w:marBottom w:val="0"/>
                  <w:divBdr>
                    <w:top w:val="none" w:sz="0" w:space="0" w:color="auto"/>
                    <w:left w:val="none" w:sz="0" w:space="0" w:color="auto"/>
                    <w:bottom w:val="none" w:sz="0" w:space="0" w:color="auto"/>
                    <w:right w:val="none" w:sz="0" w:space="0" w:color="auto"/>
                  </w:divBdr>
                </w:div>
              </w:divsChild>
            </w:div>
            <w:div w:id="1568608243">
              <w:marLeft w:val="0"/>
              <w:marRight w:val="0"/>
              <w:marTop w:val="0"/>
              <w:marBottom w:val="0"/>
              <w:divBdr>
                <w:top w:val="none" w:sz="0" w:space="0" w:color="auto"/>
                <w:left w:val="none" w:sz="0" w:space="0" w:color="auto"/>
                <w:bottom w:val="none" w:sz="0" w:space="0" w:color="auto"/>
                <w:right w:val="none" w:sz="0" w:space="0" w:color="auto"/>
              </w:divBdr>
              <w:divsChild>
                <w:div w:id="134913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76532">
      <w:bodyDiv w:val="1"/>
      <w:marLeft w:val="0"/>
      <w:marRight w:val="0"/>
      <w:marTop w:val="0"/>
      <w:marBottom w:val="0"/>
      <w:divBdr>
        <w:top w:val="none" w:sz="0" w:space="0" w:color="auto"/>
        <w:left w:val="none" w:sz="0" w:space="0" w:color="auto"/>
        <w:bottom w:val="none" w:sz="0" w:space="0" w:color="auto"/>
        <w:right w:val="none" w:sz="0" w:space="0" w:color="auto"/>
      </w:divBdr>
    </w:div>
    <w:div w:id="120802496">
      <w:bodyDiv w:val="1"/>
      <w:marLeft w:val="0"/>
      <w:marRight w:val="0"/>
      <w:marTop w:val="0"/>
      <w:marBottom w:val="0"/>
      <w:divBdr>
        <w:top w:val="none" w:sz="0" w:space="0" w:color="auto"/>
        <w:left w:val="none" w:sz="0" w:space="0" w:color="auto"/>
        <w:bottom w:val="none" w:sz="0" w:space="0" w:color="auto"/>
        <w:right w:val="none" w:sz="0" w:space="0" w:color="auto"/>
      </w:divBdr>
      <w:divsChild>
        <w:div w:id="990595505">
          <w:marLeft w:val="0"/>
          <w:marRight w:val="0"/>
          <w:marTop w:val="0"/>
          <w:marBottom w:val="0"/>
          <w:divBdr>
            <w:top w:val="none" w:sz="0" w:space="0" w:color="auto"/>
            <w:left w:val="none" w:sz="0" w:space="0" w:color="auto"/>
            <w:bottom w:val="none" w:sz="0" w:space="0" w:color="auto"/>
            <w:right w:val="none" w:sz="0" w:space="0" w:color="auto"/>
          </w:divBdr>
          <w:divsChild>
            <w:div w:id="1627080877">
              <w:marLeft w:val="0"/>
              <w:marRight w:val="0"/>
              <w:marTop w:val="0"/>
              <w:marBottom w:val="0"/>
              <w:divBdr>
                <w:top w:val="none" w:sz="0" w:space="0" w:color="auto"/>
                <w:left w:val="none" w:sz="0" w:space="0" w:color="auto"/>
                <w:bottom w:val="none" w:sz="0" w:space="0" w:color="auto"/>
                <w:right w:val="none" w:sz="0" w:space="0" w:color="auto"/>
              </w:divBdr>
              <w:divsChild>
                <w:div w:id="201622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981661">
          <w:marLeft w:val="0"/>
          <w:marRight w:val="0"/>
          <w:marTop w:val="0"/>
          <w:marBottom w:val="0"/>
          <w:divBdr>
            <w:top w:val="none" w:sz="0" w:space="0" w:color="auto"/>
            <w:left w:val="none" w:sz="0" w:space="0" w:color="auto"/>
            <w:bottom w:val="none" w:sz="0" w:space="0" w:color="auto"/>
            <w:right w:val="none" w:sz="0" w:space="0" w:color="auto"/>
          </w:divBdr>
          <w:divsChild>
            <w:div w:id="884102054">
              <w:marLeft w:val="0"/>
              <w:marRight w:val="0"/>
              <w:marTop w:val="0"/>
              <w:marBottom w:val="0"/>
              <w:divBdr>
                <w:top w:val="none" w:sz="0" w:space="0" w:color="auto"/>
                <w:left w:val="none" w:sz="0" w:space="0" w:color="auto"/>
                <w:bottom w:val="none" w:sz="0" w:space="0" w:color="auto"/>
                <w:right w:val="none" w:sz="0" w:space="0" w:color="auto"/>
              </w:divBdr>
              <w:divsChild>
                <w:div w:id="63564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15235">
      <w:bodyDiv w:val="1"/>
      <w:marLeft w:val="0"/>
      <w:marRight w:val="0"/>
      <w:marTop w:val="0"/>
      <w:marBottom w:val="0"/>
      <w:divBdr>
        <w:top w:val="none" w:sz="0" w:space="0" w:color="auto"/>
        <w:left w:val="none" w:sz="0" w:space="0" w:color="auto"/>
        <w:bottom w:val="none" w:sz="0" w:space="0" w:color="auto"/>
        <w:right w:val="none" w:sz="0" w:space="0" w:color="auto"/>
      </w:divBdr>
    </w:div>
    <w:div w:id="201790014">
      <w:bodyDiv w:val="1"/>
      <w:marLeft w:val="0"/>
      <w:marRight w:val="0"/>
      <w:marTop w:val="0"/>
      <w:marBottom w:val="0"/>
      <w:divBdr>
        <w:top w:val="none" w:sz="0" w:space="0" w:color="auto"/>
        <w:left w:val="none" w:sz="0" w:space="0" w:color="auto"/>
        <w:bottom w:val="none" w:sz="0" w:space="0" w:color="auto"/>
        <w:right w:val="none" w:sz="0" w:space="0" w:color="auto"/>
      </w:divBdr>
    </w:div>
    <w:div w:id="209653175">
      <w:bodyDiv w:val="1"/>
      <w:marLeft w:val="0"/>
      <w:marRight w:val="0"/>
      <w:marTop w:val="0"/>
      <w:marBottom w:val="0"/>
      <w:divBdr>
        <w:top w:val="none" w:sz="0" w:space="0" w:color="auto"/>
        <w:left w:val="none" w:sz="0" w:space="0" w:color="auto"/>
        <w:bottom w:val="none" w:sz="0" w:space="0" w:color="auto"/>
        <w:right w:val="none" w:sz="0" w:space="0" w:color="auto"/>
      </w:divBdr>
    </w:div>
    <w:div w:id="247663935">
      <w:bodyDiv w:val="1"/>
      <w:marLeft w:val="0"/>
      <w:marRight w:val="0"/>
      <w:marTop w:val="0"/>
      <w:marBottom w:val="0"/>
      <w:divBdr>
        <w:top w:val="none" w:sz="0" w:space="0" w:color="auto"/>
        <w:left w:val="none" w:sz="0" w:space="0" w:color="auto"/>
        <w:bottom w:val="none" w:sz="0" w:space="0" w:color="auto"/>
        <w:right w:val="none" w:sz="0" w:space="0" w:color="auto"/>
      </w:divBdr>
      <w:divsChild>
        <w:div w:id="862594891">
          <w:marLeft w:val="0"/>
          <w:marRight w:val="0"/>
          <w:marTop w:val="0"/>
          <w:marBottom w:val="0"/>
          <w:divBdr>
            <w:top w:val="none" w:sz="0" w:space="0" w:color="auto"/>
            <w:left w:val="none" w:sz="0" w:space="0" w:color="auto"/>
            <w:bottom w:val="none" w:sz="0" w:space="0" w:color="auto"/>
            <w:right w:val="none" w:sz="0" w:space="0" w:color="auto"/>
          </w:divBdr>
          <w:divsChild>
            <w:div w:id="1793595515">
              <w:marLeft w:val="0"/>
              <w:marRight w:val="0"/>
              <w:marTop w:val="0"/>
              <w:marBottom w:val="0"/>
              <w:divBdr>
                <w:top w:val="none" w:sz="0" w:space="0" w:color="auto"/>
                <w:left w:val="none" w:sz="0" w:space="0" w:color="auto"/>
                <w:bottom w:val="none" w:sz="0" w:space="0" w:color="auto"/>
                <w:right w:val="none" w:sz="0" w:space="0" w:color="auto"/>
              </w:divBdr>
              <w:divsChild>
                <w:div w:id="200759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269804">
      <w:bodyDiv w:val="1"/>
      <w:marLeft w:val="0"/>
      <w:marRight w:val="0"/>
      <w:marTop w:val="0"/>
      <w:marBottom w:val="0"/>
      <w:divBdr>
        <w:top w:val="none" w:sz="0" w:space="0" w:color="auto"/>
        <w:left w:val="none" w:sz="0" w:space="0" w:color="auto"/>
        <w:bottom w:val="none" w:sz="0" w:space="0" w:color="auto"/>
        <w:right w:val="none" w:sz="0" w:space="0" w:color="auto"/>
      </w:divBdr>
      <w:divsChild>
        <w:div w:id="714473669">
          <w:marLeft w:val="0"/>
          <w:marRight w:val="0"/>
          <w:marTop w:val="0"/>
          <w:marBottom w:val="0"/>
          <w:divBdr>
            <w:top w:val="none" w:sz="0" w:space="0" w:color="auto"/>
            <w:left w:val="none" w:sz="0" w:space="0" w:color="auto"/>
            <w:bottom w:val="none" w:sz="0" w:space="0" w:color="auto"/>
            <w:right w:val="none" w:sz="0" w:space="0" w:color="auto"/>
          </w:divBdr>
          <w:divsChild>
            <w:div w:id="1989280569">
              <w:marLeft w:val="0"/>
              <w:marRight w:val="0"/>
              <w:marTop w:val="0"/>
              <w:marBottom w:val="0"/>
              <w:divBdr>
                <w:top w:val="none" w:sz="0" w:space="0" w:color="auto"/>
                <w:left w:val="none" w:sz="0" w:space="0" w:color="auto"/>
                <w:bottom w:val="none" w:sz="0" w:space="0" w:color="auto"/>
                <w:right w:val="none" w:sz="0" w:space="0" w:color="auto"/>
              </w:divBdr>
              <w:divsChild>
                <w:div w:id="207893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956446">
      <w:bodyDiv w:val="1"/>
      <w:marLeft w:val="0"/>
      <w:marRight w:val="0"/>
      <w:marTop w:val="0"/>
      <w:marBottom w:val="0"/>
      <w:divBdr>
        <w:top w:val="none" w:sz="0" w:space="0" w:color="auto"/>
        <w:left w:val="none" w:sz="0" w:space="0" w:color="auto"/>
        <w:bottom w:val="none" w:sz="0" w:space="0" w:color="auto"/>
        <w:right w:val="none" w:sz="0" w:space="0" w:color="auto"/>
      </w:divBdr>
      <w:divsChild>
        <w:div w:id="1078015585">
          <w:marLeft w:val="0"/>
          <w:marRight w:val="0"/>
          <w:marTop w:val="0"/>
          <w:marBottom w:val="0"/>
          <w:divBdr>
            <w:top w:val="none" w:sz="0" w:space="0" w:color="auto"/>
            <w:left w:val="none" w:sz="0" w:space="0" w:color="auto"/>
            <w:bottom w:val="none" w:sz="0" w:space="0" w:color="auto"/>
            <w:right w:val="none" w:sz="0" w:space="0" w:color="auto"/>
          </w:divBdr>
          <w:divsChild>
            <w:div w:id="1335570450">
              <w:marLeft w:val="0"/>
              <w:marRight w:val="0"/>
              <w:marTop w:val="0"/>
              <w:marBottom w:val="0"/>
              <w:divBdr>
                <w:top w:val="none" w:sz="0" w:space="0" w:color="auto"/>
                <w:left w:val="none" w:sz="0" w:space="0" w:color="auto"/>
                <w:bottom w:val="none" w:sz="0" w:space="0" w:color="auto"/>
                <w:right w:val="none" w:sz="0" w:space="0" w:color="auto"/>
              </w:divBdr>
              <w:divsChild>
                <w:div w:id="56329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667607">
          <w:marLeft w:val="0"/>
          <w:marRight w:val="0"/>
          <w:marTop w:val="0"/>
          <w:marBottom w:val="0"/>
          <w:divBdr>
            <w:top w:val="none" w:sz="0" w:space="0" w:color="auto"/>
            <w:left w:val="none" w:sz="0" w:space="0" w:color="auto"/>
            <w:bottom w:val="none" w:sz="0" w:space="0" w:color="auto"/>
            <w:right w:val="none" w:sz="0" w:space="0" w:color="auto"/>
          </w:divBdr>
          <w:divsChild>
            <w:div w:id="1566450458">
              <w:marLeft w:val="0"/>
              <w:marRight w:val="0"/>
              <w:marTop w:val="0"/>
              <w:marBottom w:val="0"/>
              <w:divBdr>
                <w:top w:val="none" w:sz="0" w:space="0" w:color="auto"/>
                <w:left w:val="none" w:sz="0" w:space="0" w:color="auto"/>
                <w:bottom w:val="none" w:sz="0" w:space="0" w:color="auto"/>
                <w:right w:val="none" w:sz="0" w:space="0" w:color="auto"/>
              </w:divBdr>
              <w:divsChild>
                <w:div w:id="952706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155703">
          <w:marLeft w:val="0"/>
          <w:marRight w:val="0"/>
          <w:marTop w:val="0"/>
          <w:marBottom w:val="0"/>
          <w:divBdr>
            <w:top w:val="none" w:sz="0" w:space="0" w:color="auto"/>
            <w:left w:val="none" w:sz="0" w:space="0" w:color="auto"/>
            <w:bottom w:val="none" w:sz="0" w:space="0" w:color="auto"/>
            <w:right w:val="none" w:sz="0" w:space="0" w:color="auto"/>
          </w:divBdr>
          <w:divsChild>
            <w:div w:id="2017881255">
              <w:marLeft w:val="0"/>
              <w:marRight w:val="0"/>
              <w:marTop w:val="0"/>
              <w:marBottom w:val="0"/>
              <w:divBdr>
                <w:top w:val="none" w:sz="0" w:space="0" w:color="auto"/>
                <w:left w:val="none" w:sz="0" w:space="0" w:color="auto"/>
                <w:bottom w:val="none" w:sz="0" w:space="0" w:color="auto"/>
                <w:right w:val="none" w:sz="0" w:space="0" w:color="auto"/>
              </w:divBdr>
              <w:divsChild>
                <w:div w:id="1022121776">
                  <w:marLeft w:val="0"/>
                  <w:marRight w:val="0"/>
                  <w:marTop w:val="0"/>
                  <w:marBottom w:val="0"/>
                  <w:divBdr>
                    <w:top w:val="none" w:sz="0" w:space="0" w:color="auto"/>
                    <w:left w:val="none" w:sz="0" w:space="0" w:color="auto"/>
                    <w:bottom w:val="none" w:sz="0" w:space="0" w:color="auto"/>
                    <w:right w:val="none" w:sz="0" w:space="0" w:color="auto"/>
                  </w:divBdr>
                </w:div>
              </w:divsChild>
            </w:div>
            <w:div w:id="206181789">
              <w:marLeft w:val="0"/>
              <w:marRight w:val="0"/>
              <w:marTop w:val="0"/>
              <w:marBottom w:val="0"/>
              <w:divBdr>
                <w:top w:val="none" w:sz="0" w:space="0" w:color="auto"/>
                <w:left w:val="none" w:sz="0" w:space="0" w:color="auto"/>
                <w:bottom w:val="none" w:sz="0" w:space="0" w:color="auto"/>
                <w:right w:val="none" w:sz="0" w:space="0" w:color="auto"/>
              </w:divBdr>
              <w:divsChild>
                <w:div w:id="1767771921">
                  <w:marLeft w:val="0"/>
                  <w:marRight w:val="0"/>
                  <w:marTop w:val="0"/>
                  <w:marBottom w:val="0"/>
                  <w:divBdr>
                    <w:top w:val="none" w:sz="0" w:space="0" w:color="auto"/>
                    <w:left w:val="none" w:sz="0" w:space="0" w:color="auto"/>
                    <w:bottom w:val="none" w:sz="0" w:space="0" w:color="auto"/>
                    <w:right w:val="none" w:sz="0" w:space="0" w:color="auto"/>
                  </w:divBdr>
                </w:div>
              </w:divsChild>
            </w:div>
            <w:div w:id="106199751">
              <w:marLeft w:val="0"/>
              <w:marRight w:val="0"/>
              <w:marTop w:val="0"/>
              <w:marBottom w:val="0"/>
              <w:divBdr>
                <w:top w:val="none" w:sz="0" w:space="0" w:color="auto"/>
                <w:left w:val="none" w:sz="0" w:space="0" w:color="auto"/>
                <w:bottom w:val="none" w:sz="0" w:space="0" w:color="auto"/>
                <w:right w:val="none" w:sz="0" w:space="0" w:color="auto"/>
              </w:divBdr>
              <w:divsChild>
                <w:div w:id="638799824">
                  <w:marLeft w:val="0"/>
                  <w:marRight w:val="0"/>
                  <w:marTop w:val="0"/>
                  <w:marBottom w:val="0"/>
                  <w:divBdr>
                    <w:top w:val="none" w:sz="0" w:space="0" w:color="auto"/>
                    <w:left w:val="none" w:sz="0" w:space="0" w:color="auto"/>
                    <w:bottom w:val="none" w:sz="0" w:space="0" w:color="auto"/>
                    <w:right w:val="none" w:sz="0" w:space="0" w:color="auto"/>
                  </w:divBdr>
                </w:div>
              </w:divsChild>
            </w:div>
            <w:div w:id="958606557">
              <w:marLeft w:val="0"/>
              <w:marRight w:val="0"/>
              <w:marTop w:val="0"/>
              <w:marBottom w:val="0"/>
              <w:divBdr>
                <w:top w:val="none" w:sz="0" w:space="0" w:color="auto"/>
                <w:left w:val="none" w:sz="0" w:space="0" w:color="auto"/>
                <w:bottom w:val="none" w:sz="0" w:space="0" w:color="auto"/>
                <w:right w:val="none" w:sz="0" w:space="0" w:color="auto"/>
              </w:divBdr>
              <w:divsChild>
                <w:div w:id="1319380689">
                  <w:marLeft w:val="0"/>
                  <w:marRight w:val="0"/>
                  <w:marTop w:val="0"/>
                  <w:marBottom w:val="0"/>
                  <w:divBdr>
                    <w:top w:val="none" w:sz="0" w:space="0" w:color="auto"/>
                    <w:left w:val="none" w:sz="0" w:space="0" w:color="auto"/>
                    <w:bottom w:val="none" w:sz="0" w:space="0" w:color="auto"/>
                    <w:right w:val="none" w:sz="0" w:space="0" w:color="auto"/>
                  </w:divBdr>
                </w:div>
              </w:divsChild>
            </w:div>
            <w:div w:id="928738299">
              <w:marLeft w:val="0"/>
              <w:marRight w:val="0"/>
              <w:marTop w:val="0"/>
              <w:marBottom w:val="0"/>
              <w:divBdr>
                <w:top w:val="none" w:sz="0" w:space="0" w:color="auto"/>
                <w:left w:val="none" w:sz="0" w:space="0" w:color="auto"/>
                <w:bottom w:val="none" w:sz="0" w:space="0" w:color="auto"/>
                <w:right w:val="none" w:sz="0" w:space="0" w:color="auto"/>
              </w:divBdr>
              <w:divsChild>
                <w:div w:id="783811876">
                  <w:marLeft w:val="0"/>
                  <w:marRight w:val="0"/>
                  <w:marTop w:val="0"/>
                  <w:marBottom w:val="0"/>
                  <w:divBdr>
                    <w:top w:val="none" w:sz="0" w:space="0" w:color="auto"/>
                    <w:left w:val="none" w:sz="0" w:space="0" w:color="auto"/>
                    <w:bottom w:val="none" w:sz="0" w:space="0" w:color="auto"/>
                    <w:right w:val="none" w:sz="0" w:space="0" w:color="auto"/>
                  </w:divBdr>
                </w:div>
              </w:divsChild>
            </w:div>
            <w:div w:id="1402749552">
              <w:marLeft w:val="0"/>
              <w:marRight w:val="0"/>
              <w:marTop w:val="0"/>
              <w:marBottom w:val="0"/>
              <w:divBdr>
                <w:top w:val="none" w:sz="0" w:space="0" w:color="auto"/>
                <w:left w:val="none" w:sz="0" w:space="0" w:color="auto"/>
                <w:bottom w:val="none" w:sz="0" w:space="0" w:color="auto"/>
                <w:right w:val="none" w:sz="0" w:space="0" w:color="auto"/>
              </w:divBdr>
              <w:divsChild>
                <w:div w:id="754135356">
                  <w:marLeft w:val="0"/>
                  <w:marRight w:val="0"/>
                  <w:marTop w:val="0"/>
                  <w:marBottom w:val="0"/>
                  <w:divBdr>
                    <w:top w:val="none" w:sz="0" w:space="0" w:color="auto"/>
                    <w:left w:val="none" w:sz="0" w:space="0" w:color="auto"/>
                    <w:bottom w:val="none" w:sz="0" w:space="0" w:color="auto"/>
                    <w:right w:val="none" w:sz="0" w:space="0" w:color="auto"/>
                  </w:divBdr>
                </w:div>
              </w:divsChild>
            </w:div>
            <w:div w:id="1263103670">
              <w:marLeft w:val="0"/>
              <w:marRight w:val="0"/>
              <w:marTop w:val="0"/>
              <w:marBottom w:val="0"/>
              <w:divBdr>
                <w:top w:val="none" w:sz="0" w:space="0" w:color="auto"/>
                <w:left w:val="none" w:sz="0" w:space="0" w:color="auto"/>
                <w:bottom w:val="none" w:sz="0" w:space="0" w:color="auto"/>
                <w:right w:val="none" w:sz="0" w:space="0" w:color="auto"/>
              </w:divBdr>
              <w:divsChild>
                <w:div w:id="1883515075">
                  <w:marLeft w:val="0"/>
                  <w:marRight w:val="0"/>
                  <w:marTop w:val="0"/>
                  <w:marBottom w:val="0"/>
                  <w:divBdr>
                    <w:top w:val="none" w:sz="0" w:space="0" w:color="auto"/>
                    <w:left w:val="none" w:sz="0" w:space="0" w:color="auto"/>
                    <w:bottom w:val="none" w:sz="0" w:space="0" w:color="auto"/>
                    <w:right w:val="none" w:sz="0" w:space="0" w:color="auto"/>
                  </w:divBdr>
                </w:div>
              </w:divsChild>
            </w:div>
            <w:div w:id="808787255">
              <w:marLeft w:val="0"/>
              <w:marRight w:val="0"/>
              <w:marTop w:val="0"/>
              <w:marBottom w:val="0"/>
              <w:divBdr>
                <w:top w:val="none" w:sz="0" w:space="0" w:color="auto"/>
                <w:left w:val="none" w:sz="0" w:space="0" w:color="auto"/>
                <w:bottom w:val="none" w:sz="0" w:space="0" w:color="auto"/>
                <w:right w:val="none" w:sz="0" w:space="0" w:color="auto"/>
              </w:divBdr>
              <w:divsChild>
                <w:div w:id="214299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817332">
      <w:bodyDiv w:val="1"/>
      <w:marLeft w:val="0"/>
      <w:marRight w:val="0"/>
      <w:marTop w:val="0"/>
      <w:marBottom w:val="0"/>
      <w:divBdr>
        <w:top w:val="none" w:sz="0" w:space="0" w:color="auto"/>
        <w:left w:val="none" w:sz="0" w:space="0" w:color="auto"/>
        <w:bottom w:val="none" w:sz="0" w:space="0" w:color="auto"/>
        <w:right w:val="none" w:sz="0" w:space="0" w:color="auto"/>
      </w:divBdr>
      <w:divsChild>
        <w:div w:id="1579050328">
          <w:marLeft w:val="0"/>
          <w:marRight w:val="0"/>
          <w:marTop w:val="0"/>
          <w:marBottom w:val="0"/>
          <w:divBdr>
            <w:top w:val="none" w:sz="0" w:space="0" w:color="auto"/>
            <w:left w:val="none" w:sz="0" w:space="0" w:color="auto"/>
            <w:bottom w:val="none" w:sz="0" w:space="0" w:color="auto"/>
            <w:right w:val="none" w:sz="0" w:space="0" w:color="auto"/>
          </w:divBdr>
          <w:divsChild>
            <w:div w:id="1880510599">
              <w:marLeft w:val="0"/>
              <w:marRight w:val="0"/>
              <w:marTop w:val="0"/>
              <w:marBottom w:val="0"/>
              <w:divBdr>
                <w:top w:val="none" w:sz="0" w:space="0" w:color="auto"/>
                <w:left w:val="none" w:sz="0" w:space="0" w:color="auto"/>
                <w:bottom w:val="none" w:sz="0" w:space="0" w:color="auto"/>
                <w:right w:val="none" w:sz="0" w:space="0" w:color="auto"/>
              </w:divBdr>
              <w:divsChild>
                <w:div w:id="660351876">
                  <w:marLeft w:val="0"/>
                  <w:marRight w:val="0"/>
                  <w:marTop w:val="0"/>
                  <w:marBottom w:val="0"/>
                  <w:divBdr>
                    <w:top w:val="none" w:sz="0" w:space="0" w:color="auto"/>
                    <w:left w:val="none" w:sz="0" w:space="0" w:color="auto"/>
                    <w:bottom w:val="none" w:sz="0" w:space="0" w:color="auto"/>
                    <w:right w:val="none" w:sz="0" w:space="0" w:color="auto"/>
                  </w:divBdr>
                  <w:divsChild>
                    <w:div w:id="21065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2945915">
      <w:bodyDiv w:val="1"/>
      <w:marLeft w:val="0"/>
      <w:marRight w:val="0"/>
      <w:marTop w:val="0"/>
      <w:marBottom w:val="0"/>
      <w:divBdr>
        <w:top w:val="none" w:sz="0" w:space="0" w:color="auto"/>
        <w:left w:val="none" w:sz="0" w:space="0" w:color="auto"/>
        <w:bottom w:val="none" w:sz="0" w:space="0" w:color="auto"/>
        <w:right w:val="none" w:sz="0" w:space="0" w:color="auto"/>
      </w:divBdr>
      <w:divsChild>
        <w:div w:id="991372288">
          <w:marLeft w:val="0"/>
          <w:marRight w:val="0"/>
          <w:marTop w:val="0"/>
          <w:marBottom w:val="0"/>
          <w:divBdr>
            <w:top w:val="none" w:sz="0" w:space="0" w:color="auto"/>
            <w:left w:val="none" w:sz="0" w:space="0" w:color="auto"/>
            <w:bottom w:val="none" w:sz="0" w:space="0" w:color="auto"/>
            <w:right w:val="none" w:sz="0" w:space="0" w:color="auto"/>
          </w:divBdr>
          <w:divsChild>
            <w:div w:id="1951013771">
              <w:marLeft w:val="0"/>
              <w:marRight w:val="0"/>
              <w:marTop w:val="0"/>
              <w:marBottom w:val="0"/>
              <w:divBdr>
                <w:top w:val="none" w:sz="0" w:space="0" w:color="auto"/>
                <w:left w:val="none" w:sz="0" w:space="0" w:color="auto"/>
                <w:bottom w:val="none" w:sz="0" w:space="0" w:color="auto"/>
                <w:right w:val="none" w:sz="0" w:space="0" w:color="auto"/>
              </w:divBdr>
              <w:divsChild>
                <w:div w:id="157143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821760">
      <w:bodyDiv w:val="1"/>
      <w:marLeft w:val="0"/>
      <w:marRight w:val="0"/>
      <w:marTop w:val="0"/>
      <w:marBottom w:val="0"/>
      <w:divBdr>
        <w:top w:val="none" w:sz="0" w:space="0" w:color="auto"/>
        <w:left w:val="none" w:sz="0" w:space="0" w:color="auto"/>
        <w:bottom w:val="none" w:sz="0" w:space="0" w:color="auto"/>
        <w:right w:val="none" w:sz="0" w:space="0" w:color="auto"/>
      </w:divBdr>
      <w:divsChild>
        <w:div w:id="789133113">
          <w:marLeft w:val="0"/>
          <w:marRight w:val="0"/>
          <w:marTop w:val="0"/>
          <w:marBottom w:val="0"/>
          <w:divBdr>
            <w:top w:val="none" w:sz="0" w:space="0" w:color="auto"/>
            <w:left w:val="none" w:sz="0" w:space="0" w:color="auto"/>
            <w:bottom w:val="none" w:sz="0" w:space="0" w:color="auto"/>
            <w:right w:val="none" w:sz="0" w:space="0" w:color="auto"/>
          </w:divBdr>
          <w:divsChild>
            <w:div w:id="1512910299">
              <w:marLeft w:val="0"/>
              <w:marRight w:val="0"/>
              <w:marTop w:val="0"/>
              <w:marBottom w:val="0"/>
              <w:divBdr>
                <w:top w:val="none" w:sz="0" w:space="0" w:color="auto"/>
                <w:left w:val="none" w:sz="0" w:space="0" w:color="auto"/>
                <w:bottom w:val="none" w:sz="0" w:space="0" w:color="auto"/>
                <w:right w:val="none" w:sz="0" w:space="0" w:color="auto"/>
              </w:divBdr>
              <w:divsChild>
                <w:div w:id="2028755756">
                  <w:marLeft w:val="0"/>
                  <w:marRight w:val="0"/>
                  <w:marTop w:val="0"/>
                  <w:marBottom w:val="0"/>
                  <w:divBdr>
                    <w:top w:val="none" w:sz="0" w:space="0" w:color="auto"/>
                    <w:left w:val="none" w:sz="0" w:space="0" w:color="auto"/>
                    <w:bottom w:val="none" w:sz="0" w:space="0" w:color="auto"/>
                    <w:right w:val="none" w:sz="0" w:space="0" w:color="auto"/>
                  </w:divBdr>
                  <w:divsChild>
                    <w:div w:id="1305965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989608">
      <w:bodyDiv w:val="1"/>
      <w:marLeft w:val="0"/>
      <w:marRight w:val="0"/>
      <w:marTop w:val="0"/>
      <w:marBottom w:val="0"/>
      <w:divBdr>
        <w:top w:val="none" w:sz="0" w:space="0" w:color="auto"/>
        <w:left w:val="none" w:sz="0" w:space="0" w:color="auto"/>
        <w:bottom w:val="none" w:sz="0" w:space="0" w:color="auto"/>
        <w:right w:val="none" w:sz="0" w:space="0" w:color="auto"/>
      </w:divBdr>
      <w:divsChild>
        <w:div w:id="991637067">
          <w:marLeft w:val="0"/>
          <w:marRight w:val="0"/>
          <w:marTop w:val="0"/>
          <w:marBottom w:val="0"/>
          <w:divBdr>
            <w:top w:val="none" w:sz="0" w:space="0" w:color="auto"/>
            <w:left w:val="none" w:sz="0" w:space="0" w:color="auto"/>
            <w:bottom w:val="none" w:sz="0" w:space="0" w:color="auto"/>
            <w:right w:val="none" w:sz="0" w:space="0" w:color="auto"/>
          </w:divBdr>
          <w:divsChild>
            <w:div w:id="1140462752">
              <w:marLeft w:val="0"/>
              <w:marRight w:val="0"/>
              <w:marTop w:val="0"/>
              <w:marBottom w:val="0"/>
              <w:divBdr>
                <w:top w:val="none" w:sz="0" w:space="0" w:color="auto"/>
                <w:left w:val="none" w:sz="0" w:space="0" w:color="auto"/>
                <w:bottom w:val="none" w:sz="0" w:space="0" w:color="auto"/>
                <w:right w:val="none" w:sz="0" w:space="0" w:color="auto"/>
              </w:divBdr>
              <w:divsChild>
                <w:div w:id="492765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06880">
      <w:bodyDiv w:val="1"/>
      <w:marLeft w:val="0"/>
      <w:marRight w:val="0"/>
      <w:marTop w:val="0"/>
      <w:marBottom w:val="0"/>
      <w:divBdr>
        <w:top w:val="none" w:sz="0" w:space="0" w:color="auto"/>
        <w:left w:val="none" w:sz="0" w:space="0" w:color="auto"/>
        <w:bottom w:val="none" w:sz="0" w:space="0" w:color="auto"/>
        <w:right w:val="none" w:sz="0" w:space="0" w:color="auto"/>
      </w:divBdr>
    </w:div>
    <w:div w:id="432822922">
      <w:bodyDiv w:val="1"/>
      <w:marLeft w:val="0"/>
      <w:marRight w:val="0"/>
      <w:marTop w:val="0"/>
      <w:marBottom w:val="0"/>
      <w:divBdr>
        <w:top w:val="none" w:sz="0" w:space="0" w:color="auto"/>
        <w:left w:val="none" w:sz="0" w:space="0" w:color="auto"/>
        <w:bottom w:val="none" w:sz="0" w:space="0" w:color="auto"/>
        <w:right w:val="none" w:sz="0" w:space="0" w:color="auto"/>
      </w:divBdr>
    </w:div>
    <w:div w:id="545338225">
      <w:bodyDiv w:val="1"/>
      <w:marLeft w:val="0"/>
      <w:marRight w:val="0"/>
      <w:marTop w:val="0"/>
      <w:marBottom w:val="0"/>
      <w:divBdr>
        <w:top w:val="none" w:sz="0" w:space="0" w:color="auto"/>
        <w:left w:val="none" w:sz="0" w:space="0" w:color="auto"/>
        <w:bottom w:val="none" w:sz="0" w:space="0" w:color="auto"/>
        <w:right w:val="none" w:sz="0" w:space="0" w:color="auto"/>
      </w:divBdr>
    </w:div>
    <w:div w:id="581456377">
      <w:bodyDiv w:val="1"/>
      <w:marLeft w:val="0"/>
      <w:marRight w:val="0"/>
      <w:marTop w:val="0"/>
      <w:marBottom w:val="0"/>
      <w:divBdr>
        <w:top w:val="none" w:sz="0" w:space="0" w:color="auto"/>
        <w:left w:val="none" w:sz="0" w:space="0" w:color="auto"/>
        <w:bottom w:val="none" w:sz="0" w:space="0" w:color="auto"/>
        <w:right w:val="none" w:sz="0" w:space="0" w:color="auto"/>
      </w:divBdr>
      <w:divsChild>
        <w:div w:id="1637373492">
          <w:marLeft w:val="720"/>
          <w:marRight w:val="0"/>
          <w:marTop w:val="77"/>
          <w:marBottom w:val="0"/>
          <w:divBdr>
            <w:top w:val="none" w:sz="0" w:space="0" w:color="auto"/>
            <w:left w:val="none" w:sz="0" w:space="0" w:color="auto"/>
            <w:bottom w:val="none" w:sz="0" w:space="0" w:color="auto"/>
            <w:right w:val="none" w:sz="0" w:space="0" w:color="auto"/>
          </w:divBdr>
        </w:div>
      </w:divsChild>
    </w:div>
    <w:div w:id="636299205">
      <w:bodyDiv w:val="1"/>
      <w:marLeft w:val="0"/>
      <w:marRight w:val="0"/>
      <w:marTop w:val="0"/>
      <w:marBottom w:val="0"/>
      <w:divBdr>
        <w:top w:val="none" w:sz="0" w:space="0" w:color="auto"/>
        <w:left w:val="none" w:sz="0" w:space="0" w:color="auto"/>
        <w:bottom w:val="none" w:sz="0" w:space="0" w:color="auto"/>
        <w:right w:val="none" w:sz="0" w:space="0" w:color="auto"/>
      </w:divBdr>
    </w:div>
    <w:div w:id="639575706">
      <w:bodyDiv w:val="1"/>
      <w:marLeft w:val="0"/>
      <w:marRight w:val="0"/>
      <w:marTop w:val="0"/>
      <w:marBottom w:val="0"/>
      <w:divBdr>
        <w:top w:val="none" w:sz="0" w:space="0" w:color="auto"/>
        <w:left w:val="none" w:sz="0" w:space="0" w:color="auto"/>
        <w:bottom w:val="none" w:sz="0" w:space="0" w:color="auto"/>
        <w:right w:val="none" w:sz="0" w:space="0" w:color="auto"/>
      </w:divBdr>
      <w:divsChild>
        <w:div w:id="2104064800">
          <w:marLeft w:val="0"/>
          <w:marRight w:val="0"/>
          <w:marTop w:val="0"/>
          <w:marBottom w:val="0"/>
          <w:divBdr>
            <w:top w:val="none" w:sz="0" w:space="0" w:color="auto"/>
            <w:left w:val="none" w:sz="0" w:space="0" w:color="auto"/>
            <w:bottom w:val="none" w:sz="0" w:space="0" w:color="auto"/>
            <w:right w:val="none" w:sz="0" w:space="0" w:color="auto"/>
          </w:divBdr>
          <w:divsChild>
            <w:div w:id="1233273333">
              <w:marLeft w:val="0"/>
              <w:marRight w:val="0"/>
              <w:marTop w:val="0"/>
              <w:marBottom w:val="0"/>
              <w:divBdr>
                <w:top w:val="none" w:sz="0" w:space="0" w:color="auto"/>
                <w:left w:val="none" w:sz="0" w:space="0" w:color="auto"/>
                <w:bottom w:val="none" w:sz="0" w:space="0" w:color="auto"/>
                <w:right w:val="none" w:sz="0" w:space="0" w:color="auto"/>
              </w:divBdr>
              <w:divsChild>
                <w:div w:id="174930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677525">
      <w:bodyDiv w:val="1"/>
      <w:marLeft w:val="0"/>
      <w:marRight w:val="0"/>
      <w:marTop w:val="0"/>
      <w:marBottom w:val="0"/>
      <w:divBdr>
        <w:top w:val="none" w:sz="0" w:space="0" w:color="auto"/>
        <w:left w:val="none" w:sz="0" w:space="0" w:color="auto"/>
        <w:bottom w:val="none" w:sz="0" w:space="0" w:color="auto"/>
        <w:right w:val="none" w:sz="0" w:space="0" w:color="auto"/>
      </w:divBdr>
      <w:divsChild>
        <w:div w:id="1956404318">
          <w:marLeft w:val="0"/>
          <w:marRight w:val="0"/>
          <w:marTop w:val="0"/>
          <w:marBottom w:val="0"/>
          <w:divBdr>
            <w:top w:val="none" w:sz="0" w:space="0" w:color="auto"/>
            <w:left w:val="none" w:sz="0" w:space="0" w:color="auto"/>
            <w:bottom w:val="none" w:sz="0" w:space="0" w:color="auto"/>
            <w:right w:val="none" w:sz="0" w:space="0" w:color="auto"/>
          </w:divBdr>
          <w:divsChild>
            <w:div w:id="1260068716">
              <w:marLeft w:val="0"/>
              <w:marRight w:val="0"/>
              <w:marTop w:val="0"/>
              <w:marBottom w:val="0"/>
              <w:divBdr>
                <w:top w:val="none" w:sz="0" w:space="0" w:color="auto"/>
                <w:left w:val="none" w:sz="0" w:space="0" w:color="auto"/>
                <w:bottom w:val="none" w:sz="0" w:space="0" w:color="auto"/>
                <w:right w:val="none" w:sz="0" w:space="0" w:color="auto"/>
              </w:divBdr>
              <w:divsChild>
                <w:div w:id="188372656">
                  <w:marLeft w:val="0"/>
                  <w:marRight w:val="0"/>
                  <w:marTop w:val="0"/>
                  <w:marBottom w:val="0"/>
                  <w:divBdr>
                    <w:top w:val="none" w:sz="0" w:space="0" w:color="auto"/>
                    <w:left w:val="none" w:sz="0" w:space="0" w:color="auto"/>
                    <w:bottom w:val="none" w:sz="0" w:space="0" w:color="auto"/>
                    <w:right w:val="none" w:sz="0" w:space="0" w:color="auto"/>
                  </w:divBdr>
                  <w:divsChild>
                    <w:div w:id="154784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414310">
      <w:bodyDiv w:val="1"/>
      <w:marLeft w:val="0"/>
      <w:marRight w:val="0"/>
      <w:marTop w:val="0"/>
      <w:marBottom w:val="0"/>
      <w:divBdr>
        <w:top w:val="none" w:sz="0" w:space="0" w:color="auto"/>
        <w:left w:val="none" w:sz="0" w:space="0" w:color="auto"/>
        <w:bottom w:val="none" w:sz="0" w:space="0" w:color="auto"/>
        <w:right w:val="none" w:sz="0" w:space="0" w:color="auto"/>
      </w:divBdr>
      <w:divsChild>
        <w:div w:id="2080058065">
          <w:marLeft w:val="0"/>
          <w:marRight w:val="0"/>
          <w:marTop w:val="0"/>
          <w:marBottom w:val="0"/>
          <w:divBdr>
            <w:top w:val="none" w:sz="0" w:space="0" w:color="auto"/>
            <w:left w:val="none" w:sz="0" w:space="0" w:color="auto"/>
            <w:bottom w:val="none" w:sz="0" w:space="0" w:color="auto"/>
            <w:right w:val="none" w:sz="0" w:space="0" w:color="auto"/>
          </w:divBdr>
          <w:divsChild>
            <w:div w:id="1252012542">
              <w:marLeft w:val="0"/>
              <w:marRight w:val="0"/>
              <w:marTop w:val="0"/>
              <w:marBottom w:val="0"/>
              <w:divBdr>
                <w:top w:val="none" w:sz="0" w:space="0" w:color="auto"/>
                <w:left w:val="none" w:sz="0" w:space="0" w:color="auto"/>
                <w:bottom w:val="none" w:sz="0" w:space="0" w:color="auto"/>
                <w:right w:val="none" w:sz="0" w:space="0" w:color="auto"/>
              </w:divBdr>
              <w:divsChild>
                <w:div w:id="523832139">
                  <w:marLeft w:val="0"/>
                  <w:marRight w:val="0"/>
                  <w:marTop w:val="0"/>
                  <w:marBottom w:val="0"/>
                  <w:divBdr>
                    <w:top w:val="none" w:sz="0" w:space="0" w:color="auto"/>
                    <w:left w:val="none" w:sz="0" w:space="0" w:color="auto"/>
                    <w:bottom w:val="none" w:sz="0" w:space="0" w:color="auto"/>
                    <w:right w:val="none" w:sz="0" w:space="0" w:color="auto"/>
                  </w:divBdr>
                  <w:divsChild>
                    <w:div w:id="5251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708483">
      <w:bodyDiv w:val="1"/>
      <w:marLeft w:val="0"/>
      <w:marRight w:val="0"/>
      <w:marTop w:val="0"/>
      <w:marBottom w:val="0"/>
      <w:divBdr>
        <w:top w:val="none" w:sz="0" w:space="0" w:color="auto"/>
        <w:left w:val="none" w:sz="0" w:space="0" w:color="auto"/>
        <w:bottom w:val="none" w:sz="0" w:space="0" w:color="auto"/>
        <w:right w:val="none" w:sz="0" w:space="0" w:color="auto"/>
      </w:divBdr>
    </w:div>
    <w:div w:id="662859161">
      <w:bodyDiv w:val="1"/>
      <w:marLeft w:val="0"/>
      <w:marRight w:val="0"/>
      <w:marTop w:val="0"/>
      <w:marBottom w:val="0"/>
      <w:divBdr>
        <w:top w:val="none" w:sz="0" w:space="0" w:color="auto"/>
        <w:left w:val="none" w:sz="0" w:space="0" w:color="auto"/>
        <w:bottom w:val="none" w:sz="0" w:space="0" w:color="auto"/>
        <w:right w:val="none" w:sz="0" w:space="0" w:color="auto"/>
      </w:divBdr>
    </w:div>
    <w:div w:id="673462610">
      <w:bodyDiv w:val="1"/>
      <w:marLeft w:val="0"/>
      <w:marRight w:val="0"/>
      <w:marTop w:val="0"/>
      <w:marBottom w:val="0"/>
      <w:divBdr>
        <w:top w:val="none" w:sz="0" w:space="0" w:color="auto"/>
        <w:left w:val="none" w:sz="0" w:space="0" w:color="auto"/>
        <w:bottom w:val="none" w:sz="0" w:space="0" w:color="auto"/>
        <w:right w:val="none" w:sz="0" w:space="0" w:color="auto"/>
      </w:divBdr>
    </w:div>
    <w:div w:id="685443055">
      <w:bodyDiv w:val="1"/>
      <w:marLeft w:val="0"/>
      <w:marRight w:val="0"/>
      <w:marTop w:val="0"/>
      <w:marBottom w:val="0"/>
      <w:divBdr>
        <w:top w:val="none" w:sz="0" w:space="0" w:color="auto"/>
        <w:left w:val="none" w:sz="0" w:space="0" w:color="auto"/>
        <w:bottom w:val="none" w:sz="0" w:space="0" w:color="auto"/>
        <w:right w:val="none" w:sz="0" w:space="0" w:color="auto"/>
      </w:divBdr>
      <w:divsChild>
        <w:div w:id="1207107752">
          <w:marLeft w:val="0"/>
          <w:marRight w:val="0"/>
          <w:marTop w:val="0"/>
          <w:marBottom w:val="0"/>
          <w:divBdr>
            <w:top w:val="none" w:sz="0" w:space="0" w:color="auto"/>
            <w:left w:val="none" w:sz="0" w:space="0" w:color="auto"/>
            <w:bottom w:val="none" w:sz="0" w:space="0" w:color="auto"/>
            <w:right w:val="none" w:sz="0" w:space="0" w:color="auto"/>
          </w:divBdr>
          <w:divsChild>
            <w:div w:id="749041711">
              <w:marLeft w:val="0"/>
              <w:marRight w:val="0"/>
              <w:marTop w:val="0"/>
              <w:marBottom w:val="0"/>
              <w:divBdr>
                <w:top w:val="none" w:sz="0" w:space="0" w:color="auto"/>
                <w:left w:val="none" w:sz="0" w:space="0" w:color="auto"/>
                <w:bottom w:val="none" w:sz="0" w:space="0" w:color="auto"/>
                <w:right w:val="none" w:sz="0" w:space="0" w:color="auto"/>
              </w:divBdr>
              <w:divsChild>
                <w:div w:id="376709474">
                  <w:marLeft w:val="0"/>
                  <w:marRight w:val="0"/>
                  <w:marTop w:val="0"/>
                  <w:marBottom w:val="0"/>
                  <w:divBdr>
                    <w:top w:val="none" w:sz="0" w:space="0" w:color="auto"/>
                    <w:left w:val="none" w:sz="0" w:space="0" w:color="auto"/>
                    <w:bottom w:val="none" w:sz="0" w:space="0" w:color="auto"/>
                    <w:right w:val="none" w:sz="0" w:space="0" w:color="auto"/>
                  </w:divBdr>
                  <w:divsChild>
                    <w:div w:id="158133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177835">
      <w:bodyDiv w:val="1"/>
      <w:marLeft w:val="0"/>
      <w:marRight w:val="0"/>
      <w:marTop w:val="0"/>
      <w:marBottom w:val="0"/>
      <w:divBdr>
        <w:top w:val="none" w:sz="0" w:space="0" w:color="auto"/>
        <w:left w:val="none" w:sz="0" w:space="0" w:color="auto"/>
        <w:bottom w:val="none" w:sz="0" w:space="0" w:color="auto"/>
        <w:right w:val="none" w:sz="0" w:space="0" w:color="auto"/>
      </w:divBdr>
    </w:div>
    <w:div w:id="799686024">
      <w:bodyDiv w:val="1"/>
      <w:marLeft w:val="0"/>
      <w:marRight w:val="0"/>
      <w:marTop w:val="0"/>
      <w:marBottom w:val="0"/>
      <w:divBdr>
        <w:top w:val="none" w:sz="0" w:space="0" w:color="auto"/>
        <w:left w:val="none" w:sz="0" w:space="0" w:color="auto"/>
        <w:bottom w:val="none" w:sz="0" w:space="0" w:color="auto"/>
        <w:right w:val="none" w:sz="0" w:space="0" w:color="auto"/>
      </w:divBdr>
      <w:divsChild>
        <w:div w:id="1565526398">
          <w:marLeft w:val="0"/>
          <w:marRight w:val="0"/>
          <w:marTop w:val="0"/>
          <w:marBottom w:val="0"/>
          <w:divBdr>
            <w:top w:val="none" w:sz="0" w:space="0" w:color="auto"/>
            <w:left w:val="none" w:sz="0" w:space="0" w:color="auto"/>
            <w:bottom w:val="none" w:sz="0" w:space="0" w:color="auto"/>
            <w:right w:val="none" w:sz="0" w:space="0" w:color="auto"/>
          </w:divBdr>
          <w:divsChild>
            <w:div w:id="737635719">
              <w:marLeft w:val="0"/>
              <w:marRight w:val="0"/>
              <w:marTop w:val="0"/>
              <w:marBottom w:val="0"/>
              <w:divBdr>
                <w:top w:val="none" w:sz="0" w:space="0" w:color="auto"/>
                <w:left w:val="none" w:sz="0" w:space="0" w:color="auto"/>
                <w:bottom w:val="none" w:sz="0" w:space="0" w:color="auto"/>
                <w:right w:val="none" w:sz="0" w:space="0" w:color="auto"/>
              </w:divBdr>
              <w:divsChild>
                <w:div w:id="1745564126">
                  <w:marLeft w:val="0"/>
                  <w:marRight w:val="0"/>
                  <w:marTop w:val="0"/>
                  <w:marBottom w:val="0"/>
                  <w:divBdr>
                    <w:top w:val="none" w:sz="0" w:space="0" w:color="auto"/>
                    <w:left w:val="none" w:sz="0" w:space="0" w:color="auto"/>
                    <w:bottom w:val="none" w:sz="0" w:space="0" w:color="auto"/>
                    <w:right w:val="none" w:sz="0" w:space="0" w:color="auto"/>
                  </w:divBdr>
                </w:div>
              </w:divsChild>
            </w:div>
            <w:div w:id="1590774858">
              <w:marLeft w:val="0"/>
              <w:marRight w:val="0"/>
              <w:marTop w:val="0"/>
              <w:marBottom w:val="0"/>
              <w:divBdr>
                <w:top w:val="none" w:sz="0" w:space="0" w:color="auto"/>
                <w:left w:val="none" w:sz="0" w:space="0" w:color="auto"/>
                <w:bottom w:val="none" w:sz="0" w:space="0" w:color="auto"/>
                <w:right w:val="none" w:sz="0" w:space="0" w:color="auto"/>
              </w:divBdr>
              <w:divsChild>
                <w:div w:id="248464254">
                  <w:marLeft w:val="0"/>
                  <w:marRight w:val="0"/>
                  <w:marTop w:val="0"/>
                  <w:marBottom w:val="0"/>
                  <w:divBdr>
                    <w:top w:val="none" w:sz="0" w:space="0" w:color="auto"/>
                    <w:left w:val="none" w:sz="0" w:space="0" w:color="auto"/>
                    <w:bottom w:val="none" w:sz="0" w:space="0" w:color="auto"/>
                    <w:right w:val="none" w:sz="0" w:space="0" w:color="auto"/>
                  </w:divBdr>
                </w:div>
              </w:divsChild>
            </w:div>
            <w:div w:id="1636448109">
              <w:marLeft w:val="0"/>
              <w:marRight w:val="0"/>
              <w:marTop w:val="0"/>
              <w:marBottom w:val="0"/>
              <w:divBdr>
                <w:top w:val="none" w:sz="0" w:space="0" w:color="auto"/>
                <w:left w:val="none" w:sz="0" w:space="0" w:color="auto"/>
                <w:bottom w:val="none" w:sz="0" w:space="0" w:color="auto"/>
                <w:right w:val="none" w:sz="0" w:space="0" w:color="auto"/>
              </w:divBdr>
              <w:divsChild>
                <w:div w:id="1441677659">
                  <w:marLeft w:val="0"/>
                  <w:marRight w:val="0"/>
                  <w:marTop w:val="0"/>
                  <w:marBottom w:val="0"/>
                  <w:divBdr>
                    <w:top w:val="none" w:sz="0" w:space="0" w:color="auto"/>
                    <w:left w:val="none" w:sz="0" w:space="0" w:color="auto"/>
                    <w:bottom w:val="none" w:sz="0" w:space="0" w:color="auto"/>
                    <w:right w:val="none" w:sz="0" w:space="0" w:color="auto"/>
                  </w:divBdr>
                </w:div>
              </w:divsChild>
            </w:div>
            <w:div w:id="1193228408">
              <w:marLeft w:val="0"/>
              <w:marRight w:val="0"/>
              <w:marTop w:val="0"/>
              <w:marBottom w:val="0"/>
              <w:divBdr>
                <w:top w:val="none" w:sz="0" w:space="0" w:color="auto"/>
                <w:left w:val="none" w:sz="0" w:space="0" w:color="auto"/>
                <w:bottom w:val="none" w:sz="0" w:space="0" w:color="auto"/>
                <w:right w:val="none" w:sz="0" w:space="0" w:color="auto"/>
              </w:divBdr>
              <w:divsChild>
                <w:div w:id="1827937707">
                  <w:marLeft w:val="0"/>
                  <w:marRight w:val="0"/>
                  <w:marTop w:val="0"/>
                  <w:marBottom w:val="0"/>
                  <w:divBdr>
                    <w:top w:val="none" w:sz="0" w:space="0" w:color="auto"/>
                    <w:left w:val="none" w:sz="0" w:space="0" w:color="auto"/>
                    <w:bottom w:val="none" w:sz="0" w:space="0" w:color="auto"/>
                    <w:right w:val="none" w:sz="0" w:space="0" w:color="auto"/>
                  </w:divBdr>
                </w:div>
              </w:divsChild>
            </w:div>
            <w:div w:id="655652650">
              <w:marLeft w:val="0"/>
              <w:marRight w:val="0"/>
              <w:marTop w:val="0"/>
              <w:marBottom w:val="0"/>
              <w:divBdr>
                <w:top w:val="none" w:sz="0" w:space="0" w:color="auto"/>
                <w:left w:val="none" w:sz="0" w:space="0" w:color="auto"/>
                <w:bottom w:val="none" w:sz="0" w:space="0" w:color="auto"/>
                <w:right w:val="none" w:sz="0" w:space="0" w:color="auto"/>
              </w:divBdr>
              <w:divsChild>
                <w:div w:id="150536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920361">
      <w:bodyDiv w:val="1"/>
      <w:marLeft w:val="0"/>
      <w:marRight w:val="0"/>
      <w:marTop w:val="0"/>
      <w:marBottom w:val="0"/>
      <w:divBdr>
        <w:top w:val="none" w:sz="0" w:space="0" w:color="auto"/>
        <w:left w:val="none" w:sz="0" w:space="0" w:color="auto"/>
        <w:bottom w:val="none" w:sz="0" w:space="0" w:color="auto"/>
        <w:right w:val="none" w:sz="0" w:space="0" w:color="auto"/>
      </w:divBdr>
    </w:div>
    <w:div w:id="845678392">
      <w:bodyDiv w:val="1"/>
      <w:marLeft w:val="0"/>
      <w:marRight w:val="0"/>
      <w:marTop w:val="0"/>
      <w:marBottom w:val="0"/>
      <w:divBdr>
        <w:top w:val="none" w:sz="0" w:space="0" w:color="auto"/>
        <w:left w:val="none" w:sz="0" w:space="0" w:color="auto"/>
        <w:bottom w:val="none" w:sz="0" w:space="0" w:color="auto"/>
        <w:right w:val="none" w:sz="0" w:space="0" w:color="auto"/>
      </w:divBdr>
      <w:divsChild>
        <w:div w:id="1132016919">
          <w:marLeft w:val="0"/>
          <w:marRight w:val="0"/>
          <w:marTop w:val="0"/>
          <w:marBottom w:val="0"/>
          <w:divBdr>
            <w:top w:val="none" w:sz="0" w:space="0" w:color="auto"/>
            <w:left w:val="none" w:sz="0" w:space="0" w:color="auto"/>
            <w:bottom w:val="none" w:sz="0" w:space="0" w:color="auto"/>
            <w:right w:val="none" w:sz="0" w:space="0" w:color="auto"/>
          </w:divBdr>
          <w:divsChild>
            <w:div w:id="1610048581">
              <w:marLeft w:val="0"/>
              <w:marRight w:val="0"/>
              <w:marTop w:val="0"/>
              <w:marBottom w:val="0"/>
              <w:divBdr>
                <w:top w:val="none" w:sz="0" w:space="0" w:color="auto"/>
                <w:left w:val="none" w:sz="0" w:space="0" w:color="auto"/>
                <w:bottom w:val="none" w:sz="0" w:space="0" w:color="auto"/>
                <w:right w:val="none" w:sz="0" w:space="0" w:color="auto"/>
              </w:divBdr>
              <w:divsChild>
                <w:div w:id="3794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156528">
          <w:marLeft w:val="0"/>
          <w:marRight w:val="0"/>
          <w:marTop w:val="0"/>
          <w:marBottom w:val="0"/>
          <w:divBdr>
            <w:top w:val="none" w:sz="0" w:space="0" w:color="auto"/>
            <w:left w:val="none" w:sz="0" w:space="0" w:color="auto"/>
            <w:bottom w:val="none" w:sz="0" w:space="0" w:color="auto"/>
            <w:right w:val="none" w:sz="0" w:space="0" w:color="auto"/>
          </w:divBdr>
          <w:divsChild>
            <w:div w:id="501744392">
              <w:marLeft w:val="0"/>
              <w:marRight w:val="0"/>
              <w:marTop w:val="0"/>
              <w:marBottom w:val="0"/>
              <w:divBdr>
                <w:top w:val="none" w:sz="0" w:space="0" w:color="auto"/>
                <w:left w:val="none" w:sz="0" w:space="0" w:color="auto"/>
                <w:bottom w:val="none" w:sz="0" w:space="0" w:color="auto"/>
                <w:right w:val="none" w:sz="0" w:space="0" w:color="auto"/>
              </w:divBdr>
              <w:divsChild>
                <w:div w:id="166712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673284">
      <w:bodyDiv w:val="1"/>
      <w:marLeft w:val="0"/>
      <w:marRight w:val="0"/>
      <w:marTop w:val="0"/>
      <w:marBottom w:val="0"/>
      <w:divBdr>
        <w:top w:val="none" w:sz="0" w:space="0" w:color="auto"/>
        <w:left w:val="none" w:sz="0" w:space="0" w:color="auto"/>
        <w:bottom w:val="none" w:sz="0" w:space="0" w:color="auto"/>
        <w:right w:val="none" w:sz="0" w:space="0" w:color="auto"/>
      </w:divBdr>
    </w:div>
    <w:div w:id="910236430">
      <w:bodyDiv w:val="1"/>
      <w:marLeft w:val="0"/>
      <w:marRight w:val="0"/>
      <w:marTop w:val="0"/>
      <w:marBottom w:val="0"/>
      <w:divBdr>
        <w:top w:val="none" w:sz="0" w:space="0" w:color="auto"/>
        <w:left w:val="none" w:sz="0" w:space="0" w:color="auto"/>
        <w:bottom w:val="none" w:sz="0" w:space="0" w:color="auto"/>
        <w:right w:val="none" w:sz="0" w:space="0" w:color="auto"/>
      </w:divBdr>
    </w:div>
    <w:div w:id="982272343">
      <w:bodyDiv w:val="1"/>
      <w:marLeft w:val="0"/>
      <w:marRight w:val="0"/>
      <w:marTop w:val="0"/>
      <w:marBottom w:val="0"/>
      <w:divBdr>
        <w:top w:val="none" w:sz="0" w:space="0" w:color="auto"/>
        <w:left w:val="none" w:sz="0" w:space="0" w:color="auto"/>
        <w:bottom w:val="none" w:sz="0" w:space="0" w:color="auto"/>
        <w:right w:val="none" w:sz="0" w:space="0" w:color="auto"/>
      </w:divBdr>
    </w:div>
    <w:div w:id="1025324102">
      <w:bodyDiv w:val="1"/>
      <w:marLeft w:val="0"/>
      <w:marRight w:val="0"/>
      <w:marTop w:val="0"/>
      <w:marBottom w:val="0"/>
      <w:divBdr>
        <w:top w:val="none" w:sz="0" w:space="0" w:color="auto"/>
        <w:left w:val="none" w:sz="0" w:space="0" w:color="auto"/>
        <w:bottom w:val="none" w:sz="0" w:space="0" w:color="auto"/>
        <w:right w:val="none" w:sz="0" w:space="0" w:color="auto"/>
      </w:divBdr>
      <w:divsChild>
        <w:div w:id="201985377">
          <w:marLeft w:val="0"/>
          <w:marRight w:val="0"/>
          <w:marTop w:val="0"/>
          <w:marBottom w:val="0"/>
          <w:divBdr>
            <w:top w:val="none" w:sz="0" w:space="0" w:color="auto"/>
            <w:left w:val="none" w:sz="0" w:space="0" w:color="auto"/>
            <w:bottom w:val="none" w:sz="0" w:space="0" w:color="auto"/>
            <w:right w:val="none" w:sz="0" w:space="0" w:color="auto"/>
          </w:divBdr>
          <w:divsChild>
            <w:div w:id="588579507">
              <w:marLeft w:val="0"/>
              <w:marRight w:val="0"/>
              <w:marTop w:val="0"/>
              <w:marBottom w:val="0"/>
              <w:divBdr>
                <w:top w:val="none" w:sz="0" w:space="0" w:color="auto"/>
                <w:left w:val="none" w:sz="0" w:space="0" w:color="auto"/>
                <w:bottom w:val="none" w:sz="0" w:space="0" w:color="auto"/>
                <w:right w:val="none" w:sz="0" w:space="0" w:color="auto"/>
              </w:divBdr>
              <w:divsChild>
                <w:div w:id="172401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607610">
      <w:bodyDiv w:val="1"/>
      <w:marLeft w:val="0"/>
      <w:marRight w:val="0"/>
      <w:marTop w:val="0"/>
      <w:marBottom w:val="0"/>
      <w:divBdr>
        <w:top w:val="none" w:sz="0" w:space="0" w:color="auto"/>
        <w:left w:val="none" w:sz="0" w:space="0" w:color="auto"/>
        <w:bottom w:val="none" w:sz="0" w:space="0" w:color="auto"/>
        <w:right w:val="none" w:sz="0" w:space="0" w:color="auto"/>
      </w:divBdr>
    </w:div>
    <w:div w:id="1059984736">
      <w:bodyDiv w:val="1"/>
      <w:marLeft w:val="0"/>
      <w:marRight w:val="0"/>
      <w:marTop w:val="0"/>
      <w:marBottom w:val="0"/>
      <w:divBdr>
        <w:top w:val="none" w:sz="0" w:space="0" w:color="auto"/>
        <w:left w:val="none" w:sz="0" w:space="0" w:color="auto"/>
        <w:bottom w:val="none" w:sz="0" w:space="0" w:color="auto"/>
        <w:right w:val="none" w:sz="0" w:space="0" w:color="auto"/>
      </w:divBdr>
      <w:divsChild>
        <w:div w:id="2086997501">
          <w:marLeft w:val="0"/>
          <w:marRight w:val="0"/>
          <w:marTop w:val="0"/>
          <w:marBottom w:val="0"/>
          <w:divBdr>
            <w:top w:val="none" w:sz="0" w:space="0" w:color="auto"/>
            <w:left w:val="none" w:sz="0" w:space="0" w:color="auto"/>
            <w:bottom w:val="none" w:sz="0" w:space="0" w:color="auto"/>
            <w:right w:val="none" w:sz="0" w:space="0" w:color="auto"/>
          </w:divBdr>
          <w:divsChild>
            <w:div w:id="296108036">
              <w:marLeft w:val="0"/>
              <w:marRight w:val="0"/>
              <w:marTop w:val="0"/>
              <w:marBottom w:val="0"/>
              <w:divBdr>
                <w:top w:val="none" w:sz="0" w:space="0" w:color="auto"/>
                <w:left w:val="none" w:sz="0" w:space="0" w:color="auto"/>
                <w:bottom w:val="none" w:sz="0" w:space="0" w:color="auto"/>
                <w:right w:val="none" w:sz="0" w:space="0" w:color="auto"/>
              </w:divBdr>
              <w:divsChild>
                <w:div w:id="725765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289129">
      <w:bodyDiv w:val="1"/>
      <w:marLeft w:val="0"/>
      <w:marRight w:val="0"/>
      <w:marTop w:val="0"/>
      <w:marBottom w:val="0"/>
      <w:divBdr>
        <w:top w:val="none" w:sz="0" w:space="0" w:color="auto"/>
        <w:left w:val="none" w:sz="0" w:space="0" w:color="auto"/>
        <w:bottom w:val="none" w:sz="0" w:space="0" w:color="auto"/>
        <w:right w:val="none" w:sz="0" w:space="0" w:color="auto"/>
      </w:divBdr>
      <w:divsChild>
        <w:div w:id="1346398641">
          <w:marLeft w:val="0"/>
          <w:marRight w:val="0"/>
          <w:marTop w:val="0"/>
          <w:marBottom w:val="0"/>
          <w:divBdr>
            <w:top w:val="none" w:sz="0" w:space="0" w:color="auto"/>
            <w:left w:val="none" w:sz="0" w:space="0" w:color="auto"/>
            <w:bottom w:val="none" w:sz="0" w:space="0" w:color="auto"/>
            <w:right w:val="none" w:sz="0" w:space="0" w:color="auto"/>
          </w:divBdr>
          <w:divsChild>
            <w:div w:id="680205146">
              <w:marLeft w:val="0"/>
              <w:marRight w:val="0"/>
              <w:marTop w:val="0"/>
              <w:marBottom w:val="0"/>
              <w:divBdr>
                <w:top w:val="none" w:sz="0" w:space="0" w:color="auto"/>
                <w:left w:val="none" w:sz="0" w:space="0" w:color="auto"/>
                <w:bottom w:val="none" w:sz="0" w:space="0" w:color="auto"/>
                <w:right w:val="none" w:sz="0" w:space="0" w:color="auto"/>
              </w:divBdr>
              <w:divsChild>
                <w:div w:id="761685554">
                  <w:marLeft w:val="0"/>
                  <w:marRight w:val="0"/>
                  <w:marTop w:val="0"/>
                  <w:marBottom w:val="0"/>
                  <w:divBdr>
                    <w:top w:val="none" w:sz="0" w:space="0" w:color="auto"/>
                    <w:left w:val="none" w:sz="0" w:space="0" w:color="auto"/>
                    <w:bottom w:val="none" w:sz="0" w:space="0" w:color="auto"/>
                    <w:right w:val="none" w:sz="0" w:space="0" w:color="auto"/>
                  </w:divBdr>
                  <w:divsChild>
                    <w:div w:id="197278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476468">
      <w:bodyDiv w:val="1"/>
      <w:marLeft w:val="0"/>
      <w:marRight w:val="0"/>
      <w:marTop w:val="0"/>
      <w:marBottom w:val="0"/>
      <w:divBdr>
        <w:top w:val="none" w:sz="0" w:space="0" w:color="auto"/>
        <w:left w:val="none" w:sz="0" w:space="0" w:color="auto"/>
        <w:bottom w:val="none" w:sz="0" w:space="0" w:color="auto"/>
        <w:right w:val="none" w:sz="0" w:space="0" w:color="auto"/>
      </w:divBdr>
      <w:divsChild>
        <w:div w:id="1412775615">
          <w:marLeft w:val="0"/>
          <w:marRight w:val="0"/>
          <w:marTop w:val="0"/>
          <w:marBottom w:val="0"/>
          <w:divBdr>
            <w:top w:val="none" w:sz="0" w:space="0" w:color="auto"/>
            <w:left w:val="none" w:sz="0" w:space="0" w:color="auto"/>
            <w:bottom w:val="none" w:sz="0" w:space="0" w:color="auto"/>
            <w:right w:val="none" w:sz="0" w:space="0" w:color="auto"/>
          </w:divBdr>
          <w:divsChild>
            <w:div w:id="125054361">
              <w:marLeft w:val="0"/>
              <w:marRight w:val="0"/>
              <w:marTop w:val="0"/>
              <w:marBottom w:val="0"/>
              <w:divBdr>
                <w:top w:val="none" w:sz="0" w:space="0" w:color="auto"/>
                <w:left w:val="none" w:sz="0" w:space="0" w:color="auto"/>
                <w:bottom w:val="none" w:sz="0" w:space="0" w:color="auto"/>
                <w:right w:val="none" w:sz="0" w:space="0" w:color="auto"/>
              </w:divBdr>
              <w:divsChild>
                <w:div w:id="213151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87960">
      <w:bodyDiv w:val="1"/>
      <w:marLeft w:val="0"/>
      <w:marRight w:val="0"/>
      <w:marTop w:val="0"/>
      <w:marBottom w:val="0"/>
      <w:divBdr>
        <w:top w:val="none" w:sz="0" w:space="0" w:color="auto"/>
        <w:left w:val="none" w:sz="0" w:space="0" w:color="auto"/>
        <w:bottom w:val="none" w:sz="0" w:space="0" w:color="auto"/>
        <w:right w:val="none" w:sz="0" w:space="0" w:color="auto"/>
      </w:divBdr>
    </w:div>
    <w:div w:id="1151143231">
      <w:bodyDiv w:val="1"/>
      <w:marLeft w:val="0"/>
      <w:marRight w:val="0"/>
      <w:marTop w:val="0"/>
      <w:marBottom w:val="0"/>
      <w:divBdr>
        <w:top w:val="none" w:sz="0" w:space="0" w:color="auto"/>
        <w:left w:val="none" w:sz="0" w:space="0" w:color="auto"/>
        <w:bottom w:val="none" w:sz="0" w:space="0" w:color="auto"/>
        <w:right w:val="none" w:sz="0" w:space="0" w:color="auto"/>
      </w:divBdr>
    </w:div>
    <w:div w:id="1235972509">
      <w:bodyDiv w:val="1"/>
      <w:marLeft w:val="0"/>
      <w:marRight w:val="0"/>
      <w:marTop w:val="0"/>
      <w:marBottom w:val="0"/>
      <w:divBdr>
        <w:top w:val="none" w:sz="0" w:space="0" w:color="auto"/>
        <w:left w:val="none" w:sz="0" w:space="0" w:color="auto"/>
        <w:bottom w:val="none" w:sz="0" w:space="0" w:color="auto"/>
        <w:right w:val="none" w:sz="0" w:space="0" w:color="auto"/>
      </w:divBdr>
    </w:div>
    <w:div w:id="1257638212">
      <w:bodyDiv w:val="1"/>
      <w:marLeft w:val="0"/>
      <w:marRight w:val="0"/>
      <w:marTop w:val="0"/>
      <w:marBottom w:val="0"/>
      <w:divBdr>
        <w:top w:val="none" w:sz="0" w:space="0" w:color="auto"/>
        <w:left w:val="none" w:sz="0" w:space="0" w:color="auto"/>
        <w:bottom w:val="none" w:sz="0" w:space="0" w:color="auto"/>
        <w:right w:val="none" w:sz="0" w:space="0" w:color="auto"/>
      </w:divBdr>
    </w:div>
    <w:div w:id="1264849464">
      <w:bodyDiv w:val="1"/>
      <w:marLeft w:val="0"/>
      <w:marRight w:val="0"/>
      <w:marTop w:val="0"/>
      <w:marBottom w:val="0"/>
      <w:divBdr>
        <w:top w:val="none" w:sz="0" w:space="0" w:color="auto"/>
        <w:left w:val="none" w:sz="0" w:space="0" w:color="auto"/>
        <w:bottom w:val="none" w:sz="0" w:space="0" w:color="auto"/>
        <w:right w:val="none" w:sz="0" w:space="0" w:color="auto"/>
      </w:divBdr>
    </w:div>
    <w:div w:id="1268082075">
      <w:bodyDiv w:val="1"/>
      <w:marLeft w:val="0"/>
      <w:marRight w:val="0"/>
      <w:marTop w:val="0"/>
      <w:marBottom w:val="0"/>
      <w:divBdr>
        <w:top w:val="none" w:sz="0" w:space="0" w:color="auto"/>
        <w:left w:val="none" w:sz="0" w:space="0" w:color="auto"/>
        <w:bottom w:val="none" w:sz="0" w:space="0" w:color="auto"/>
        <w:right w:val="none" w:sz="0" w:space="0" w:color="auto"/>
      </w:divBdr>
    </w:div>
    <w:div w:id="1282305550">
      <w:bodyDiv w:val="1"/>
      <w:marLeft w:val="0"/>
      <w:marRight w:val="0"/>
      <w:marTop w:val="0"/>
      <w:marBottom w:val="0"/>
      <w:divBdr>
        <w:top w:val="none" w:sz="0" w:space="0" w:color="auto"/>
        <w:left w:val="none" w:sz="0" w:space="0" w:color="auto"/>
        <w:bottom w:val="none" w:sz="0" w:space="0" w:color="auto"/>
        <w:right w:val="none" w:sz="0" w:space="0" w:color="auto"/>
      </w:divBdr>
      <w:divsChild>
        <w:div w:id="757598594">
          <w:marLeft w:val="0"/>
          <w:marRight w:val="0"/>
          <w:marTop w:val="0"/>
          <w:marBottom w:val="0"/>
          <w:divBdr>
            <w:top w:val="none" w:sz="0" w:space="0" w:color="auto"/>
            <w:left w:val="none" w:sz="0" w:space="0" w:color="auto"/>
            <w:bottom w:val="none" w:sz="0" w:space="0" w:color="auto"/>
            <w:right w:val="none" w:sz="0" w:space="0" w:color="auto"/>
          </w:divBdr>
          <w:divsChild>
            <w:div w:id="1210995092">
              <w:marLeft w:val="0"/>
              <w:marRight w:val="0"/>
              <w:marTop w:val="0"/>
              <w:marBottom w:val="0"/>
              <w:divBdr>
                <w:top w:val="none" w:sz="0" w:space="0" w:color="auto"/>
                <w:left w:val="none" w:sz="0" w:space="0" w:color="auto"/>
                <w:bottom w:val="none" w:sz="0" w:space="0" w:color="auto"/>
                <w:right w:val="none" w:sz="0" w:space="0" w:color="auto"/>
              </w:divBdr>
              <w:divsChild>
                <w:div w:id="18232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177117">
      <w:bodyDiv w:val="1"/>
      <w:marLeft w:val="0"/>
      <w:marRight w:val="0"/>
      <w:marTop w:val="0"/>
      <w:marBottom w:val="0"/>
      <w:divBdr>
        <w:top w:val="none" w:sz="0" w:space="0" w:color="auto"/>
        <w:left w:val="none" w:sz="0" w:space="0" w:color="auto"/>
        <w:bottom w:val="none" w:sz="0" w:space="0" w:color="auto"/>
        <w:right w:val="none" w:sz="0" w:space="0" w:color="auto"/>
      </w:divBdr>
      <w:divsChild>
        <w:div w:id="1699308149">
          <w:marLeft w:val="0"/>
          <w:marRight w:val="0"/>
          <w:marTop w:val="0"/>
          <w:marBottom w:val="0"/>
          <w:divBdr>
            <w:top w:val="none" w:sz="0" w:space="0" w:color="auto"/>
            <w:left w:val="none" w:sz="0" w:space="0" w:color="auto"/>
            <w:bottom w:val="none" w:sz="0" w:space="0" w:color="auto"/>
            <w:right w:val="none" w:sz="0" w:space="0" w:color="auto"/>
          </w:divBdr>
          <w:divsChild>
            <w:div w:id="1554344119">
              <w:marLeft w:val="0"/>
              <w:marRight w:val="0"/>
              <w:marTop w:val="0"/>
              <w:marBottom w:val="0"/>
              <w:divBdr>
                <w:top w:val="none" w:sz="0" w:space="0" w:color="auto"/>
                <w:left w:val="none" w:sz="0" w:space="0" w:color="auto"/>
                <w:bottom w:val="none" w:sz="0" w:space="0" w:color="auto"/>
                <w:right w:val="none" w:sz="0" w:space="0" w:color="auto"/>
              </w:divBdr>
              <w:divsChild>
                <w:div w:id="1234927404">
                  <w:marLeft w:val="0"/>
                  <w:marRight w:val="0"/>
                  <w:marTop w:val="0"/>
                  <w:marBottom w:val="0"/>
                  <w:divBdr>
                    <w:top w:val="none" w:sz="0" w:space="0" w:color="auto"/>
                    <w:left w:val="none" w:sz="0" w:space="0" w:color="auto"/>
                    <w:bottom w:val="none" w:sz="0" w:space="0" w:color="auto"/>
                    <w:right w:val="none" w:sz="0" w:space="0" w:color="auto"/>
                  </w:divBdr>
                  <w:divsChild>
                    <w:div w:id="17866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910458">
      <w:bodyDiv w:val="1"/>
      <w:marLeft w:val="0"/>
      <w:marRight w:val="0"/>
      <w:marTop w:val="0"/>
      <w:marBottom w:val="0"/>
      <w:divBdr>
        <w:top w:val="none" w:sz="0" w:space="0" w:color="auto"/>
        <w:left w:val="none" w:sz="0" w:space="0" w:color="auto"/>
        <w:bottom w:val="none" w:sz="0" w:space="0" w:color="auto"/>
        <w:right w:val="none" w:sz="0" w:space="0" w:color="auto"/>
      </w:divBdr>
    </w:div>
    <w:div w:id="1398819332">
      <w:bodyDiv w:val="1"/>
      <w:marLeft w:val="0"/>
      <w:marRight w:val="0"/>
      <w:marTop w:val="0"/>
      <w:marBottom w:val="0"/>
      <w:divBdr>
        <w:top w:val="none" w:sz="0" w:space="0" w:color="auto"/>
        <w:left w:val="none" w:sz="0" w:space="0" w:color="auto"/>
        <w:bottom w:val="none" w:sz="0" w:space="0" w:color="auto"/>
        <w:right w:val="none" w:sz="0" w:space="0" w:color="auto"/>
      </w:divBdr>
      <w:divsChild>
        <w:div w:id="1637488373">
          <w:marLeft w:val="0"/>
          <w:marRight w:val="0"/>
          <w:marTop w:val="0"/>
          <w:marBottom w:val="0"/>
          <w:divBdr>
            <w:top w:val="none" w:sz="0" w:space="0" w:color="auto"/>
            <w:left w:val="none" w:sz="0" w:space="0" w:color="auto"/>
            <w:bottom w:val="none" w:sz="0" w:space="0" w:color="auto"/>
            <w:right w:val="none" w:sz="0" w:space="0" w:color="auto"/>
          </w:divBdr>
          <w:divsChild>
            <w:div w:id="411203081">
              <w:marLeft w:val="0"/>
              <w:marRight w:val="0"/>
              <w:marTop w:val="0"/>
              <w:marBottom w:val="0"/>
              <w:divBdr>
                <w:top w:val="none" w:sz="0" w:space="0" w:color="auto"/>
                <w:left w:val="none" w:sz="0" w:space="0" w:color="auto"/>
                <w:bottom w:val="none" w:sz="0" w:space="0" w:color="auto"/>
                <w:right w:val="none" w:sz="0" w:space="0" w:color="auto"/>
              </w:divBdr>
              <w:divsChild>
                <w:div w:id="1819565907">
                  <w:marLeft w:val="0"/>
                  <w:marRight w:val="0"/>
                  <w:marTop w:val="0"/>
                  <w:marBottom w:val="0"/>
                  <w:divBdr>
                    <w:top w:val="none" w:sz="0" w:space="0" w:color="auto"/>
                    <w:left w:val="none" w:sz="0" w:space="0" w:color="auto"/>
                    <w:bottom w:val="none" w:sz="0" w:space="0" w:color="auto"/>
                    <w:right w:val="none" w:sz="0" w:space="0" w:color="auto"/>
                  </w:divBdr>
                  <w:divsChild>
                    <w:div w:id="65306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2334100">
      <w:bodyDiv w:val="1"/>
      <w:marLeft w:val="0"/>
      <w:marRight w:val="0"/>
      <w:marTop w:val="0"/>
      <w:marBottom w:val="0"/>
      <w:divBdr>
        <w:top w:val="none" w:sz="0" w:space="0" w:color="auto"/>
        <w:left w:val="none" w:sz="0" w:space="0" w:color="auto"/>
        <w:bottom w:val="none" w:sz="0" w:space="0" w:color="auto"/>
        <w:right w:val="none" w:sz="0" w:space="0" w:color="auto"/>
      </w:divBdr>
      <w:divsChild>
        <w:div w:id="1698893630">
          <w:marLeft w:val="0"/>
          <w:marRight w:val="0"/>
          <w:marTop w:val="0"/>
          <w:marBottom w:val="0"/>
          <w:divBdr>
            <w:top w:val="none" w:sz="0" w:space="0" w:color="auto"/>
            <w:left w:val="none" w:sz="0" w:space="0" w:color="auto"/>
            <w:bottom w:val="none" w:sz="0" w:space="0" w:color="auto"/>
            <w:right w:val="none" w:sz="0" w:space="0" w:color="auto"/>
          </w:divBdr>
          <w:divsChild>
            <w:div w:id="1943222011">
              <w:marLeft w:val="0"/>
              <w:marRight w:val="0"/>
              <w:marTop w:val="0"/>
              <w:marBottom w:val="0"/>
              <w:divBdr>
                <w:top w:val="none" w:sz="0" w:space="0" w:color="auto"/>
                <w:left w:val="none" w:sz="0" w:space="0" w:color="auto"/>
                <w:bottom w:val="none" w:sz="0" w:space="0" w:color="auto"/>
                <w:right w:val="none" w:sz="0" w:space="0" w:color="auto"/>
              </w:divBdr>
              <w:divsChild>
                <w:div w:id="102571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083891">
      <w:bodyDiv w:val="1"/>
      <w:marLeft w:val="0"/>
      <w:marRight w:val="0"/>
      <w:marTop w:val="0"/>
      <w:marBottom w:val="0"/>
      <w:divBdr>
        <w:top w:val="none" w:sz="0" w:space="0" w:color="auto"/>
        <w:left w:val="none" w:sz="0" w:space="0" w:color="auto"/>
        <w:bottom w:val="none" w:sz="0" w:space="0" w:color="auto"/>
        <w:right w:val="none" w:sz="0" w:space="0" w:color="auto"/>
      </w:divBdr>
      <w:divsChild>
        <w:div w:id="1068964878">
          <w:marLeft w:val="0"/>
          <w:marRight w:val="0"/>
          <w:marTop w:val="0"/>
          <w:marBottom w:val="0"/>
          <w:divBdr>
            <w:top w:val="none" w:sz="0" w:space="0" w:color="auto"/>
            <w:left w:val="none" w:sz="0" w:space="0" w:color="auto"/>
            <w:bottom w:val="none" w:sz="0" w:space="0" w:color="auto"/>
            <w:right w:val="none" w:sz="0" w:space="0" w:color="auto"/>
          </w:divBdr>
          <w:divsChild>
            <w:div w:id="565259025">
              <w:marLeft w:val="0"/>
              <w:marRight w:val="0"/>
              <w:marTop w:val="0"/>
              <w:marBottom w:val="0"/>
              <w:divBdr>
                <w:top w:val="none" w:sz="0" w:space="0" w:color="auto"/>
                <w:left w:val="none" w:sz="0" w:space="0" w:color="auto"/>
                <w:bottom w:val="none" w:sz="0" w:space="0" w:color="auto"/>
                <w:right w:val="none" w:sz="0" w:space="0" w:color="auto"/>
              </w:divBdr>
              <w:divsChild>
                <w:div w:id="489177707">
                  <w:marLeft w:val="0"/>
                  <w:marRight w:val="0"/>
                  <w:marTop w:val="0"/>
                  <w:marBottom w:val="0"/>
                  <w:divBdr>
                    <w:top w:val="none" w:sz="0" w:space="0" w:color="auto"/>
                    <w:left w:val="none" w:sz="0" w:space="0" w:color="auto"/>
                    <w:bottom w:val="none" w:sz="0" w:space="0" w:color="auto"/>
                    <w:right w:val="none" w:sz="0" w:space="0" w:color="auto"/>
                  </w:divBdr>
                  <w:divsChild>
                    <w:div w:id="116150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551877">
      <w:bodyDiv w:val="1"/>
      <w:marLeft w:val="0"/>
      <w:marRight w:val="0"/>
      <w:marTop w:val="0"/>
      <w:marBottom w:val="0"/>
      <w:divBdr>
        <w:top w:val="none" w:sz="0" w:space="0" w:color="auto"/>
        <w:left w:val="none" w:sz="0" w:space="0" w:color="auto"/>
        <w:bottom w:val="none" w:sz="0" w:space="0" w:color="auto"/>
        <w:right w:val="none" w:sz="0" w:space="0" w:color="auto"/>
      </w:divBdr>
      <w:divsChild>
        <w:div w:id="148834337">
          <w:marLeft w:val="0"/>
          <w:marRight w:val="0"/>
          <w:marTop w:val="0"/>
          <w:marBottom w:val="0"/>
          <w:divBdr>
            <w:top w:val="none" w:sz="0" w:space="0" w:color="auto"/>
            <w:left w:val="none" w:sz="0" w:space="0" w:color="auto"/>
            <w:bottom w:val="none" w:sz="0" w:space="0" w:color="auto"/>
            <w:right w:val="none" w:sz="0" w:space="0" w:color="auto"/>
          </w:divBdr>
          <w:divsChild>
            <w:div w:id="1510679117">
              <w:marLeft w:val="0"/>
              <w:marRight w:val="0"/>
              <w:marTop w:val="0"/>
              <w:marBottom w:val="0"/>
              <w:divBdr>
                <w:top w:val="none" w:sz="0" w:space="0" w:color="auto"/>
                <w:left w:val="none" w:sz="0" w:space="0" w:color="auto"/>
                <w:bottom w:val="none" w:sz="0" w:space="0" w:color="auto"/>
                <w:right w:val="none" w:sz="0" w:space="0" w:color="auto"/>
              </w:divBdr>
              <w:divsChild>
                <w:div w:id="1855998566">
                  <w:marLeft w:val="0"/>
                  <w:marRight w:val="0"/>
                  <w:marTop w:val="0"/>
                  <w:marBottom w:val="0"/>
                  <w:divBdr>
                    <w:top w:val="none" w:sz="0" w:space="0" w:color="auto"/>
                    <w:left w:val="none" w:sz="0" w:space="0" w:color="auto"/>
                    <w:bottom w:val="none" w:sz="0" w:space="0" w:color="auto"/>
                    <w:right w:val="none" w:sz="0" w:space="0" w:color="auto"/>
                  </w:divBdr>
                  <w:divsChild>
                    <w:div w:id="25155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117212">
      <w:bodyDiv w:val="1"/>
      <w:marLeft w:val="0"/>
      <w:marRight w:val="0"/>
      <w:marTop w:val="0"/>
      <w:marBottom w:val="0"/>
      <w:divBdr>
        <w:top w:val="none" w:sz="0" w:space="0" w:color="auto"/>
        <w:left w:val="none" w:sz="0" w:space="0" w:color="auto"/>
        <w:bottom w:val="none" w:sz="0" w:space="0" w:color="auto"/>
        <w:right w:val="none" w:sz="0" w:space="0" w:color="auto"/>
      </w:divBdr>
      <w:divsChild>
        <w:div w:id="268777178">
          <w:marLeft w:val="0"/>
          <w:marRight w:val="0"/>
          <w:marTop w:val="0"/>
          <w:marBottom w:val="0"/>
          <w:divBdr>
            <w:top w:val="none" w:sz="0" w:space="0" w:color="auto"/>
            <w:left w:val="none" w:sz="0" w:space="0" w:color="auto"/>
            <w:bottom w:val="none" w:sz="0" w:space="0" w:color="auto"/>
            <w:right w:val="none" w:sz="0" w:space="0" w:color="auto"/>
          </w:divBdr>
          <w:divsChild>
            <w:div w:id="1486583490">
              <w:marLeft w:val="0"/>
              <w:marRight w:val="0"/>
              <w:marTop w:val="0"/>
              <w:marBottom w:val="0"/>
              <w:divBdr>
                <w:top w:val="none" w:sz="0" w:space="0" w:color="auto"/>
                <w:left w:val="none" w:sz="0" w:space="0" w:color="auto"/>
                <w:bottom w:val="none" w:sz="0" w:space="0" w:color="auto"/>
                <w:right w:val="none" w:sz="0" w:space="0" w:color="auto"/>
              </w:divBdr>
              <w:divsChild>
                <w:div w:id="1502816397">
                  <w:marLeft w:val="0"/>
                  <w:marRight w:val="0"/>
                  <w:marTop w:val="0"/>
                  <w:marBottom w:val="0"/>
                  <w:divBdr>
                    <w:top w:val="none" w:sz="0" w:space="0" w:color="auto"/>
                    <w:left w:val="none" w:sz="0" w:space="0" w:color="auto"/>
                    <w:bottom w:val="none" w:sz="0" w:space="0" w:color="auto"/>
                    <w:right w:val="none" w:sz="0" w:space="0" w:color="auto"/>
                  </w:divBdr>
                  <w:divsChild>
                    <w:div w:id="721172306">
                      <w:marLeft w:val="0"/>
                      <w:marRight w:val="0"/>
                      <w:marTop w:val="0"/>
                      <w:marBottom w:val="0"/>
                      <w:divBdr>
                        <w:top w:val="none" w:sz="0" w:space="0" w:color="auto"/>
                        <w:left w:val="none" w:sz="0" w:space="0" w:color="auto"/>
                        <w:bottom w:val="none" w:sz="0" w:space="0" w:color="auto"/>
                        <w:right w:val="none" w:sz="0" w:space="0" w:color="auto"/>
                      </w:divBdr>
                    </w:div>
                  </w:divsChild>
                </w:div>
                <w:div w:id="446237712">
                  <w:marLeft w:val="0"/>
                  <w:marRight w:val="0"/>
                  <w:marTop w:val="0"/>
                  <w:marBottom w:val="0"/>
                  <w:divBdr>
                    <w:top w:val="none" w:sz="0" w:space="0" w:color="auto"/>
                    <w:left w:val="none" w:sz="0" w:space="0" w:color="auto"/>
                    <w:bottom w:val="none" w:sz="0" w:space="0" w:color="auto"/>
                    <w:right w:val="none" w:sz="0" w:space="0" w:color="auto"/>
                  </w:divBdr>
                  <w:divsChild>
                    <w:div w:id="1194802960">
                      <w:marLeft w:val="0"/>
                      <w:marRight w:val="0"/>
                      <w:marTop w:val="0"/>
                      <w:marBottom w:val="0"/>
                      <w:divBdr>
                        <w:top w:val="none" w:sz="0" w:space="0" w:color="auto"/>
                        <w:left w:val="none" w:sz="0" w:space="0" w:color="auto"/>
                        <w:bottom w:val="none" w:sz="0" w:space="0" w:color="auto"/>
                        <w:right w:val="none" w:sz="0" w:space="0" w:color="auto"/>
                      </w:divBdr>
                    </w:div>
                    <w:div w:id="1403406075">
                      <w:marLeft w:val="0"/>
                      <w:marRight w:val="0"/>
                      <w:marTop w:val="0"/>
                      <w:marBottom w:val="0"/>
                      <w:divBdr>
                        <w:top w:val="none" w:sz="0" w:space="0" w:color="auto"/>
                        <w:left w:val="none" w:sz="0" w:space="0" w:color="auto"/>
                        <w:bottom w:val="none" w:sz="0" w:space="0" w:color="auto"/>
                        <w:right w:val="none" w:sz="0" w:space="0" w:color="auto"/>
                      </w:divBdr>
                    </w:div>
                  </w:divsChild>
                </w:div>
                <w:div w:id="348680365">
                  <w:marLeft w:val="0"/>
                  <w:marRight w:val="0"/>
                  <w:marTop w:val="0"/>
                  <w:marBottom w:val="0"/>
                  <w:divBdr>
                    <w:top w:val="none" w:sz="0" w:space="0" w:color="auto"/>
                    <w:left w:val="none" w:sz="0" w:space="0" w:color="auto"/>
                    <w:bottom w:val="none" w:sz="0" w:space="0" w:color="auto"/>
                    <w:right w:val="none" w:sz="0" w:space="0" w:color="auto"/>
                  </w:divBdr>
                  <w:divsChild>
                    <w:div w:id="119997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626130">
      <w:bodyDiv w:val="1"/>
      <w:marLeft w:val="0"/>
      <w:marRight w:val="0"/>
      <w:marTop w:val="0"/>
      <w:marBottom w:val="0"/>
      <w:divBdr>
        <w:top w:val="none" w:sz="0" w:space="0" w:color="auto"/>
        <w:left w:val="none" w:sz="0" w:space="0" w:color="auto"/>
        <w:bottom w:val="none" w:sz="0" w:space="0" w:color="auto"/>
        <w:right w:val="none" w:sz="0" w:space="0" w:color="auto"/>
      </w:divBdr>
    </w:div>
    <w:div w:id="1563296827">
      <w:bodyDiv w:val="1"/>
      <w:marLeft w:val="0"/>
      <w:marRight w:val="0"/>
      <w:marTop w:val="0"/>
      <w:marBottom w:val="0"/>
      <w:divBdr>
        <w:top w:val="none" w:sz="0" w:space="0" w:color="auto"/>
        <w:left w:val="none" w:sz="0" w:space="0" w:color="auto"/>
        <w:bottom w:val="none" w:sz="0" w:space="0" w:color="auto"/>
        <w:right w:val="none" w:sz="0" w:space="0" w:color="auto"/>
      </w:divBdr>
    </w:div>
    <w:div w:id="1571229642">
      <w:bodyDiv w:val="1"/>
      <w:marLeft w:val="0"/>
      <w:marRight w:val="0"/>
      <w:marTop w:val="0"/>
      <w:marBottom w:val="0"/>
      <w:divBdr>
        <w:top w:val="none" w:sz="0" w:space="0" w:color="auto"/>
        <w:left w:val="none" w:sz="0" w:space="0" w:color="auto"/>
        <w:bottom w:val="none" w:sz="0" w:space="0" w:color="auto"/>
        <w:right w:val="none" w:sz="0" w:space="0" w:color="auto"/>
      </w:divBdr>
    </w:div>
    <w:div w:id="1579368194">
      <w:bodyDiv w:val="1"/>
      <w:marLeft w:val="0"/>
      <w:marRight w:val="0"/>
      <w:marTop w:val="0"/>
      <w:marBottom w:val="0"/>
      <w:divBdr>
        <w:top w:val="none" w:sz="0" w:space="0" w:color="auto"/>
        <w:left w:val="none" w:sz="0" w:space="0" w:color="auto"/>
        <w:bottom w:val="none" w:sz="0" w:space="0" w:color="auto"/>
        <w:right w:val="none" w:sz="0" w:space="0" w:color="auto"/>
      </w:divBdr>
      <w:divsChild>
        <w:div w:id="548870">
          <w:marLeft w:val="0"/>
          <w:marRight w:val="0"/>
          <w:marTop w:val="0"/>
          <w:marBottom w:val="0"/>
          <w:divBdr>
            <w:top w:val="none" w:sz="0" w:space="0" w:color="auto"/>
            <w:left w:val="none" w:sz="0" w:space="0" w:color="auto"/>
            <w:bottom w:val="none" w:sz="0" w:space="0" w:color="auto"/>
            <w:right w:val="none" w:sz="0" w:space="0" w:color="auto"/>
          </w:divBdr>
          <w:divsChild>
            <w:div w:id="1361201100">
              <w:marLeft w:val="0"/>
              <w:marRight w:val="0"/>
              <w:marTop w:val="0"/>
              <w:marBottom w:val="0"/>
              <w:divBdr>
                <w:top w:val="none" w:sz="0" w:space="0" w:color="auto"/>
                <w:left w:val="none" w:sz="0" w:space="0" w:color="auto"/>
                <w:bottom w:val="none" w:sz="0" w:space="0" w:color="auto"/>
                <w:right w:val="none" w:sz="0" w:space="0" w:color="auto"/>
              </w:divBdr>
              <w:divsChild>
                <w:div w:id="1190797183">
                  <w:marLeft w:val="0"/>
                  <w:marRight w:val="0"/>
                  <w:marTop w:val="0"/>
                  <w:marBottom w:val="0"/>
                  <w:divBdr>
                    <w:top w:val="none" w:sz="0" w:space="0" w:color="auto"/>
                    <w:left w:val="none" w:sz="0" w:space="0" w:color="auto"/>
                    <w:bottom w:val="none" w:sz="0" w:space="0" w:color="auto"/>
                    <w:right w:val="none" w:sz="0" w:space="0" w:color="auto"/>
                  </w:divBdr>
                  <w:divsChild>
                    <w:div w:id="200770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127048">
      <w:bodyDiv w:val="1"/>
      <w:marLeft w:val="0"/>
      <w:marRight w:val="0"/>
      <w:marTop w:val="0"/>
      <w:marBottom w:val="0"/>
      <w:divBdr>
        <w:top w:val="none" w:sz="0" w:space="0" w:color="auto"/>
        <w:left w:val="none" w:sz="0" w:space="0" w:color="auto"/>
        <w:bottom w:val="none" w:sz="0" w:space="0" w:color="auto"/>
        <w:right w:val="none" w:sz="0" w:space="0" w:color="auto"/>
      </w:divBdr>
    </w:div>
    <w:div w:id="1655254805">
      <w:bodyDiv w:val="1"/>
      <w:marLeft w:val="0"/>
      <w:marRight w:val="0"/>
      <w:marTop w:val="0"/>
      <w:marBottom w:val="0"/>
      <w:divBdr>
        <w:top w:val="none" w:sz="0" w:space="0" w:color="auto"/>
        <w:left w:val="none" w:sz="0" w:space="0" w:color="auto"/>
        <w:bottom w:val="none" w:sz="0" w:space="0" w:color="auto"/>
        <w:right w:val="none" w:sz="0" w:space="0" w:color="auto"/>
      </w:divBdr>
    </w:div>
    <w:div w:id="1680423533">
      <w:bodyDiv w:val="1"/>
      <w:marLeft w:val="0"/>
      <w:marRight w:val="0"/>
      <w:marTop w:val="0"/>
      <w:marBottom w:val="0"/>
      <w:divBdr>
        <w:top w:val="none" w:sz="0" w:space="0" w:color="auto"/>
        <w:left w:val="none" w:sz="0" w:space="0" w:color="auto"/>
        <w:bottom w:val="none" w:sz="0" w:space="0" w:color="auto"/>
        <w:right w:val="none" w:sz="0" w:space="0" w:color="auto"/>
      </w:divBdr>
    </w:div>
    <w:div w:id="1683897715">
      <w:bodyDiv w:val="1"/>
      <w:marLeft w:val="0"/>
      <w:marRight w:val="0"/>
      <w:marTop w:val="0"/>
      <w:marBottom w:val="0"/>
      <w:divBdr>
        <w:top w:val="none" w:sz="0" w:space="0" w:color="auto"/>
        <w:left w:val="none" w:sz="0" w:space="0" w:color="auto"/>
        <w:bottom w:val="none" w:sz="0" w:space="0" w:color="auto"/>
        <w:right w:val="none" w:sz="0" w:space="0" w:color="auto"/>
      </w:divBdr>
    </w:div>
    <w:div w:id="1694726095">
      <w:bodyDiv w:val="1"/>
      <w:marLeft w:val="0"/>
      <w:marRight w:val="0"/>
      <w:marTop w:val="0"/>
      <w:marBottom w:val="0"/>
      <w:divBdr>
        <w:top w:val="none" w:sz="0" w:space="0" w:color="auto"/>
        <w:left w:val="none" w:sz="0" w:space="0" w:color="auto"/>
        <w:bottom w:val="none" w:sz="0" w:space="0" w:color="auto"/>
        <w:right w:val="none" w:sz="0" w:space="0" w:color="auto"/>
      </w:divBdr>
      <w:divsChild>
        <w:div w:id="1725635955">
          <w:marLeft w:val="0"/>
          <w:marRight w:val="0"/>
          <w:marTop w:val="0"/>
          <w:marBottom w:val="0"/>
          <w:divBdr>
            <w:top w:val="none" w:sz="0" w:space="0" w:color="auto"/>
            <w:left w:val="none" w:sz="0" w:space="0" w:color="auto"/>
            <w:bottom w:val="none" w:sz="0" w:space="0" w:color="auto"/>
            <w:right w:val="none" w:sz="0" w:space="0" w:color="auto"/>
          </w:divBdr>
          <w:divsChild>
            <w:div w:id="708913478">
              <w:marLeft w:val="0"/>
              <w:marRight w:val="0"/>
              <w:marTop w:val="0"/>
              <w:marBottom w:val="0"/>
              <w:divBdr>
                <w:top w:val="none" w:sz="0" w:space="0" w:color="auto"/>
                <w:left w:val="none" w:sz="0" w:space="0" w:color="auto"/>
                <w:bottom w:val="none" w:sz="0" w:space="0" w:color="auto"/>
                <w:right w:val="none" w:sz="0" w:space="0" w:color="auto"/>
              </w:divBdr>
              <w:divsChild>
                <w:div w:id="1212771570">
                  <w:marLeft w:val="0"/>
                  <w:marRight w:val="0"/>
                  <w:marTop w:val="0"/>
                  <w:marBottom w:val="0"/>
                  <w:divBdr>
                    <w:top w:val="none" w:sz="0" w:space="0" w:color="auto"/>
                    <w:left w:val="none" w:sz="0" w:space="0" w:color="auto"/>
                    <w:bottom w:val="none" w:sz="0" w:space="0" w:color="auto"/>
                    <w:right w:val="none" w:sz="0" w:space="0" w:color="auto"/>
                  </w:divBdr>
                  <w:divsChild>
                    <w:div w:id="146415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882660">
      <w:bodyDiv w:val="1"/>
      <w:marLeft w:val="0"/>
      <w:marRight w:val="0"/>
      <w:marTop w:val="0"/>
      <w:marBottom w:val="0"/>
      <w:divBdr>
        <w:top w:val="none" w:sz="0" w:space="0" w:color="auto"/>
        <w:left w:val="none" w:sz="0" w:space="0" w:color="auto"/>
        <w:bottom w:val="none" w:sz="0" w:space="0" w:color="auto"/>
        <w:right w:val="none" w:sz="0" w:space="0" w:color="auto"/>
      </w:divBdr>
      <w:divsChild>
        <w:div w:id="1653368098">
          <w:marLeft w:val="0"/>
          <w:marRight w:val="0"/>
          <w:marTop w:val="0"/>
          <w:marBottom w:val="0"/>
          <w:divBdr>
            <w:top w:val="none" w:sz="0" w:space="0" w:color="auto"/>
            <w:left w:val="none" w:sz="0" w:space="0" w:color="auto"/>
            <w:bottom w:val="none" w:sz="0" w:space="0" w:color="auto"/>
            <w:right w:val="none" w:sz="0" w:space="0" w:color="auto"/>
          </w:divBdr>
          <w:divsChild>
            <w:div w:id="211310317">
              <w:marLeft w:val="0"/>
              <w:marRight w:val="0"/>
              <w:marTop w:val="0"/>
              <w:marBottom w:val="0"/>
              <w:divBdr>
                <w:top w:val="none" w:sz="0" w:space="0" w:color="auto"/>
                <w:left w:val="none" w:sz="0" w:space="0" w:color="auto"/>
                <w:bottom w:val="none" w:sz="0" w:space="0" w:color="auto"/>
                <w:right w:val="none" w:sz="0" w:space="0" w:color="auto"/>
              </w:divBdr>
              <w:divsChild>
                <w:div w:id="114146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602905">
      <w:bodyDiv w:val="1"/>
      <w:marLeft w:val="0"/>
      <w:marRight w:val="0"/>
      <w:marTop w:val="0"/>
      <w:marBottom w:val="0"/>
      <w:divBdr>
        <w:top w:val="none" w:sz="0" w:space="0" w:color="auto"/>
        <w:left w:val="none" w:sz="0" w:space="0" w:color="auto"/>
        <w:bottom w:val="none" w:sz="0" w:space="0" w:color="auto"/>
        <w:right w:val="none" w:sz="0" w:space="0" w:color="auto"/>
      </w:divBdr>
      <w:divsChild>
        <w:div w:id="1976787837">
          <w:marLeft w:val="0"/>
          <w:marRight w:val="0"/>
          <w:marTop w:val="0"/>
          <w:marBottom w:val="0"/>
          <w:divBdr>
            <w:top w:val="none" w:sz="0" w:space="0" w:color="auto"/>
            <w:left w:val="none" w:sz="0" w:space="0" w:color="auto"/>
            <w:bottom w:val="none" w:sz="0" w:space="0" w:color="auto"/>
            <w:right w:val="none" w:sz="0" w:space="0" w:color="auto"/>
          </w:divBdr>
          <w:divsChild>
            <w:div w:id="683358992">
              <w:marLeft w:val="0"/>
              <w:marRight w:val="0"/>
              <w:marTop w:val="0"/>
              <w:marBottom w:val="0"/>
              <w:divBdr>
                <w:top w:val="none" w:sz="0" w:space="0" w:color="auto"/>
                <w:left w:val="none" w:sz="0" w:space="0" w:color="auto"/>
                <w:bottom w:val="none" w:sz="0" w:space="0" w:color="auto"/>
                <w:right w:val="none" w:sz="0" w:space="0" w:color="auto"/>
              </w:divBdr>
              <w:divsChild>
                <w:div w:id="156305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995874">
      <w:bodyDiv w:val="1"/>
      <w:marLeft w:val="0"/>
      <w:marRight w:val="0"/>
      <w:marTop w:val="0"/>
      <w:marBottom w:val="0"/>
      <w:divBdr>
        <w:top w:val="none" w:sz="0" w:space="0" w:color="auto"/>
        <w:left w:val="none" w:sz="0" w:space="0" w:color="auto"/>
        <w:bottom w:val="none" w:sz="0" w:space="0" w:color="auto"/>
        <w:right w:val="none" w:sz="0" w:space="0" w:color="auto"/>
      </w:divBdr>
      <w:divsChild>
        <w:div w:id="1637031861">
          <w:marLeft w:val="0"/>
          <w:marRight w:val="0"/>
          <w:marTop w:val="0"/>
          <w:marBottom w:val="0"/>
          <w:divBdr>
            <w:top w:val="none" w:sz="0" w:space="0" w:color="auto"/>
            <w:left w:val="none" w:sz="0" w:space="0" w:color="auto"/>
            <w:bottom w:val="none" w:sz="0" w:space="0" w:color="auto"/>
            <w:right w:val="none" w:sz="0" w:space="0" w:color="auto"/>
          </w:divBdr>
          <w:divsChild>
            <w:div w:id="1592470877">
              <w:marLeft w:val="0"/>
              <w:marRight w:val="0"/>
              <w:marTop w:val="0"/>
              <w:marBottom w:val="0"/>
              <w:divBdr>
                <w:top w:val="none" w:sz="0" w:space="0" w:color="auto"/>
                <w:left w:val="none" w:sz="0" w:space="0" w:color="auto"/>
                <w:bottom w:val="none" w:sz="0" w:space="0" w:color="auto"/>
                <w:right w:val="none" w:sz="0" w:space="0" w:color="auto"/>
              </w:divBdr>
              <w:divsChild>
                <w:div w:id="103588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346552">
      <w:bodyDiv w:val="1"/>
      <w:marLeft w:val="0"/>
      <w:marRight w:val="0"/>
      <w:marTop w:val="0"/>
      <w:marBottom w:val="0"/>
      <w:divBdr>
        <w:top w:val="none" w:sz="0" w:space="0" w:color="auto"/>
        <w:left w:val="none" w:sz="0" w:space="0" w:color="auto"/>
        <w:bottom w:val="none" w:sz="0" w:space="0" w:color="auto"/>
        <w:right w:val="none" w:sz="0" w:space="0" w:color="auto"/>
      </w:divBdr>
      <w:divsChild>
        <w:div w:id="1216506633">
          <w:marLeft w:val="0"/>
          <w:marRight w:val="0"/>
          <w:marTop w:val="0"/>
          <w:marBottom w:val="0"/>
          <w:divBdr>
            <w:top w:val="none" w:sz="0" w:space="0" w:color="auto"/>
            <w:left w:val="none" w:sz="0" w:space="0" w:color="auto"/>
            <w:bottom w:val="none" w:sz="0" w:space="0" w:color="auto"/>
            <w:right w:val="none" w:sz="0" w:space="0" w:color="auto"/>
          </w:divBdr>
          <w:divsChild>
            <w:div w:id="926230527">
              <w:marLeft w:val="0"/>
              <w:marRight w:val="0"/>
              <w:marTop w:val="0"/>
              <w:marBottom w:val="0"/>
              <w:divBdr>
                <w:top w:val="none" w:sz="0" w:space="0" w:color="auto"/>
                <w:left w:val="none" w:sz="0" w:space="0" w:color="auto"/>
                <w:bottom w:val="none" w:sz="0" w:space="0" w:color="auto"/>
                <w:right w:val="none" w:sz="0" w:space="0" w:color="auto"/>
              </w:divBdr>
              <w:divsChild>
                <w:div w:id="501244966">
                  <w:marLeft w:val="0"/>
                  <w:marRight w:val="0"/>
                  <w:marTop w:val="0"/>
                  <w:marBottom w:val="0"/>
                  <w:divBdr>
                    <w:top w:val="none" w:sz="0" w:space="0" w:color="auto"/>
                    <w:left w:val="none" w:sz="0" w:space="0" w:color="auto"/>
                    <w:bottom w:val="none" w:sz="0" w:space="0" w:color="auto"/>
                    <w:right w:val="none" w:sz="0" w:space="0" w:color="auto"/>
                  </w:divBdr>
                </w:div>
              </w:divsChild>
            </w:div>
            <w:div w:id="1931766906">
              <w:marLeft w:val="0"/>
              <w:marRight w:val="0"/>
              <w:marTop w:val="0"/>
              <w:marBottom w:val="0"/>
              <w:divBdr>
                <w:top w:val="none" w:sz="0" w:space="0" w:color="auto"/>
                <w:left w:val="none" w:sz="0" w:space="0" w:color="auto"/>
                <w:bottom w:val="none" w:sz="0" w:space="0" w:color="auto"/>
                <w:right w:val="none" w:sz="0" w:space="0" w:color="auto"/>
              </w:divBdr>
              <w:divsChild>
                <w:div w:id="2089840801">
                  <w:marLeft w:val="0"/>
                  <w:marRight w:val="0"/>
                  <w:marTop w:val="0"/>
                  <w:marBottom w:val="0"/>
                  <w:divBdr>
                    <w:top w:val="none" w:sz="0" w:space="0" w:color="auto"/>
                    <w:left w:val="none" w:sz="0" w:space="0" w:color="auto"/>
                    <w:bottom w:val="none" w:sz="0" w:space="0" w:color="auto"/>
                    <w:right w:val="none" w:sz="0" w:space="0" w:color="auto"/>
                  </w:divBdr>
                </w:div>
              </w:divsChild>
            </w:div>
            <w:div w:id="2114202713">
              <w:marLeft w:val="0"/>
              <w:marRight w:val="0"/>
              <w:marTop w:val="0"/>
              <w:marBottom w:val="0"/>
              <w:divBdr>
                <w:top w:val="none" w:sz="0" w:space="0" w:color="auto"/>
                <w:left w:val="none" w:sz="0" w:space="0" w:color="auto"/>
                <w:bottom w:val="none" w:sz="0" w:space="0" w:color="auto"/>
                <w:right w:val="none" w:sz="0" w:space="0" w:color="auto"/>
              </w:divBdr>
              <w:divsChild>
                <w:div w:id="941960889">
                  <w:marLeft w:val="0"/>
                  <w:marRight w:val="0"/>
                  <w:marTop w:val="0"/>
                  <w:marBottom w:val="0"/>
                  <w:divBdr>
                    <w:top w:val="none" w:sz="0" w:space="0" w:color="auto"/>
                    <w:left w:val="none" w:sz="0" w:space="0" w:color="auto"/>
                    <w:bottom w:val="none" w:sz="0" w:space="0" w:color="auto"/>
                    <w:right w:val="none" w:sz="0" w:space="0" w:color="auto"/>
                  </w:divBdr>
                </w:div>
              </w:divsChild>
            </w:div>
            <w:div w:id="1147088993">
              <w:marLeft w:val="0"/>
              <w:marRight w:val="0"/>
              <w:marTop w:val="0"/>
              <w:marBottom w:val="0"/>
              <w:divBdr>
                <w:top w:val="none" w:sz="0" w:space="0" w:color="auto"/>
                <w:left w:val="none" w:sz="0" w:space="0" w:color="auto"/>
                <w:bottom w:val="none" w:sz="0" w:space="0" w:color="auto"/>
                <w:right w:val="none" w:sz="0" w:space="0" w:color="auto"/>
              </w:divBdr>
              <w:divsChild>
                <w:div w:id="2005427642">
                  <w:marLeft w:val="0"/>
                  <w:marRight w:val="0"/>
                  <w:marTop w:val="0"/>
                  <w:marBottom w:val="0"/>
                  <w:divBdr>
                    <w:top w:val="none" w:sz="0" w:space="0" w:color="auto"/>
                    <w:left w:val="none" w:sz="0" w:space="0" w:color="auto"/>
                    <w:bottom w:val="none" w:sz="0" w:space="0" w:color="auto"/>
                    <w:right w:val="none" w:sz="0" w:space="0" w:color="auto"/>
                  </w:divBdr>
                </w:div>
              </w:divsChild>
            </w:div>
            <w:div w:id="507986840">
              <w:marLeft w:val="0"/>
              <w:marRight w:val="0"/>
              <w:marTop w:val="0"/>
              <w:marBottom w:val="0"/>
              <w:divBdr>
                <w:top w:val="none" w:sz="0" w:space="0" w:color="auto"/>
                <w:left w:val="none" w:sz="0" w:space="0" w:color="auto"/>
                <w:bottom w:val="none" w:sz="0" w:space="0" w:color="auto"/>
                <w:right w:val="none" w:sz="0" w:space="0" w:color="auto"/>
              </w:divBdr>
              <w:divsChild>
                <w:div w:id="372656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274633">
      <w:bodyDiv w:val="1"/>
      <w:marLeft w:val="0"/>
      <w:marRight w:val="0"/>
      <w:marTop w:val="0"/>
      <w:marBottom w:val="0"/>
      <w:divBdr>
        <w:top w:val="none" w:sz="0" w:space="0" w:color="auto"/>
        <w:left w:val="none" w:sz="0" w:space="0" w:color="auto"/>
        <w:bottom w:val="none" w:sz="0" w:space="0" w:color="auto"/>
        <w:right w:val="none" w:sz="0" w:space="0" w:color="auto"/>
      </w:divBdr>
      <w:divsChild>
        <w:div w:id="964627903">
          <w:marLeft w:val="0"/>
          <w:marRight w:val="0"/>
          <w:marTop w:val="0"/>
          <w:marBottom w:val="0"/>
          <w:divBdr>
            <w:top w:val="none" w:sz="0" w:space="0" w:color="auto"/>
            <w:left w:val="none" w:sz="0" w:space="0" w:color="auto"/>
            <w:bottom w:val="none" w:sz="0" w:space="0" w:color="auto"/>
            <w:right w:val="none" w:sz="0" w:space="0" w:color="auto"/>
          </w:divBdr>
          <w:divsChild>
            <w:div w:id="1340156118">
              <w:marLeft w:val="0"/>
              <w:marRight w:val="0"/>
              <w:marTop w:val="0"/>
              <w:marBottom w:val="0"/>
              <w:divBdr>
                <w:top w:val="none" w:sz="0" w:space="0" w:color="auto"/>
                <w:left w:val="none" w:sz="0" w:space="0" w:color="auto"/>
                <w:bottom w:val="none" w:sz="0" w:space="0" w:color="auto"/>
                <w:right w:val="none" w:sz="0" w:space="0" w:color="auto"/>
              </w:divBdr>
              <w:divsChild>
                <w:div w:id="1813601479">
                  <w:marLeft w:val="0"/>
                  <w:marRight w:val="0"/>
                  <w:marTop w:val="0"/>
                  <w:marBottom w:val="0"/>
                  <w:divBdr>
                    <w:top w:val="none" w:sz="0" w:space="0" w:color="auto"/>
                    <w:left w:val="none" w:sz="0" w:space="0" w:color="auto"/>
                    <w:bottom w:val="none" w:sz="0" w:space="0" w:color="auto"/>
                    <w:right w:val="none" w:sz="0" w:space="0" w:color="auto"/>
                  </w:divBdr>
                  <w:divsChild>
                    <w:div w:id="153619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9247998">
      <w:bodyDiv w:val="1"/>
      <w:marLeft w:val="0"/>
      <w:marRight w:val="0"/>
      <w:marTop w:val="0"/>
      <w:marBottom w:val="0"/>
      <w:divBdr>
        <w:top w:val="none" w:sz="0" w:space="0" w:color="auto"/>
        <w:left w:val="none" w:sz="0" w:space="0" w:color="auto"/>
        <w:bottom w:val="none" w:sz="0" w:space="0" w:color="auto"/>
        <w:right w:val="none" w:sz="0" w:space="0" w:color="auto"/>
      </w:divBdr>
      <w:divsChild>
        <w:div w:id="14771950">
          <w:marLeft w:val="0"/>
          <w:marRight w:val="0"/>
          <w:marTop w:val="0"/>
          <w:marBottom w:val="0"/>
          <w:divBdr>
            <w:top w:val="none" w:sz="0" w:space="0" w:color="auto"/>
            <w:left w:val="none" w:sz="0" w:space="0" w:color="auto"/>
            <w:bottom w:val="none" w:sz="0" w:space="0" w:color="auto"/>
            <w:right w:val="none" w:sz="0" w:space="0" w:color="auto"/>
          </w:divBdr>
          <w:divsChild>
            <w:div w:id="650721754">
              <w:marLeft w:val="0"/>
              <w:marRight w:val="0"/>
              <w:marTop w:val="0"/>
              <w:marBottom w:val="0"/>
              <w:divBdr>
                <w:top w:val="none" w:sz="0" w:space="0" w:color="auto"/>
                <w:left w:val="none" w:sz="0" w:space="0" w:color="auto"/>
                <w:bottom w:val="none" w:sz="0" w:space="0" w:color="auto"/>
                <w:right w:val="none" w:sz="0" w:space="0" w:color="auto"/>
              </w:divBdr>
              <w:divsChild>
                <w:div w:id="138518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350370">
      <w:bodyDiv w:val="1"/>
      <w:marLeft w:val="0"/>
      <w:marRight w:val="0"/>
      <w:marTop w:val="0"/>
      <w:marBottom w:val="0"/>
      <w:divBdr>
        <w:top w:val="none" w:sz="0" w:space="0" w:color="auto"/>
        <w:left w:val="none" w:sz="0" w:space="0" w:color="auto"/>
        <w:bottom w:val="none" w:sz="0" w:space="0" w:color="auto"/>
        <w:right w:val="none" w:sz="0" w:space="0" w:color="auto"/>
      </w:divBdr>
      <w:divsChild>
        <w:div w:id="1816676787">
          <w:marLeft w:val="0"/>
          <w:marRight w:val="0"/>
          <w:marTop w:val="0"/>
          <w:marBottom w:val="0"/>
          <w:divBdr>
            <w:top w:val="none" w:sz="0" w:space="0" w:color="auto"/>
            <w:left w:val="none" w:sz="0" w:space="0" w:color="auto"/>
            <w:bottom w:val="none" w:sz="0" w:space="0" w:color="auto"/>
            <w:right w:val="none" w:sz="0" w:space="0" w:color="auto"/>
          </w:divBdr>
          <w:divsChild>
            <w:div w:id="1101336446">
              <w:marLeft w:val="0"/>
              <w:marRight w:val="0"/>
              <w:marTop w:val="0"/>
              <w:marBottom w:val="0"/>
              <w:divBdr>
                <w:top w:val="none" w:sz="0" w:space="0" w:color="auto"/>
                <w:left w:val="none" w:sz="0" w:space="0" w:color="auto"/>
                <w:bottom w:val="none" w:sz="0" w:space="0" w:color="auto"/>
                <w:right w:val="none" w:sz="0" w:space="0" w:color="auto"/>
              </w:divBdr>
              <w:divsChild>
                <w:div w:id="1424835140">
                  <w:marLeft w:val="0"/>
                  <w:marRight w:val="0"/>
                  <w:marTop w:val="0"/>
                  <w:marBottom w:val="0"/>
                  <w:divBdr>
                    <w:top w:val="none" w:sz="0" w:space="0" w:color="auto"/>
                    <w:left w:val="none" w:sz="0" w:space="0" w:color="auto"/>
                    <w:bottom w:val="none" w:sz="0" w:space="0" w:color="auto"/>
                    <w:right w:val="none" w:sz="0" w:space="0" w:color="auto"/>
                  </w:divBdr>
                  <w:divsChild>
                    <w:div w:id="157970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1137737">
      <w:bodyDiv w:val="1"/>
      <w:marLeft w:val="0"/>
      <w:marRight w:val="0"/>
      <w:marTop w:val="0"/>
      <w:marBottom w:val="0"/>
      <w:divBdr>
        <w:top w:val="none" w:sz="0" w:space="0" w:color="auto"/>
        <w:left w:val="none" w:sz="0" w:space="0" w:color="auto"/>
        <w:bottom w:val="none" w:sz="0" w:space="0" w:color="auto"/>
        <w:right w:val="none" w:sz="0" w:space="0" w:color="auto"/>
      </w:divBdr>
    </w:div>
    <w:div w:id="1924683446">
      <w:bodyDiv w:val="1"/>
      <w:marLeft w:val="0"/>
      <w:marRight w:val="0"/>
      <w:marTop w:val="0"/>
      <w:marBottom w:val="0"/>
      <w:divBdr>
        <w:top w:val="none" w:sz="0" w:space="0" w:color="auto"/>
        <w:left w:val="none" w:sz="0" w:space="0" w:color="auto"/>
        <w:bottom w:val="none" w:sz="0" w:space="0" w:color="auto"/>
        <w:right w:val="none" w:sz="0" w:space="0" w:color="auto"/>
      </w:divBdr>
      <w:divsChild>
        <w:div w:id="973680242">
          <w:marLeft w:val="0"/>
          <w:marRight w:val="0"/>
          <w:marTop w:val="0"/>
          <w:marBottom w:val="0"/>
          <w:divBdr>
            <w:top w:val="none" w:sz="0" w:space="0" w:color="auto"/>
            <w:left w:val="none" w:sz="0" w:space="0" w:color="auto"/>
            <w:bottom w:val="none" w:sz="0" w:space="0" w:color="auto"/>
            <w:right w:val="none" w:sz="0" w:space="0" w:color="auto"/>
          </w:divBdr>
          <w:divsChild>
            <w:div w:id="1467428335">
              <w:marLeft w:val="0"/>
              <w:marRight w:val="0"/>
              <w:marTop w:val="0"/>
              <w:marBottom w:val="0"/>
              <w:divBdr>
                <w:top w:val="none" w:sz="0" w:space="0" w:color="auto"/>
                <w:left w:val="none" w:sz="0" w:space="0" w:color="auto"/>
                <w:bottom w:val="none" w:sz="0" w:space="0" w:color="auto"/>
                <w:right w:val="none" w:sz="0" w:space="0" w:color="auto"/>
              </w:divBdr>
              <w:divsChild>
                <w:div w:id="178422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003698">
      <w:bodyDiv w:val="1"/>
      <w:marLeft w:val="0"/>
      <w:marRight w:val="0"/>
      <w:marTop w:val="0"/>
      <w:marBottom w:val="0"/>
      <w:divBdr>
        <w:top w:val="none" w:sz="0" w:space="0" w:color="auto"/>
        <w:left w:val="none" w:sz="0" w:space="0" w:color="auto"/>
        <w:bottom w:val="none" w:sz="0" w:space="0" w:color="auto"/>
        <w:right w:val="none" w:sz="0" w:space="0" w:color="auto"/>
      </w:divBdr>
    </w:div>
    <w:div w:id="1984919091">
      <w:bodyDiv w:val="1"/>
      <w:marLeft w:val="0"/>
      <w:marRight w:val="0"/>
      <w:marTop w:val="0"/>
      <w:marBottom w:val="0"/>
      <w:divBdr>
        <w:top w:val="none" w:sz="0" w:space="0" w:color="auto"/>
        <w:left w:val="none" w:sz="0" w:space="0" w:color="auto"/>
        <w:bottom w:val="none" w:sz="0" w:space="0" w:color="auto"/>
        <w:right w:val="none" w:sz="0" w:space="0" w:color="auto"/>
      </w:divBdr>
    </w:div>
    <w:div w:id="2025326232">
      <w:bodyDiv w:val="1"/>
      <w:marLeft w:val="0"/>
      <w:marRight w:val="0"/>
      <w:marTop w:val="0"/>
      <w:marBottom w:val="0"/>
      <w:divBdr>
        <w:top w:val="none" w:sz="0" w:space="0" w:color="auto"/>
        <w:left w:val="none" w:sz="0" w:space="0" w:color="auto"/>
        <w:bottom w:val="none" w:sz="0" w:space="0" w:color="auto"/>
        <w:right w:val="none" w:sz="0" w:space="0" w:color="auto"/>
      </w:divBdr>
    </w:div>
    <w:div w:id="2026856779">
      <w:bodyDiv w:val="1"/>
      <w:marLeft w:val="0"/>
      <w:marRight w:val="0"/>
      <w:marTop w:val="0"/>
      <w:marBottom w:val="0"/>
      <w:divBdr>
        <w:top w:val="none" w:sz="0" w:space="0" w:color="auto"/>
        <w:left w:val="none" w:sz="0" w:space="0" w:color="auto"/>
        <w:bottom w:val="none" w:sz="0" w:space="0" w:color="auto"/>
        <w:right w:val="none" w:sz="0" w:space="0" w:color="auto"/>
      </w:divBdr>
    </w:div>
    <w:div w:id="2077169332">
      <w:bodyDiv w:val="1"/>
      <w:marLeft w:val="0"/>
      <w:marRight w:val="0"/>
      <w:marTop w:val="0"/>
      <w:marBottom w:val="0"/>
      <w:divBdr>
        <w:top w:val="none" w:sz="0" w:space="0" w:color="auto"/>
        <w:left w:val="none" w:sz="0" w:space="0" w:color="auto"/>
        <w:bottom w:val="none" w:sz="0" w:space="0" w:color="auto"/>
        <w:right w:val="none" w:sz="0" w:space="0" w:color="auto"/>
      </w:divBdr>
      <w:divsChild>
        <w:div w:id="2053580486">
          <w:marLeft w:val="0"/>
          <w:marRight w:val="0"/>
          <w:marTop w:val="0"/>
          <w:marBottom w:val="0"/>
          <w:divBdr>
            <w:top w:val="none" w:sz="0" w:space="0" w:color="auto"/>
            <w:left w:val="none" w:sz="0" w:space="0" w:color="auto"/>
            <w:bottom w:val="none" w:sz="0" w:space="0" w:color="auto"/>
            <w:right w:val="none" w:sz="0" w:space="0" w:color="auto"/>
          </w:divBdr>
          <w:divsChild>
            <w:div w:id="1285772537">
              <w:marLeft w:val="0"/>
              <w:marRight w:val="0"/>
              <w:marTop w:val="0"/>
              <w:marBottom w:val="0"/>
              <w:divBdr>
                <w:top w:val="none" w:sz="0" w:space="0" w:color="auto"/>
                <w:left w:val="none" w:sz="0" w:space="0" w:color="auto"/>
                <w:bottom w:val="none" w:sz="0" w:space="0" w:color="auto"/>
                <w:right w:val="none" w:sz="0" w:space="0" w:color="auto"/>
              </w:divBdr>
              <w:divsChild>
                <w:div w:id="60251959">
                  <w:marLeft w:val="0"/>
                  <w:marRight w:val="0"/>
                  <w:marTop w:val="0"/>
                  <w:marBottom w:val="0"/>
                  <w:divBdr>
                    <w:top w:val="none" w:sz="0" w:space="0" w:color="auto"/>
                    <w:left w:val="none" w:sz="0" w:space="0" w:color="auto"/>
                    <w:bottom w:val="none" w:sz="0" w:space="0" w:color="auto"/>
                    <w:right w:val="none" w:sz="0" w:space="0" w:color="auto"/>
                  </w:divBdr>
                  <w:divsChild>
                    <w:div w:id="1666740105">
                      <w:marLeft w:val="0"/>
                      <w:marRight w:val="0"/>
                      <w:marTop w:val="0"/>
                      <w:marBottom w:val="0"/>
                      <w:divBdr>
                        <w:top w:val="none" w:sz="0" w:space="0" w:color="auto"/>
                        <w:left w:val="none" w:sz="0" w:space="0" w:color="auto"/>
                        <w:bottom w:val="none" w:sz="0" w:space="0" w:color="auto"/>
                        <w:right w:val="none" w:sz="0" w:space="0" w:color="auto"/>
                      </w:divBdr>
                    </w:div>
                  </w:divsChild>
                </w:div>
                <w:div w:id="2080707720">
                  <w:marLeft w:val="0"/>
                  <w:marRight w:val="0"/>
                  <w:marTop w:val="0"/>
                  <w:marBottom w:val="0"/>
                  <w:divBdr>
                    <w:top w:val="none" w:sz="0" w:space="0" w:color="auto"/>
                    <w:left w:val="none" w:sz="0" w:space="0" w:color="auto"/>
                    <w:bottom w:val="none" w:sz="0" w:space="0" w:color="auto"/>
                    <w:right w:val="none" w:sz="0" w:space="0" w:color="auto"/>
                  </w:divBdr>
                  <w:divsChild>
                    <w:div w:id="1907033177">
                      <w:marLeft w:val="0"/>
                      <w:marRight w:val="0"/>
                      <w:marTop w:val="0"/>
                      <w:marBottom w:val="0"/>
                      <w:divBdr>
                        <w:top w:val="none" w:sz="0" w:space="0" w:color="auto"/>
                        <w:left w:val="none" w:sz="0" w:space="0" w:color="auto"/>
                        <w:bottom w:val="none" w:sz="0" w:space="0" w:color="auto"/>
                        <w:right w:val="none" w:sz="0" w:space="0" w:color="auto"/>
                      </w:divBdr>
                    </w:div>
                    <w:div w:id="1684865277">
                      <w:marLeft w:val="0"/>
                      <w:marRight w:val="0"/>
                      <w:marTop w:val="0"/>
                      <w:marBottom w:val="0"/>
                      <w:divBdr>
                        <w:top w:val="none" w:sz="0" w:space="0" w:color="auto"/>
                        <w:left w:val="none" w:sz="0" w:space="0" w:color="auto"/>
                        <w:bottom w:val="none" w:sz="0" w:space="0" w:color="auto"/>
                        <w:right w:val="none" w:sz="0" w:space="0" w:color="auto"/>
                      </w:divBdr>
                    </w:div>
                  </w:divsChild>
                </w:div>
                <w:div w:id="1293710399">
                  <w:marLeft w:val="0"/>
                  <w:marRight w:val="0"/>
                  <w:marTop w:val="0"/>
                  <w:marBottom w:val="0"/>
                  <w:divBdr>
                    <w:top w:val="none" w:sz="0" w:space="0" w:color="auto"/>
                    <w:left w:val="none" w:sz="0" w:space="0" w:color="auto"/>
                    <w:bottom w:val="none" w:sz="0" w:space="0" w:color="auto"/>
                    <w:right w:val="none" w:sz="0" w:space="0" w:color="auto"/>
                  </w:divBdr>
                  <w:divsChild>
                    <w:div w:id="1153255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058137">
      <w:bodyDiv w:val="1"/>
      <w:marLeft w:val="0"/>
      <w:marRight w:val="0"/>
      <w:marTop w:val="0"/>
      <w:marBottom w:val="0"/>
      <w:divBdr>
        <w:top w:val="none" w:sz="0" w:space="0" w:color="auto"/>
        <w:left w:val="none" w:sz="0" w:space="0" w:color="auto"/>
        <w:bottom w:val="none" w:sz="0" w:space="0" w:color="auto"/>
        <w:right w:val="none" w:sz="0" w:space="0" w:color="auto"/>
      </w:divBdr>
      <w:divsChild>
        <w:div w:id="244536946">
          <w:marLeft w:val="0"/>
          <w:marRight w:val="0"/>
          <w:marTop w:val="0"/>
          <w:marBottom w:val="0"/>
          <w:divBdr>
            <w:top w:val="none" w:sz="0" w:space="0" w:color="auto"/>
            <w:left w:val="none" w:sz="0" w:space="0" w:color="auto"/>
            <w:bottom w:val="none" w:sz="0" w:space="0" w:color="auto"/>
            <w:right w:val="none" w:sz="0" w:space="0" w:color="auto"/>
          </w:divBdr>
          <w:divsChild>
            <w:div w:id="335959497">
              <w:marLeft w:val="0"/>
              <w:marRight w:val="0"/>
              <w:marTop w:val="0"/>
              <w:marBottom w:val="0"/>
              <w:divBdr>
                <w:top w:val="none" w:sz="0" w:space="0" w:color="auto"/>
                <w:left w:val="none" w:sz="0" w:space="0" w:color="auto"/>
                <w:bottom w:val="none" w:sz="0" w:space="0" w:color="auto"/>
                <w:right w:val="none" w:sz="0" w:space="0" w:color="auto"/>
              </w:divBdr>
              <w:divsChild>
                <w:div w:id="181633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028130">
          <w:marLeft w:val="0"/>
          <w:marRight w:val="0"/>
          <w:marTop w:val="0"/>
          <w:marBottom w:val="0"/>
          <w:divBdr>
            <w:top w:val="none" w:sz="0" w:space="0" w:color="auto"/>
            <w:left w:val="none" w:sz="0" w:space="0" w:color="auto"/>
            <w:bottom w:val="none" w:sz="0" w:space="0" w:color="auto"/>
            <w:right w:val="none" w:sz="0" w:space="0" w:color="auto"/>
          </w:divBdr>
          <w:divsChild>
            <w:div w:id="854421648">
              <w:marLeft w:val="0"/>
              <w:marRight w:val="0"/>
              <w:marTop w:val="0"/>
              <w:marBottom w:val="0"/>
              <w:divBdr>
                <w:top w:val="none" w:sz="0" w:space="0" w:color="auto"/>
                <w:left w:val="none" w:sz="0" w:space="0" w:color="auto"/>
                <w:bottom w:val="none" w:sz="0" w:space="0" w:color="auto"/>
                <w:right w:val="none" w:sz="0" w:space="0" w:color="auto"/>
              </w:divBdr>
              <w:divsChild>
                <w:div w:id="165421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988738">
      <w:bodyDiv w:val="1"/>
      <w:marLeft w:val="0"/>
      <w:marRight w:val="0"/>
      <w:marTop w:val="0"/>
      <w:marBottom w:val="0"/>
      <w:divBdr>
        <w:top w:val="none" w:sz="0" w:space="0" w:color="auto"/>
        <w:left w:val="none" w:sz="0" w:space="0" w:color="auto"/>
        <w:bottom w:val="none" w:sz="0" w:space="0" w:color="auto"/>
        <w:right w:val="none" w:sz="0" w:space="0" w:color="auto"/>
      </w:divBdr>
    </w:div>
    <w:div w:id="21296648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hyperlink" Target="http://collections.banq.qc.ca/ark:/52327/bs2172812" TargetMode="External"/><Relationship Id="rId107" Type="http://schemas.openxmlformats.org/officeDocument/2006/relationships/hyperlink" Target="http://plus.lapresse.ca/screens/40274844-53a4-5939-b16d-7bfeac1c6068%7C_0.html" TargetMode="External"/><Relationship Id="rId108" Type="http://schemas.openxmlformats.org/officeDocument/2006/relationships/hyperlink" Target="http://plus.lapresse.ca/screens/40274844-53a4-5939-b16d-7bfeac1c6068%7C_0.html" TargetMode="External"/><Relationship Id="rId109" Type="http://schemas.openxmlformats.org/officeDocument/2006/relationships/hyperlink" Target="http://blogues.radio-canada.ca/geraldfillion/?s=pompier" TargetMode="External"/><Relationship Id="rId70" Type="http://schemas.openxmlformats.org/officeDocument/2006/relationships/hyperlink" Target="http://www.rrq.gouv.qc.ca/fr/professionnels/rrs/offre_rrs/Pages/rrs_regime_a_connaitre.aspx" TargetMode="External"/><Relationship Id="rId71" Type="http://schemas.openxmlformats.org/officeDocument/2006/relationships/hyperlink" Target="http://www.rrq.gouv.qc.ca/fr/professionnels/rrs/offre_rrs/Pages/rrs_regime_a_connaitre.aspx" TargetMode="External"/><Relationship Id="rId72" Type="http://schemas.openxmlformats.org/officeDocument/2006/relationships/hyperlink" Target="http://www.conseiller.ca/avantages/files/2007/11/1107_hybride.pdf" TargetMode="External"/><Relationship Id="rId73" Type="http://schemas.openxmlformats.org/officeDocument/2006/relationships/hyperlink" Target="http://www.carra.gouv.qc.ca/fra/regime/rregop/rregop_index.htm" TargetMode="External"/><Relationship Id="rId74" Type="http://schemas.openxmlformats.org/officeDocument/2006/relationships/hyperlink" Target="http://www.carra.gouv.qc.ca/fra/regime/rregop/rregop_index.htm" TargetMode="External"/><Relationship Id="rId75" Type="http://schemas.openxmlformats.org/officeDocument/2006/relationships/hyperlink" Target="http://www.carra.gouv.qc.ca/fra/regime/rregop/rregop_index.htm" TargetMode="External"/><Relationship Id="rId76" Type="http://schemas.openxmlformats.org/officeDocument/2006/relationships/hyperlink" Target="https://repsourcepublic.manulife.com/wps/wcm/connect/f32ae680433c2665b2b2f6319e0f5575/ins_tepg_taxtopicrcasf.pdf?MOD=AJPERES&amp;CACHEID=f32ae680433c2665b2b2f6319e0f5575" TargetMode="External"/><Relationship Id="rId77" Type="http://schemas.openxmlformats.org/officeDocument/2006/relationships/hyperlink" Target="https://repsourcepublic.manulife.com/wps/wcm/connect/f32ae680433c2665b2b2f6319e0f5575/ins_tepg_taxtopicrcasf.pdf?MOD=AJPERES&amp;CACHEID=f32ae680433c2665b2b2f6319e0f5575" TargetMode="External"/><Relationship Id="rId78" Type="http://schemas.openxmlformats.org/officeDocument/2006/relationships/hyperlink" Target="https://repsourcepublic.manulife.com/wps/wcm/connect/f32ae680433c2665b2b2f6319e0f5575/ins_tepg_taxtopicrcasf.pdf?MOD=AJPERES&amp;CACHEID=f32ae680433c2665b2b2f6319e0f5575" TargetMode="External"/><Relationship Id="rId79" Type="http://schemas.openxmlformats.org/officeDocument/2006/relationships/hyperlink" Target="https://www.standardlife.ca/pdf/gf11158.pdf" TargetMode="External"/><Relationship Id="rId170" Type="http://schemas.openxmlformats.org/officeDocument/2006/relationships/image" Target="media/image52.png"/><Relationship Id="rId171" Type="http://schemas.openxmlformats.org/officeDocument/2006/relationships/hyperlink" Target="http://njaes.rutgers.edu:8080/money/riskquiz/" TargetMode="External"/><Relationship Id="rId172" Type="http://schemas.openxmlformats.org/officeDocument/2006/relationships/hyperlink" Target="http://njaes.rutgers.edu:8080/money/riskquiz/" TargetMode="External"/><Relationship Id="rId173" Type="http://schemas.openxmlformats.org/officeDocument/2006/relationships/hyperlink" Target="http://www.iqpf.org/userfiles/File/outils/Quest-cueillette-donnees-2011-02-09.pdf" TargetMode="External"/><Relationship Id="rId174" Type="http://schemas.openxmlformats.org/officeDocument/2006/relationships/hyperlink" Target="http://www.iqpf.org/userfiles/File/outils/Quest-cueillette-donnees-2011-02-09.pdf" TargetMode="External"/><Relationship Id="rId175" Type="http://schemas.openxmlformats.org/officeDocument/2006/relationships/image" Target="media/image53.png"/><Relationship Id="rId176" Type="http://schemas.openxmlformats.org/officeDocument/2006/relationships/image" Target="media/image54.png"/><Relationship Id="rId177" Type="http://schemas.openxmlformats.org/officeDocument/2006/relationships/image" Target="media/image55.png"/><Relationship Id="rId178" Type="http://schemas.openxmlformats.org/officeDocument/2006/relationships/image" Target="media/image56.png"/><Relationship Id="rId179" Type="http://schemas.openxmlformats.org/officeDocument/2006/relationships/image" Target="media/image57.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jpe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hyperlink" Target="https://oraprdnt.uqtr.uquebec.ca/pls/public/gscw030?owa_no_site=1730" TargetMode="External"/><Relationship Id="rId18" Type="http://schemas.openxmlformats.org/officeDocument/2006/relationships/hyperlink" Target="http://www.ted.com/talks/daniel_goldstein_the_battle_between_your_present_and_future_self?language=fr" TargetMode="External"/><Relationship Id="rId19" Type="http://schemas.openxmlformats.org/officeDocument/2006/relationships/hyperlink" Target="http://www.ted.com/talks/daniel_goldstein_the_battle_between_your_present_and_future_self?language=fr" TargetMode="External"/><Relationship Id="rId110" Type="http://schemas.openxmlformats.org/officeDocument/2006/relationships/hyperlink" Target="http://blogues.radio-canada.ca/geraldfillion/?s=pompier" TargetMode="External"/><Relationship Id="rId111" Type="http://schemas.openxmlformats.org/officeDocument/2006/relationships/image" Target="media/image33.png"/><Relationship Id="rId112" Type="http://schemas.openxmlformats.org/officeDocument/2006/relationships/hyperlink" Target="https://youtu.be/XXg4U6fODjA?list=PLq6XI4Mvs1CoukaZ1NsVMj4iwilAaiiaP" TargetMode="External"/><Relationship Id="rId113" Type="http://schemas.openxmlformats.org/officeDocument/2006/relationships/hyperlink" Target="https://youtu.be/XXg4U6fODjA?list=PLq6XI4Mvs1CoukaZ1NsVMj4iwilAaiiaP" TargetMode="External"/><Relationship Id="rId114" Type="http://schemas.openxmlformats.org/officeDocument/2006/relationships/hyperlink" Target="https://youtu.be/zPtUHdJfVw0?list=PLq6XI4Mvs1CoukaZ1NsVMj4iwilAaiiaP" TargetMode="External"/><Relationship Id="rId115" Type="http://schemas.openxmlformats.org/officeDocument/2006/relationships/hyperlink" Target="https://youtu.be/zPtUHdJfVw0?list=PLq6XI4Mvs1CoukaZ1NsVMj4iwilAaiiaP" TargetMode="External"/><Relationship Id="rId116" Type="http://schemas.openxmlformats.org/officeDocument/2006/relationships/image" Target="media/image34.png"/><Relationship Id="rId117" Type="http://schemas.openxmlformats.org/officeDocument/2006/relationships/hyperlink" Target="https://youtu.be/xuiKBjLL8Ic" TargetMode="External"/><Relationship Id="rId118" Type="http://schemas.openxmlformats.org/officeDocument/2006/relationships/hyperlink" Target="https://youtu.be/eCmSUHZ6zn0?t=2m39s" TargetMode="External"/><Relationship Id="rId119" Type="http://schemas.openxmlformats.org/officeDocument/2006/relationships/hyperlink" Target="https://youtu.be/eCmSUHZ6zn0?t=2m39s" TargetMode="External"/><Relationship Id="rId200" Type="http://schemas.openxmlformats.org/officeDocument/2006/relationships/hyperlink" Target="http://www.iqpf.org/userfiles/File/outils/IQPF-normes-projection2015(1).pdf" TargetMode="External"/><Relationship Id="rId201" Type="http://schemas.openxmlformats.org/officeDocument/2006/relationships/hyperlink" Target="http://www.getsmarteraboutmoney.ca/fr/managing-your-money/planning/investing-basics/Pages/Diversification.aspx" TargetMode="External"/><Relationship Id="rId202" Type="http://schemas.openxmlformats.org/officeDocument/2006/relationships/image" Target="media/image66.png"/><Relationship Id="rId203" Type="http://schemas.openxmlformats.org/officeDocument/2006/relationships/image" Target="media/image67.png"/><Relationship Id="rId204" Type="http://schemas.openxmlformats.org/officeDocument/2006/relationships/image" Target="media/image68.png"/><Relationship Id="rId205" Type="http://schemas.openxmlformats.org/officeDocument/2006/relationships/hyperlink" Target="https://www.youtube.com/watch?v=7ZP1mlgeNTQ" TargetMode="External"/><Relationship Id="rId206" Type="http://schemas.openxmlformats.org/officeDocument/2006/relationships/hyperlink" Target="https://www.youtube.com/watch?v=7ZP1mlgeNTQ" TargetMode="External"/><Relationship Id="rId207" Type="http://schemas.openxmlformats.org/officeDocument/2006/relationships/image" Target="media/image69.png"/><Relationship Id="rId208" Type="http://schemas.openxmlformats.org/officeDocument/2006/relationships/image" Target="media/image70.png"/><Relationship Id="rId209" Type="http://schemas.openxmlformats.org/officeDocument/2006/relationships/image" Target="media/image7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80" Type="http://schemas.openxmlformats.org/officeDocument/2006/relationships/hyperlink" Target="https://www.standardlife.ca/pdf/gf11158.pdf" TargetMode="External"/><Relationship Id="rId81" Type="http://schemas.openxmlformats.org/officeDocument/2006/relationships/hyperlink" Target="https://www.standardlife.ca/pdf/gf11158.pdf" TargetMode="External"/><Relationship Id="rId82" Type="http://schemas.openxmlformats.org/officeDocument/2006/relationships/hyperlink" Target="http://www.cra-arc.gc.ca/gncy/bdgt/2012/qa05-fra.html" TargetMode="External"/><Relationship Id="rId83" Type="http://schemas.openxmlformats.org/officeDocument/2006/relationships/hyperlink" Target="http://www.cra-arc.gc.ca/gncy/bdgt/2012/qa05-fra.html" TargetMode="External"/><Relationship Id="rId84" Type="http://schemas.openxmlformats.org/officeDocument/2006/relationships/hyperlink" Target="http://www.cra-arc.gc.ca/gncy/bdgt/2012/qa05-fra.html" TargetMode="External"/><Relationship Id="rId85" Type="http://schemas.openxmlformats.org/officeDocument/2006/relationships/hyperlink" Target="http://www.cra-arc.gc.ca/F/pub/tp/ic77-1r5/ic77-1r5-f.pdf" TargetMode="External"/><Relationship Id="rId86" Type="http://schemas.openxmlformats.org/officeDocument/2006/relationships/hyperlink" Target="http://www.cra-arc.gc.ca/F/pub/tp/ic77-1r5/ic77-1r5-f.pdf" TargetMode="External"/><Relationship Id="rId87" Type="http://schemas.openxmlformats.org/officeDocument/2006/relationships/hyperlink" Target="http://www.cra-arc.gc.ca/F/pub/tp/ic77-1r5/ic77-1r5-f.pdf" TargetMode="External"/><Relationship Id="rId88" Type="http://schemas.openxmlformats.org/officeDocument/2006/relationships/hyperlink" Target="http://www2.publicationsduquebec.gouv.qc.ca/dynamicSearch/telecharge.php?type=2&amp;file=/R_15_1/R15_1.html" TargetMode="External"/><Relationship Id="rId89" Type="http://schemas.openxmlformats.org/officeDocument/2006/relationships/hyperlink" Target="http://www2.publicationsduquebec.gouv.qc.ca/dynamicSearch/telecharge.php?type=2&amp;file=/R_15_1/R15_1.html" TargetMode="External"/><Relationship Id="rId180" Type="http://schemas.openxmlformats.org/officeDocument/2006/relationships/image" Target="media/image58.png"/><Relationship Id="rId181" Type="http://schemas.openxmlformats.org/officeDocument/2006/relationships/image" Target="media/image59.png"/><Relationship Id="rId182" Type="http://schemas.openxmlformats.org/officeDocument/2006/relationships/hyperlink" Target="https://www.lautorite.qc.ca/files/pdf/publications/conso/investissement/03-Petit-Lexique.pdf" TargetMode="External"/><Relationship Id="rId183" Type="http://schemas.openxmlformats.org/officeDocument/2006/relationships/hyperlink" Target="https://www.lautorite.qc.ca/files//pdf/publications/conso/investissement/03-Petit-Lexique.pdf" TargetMode="External"/><Relationship Id="rId184" Type="http://schemas.openxmlformats.org/officeDocument/2006/relationships/image" Target="media/image60.png"/><Relationship Id="rId185" Type="http://schemas.openxmlformats.org/officeDocument/2006/relationships/image" Target="media/image61.png"/><Relationship Id="rId186" Type="http://schemas.openxmlformats.org/officeDocument/2006/relationships/image" Target="media/image62.jpeg"/><Relationship Id="rId187" Type="http://schemas.openxmlformats.org/officeDocument/2006/relationships/hyperlink" Target="http://www.federalreserve.gov/econresdata/feds/2015/files/2015083pap.pdf" TargetMode="External"/><Relationship Id="rId188" Type="http://schemas.openxmlformats.org/officeDocument/2006/relationships/hyperlink" Target="http://www.federalreserve.gov/econresdata/feds/2015/files/2015083pap.pdf" TargetMode="External"/><Relationship Id="rId189" Type="http://schemas.openxmlformats.org/officeDocument/2006/relationships/image" Target="media/image63.png"/><Relationship Id="rId20" Type="http://schemas.openxmlformats.org/officeDocument/2006/relationships/image" Target="media/image9.png"/><Relationship Id="rId21" Type="http://schemas.openxmlformats.org/officeDocument/2006/relationships/hyperlink" Target="http://calculatrices-financieres.ca/%23/epargne" TargetMode="External"/><Relationship Id="rId22" Type="http://schemas.openxmlformats.org/officeDocument/2006/relationships/hyperlink" Target="http://calculatrices-financieres.ca/" TargetMode="External"/><Relationship Id="rId23" Type="http://schemas.openxmlformats.org/officeDocument/2006/relationships/image" Target="media/image10.png"/><Relationship Id="rId24" Type="http://schemas.openxmlformats.org/officeDocument/2006/relationships/hyperlink" Target="http://youtu.be/rRZ3CujqtfQ" TargetMode="External"/><Relationship Id="rId25" Type="http://schemas.openxmlformats.org/officeDocument/2006/relationships/hyperlink" Target="http://youtu.be/rRZ3CujqtfQ" TargetMode="External"/><Relationship Id="rId26" Type="http://schemas.openxmlformats.org/officeDocument/2006/relationships/diagramData" Target="diagrams/data1.xml"/><Relationship Id="rId27" Type="http://schemas.openxmlformats.org/officeDocument/2006/relationships/diagramLayout" Target="diagrams/layout1.xml"/><Relationship Id="rId28" Type="http://schemas.openxmlformats.org/officeDocument/2006/relationships/diagramQuickStyle" Target="diagrams/quickStyle1.xml"/><Relationship Id="rId29" Type="http://schemas.openxmlformats.org/officeDocument/2006/relationships/diagramColors" Target="diagrams/colors1.xml"/><Relationship Id="rId120" Type="http://schemas.openxmlformats.org/officeDocument/2006/relationships/hyperlink" Target="http://www.cra-arc.gc.ca/rap/" TargetMode="External"/><Relationship Id="rId121" Type="http://schemas.openxmlformats.org/officeDocument/2006/relationships/hyperlink" Target="http://www.cra-arc.gc.ca/rap/" TargetMode="External"/><Relationship Id="rId122" Type="http://schemas.openxmlformats.org/officeDocument/2006/relationships/hyperlink" Target="http://www.cra-arc.gc.ca/tx/ndvdls/tpcs/rrsp-reer/llp-reep/menu-fra.html" TargetMode="External"/><Relationship Id="rId123" Type="http://schemas.openxmlformats.org/officeDocument/2006/relationships/hyperlink" Target="http://www.cra-arc.gc.ca/tx/ndvdls/tpcs/rrsp-reer/llp-reep/menu-fra.html" TargetMode="External"/><Relationship Id="rId124" Type="http://schemas.openxmlformats.org/officeDocument/2006/relationships/hyperlink" Target="https://youtu.be/FeyQguOa0cs?list=PLq6XI4Mvs1Cpyx9pqyuS7pCaMgB6MK6Ei&amp;t=485" TargetMode="External"/><Relationship Id="rId125" Type="http://schemas.openxmlformats.org/officeDocument/2006/relationships/hyperlink" Target="https://youtu.be/FeyQguOa0cs?list=PLq6XI4Mvs1Cpyx9pqyuS7pCaMgB6MK6Ei&amp;t=485" TargetMode="External"/><Relationship Id="rId126" Type="http://schemas.openxmlformats.org/officeDocument/2006/relationships/hyperlink" Target="https://youtu.be/qfARr8-z9gs?list=PLq6XI4Mvs1CrONsBbO-jhb85B5y46t7PX" TargetMode="External"/><Relationship Id="rId127" Type="http://schemas.openxmlformats.org/officeDocument/2006/relationships/hyperlink" Target="https://youtu.be/qfARr8-z9gs?list=PLq6XI4Mvs1CrONsBbO-jhb85B5y46t7PX" TargetMode="External"/><Relationship Id="rId128" Type="http://schemas.openxmlformats.org/officeDocument/2006/relationships/hyperlink" Target="https://youtu.be/TF7wvP9ovvM?list=PLq6XI4Mvs1CrONsBbO-jhb85B5y46t7PX" TargetMode="External"/><Relationship Id="rId129" Type="http://schemas.openxmlformats.org/officeDocument/2006/relationships/hyperlink" Target="https://youtu.be/TF7wvP9ovvM?list=PLq6XI4Mvs1CrONsBbO-jhb85B5y46t7PX" TargetMode="External"/><Relationship Id="rId210" Type="http://schemas.openxmlformats.org/officeDocument/2006/relationships/image" Target="media/image72.png"/><Relationship Id="rId211" Type="http://schemas.openxmlformats.org/officeDocument/2006/relationships/image" Target="media/image73.png"/><Relationship Id="rId212" Type="http://schemas.openxmlformats.org/officeDocument/2006/relationships/image" Target="media/image74.png"/><Relationship Id="rId213" Type="http://schemas.openxmlformats.org/officeDocument/2006/relationships/hyperlink" Target="http://dqydj.net/dow-jones-return-calculator/" TargetMode="External"/><Relationship Id="rId214" Type="http://schemas.openxmlformats.org/officeDocument/2006/relationships/hyperlink" Target="http://dqydj.net/dow-jones-return-calculator/" TargetMode="External"/><Relationship Id="rId215" Type="http://schemas.openxmlformats.org/officeDocument/2006/relationships/hyperlink" Target="http://dqydj.net/sp-500-return-calculator/" TargetMode="External"/><Relationship Id="rId216" Type="http://schemas.openxmlformats.org/officeDocument/2006/relationships/hyperlink" Target="http://dqydj.net/sp-500-return-calculator/" TargetMode="External"/><Relationship Id="rId217" Type="http://schemas.openxmlformats.org/officeDocument/2006/relationships/image" Target="media/image75.png"/><Relationship Id="rId218" Type="http://schemas.openxmlformats.org/officeDocument/2006/relationships/image" Target="media/image76.png"/><Relationship Id="rId219" Type="http://schemas.openxmlformats.org/officeDocument/2006/relationships/image" Target="media/image77.png"/><Relationship Id="rId90" Type="http://schemas.openxmlformats.org/officeDocument/2006/relationships/image" Target="media/image27.png"/><Relationship Id="rId91" Type="http://schemas.openxmlformats.org/officeDocument/2006/relationships/image" Target="media/image28.png"/><Relationship Id="rId92" Type="http://schemas.openxmlformats.org/officeDocument/2006/relationships/image" Target="media/image29.png"/><Relationship Id="rId93" Type="http://schemas.openxmlformats.org/officeDocument/2006/relationships/image" Target="media/image30.png"/><Relationship Id="rId94" Type="http://schemas.openxmlformats.org/officeDocument/2006/relationships/hyperlink" Target="https://www.youtube.com/watch?v=1Qmw9nUYxJQ" TargetMode="External"/><Relationship Id="rId95" Type="http://schemas.openxmlformats.org/officeDocument/2006/relationships/hyperlink" Target="https://www.youtube.com/watch?v=1Qmw9nUYxJQ" TargetMode="External"/><Relationship Id="rId96" Type="http://schemas.openxmlformats.org/officeDocument/2006/relationships/hyperlink" Target="https://www1.assurancesrbc.com/cgi-bin/rbaccess/rbunxcgi?F7=SF&amp;F6=1&amp;7AWSREQ=1&amp;F21=PB&amp;F22=YVL7APTSrv.HTTPPassthrough&amp;7ASERVER=YVI0&amp;7ASCRIPT=/YVI0/POA%5CGettingStarted.aspx&amp;7APROTOCOL=HTTPS&amp;7ALANGUAGE=FR&amp;LANGUAGE=F" TargetMode="External"/><Relationship Id="rId97" Type="http://schemas.openxmlformats.org/officeDocument/2006/relationships/hyperlink" Target="https://www1.assurancesrbc.com/cgi-bin/rbaccess/rbunxcgi?F7=SF&amp;F6=1&amp;7AWSREQ=1&amp;F21=PB&amp;F22=YVL7APTSrv.HTTPPassthrough&amp;7ASERVER=YVI0&amp;7ASCRIPT=%2FYVI0%2FPOA%5CGettingStarted.aspx&amp;7APROTOCOL=HTTPS&amp;7ALANGUAGE=FR&amp;LANGUAGE=F" TargetMode="External"/><Relationship Id="rId98" Type="http://schemas.openxmlformats.org/officeDocument/2006/relationships/image" Target="media/image31.png"/><Relationship Id="rId99" Type="http://schemas.openxmlformats.org/officeDocument/2006/relationships/image" Target="media/image32.png"/><Relationship Id="rId190" Type="http://schemas.openxmlformats.org/officeDocument/2006/relationships/image" Target="media/image64.png"/><Relationship Id="rId191" Type="http://schemas.openxmlformats.org/officeDocument/2006/relationships/hyperlink" Target="http://www.getsmarteraboutmoney.ca/fr/tools_and_calculators/infographics/Documents/infographie-alternatif-Risque-et-diversification.pdf" TargetMode="External"/><Relationship Id="rId192" Type="http://schemas.openxmlformats.org/officeDocument/2006/relationships/hyperlink" Target="http://www.iqpf.org/userfiles/File/outils/IQPF-normes-projection2015(1).pdf" TargetMode="External"/><Relationship Id="rId193" Type="http://schemas.openxmlformats.org/officeDocument/2006/relationships/hyperlink" Target="http://www.getsmarteraboutmoney.ca/fr/tools_and_calculators/infographics/Documents/infographie-alternatif-Risque-et-diversification.pdf" TargetMode="External"/><Relationship Id="rId194" Type="http://schemas.openxmlformats.org/officeDocument/2006/relationships/hyperlink" Target="http://www.iqpf.org/userfiles/File/outils/IQPF-normes-projection2015(1).pdf" TargetMode="External"/><Relationship Id="rId195" Type="http://schemas.openxmlformats.org/officeDocument/2006/relationships/image" Target="media/image65.png"/><Relationship Id="rId196" Type="http://schemas.openxmlformats.org/officeDocument/2006/relationships/hyperlink" Target="http://www.getsmarteraboutmoney.ca/fr/managing-your-money/planning/investing-basics/Pages/Diversification.aspx%23.Vo55WDYgAdV" TargetMode="External"/><Relationship Id="rId197" Type="http://schemas.openxmlformats.org/officeDocument/2006/relationships/hyperlink" Target="http://www.getsmarteraboutmoney.ca/fr/tools_and_calculators/infographics/Documents/infographie-alternatif-Risque-et-diversification.pdf" TargetMode="External"/><Relationship Id="rId198" Type="http://schemas.openxmlformats.org/officeDocument/2006/relationships/hyperlink" Target="http://www.iqpf.org/userfiles/File/outils/IQPF-normes-projection2015(1).pdf" TargetMode="External"/><Relationship Id="rId199" Type="http://schemas.openxmlformats.org/officeDocument/2006/relationships/hyperlink" Target="http://www.getsmarteraboutmoney.ca/fr/tools_and_calculators/infographics/Documents/infographie-alternatif-Risque-et-diversification.pdf" TargetMode="External"/><Relationship Id="rId30" Type="http://schemas.microsoft.com/office/2007/relationships/diagramDrawing" Target="diagrams/drawing1.xml"/><Relationship Id="rId31" Type="http://schemas.openxmlformats.org/officeDocument/2006/relationships/image" Target="media/image11.png"/><Relationship Id="rId32" Type="http://schemas.openxmlformats.org/officeDocument/2006/relationships/hyperlink" Target="http://calculatrices-financieres.ca/" TargetMode="External"/><Relationship Id="rId33" Type="http://schemas.openxmlformats.org/officeDocument/2006/relationships/image" Target="media/image12.png"/><Relationship Id="rId34" Type="http://schemas.openxmlformats.org/officeDocument/2006/relationships/image" Target="media/image13.png"/><Relationship Id="rId35" Type="http://schemas.openxmlformats.org/officeDocument/2006/relationships/image" Target="media/image14.png"/><Relationship Id="rId36" Type="http://schemas.openxmlformats.org/officeDocument/2006/relationships/image" Target="media/image15.png"/><Relationship Id="rId37" Type="http://schemas.openxmlformats.org/officeDocument/2006/relationships/image" Target="media/image16.png"/><Relationship Id="rId38" Type="http://schemas.openxmlformats.org/officeDocument/2006/relationships/hyperlink" Target="http://wikifisc.uqtr.ca" TargetMode="External"/><Relationship Id="rId39" Type="http://schemas.openxmlformats.org/officeDocument/2006/relationships/hyperlink" Target="http://www.servicecanada.gc.ca/fra/services/pensions/sv/paiements/index.shtml?utm_source=vanity+URL&amp;utm_medium=print+publication,+ISPB-185,+ISPB-341&amp;utm_term=/svmontants&amp;utm_content=Mar+2013,+fre&amp;utm_campaign=OAS+Pension+2013,+Benefits+for+Low+Income+Seni" TargetMode="External"/><Relationship Id="rId130" Type="http://schemas.openxmlformats.org/officeDocument/2006/relationships/hyperlink" Target="https://youtu.be/pRLjAAo8iqU?list=PLq6XI4Mvs1CrONsBbO-jhb85B5y46t7PX" TargetMode="External"/><Relationship Id="rId131" Type="http://schemas.openxmlformats.org/officeDocument/2006/relationships/hyperlink" Target="https://youtu.be/pRLjAAo8iqU?list=PLq6XI4Mvs1CrONsBbO-jhb85B5y46t7PX" TargetMode="External"/><Relationship Id="rId132" Type="http://schemas.openxmlformats.org/officeDocument/2006/relationships/hyperlink" Target="https://www.youtube.com/watch?v=DkpzAJp-u-k&amp;feature=youtu.be" TargetMode="External"/><Relationship Id="rId133" Type="http://schemas.openxmlformats.org/officeDocument/2006/relationships/hyperlink" Target="https://youtu.be/DkpzAJp-u-k" TargetMode="External"/><Relationship Id="rId220" Type="http://schemas.openxmlformats.org/officeDocument/2006/relationships/image" Target="media/image78.png"/><Relationship Id="rId221" Type="http://schemas.openxmlformats.org/officeDocument/2006/relationships/hyperlink" Target="http://www.psychwiki.com/wiki/Anchoring-and-Adjustment_Heuristic" TargetMode="External"/><Relationship Id="rId222" Type="http://schemas.openxmlformats.org/officeDocument/2006/relationships/hyperlink" Target="http://www.psychwiki.com/wiki/Anchoring-and-Adjustment_Heuristic" TargetMode="External"/><Relationship Id="rId223" Type="http://schemas.openxmlformats.org/officeDocument/2006/relationships/hyperlink" Target="https://hbr.org/2006/12/the-curse-of-knowledge" TargetMode="External"/><Relationship Id="rId224" Type="http://schemas.openxmlformats.org/officeDocument/2006/relationships/hyperlink" Target="https://hbr.org/2006/12/the-curse-of-knowledge" TargetMode="External"/><Relationship Id="rId225" Type="http://schemas.openxmlformats.org/officeDocument/2006/relationships/image" Target="media/image79.png"/><Relationship Id="rId226" Type="http://schemas.openxmlformats.org/officeDocument/2006/relationships/image" Target="media/image80.png"/><Relationship Id="rId227" Type="http://schemas.openxmlformats.org/officeDocument/2006/relationships/image" Target="media/image81.png"/><Relationship Id="rId228" Type="http://schemas.openxmlformats.org/officeDocument/2006/relationships/image" Target="media/image82.png"/><Relationship Id="rId229" Type="http://schemas.openxmlformats.org/officeDocument/2006/relationships/hyperlink" Target="https://fr.wikipedia.org/wiki/Aversion_%C3%A0_la_d%C3%A9possession" TargetMode="External"/><Relationship Id="rId134" Type="http://schemas.openxmlformats.org/officeDocument/2006/relationships/hyperlink" Target="https://youtu.be/K9P-OiwEsGQ" TargetMode="External"/><Relationship Id="rId135" Type="http://schemas.openxmlformats.org/officeDocument/2006/relationships/hyperlink" Target="https://youtu.be/K9P-OiwEsGQ" TargetMode="External"/><Relationship Id="rId136" Type="http://schemas.openxmlformats.org/officeDocument/2006/relationships/image" Target="media/image35.png"/><Relationship Id="rId137" Type="http://schemas.openxmlformats.org/officeDocument/2006/relationships/image" Target="media/image36.png"/><Relationship Id="rId138" Type="http://schemas.openxmlformats.org/officeDocument/2006/relationships/image" Target="media/image37.png"/><Relationship Id="rId139" Type="http://schemas.openxmlformats.org/officeDocument/2006/relationships/image" Target="media/image38.png"/><Relationship Id="rId40" Type="http://schemas.openxmlformats.org/officeDocument/2006/relationships/hyperlink" Target="http://www.servicecanada.gc.ca/fra/services/pensions/sv/paiements/index.shtml?utm_source=vanity+URL&amp;utm_medium=print+publication,+ISPB-185,+ISPB-341&amp;utm_term=/svmontants&amp;utm_content=Mar+2013,+fre&amp;utm_campaign=OAS+Pension+2013,+Benefits+for+Low+Income+Seni" TargetMode="External"/><Relationship Id="rId41" Type="http://schemas.openxmlformats.org/officeDocument/2006/relationships/hyperlink" Target="http://www.fcac-acfc.gc.ca/Fra/ressources/publications/hypotheques/Pages/Understa-Comprend.aspx" TargetMode="External"/><Relationship Id="rId42" Type="http://schemas.openxmlformats.org/officeDocument/2006/relationships/hyperlink" Target="http://www.fcac-acfc.gc.ca/Fra/ressources/publications/hypotheques/Pages/Understa-Comprend.aspx" TargetMode="External"/><Relationship Id="rId43" Type="http://schemas.openxmlformats.org/officeDocument/2006/relationships/hyperlink" Target="http://www.creditfinanceplus.com/fr/calculs-simulations/calculer-impot-revenu-particuliers-canada.php" TargetMode="External"/><Relationship Id="rId44" Type="http://schemas.openxmlformats.org/officeDocument/2006/relationships/hyperlink" Target="http://www.creditfinanceplus.com/fr/calculs-simulations/calculer-impot-revenu-particuliers-canada.php" TargetMode="External"/><Relationship Id="rId45" Type="http://schemas.openxmlformats.org/officeDocument/2006/relationships/hyperlink" Target="https://www.youtube.com/watch?v=467X_swr_rM&amp;nohtml5=False" TargetMode="External"/><Relationship Id="rId46" Type="http://schemas.openxmlformats.org/officeDocument/2006/relationships/hyperlink" Target="https://www.youtube.com/watch?v=467X_swr_rM&amp;nohtml5=False" TargetMode="External"/><Relationship Id="rId47" Type="http://schemas.openxmlformats.org/officeDocument/2006/relationships/image" Target="media/image17.png"/><Relationship Id="rId48" Type="http://schemas.openxmlformats.org/officeDocument/2006/relationships/image" Target="media/image18.png"/><Relationship Id="rId49" Type="http://schemas.openxmlformats.org/officeDocument/2006/relationships/hyperlink" Target="http://youtu.be/JzCbTyLOok8" TargetMode="External"/><Relationship Id="rId140" Type="http://schemas.openxmlformats.org/officeDocument/2006/relationships/hyperlink" Target="http://itools-ioutils.fcac-acfc.gc.ca/STCV-OSVC/ccst-oscc-fra.aspx" TargetMode="External"/><Relationship Id="rId141" Type="http://schemas.openxmlformats.org/officeDocument/2006/relationships/hyperlink" Target="http://itools-ioutils.fcac-acfc.gc.ca/STCV-OSVC/ccst-oscc-fra.aspx" TargetMode="External"/><Relationship Id="rId142" Type="http://schemas.openxmlformats.org/officeDocument/2006/relationships/hyperlink" Target="http://itools-ioutils.fcac-acfc.gc.ca/CCPC-CPCC/CCPC-CPCC-fra.aspx" TargetMode="External"/><Relationship Id="rId143" Type="http://schemas.openxmlformats.org/officeDocument/2006/relationships/hyperlink" Target="http://itools-ioutils.fcac-acfc.gc.ca/CCPC-CPCC/CCPC-CPCC-fra.aspx" TargetMode="External"/><Relationship Id="rId144" Type="http://schemas.openxmlformats.org/officeDocument/2006/relationships/image" Target="media/image39.png"/><Relationship Id="rId145" Type="http://schemas.openxmlformats.org/officeDocument/2006/relationships/image" Target="media/image40.png"/><Relationship Id="rId146" Type="http://schemas.openxmlformats.org/officeDocument/2006/relationships/image" Target="media/image41.png"/><Relationship Id="rId147" Type="http://schemas.openxmlformats.org/officeDocument/2006/relationships/image" Target="media/image42.png"/><Relationship Id="rId148" Type="http://schemas.openxmlformats.org/officeDocument/2006/relationships/image" Target="media/image43.png"/><Relationship Id="rId149" Type="http://schemas.openxmlformats.org/officeDocument/2006/relationships/hyperlink" Target="http://www.multi-prets.com/outils-et-ressources/calculateurs/versements-hypothecaires" TargetMode="External"/><Relationship Id="rId230" Type="http://schemas.openxmlformats.org/officeDocument/2006/relationships/hyperlink" Target="https://fr.wikipedia.org/wiki/Aversion_%C3%A0_la_d%C3%A9possession" TargetMode="External"/><Relationship Id="rId231" Type="http://schemas.openxmlformats.org/officeDocument/2006/relationships/hyperlink" Target="http://www.broker-forex.fr/comptabilite-mentale-finance-comportementale.php" TargetMode="External"/><Relationship Id="rId232" Type="http://schemas.openxmlformats.org/officeDocument/2006/relationships/hyperlink" Target="http://www.broker-forex.fr/comptabilite-mentale-finance-comportementale.php" TargetMode="External"/><Relationship Id="rId233" Type="http://schemas.openxmlformats.org/officeDocument/2006/relationships/hyperlink" Target="https://fr.wikipedia.org/wiki/Effet_de_disposition" TargetMode="External"/><Relationship Id="rId234" Type="http://schemas.openxmlformats.org/officeDocument/2006/relationships/hyperlink" Target="https://fr.wikipedia.org/wiki/Effet_de_disposition" TargetMode="External"/><Relationship Id="rId235" Type="http://schemas.openxmlformats.org/officeDocument/2006/relationships/hyperlink" Target="https://fr.wikipedia.org/wiki/Biais_de_confirmation" TargetMode="External"/><Relationship Id="rId236" Type="http://schemas.openxmlformats.org/officeDocument/2006/relationships/hyperlink" Target="https://fr.wikipedia.org/wiki/Biais_de_confirmation" TargetMode="External"/><Relationship Id="rId237" Type="http://schemas.openxmlformats.org/officeDocument/2006/relationships/hyperlink" Target="https://fr.wikipedia.org/wiki/Heuristique_de_disponibilit%C3%A9" TargetMode="External"/><Relationship Id="rId238" Type="http://schemas.openxmlformats.org/officeDocument/2006/relationships/hyperlink" Target="https://fr.wikipedia.org/wiki/Heuristique_de_disponibilit%C3%A9" TargetMode="External"/><Relationship Id="rId239" Type="http://schemas.openxmlformats.org/officeDocument/2006/relationships/hyperlink" Target="https://books.google.ca/books?id=4e6QLcMj8LQC&amp;pg=PA77&amp;lpg=PA77&amp;dq=exces+de+confiance+biais&amp;source=bl&amp;ots=Eoy7lUkYOY&amp;sig=1fiHmeWJ3JZnEpobUVAyP4tKOCQ&amp;hl=fr&amp;sa=X&amp;ved=0ahUKEwiqkOiUyanKAhWEOT4KHfT1BK0Q6AEIOTAE" TargetMode="External"/><Relationship Id="rId50" Type="http://schemas.openxmlformats.org/officeDocument/2006/relationships/hyperlink" Target="http://youtu.be/JzCbTyLOok8" TargetMode="External"/><Relationship Id="rId51" Type="http://schemas.openxmlformats.org/officeDocument/2006/relationships/image" Target="media/image19.png"/><Relationship Id="rId52" Type="http://schemas.openxmlformats.org/officeDocument/2006/relationships/image" Target="media/image20.png"/><Relationship Id="rId53" Type="http://schemas.openxmlformats.org/officeDocument/2006/relationships/image" Target="media/image21.png"/><Relationship Id="rId54" Type="http://schemas.openxmlformats.org/officeDocument/2006/relationships/image" Target="media/image22.png"/><Relationship Id="rId55" Type="http://schemas.openxmlformats.org/officeDocument/2006/relationships/image" Target="media/image23.png"/><Relationship Id="rId56" Type="http://schemas.openxmlformats.org/officeDocument/2006/relationships/image" Target="media/image24.png"/><Relationship Id="rId57" Type="http://schemas.openxmlformats.org/officeDocument/2006/relationships/image" Target="media/image25.png"/><Relationship Id="rId58" Type="http://schemas.openxmlformats.org/officeDocument/2006/relationships/hyperlink" Target="http://www2.publicationsduquebec.gouv.qc.ca/dynamicSearch/telecharge.php?type=2&amp;file=//R_9/R9.htm" TargetMode="External"/><Relationship Id="rId59" Type="http://schemas.openxmlformats.org/officeDocument/2006/relationships/image" Target="media/image26.png"/><Relationship Id="rId150" Type="http://schemas.openxmlformats.org/officeDocument/2006/relationships/hyperlink" Target="http://www.multi-prets.com/outils-et-ressources/calculateurs/versements-hypothecaires" TargetMode="External"/><Relationship Id="rId151" Type="http://schemas.openxmlformats.org/officeDocument/2006/relationships/hyperlink" Target="http://www.getsmarteraboutmoney.ca/tools-and-calculators/Calculatrice-Hypotheque/Calculatrice-Hypotheque.aspx%23.VlS__IQgAdU" TargetMode="External"/><Relationship Id="rId152" Type="http://schemas.openxmlformats.org/officeDocument/2006/relationships/hyperlink" Target="http://www.getsmarteraboutmoney.ca/tools-and-calculators/Calculatrice-Hypotheque/Calculatrice-Hypotheque.aspx" TargetMode="External"/><Relationship Id="rId153" Type="http://schemas.openxmlformats.org/officeDocument/2006/relationships/hyperlink" Target="http://www.getsmarteraboutmoney.ca/tools-and-calculators/Calculatrice-Hypotheque/Calculatrice-Hypotheque.aspx" TargetMode="External"/><Relationship Id="rId154" Type="http://schemas.openxmlformats.org/officeDocument/2006/relationships/hyperlink" Target="https://youtu.be/ZGSbn01geKs" TargetMode="External"/><Relationship Id="rId155" Type="http://schemas.openxmlformats.org/officeDocument/2006/relationships/hyperlink" Target="https://youtu.be/ZGSbn01geKs" TargetMode="External"/><Relationship Id="rId156" Type="http://schemas.openxmlformats.org/officeDocument/2006/relationships/hyperlink" Target="http://www.fcac-acfc.gc.ca/Fra/ressources/publications/creditPrets/Documents/UnderstandingYourCreditReport_fra.pdf" TargetMode="External"/><Relationship Id="rId157" Type="http://schemas.openxmlformats.org/officeDocument/2006/relationships/hyperlink" Target="http://www.fcac-acfc.gc.ca/Fra/ressources/publications/creditPrets/Documents/UnderstandingYourCreditReport_fra.pdf" TargetMode="External"/><Relationship Id="rId158" Type="http://schemas.openxmlformats.org/officeDocument/2006/relationships/image" Target="media/image44.png"/><Relationship Id="rId159" Type="http://schemas.openxmlformats.org/officeDocument/2006/relationships/image" Target="media/image45.jpeg"/><Relationship Id="rId240" Type="http://schemas.openxmlformats.org/officeDocument/2006/relationships/hyperlink" Target="https://books.google.ca/books?id=4e6QLcMj8LQC&amp;pg=PA77&amp;lpg=PA77&amp;dq=exces+de+confiance+biais&amp;source=bl&amp;ots=Eoy7lUkYOY&amp;sig=1fiHmeWJ3JZnEpobUVAyP4tKOCQ&amp;hl=fr&amp;sa=X&amp;ved=0ahUKEwiqkOiUyanKAhWEOT4KHfT1BK0Q6AEIOTAE" TargetMode="External"/><Relationship Id="rId241" Type="http://schemas.openxmlformats.org/officeDocument/2006/relationships/hyperlink" Target="https://fr.wikipedia.org/wiki/Aversion_%C3%A0_la_perte" TargetMode="External"/><Relationship Id="rId242" Type="http://schemas.openxmlformats.org/officeDocument/2006/relationships/hyperlink" Target="https://fr.wikipedia.org/wiki/Aversion_%C3%A0_la_perte" TargetMode="External"/><Relationship Id="rId243" Type="http://schemas.openxmlformats.org/officeDocument/2006/relationships/hyperlink" Target="http://www.sceptiques.qc.ca/dictionnaire/gamblers.html" TargetMode="External"/><Relationship Id="rId244" Type="http://schemas.openxmlformats.org/officeDocument/2006/relationships/hyperlink" Target="http://www.sceptiques.qc.ca/dictionnaire/gamblers.html" TargetMode="External"/><Relationship Id="rId245" Type="http://schemas.openxmlformats.org/officeDocument/2006/relationships/hyperlink" Target="http://www.academia.edu/12699298/La_loi_des_petits_nombres" TargetMode="External"/><Relationship Id="rId246" Type="http://schemas.openxmlformats.org/officeDocument/2006/relationships/hyperlink" Target="http://www.academia.edu/12699298/La_loi_des_petits_nombres" TargetMode="External"/><Relationship Id="rId247" Type="http://schemas.openxmlformats.org/officeDocument/2006/relationships/hyperlink" Target="http://www.icem-pedagogie-freinet.org/node/33964" TargetMode="External"/><Relationship Id="rId248" Type="http://schemas.openxmlformats.org/officeDocument/2006/relationships/hyperlink" Target="http://www.icem-pedagogie-freinet.org/node/33964" TargetMode="External"/><Relationship Id="rId249" Type="http://schemas.openxmlformats.org/officeDocument/2006/relationships/hyperlink" Target="../../../../../Documents/BACK%20UP%20FINANCES%20PERSO/inscription%20mooc%20uqtr" TargetMode="External"/><Relationship Id="rId60" Type="http://schemas.openxmlformats.org/officeDocument/2006/relationships/hyperlink" Target="http://www2.publicationsduquebec.gouv.qc.ca/dynamicSearch/telecharge.php?type=2&amp;file=%2F%2FR_9%2FR9.htm" TargetMode="External"/><Relationship Id="rId61" Type="http://schemas.openxmlformats.org/officeDocument/2006/relationships/hyperlink" Target="https://oraprdnt.uqtr.uquebec.ca/pls/public/docs/GSC1730/F1685408485_FEI.pdf%23pagemode=bookmarks&amp;page=330" TargetMode="External"/><Relationship Id="rId62" Type="http://schemas.openxmlformats.org/officeDocument/2006/relationships/hyperlink" Target="https://oraprdnt.uqtr.uquebec.ca/pls/public/docs/GSC1730/F1685408485_FEI.pdf" TargetMode="External"/><Relationship Id="rId63" Type="http://schemas.openxmlformats.org/officeDocument/2006/relationships/hyperlink" Target="https://www.youtube.com/watch?v=wMI7rDN9720" TargetMode="External"/><Relationship Id="rId64" Type="http://schemas.openxmlformats.org/officeDocument/2006/relationships/hyperlink" Target="https://www.youtube.com/watch?v=wMI7rDN9720" TargetMode="External"/><Relationship Id="rId65" Type="http://schemas.openxmlformats.org/officeDocument/2006/relationships/hyperlink" Target="https://www.youtube.com/watch?v=wMI7rDN9720" TargetMode="External"/><Relationship Id="rId66" Type="http://schemas.openxmlformats.org/officeDocument/2006/relationships/hyperlink" Target="https://books.google.ca/books?id=RG6ggOcKozMC&amp;pg=PA267&amp;hl=fr&amp;source=gbs_toc_r&amp;cad=3%23v=onepage&amp;q&amp;f=false" TargetMode="External"/><Relationship Id="rId67" Type="http://schemas.openxmlformats.org/officeDocument/2006/relationships/hyperlink" Target="https://books.google.ca/books?id=RG6ggOcKozMC&amp;pg=PA267&amp;hl=fr&amp;source=gbs_toc_r&amp;cad=3" TargetMode="External"/><Relationship Id="rId68" Type="http://schemas.openxmlformats.org/officeDocument/2006/relationships/hyperlink" Target="https://books.google.ca/books?id=RG6ggOcKozMC&amp;pg=PA267&amp;hl=fr&amp;source=gbs_toc_r&amp;cad=3" TargetMode="External"/><Relationship Id="rId69" Type="http://schemas.openxmlformats.org/officeDocument/2006/relationships/hyperlink" Target="http://www.rrq.gouv.qc.ca/fr/professionnels/rrs/offre_rrs/Pages/rrs_regime_a_connaitre.aspx" TargetMode="External"/><Relationship Id="rId160" Type="http://schemas.openxmlformats.org/officeDocument/2006/relationships/hyperlink" Target="https://www.raymondchabot.com/particuliers/decouvrir-les-solutions/le-syndic-votre-allie/" TargetMode="External"/><Relationship Id="rId161" Type="http://schemas.openxmlformats.org/officeDocument/2006/relationships/hyperlink" Target="https://www.raymondchabot.com/particuliers/decouvrir-les-solutions/le-syndic-votre-allie/" TargetMode="External"/><Relationship Id="rId162" Type="http://schemas.openxmlformats.org/officeDocument/2006/relationships/image" Target="media/image46.png"/><Relationship Id="rId163" Type="http://schemas.openxmlformats.org/officeDocument/2006/relationships/image" Target="media/image47.png"/><Relationship Id="rId164" Type="http://schemas.openxmlformats.org/officeDocument/2006/relationships/image" Target="media/image48.jpeg"/><Relationship Id="rId165" Type="http://schemas.openxmlformats.org/officeDocument/2006/relationships/image" Target="media/image49.png"/><Relationship Id="rId166" Type="http://schemas.openxmlformats.org/officeDocument/2006/relationships/image" Target="media/image50.png"/><Relationship Id="rId167" Type="http://schemas.openxmlformats.org/officeDocument/2006/relationships/image" Target="media/image51.png"/><Relationship Id="rId168" Type="http://schemas.openxmlformats.org/officeDocument/2006/relationships/hyperlink" Target="http://www.autorites-valeurs-mobilieres.ca/uploadedFiles/General/pdfs_fr/choosing-financial-adviser_fr.pdf" TargetMode="External"/><Relationship Id="rId169" Type="http://schemas.openxmlformats.org/officeDocument/2006/relationships/hyperlink" Target="http://www.autorites-valeurs-mobilieres.ca/uploadedFiles/General/pdfs_fr/choosing-financial-adviser_fr.pdf" TargetMode="External"/><Relationship Id="rId250" Type="http://schemas.openxmlformats.org/officeDocument/2006/relationships/image" Target="media/image83.jpeg"/><Relationship Id="rId251" Type="http://schemas.openxmlformats.org/officeDocument/2006/relationships/hyperlink" Target="https://oraprdnt.uqtr.uquebec.ca/pls/public/gscw030?owa_no_site=1318" TargetMode="External"/><Relationship Id="rId252" Type="http://schemas.openxmlformats.org/officeDocument/2006/relationships/hyperlink" Target="https://oraprdnt.uqtr.uquebec.ca/pls/public/gscw030?owa_no_site=1318" TargetMode="External"/><Relationship Id="rId253" Type="http://schemas.openxmlformats.org/officeDocument/2006/relationships/footer" Target="footer1.xml"/><Relationship Id="rId254" Type="http://schemas.openxmlformats.org/officeDocument/2006/relationships/footer" Target="footer2.xml"/><Relationship Id="rId255" Type="http://schemas.openxmlformats.org/officeDocument/2006/relationships/image" Target="media/image84.png"/><Relationship Id="rId256" Type="http://schemas.openxmlformats.org/officeDocument/2006/relationships/fontTable" Target="fontTable.xml"/><Relationship Id="rId257" Type="http://schemas.openxmlformats.org/officeDocument/2006/relationships/theme" Target="theme/theme1.xml"/><Relationship Id="rId100" Type="http://schemas.openxmlformats.org/officeDocument/2006/relationships/hyperlink" Target="https://www.rruq.ca/les-participants/sommaire-des-dispositions-du-regime/" TargetMode="External"/><Relationship Id="rId101" Type="http://schemas.openxmlformats.org/officeDocument/2006/relationships/hyperlink" Target="https://www.rruq.ca/les-participants/sommaire-des-dispositions-du-regime/" TargetMode="External"/><Relationship Id="rId102" Type="http://schemas.openxmlformats.org/officeDocument/2006/relationships/hyperlink" Target="https://www.rruq.ca/les-participants/sommaire-des-dispositions-du-regime/" TargetMode="External"/><Relationship Id="rId103" Type="http://schemas.openxmlformats.org/officeDocument/2006/relationships/hyperlink" Target="https://youtu.be/2WL1xUCAgLc" TargetMode="External"/><Relationship Id="rId104" Type="http://schemas.openxmlformats.org/officeDocument/2006/relationships/hyperlink" Target="https://youtu.be/2WL1xUCAgLc" TargetMode="External"/><Relationship Id="rId105" Type="http://schemas.openxmlformats.org/officeDocument/2006/relationships/hyperlink" Target="http://collections.banq.qc.ca/ark:/52327/bs2172812" TargetMode="External"/></Relationships>
</file>

<file path=word/_rels/footnotes.xml.rels><?xml version="1.0" encoding="UTF-8" standalone="yes"?>
<Relationships xmlns="http://schemas.openxmlformats.org/package/2006/relationships"><Relationship Id="rId20" Type="http://schemas.openxmlformats.org/officeDocument/2006/relationships/hyperlink" Target="http://itools-ioutils.fcac-acfc.gc.ca/CCPC-CPCC/CCPC-CPCC-fra.aspx" TargetMode="External"/><Relationship Id="rId21" Type="http://schemas.openxmlformats.org/officeDocument/2006/relationships/hyperlink" Target="http://www.creditfinanceplus.com/fr/articles/pret-consommateur-criteres-banques-demande.php" TargetMode="External"/><Relationship Id="rId22" Type="http://schemas.openxmlformats.org/officeDocument/2006/relationships/hyperlink" Target="http://www.banqueducanada.ca/wp-content/uploads/2012/02/revue-bdc-hiver11-12-crawford.pdf" TargetMode="External"/><Relationship Id="rId23" Type="http://schemas.openxmlformats.org/officeDocument/2006/relationships/hyperlink" Target="http://blogues.lapresse.ca/sciences/2015/10/15/mettez-leconomie-dans-le-meme-panier-que-la-psycho/" TargetMode="External"/><Relationship Id="rId24" Type="http://schemas.openxmlformats.org/officeDocument/2006/relationships/hyperlink" Target="http://www.iqpf.org/userfiles/File/outils/IQPF-normes-projection2015(1).pdf" TargetMode="External"/><Relationship Id="rId25" Type="http://schemas.openxmlformats.org/officeDocument/2006/relationships/hyperlink" Target="http://fonds.rbcgma.com/RBC:olbopda_fq/pdf/Understanding_Economic_fr.pdf" TargetMode="External"/><Relationship Id="rId26" Type="http://schemas.openxmlformats.org/officeDocument/2006/relationships/hyperlink" Target="https://www.cafedelabourse.com/dossiers/article/tour-du-monde-des-indices-boursiers-mondiaux" TargetMode="External"/><Relationship Id="rId27" Type="http://schemas.openxmlformats.org/officeDocument/2006/relationships/hyperlink" Target="http://financeandinvestments.blogspot.ca/2015/01/historical-returns-for-nasdaq-100-1986.html" TargetMode="External"/><Relationship Id="rId28" Type="http://schemas.openxmlformats.org/officeDocument/2006/relationships/hyperlink" Target="http://www.taxtips.ca/stocksandbonds/investmentreturns.htm" TargetMode="External"/><Relationship Id="rId29" Type="http://schemas.openxmlformats.org/officeDocument/2006/relationships/hyperlink" Target="http://valueandopportunity.com/2014/06/10/the-german-dax-at-10-000-looking-back/" TargetMode="External"/><Relationship Id="rId1" Type="http://schemas.openxmlformats.org/officeDocument/2006/relationships/hyperlink" Target="http://www.rrq.gouv.qc.ca/SiteCollectionDocuments/www.rrq.gouv.qc/Francais/publications/rapport_comite/Rapport.pdf" TargetMode="External"/><Relationship Id="rId2" Type="http://schemas.openxmlformats.org/officeDocument/2006/relationships/hyperlink" Target="http://www.rrq.gouv.qc.ca/SiteCollectionDocuments/www.rrq.gouv.qc/Francais/publications/rapport_comite/Rapport.pdf" TargetMode="External"/><Relationship Id="rId3" Type="http://schemas.openxmlformats.org/officeDocument/2006/relationships/hyperlink" Target="http://www.rrq.gouv.qc.ca/SiteCollectionDocuments/www.rrq.gouv.qc/Francais/publications/etudes/portrait_march_quebec.pdf" TargetMode="External"/><Relationship Id="rId4" Type="http://schemas.openxmlformats.org/officeDocument/2006/relationships/hyperlink" Target="http://www.rrq.gouv.qc.ca/fr/regie/historique/Pages/regime_anime.aspx" TargetMode="External"/><Relationship Id="rId5" Type="http://schemas.openxmlformats.org/officeDocument/2006/relationships/hyperlink" Target="http://www.rrq.gouv.qc.ca/SiteCollectionDocuments/www.rrq.gouv.qc/Francais/publications/regime_rentes/EA2012.pdf" TargetMode="External"/><Relationship Id="rId30" Type="http://schemas.openxmlformats.org/officeDocument/2006/relationships/hyperlink" Target="http://www.parl.gc.ca/content/lop/researchpublications/prb0315-f.htm" TargetMode="External"/><Relationship Id="rId31" Type="http://schemas.openxmlformats.org/officeDocument/2006/relationships/hyperlink" Target="http://perspective.usherbrooke.ca/bilan/tend/CAN/fr/SP.DYN.LE00.IN.html" TargetMode="External"/><Relationship Id="rId32" Type="http://schemas.openxmlformats.org/officeDocument/2006/relationships/hyperlink" Target="http://www.taxtips.ca/stocksandbonds/investmentreturns.htm" TargetMode="External"/><Relationship Id="rId9" Type="http://schemas.openxmlformats.org/officeDocument/2006/relationships/hyperlink" Target="http://www.rrq.gouv.qc.ca/fr/services/services_en_ligne/Pages/releve_participation.aspx" TargetMode="External"/><Relationship Id="rId6" Type="http://schemas.openxmlformats.org/officeDocument/2006/relationships/hyperlink" Target="http://www.cirano.qc.ca/pdf/publication/2013DT-01.pdf" TargetMode="External"/><Relationship Id="rId7" Type="http://schemas.openxmlformats.org/officeDocument/2006/relationships/hyperlink" Target="http://www.rrq.gouv.qc.ca/fr/accueil/Pages/accueil.aspx" TargetMode="External"/><Relationship Id="rId8" Type="http://schemas.openxmlformats.org/officeDocument/2006/relationships/hyperlink" Target="http://www.fraserinstitute.org/uploadedFiles/fraser-ca/Content/research-news/research/publications/comparaison-de-la-remuneration-dans-le-secteurs-public-et-prive-au-quebec.pdf" TargetMode="External"/><Relationship Id="rId33" Type="http://schemas.openxmlformats.org/officeDocument/2006/relationships/hyperlink" Target="http://dqydj.net/sp-500-return-calculator/" TargetMode="External"/><Relationship Id="rId34" Type="http://schemas.openxmlformats.org/officeDocument/2006/relationships/hyperlink" Target="https://www.cqff.com/tableaux_utiles/paliers_imposition_2016.pdf" TargetMode="External"/><Relationship Id="rId35" Type="http://schemas.openxmlformats.org/officeDocument/2006/relationships/hyperlink" Target="https://www.cqff.com/tableaux_utiles/paliers_imposition_2016.pdf" TargetMode="External"/><Relationship Id="rId10" Type="http://schemas.openxmlformats.org/officeDocument/2006/relationships/hyperlink" Target="http://www.rrq.gouv.qc.ca/SiteCollectionDocuments/www.rrq.gouv.qc/Francais/publications/rapport_comite/Rapport.pdf" TargetMode="External"/><Relationship Id="rId11" Type="http://schemas.openxmlformats.org/officeDocument/2006/relationships/hyperlink" Target="http://www.ci.com/web/pdf/ci_fed_budget_2015_f.pdf" TargetMode="External"/><Relationship Id="rId12" Type="http://schemas.openxmlformats.org/officeDocument/2006/relationships/hyperlink" Target="https://www.agf.com/static/fr/learning-centre/income-for-retirement/locked-in-rrifs/index.html" TargetMode="External"/><Relationship Id="rId13" Type="http://schemas.openxmlformats.org/officeDocument/2006/relationships/hyperlink" Target="http://www.rrq.gouv.qc.ca/fr/programmes/rcr/rcd/Pages/paiements_au_comptant.aspx" TargetMode="External"/><Relationship Id="rId14" Type="http://schemas.openxmlformats.org/officeDocument/2006/relationships/hyperlink" Target="http://www.rrq.gouv.qc.ca/fr/services/publications/rcr/loi_reglements/lois_reglements/Pages/loi-sante-financiere.aspx" TargetMode="External"/><Relationship Id="rId15" Type="http://schemas.openxmlformats.org/officeDocument/2006/relationships/hyperlink" Target="http://www.assnat.qc.ca/fr/actualites-salle-presse/communiques/CommuniquePresse-2737.html" TargetMode="External"/><Relationship Id="rId16" Type="http://schemas.openxmlformats.org/officeDocument/2006/relationships/hyperlink" Target="http://www.pbo-dpb.gc.ca/web/default/files/files/files/Fiscal_Impact_and_Incidence_FR.pdf" TargetMode="External"/><Relationship Id="rId17" Type="http://schemas.openxmlformats.org/officeDocument/2006/relationships/hyperlink" Target="http://www.planiguide.ca/planiguide/" TargetMode="External"/><Relationship Id="rId18" Type="http://schemas.openxmlformats.org/officeDocument/2006/relationships/hyperlink" Target="http://brassardgouletyargeau.com/media/documents/articles/Extrait%20de%20la%20revue%20Strat%C3%A8ge%20juin%202014.pdf" TargetMode="External"/><Relationship Id="rId19" Type="http://schemas.openxmlformats.org/officeDocument/2006/relationships/hyperlink" Target="http://www.questionretraite.qc.ca/fr/chroniques/regle-du-72-doublez-votre-mise/" TargetMode="External"/></Relationships>
</file>

<file path=word/diagrams/colors1.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F5A6238-2075-2943-963D-39AACED11CAE}" type="doc">
      <dgm:prSet loTypeId="urn:microsoft.com/office/officeart/2005/8/layout/process1" loCatId="" qsTypeId="urn:microsoft.com/office/officeart/2005/8/quickstyle/simple1" qsCatId="simple" csTypeId="urn:microsoft.com/office/officeart/2005/8/colors/accent5_3" csCatId="accent5" phldr="1"/>
      <dgm:spPr/>
    </dgm:pt>
    <dgm:pt modelId="{1FF24AAC-B3CA-8148-A164-18AD4A619B44}">
      <dgm:prSet phldrT="[Texte]"/>
      <dgm:spPr>
        <a:solidFill>
          <a:srgbClr val="800000"/>
        </a:solidFill>
      </dgm:spPr>
      <dgm:t>
        <a:bodyPr/>
        <a:lstStyle/>
        <a:p>
          <a:r>
            <a:rPr lang="fr-FR"/>
            <a:t>Épargne</a:t>
          </a:r>
        </a:p>
      </dgm:t>
    </dgm:pt>
    <dgm:pt modelId="{AEBC2E89-D579-8F4D-BEE8-65090084EBBA}" type="parTrans" cxnId="{45776687-B085-524A-B0C7-267909CA34B7}">
      <dgm:prSet/>
      <dgm:spPr/>
      <dgm:t>
        <a:bodyPr/>
        <a:lstStyle/>
        <a:p>
          <a:endParaRPr lang="fr-FR"/>
        </a:p>
      </dgm:t>
    </dgm:pt>
    <dgm:pt modelId="{B74AEE2B-3C20-C246-85D9-905D1EB6D7C8}" type="sibTrans" cxnId="{45776687-B085-524A-B0C7-267909CA34B7}">
      <dgm:prSet/>
      <dgm:spPr/>
      <dgm:t>
        <a:bodyPr/>
        <a:lstStyle/>
        <a:p>
          <a:endParaRPr lang="fr-FR"/>
        </a:p>
      </dgm:t>
    </dgm:pt>
    <dgm:pt modelId="{92400652-4131-704A-8572-0287E8C54AAC}">
      <dgm:prSet phldrT="[Texte]"/>
      <dgm:spPr>
        <a:solidFill>
          <a:schemeClr val="tx2">
            <a:lumMod val="60000"/>
            <a:lumOff val="40000"/>
          </a:schemeClr>
        </a:solidFill>
      </dgm:spPr>
      <dgm:t>
        <a:bodyPr/>
        <a:lstStyle/>
        <a:p>
          <a:r>
            <a:rPr lang="fr-FR"/>
            <a:t>Patrimoine</a:t>
          </a:r>
        </a:p>
      </dgm:t>
    </dgm:pt>
    <dgm:pt modelId="{C00BA272-FE7D-7C4A-A2A1-9443C85CC809}" type="parTrans" cxnId="{B29E3772-EE00-E74B-A4BA-84C87F1AB1B0}">
      <dgm:prSet/>
      <dgm:spPr/>
      <dgm:t>
        <a:bodyPr/>
        <a:lstStyle/>
        <a:p>
          <a:endParaRPr lang="fr-FR"/>
        </a:p>
      </dgm:t>
    </dgm:pt>
    <dgm:pt modelId="{13B4F345-F14E-DC49-ACBA-A5E734F18D2A}" type="sibTrans" cxnId="{B29E3772-EE00-E74B-A4BA-84C87F1AB1B0}">
      <dgm:prSet/>
      <dgm:spPr/>
      <dgm:t>
        <a:bodyPr/>
        <a:lstStyle/>
        <a:p>
          <a:endParaRPr lang="fr-FR"/>
        </a:p>
      </dgm:t>
    </dgm:pt>
    <dgm:pt modelId="{CBCE9C41-CD6A-E14E-AFB2-67DF55BFD856}">
      <dgm:prSet phldrT="[Texte]"/>
      <dgm:spPr>
        <a:solidFill>
          <a:schemeClr val="bg1">
            <a:lumMod val="50000"/>
          </a:schemeClr>
        </a:solidFill>
      </dgm:spPr>
      <dgm:t>
        <a:bodyPr/>
        <a:lstStyle/>
        <a:p>
          <a:r>
            <a:rPr lang="fr-FR"/>
            <a:t>Revenus de retraite</a:t>
          </a:r>
        </a:p>
      </dgm:t>
    </dgm:pt>
    <dgm:pt modelId="{CC781576-BFFC-1845-AE5F-0507B6A10F1B}" type="parTrans" cxnId="{D8D297B1-276B-4A45-AC75-B00067F9046D}">
      <dgm:prSet/>
      <dgm:spPr/>
      <dgm:t>
        <a:bodyPr/>
        <a:lstStyle/>
        <a:p>
          <a:endParaRPr lang="fr-FR"/>
        </a:p>
      </dgm:t>
    </dgm:pt>
    <dgm:pt modelId="{9B0F85EB-4D2C-AE48-BBF9-4659FE726270}" type="sibTrans" cxnId="{D8D297B1-276B-4A45-AC75-B00067F9046D}">
      <dgm:prSet/>
      <dgm:spPr/>
      <dgm:t>
        <a:bodyPr/>
        <a:lstStyle/>
        <a:p>
          <a:endParaRPr lang="fr-FR"/>
        </a:p>
      </dgm:t>
    </dgm:pt>
    <dgm:pt modelId="{D01C77AC-3FAF-BD41-AC01-34B8FA1BF051}">
      <dgm:prSet/>
      <dgm:spPr>
        <a:solidFill>
          <a:srgbClr val="705032"/>
        </a:solidFill>
      </dgm:spPr>
      <dgm:t>
        <a:bodyPr/>
        <a:lstStyle/>
        <a:p>
          <a:r>
            <a:rPr lang="fr-FR"/>
            <a:t>Placements</a:t>
          </a:r>
        </a:p>
      </dgm:t>
    </dgm:pt>
    <dgm:pt modelId="{7C07ACC5-6255-5544-8611-4B454A6D8C4F}" type="parTrans" cxnId="{F3F42034-9D52-4645-88D6-3226AD7CC65C}">
      <dgm:prSet/>
      <dgm:spPr/>
      <dgm:t>
        <a:bodyPr/>
        <a:lstStyle/>
        <a:p>
          <a:endParaRPr lang="fr-FR"/>
        </a:p>
      </dgm:t>
    </dgm:pt>
    <dgm:pt modelId="{03B53B0B-8326-E44E-BE04-4E26E79B3CA4}" type="sibTrans" cxnId="{F3F42034-9D52-4645-88D6-3226AD7CC65C}">
      <dgm:prSet/>
      <dgm:spPr/>
      <dgm:t>
        <a:bodyPr/>
        <a:lstStyle/>
        <a:p>
          <a:endParaRPr lang="fr-FR"/>
        </a:p>
      </dgm:t>
    </dgm:pt>
    <dgm:pt modelId="{8ABFAF8E-5AAB-0F43-AB04-08D03499FFE9}">
      <dgm:prSet/>
      <dgm:spPr>
        <a:solidFill>
          <a:schemeClr val="accent4">
            <a:lumMod val="75000"/>
          </a:schemeClr>
        </a:solidFill>
      </dgm:spPr>
      <dgm:t>
        <a:bodyPr/>
        <a:lstStyle/>
        <a:p>
          <a:r>
            <a:rPr lang="fr-FR"/>
            <a:t>Rendement</a:t>
          </a:r>
        </a:p>
      </dgm:t>
    </dgm:pt>
    <dgm:pt modelId="{C9896BB1-BC27-2749-BFEB-AEC16284FCF1}" type="parTrans" cxnId="{963C5747-112C-6549-8BF9-8013DB762926}">
      <dgm:prSet/>
      <dgm:spPr/>
      <dgm:t>
        <a:bodyPr/>
        <a:lstStyle/>
        <a:p>
          <a:endParaRPr lang="fr-FR"/>
        </a:p>
      </dgm:t>
    </dgm:pt>
    <dgm:pt modelId="{D6AB0DDC-DB8D-474D-B0B5-8A042C83CD59}" type="sibTrans" cxnId="{963C5747-112C-6549-8BF9-8013DB762926}">
      <dgm:prSet/>
      <dgm:spPr/>
      <dgm:t>
        <a:bodyPr/>
        <a:lstStyle/>
        <a:p>
          <a:endParaRPr lang="fr-FR"/>
        </a:p>
      </dgm:t>
    </dgm:pt>
    <dgm:pt modelId="{28DF0B65-C66D-CE43-8C81-8CD908AB789E}" type="pres">
      <dgm:prSet presAssocID="{EF5A6238-2075-2943-963D-39AACED11CAE}" presName="Name0" presStyleCnt="0">
        <dgm:presLayoutVars>
          <dgm:dir/>
          <dgm:resizeHandles val="exact"/>
        </dgm:presLayoutVars>
      </dgm:prSet>
      <dgm:spPr/>
    </dgm:pt>
    <dgm:pt modelId="{BEC8F59C-1490-624D-9CC3-5A8A9127E8AB}" type="pres">
      <dgm:prSet presAssocID="{1FF24AAC-B3CA-8148-A164-18AD4A619B44}" presName="node" presStyleLbl="node1" presStyleIdx="0" presStyleCnt="5">
        <dgm:presLayoutVars>
          <dgm:bulletEnabled val="1"/>
        </dgm:presLayoutVars>
      </dgm:prSet>
      <dgm:spPr/>
      <dgm:t>
        <a:bodyPr/>
        <a:lstStyle/>
        <a:p>
          <a:endParaRPr lang="fr-FR"/>
        </a:p>
      </dgm:t>
    </dgm:pt>
    <dgm:pt modelId="{30B470ED-D2EF-CA4C-AC72-3287E5117376}" type="pres">
      <dgm:prSet presAssocID="{B74AEE2B-3C20-C246-85D9-905D1EB6D7C8}" presName="sibTrans" presStyleLbl="sibTrans2D1" presStyleIdx="0" presStyleCnt="4"/>
      <dgm:spPr/>
      <dgm:t>
        <a:bodyPr/>
        <a:lstStyle/>
        <a:p>
          <a:endParaRPr lang="fr-FR"/>
        </a:p>
      </dgm:t>
    </dgm:pt>
    <dgm:pt modelId="{E9712A7F-966C-A645-BAA0-51463C069553}" type="pres">
      <dgm:prSet presAssocID="{B74AEE2B-3C20-C246-85D9-905D1EB6D7C8}" presName="connectorText" presStyleLbl="sibTrans2D1" presStyleIdx="0" presStyleCnt="4"/>
      <dgm:spPr/>
      <dgm:t>
        <a:bodyPr/>
        <a:lstStyle/>
        <a:p>
          <a:endParaRPr lang="fr-FR"/>
        </a:p>
      </dgm:t>
    </dgm:pt>
    <dgm:pt modelId="{4E90E0CA-8FE0-284E-8FDA-DBBC9D9AD9FC}" type="pres">
      <dgm:prSet presAssocID="{D01C77AC-3FAF-BD41-AC01-34B8FA1BF051}" presName="node" presStyleLbl="node1" presStyleIdx="1" presStyleCnt="5">
        <dgm:presLayoutVars>
          <dgm:bulletEnabled val="1"/>
        </dgm:presLayoutVars>
      </dgm:prSet>
      <dgm:spPr/>
      <dgm:t>
        <a:bodyPr/>
        <a:lstStyle/>
        <a:p>
          <a:endParaRPr lang="fr-FR"/>
        </a:p>
      </dgm:t>
    </dgm:pt>
    <dgm:pt modelId="{0505A619-6AC2-D34A-BE2F-C0EAFD43D259}" type="pres">
      <dgm:prSet presAssocID="{03B53B0B-8326-E44E-BE04-4E26E79B3CA4}" presName="sibTrans" presStyleLbl="sibTrans2D1" presStyleIdx="1" presStyleCnt="4"/>
      <dgm:spPr/>
      <dgm:t>
        <a:bodyPr/>
        <a:lstStyle/>
        <a:p>
          <a:endParaRPr lang="fr-FR"/>
        </a:p>
      </dgm:t>
    </dgm:pt>
    <dgm:pt modelId="{8A3E8402-8F97-014A-A117-48E9E1CB5669}" type="pres">
      <dgm:prSet presAssocID="{03B53B0B-8326-E44E-BE04-4E26E79B3CA4}" presName="connectorText" presStyleLbl="sibTrans2D1" presStyleIdx="1" presStyleCnt="4"/>
      <dgm:spPr/>
      <dgm:t>
        <a:bodyPr/>
        <a:lstStyle/>
        <a:p>
          <a:endParaRPr lang="fr-FR"/>
        </a:p>
      </dgm:t>
    </dgm:pt>
    <dgm:pt modelId="{BCAA7F81-CE53-214A-A8CD-BA00CE716325}" type="pres">
      <dgm:prSet presAssocID="{8ABFAF8E-5AAB-0F43-AB04-08D03499FFE9}" presName="node" presStyleLbl="node1" presStyleIdx="2" presStyleCnt="5">
        <dgm:presLayoutVars>
          <dgm:bulletEnabled val="1"/>
        </dgm:presLayoutVars>
      </dgm:prSet>
      <dgm:spPr/>
      <dgm:t>
        <a:bodyPr/>
        <a:lstStyle/>
        <a:p>
          <a:endParaRPr lang="fr-FR"/>
        </a:p>
      </dgm:t>
    </dgm:pt>
    <dgm:pt modelId="{872A1593-55FB-9648-9522-B33F2F30B45E}" type="pres">
      <dgm:prSet presAssocID="{D6AB0DDC-DB8D-474D-B0B5-8A042C83CD59}" presName="sibTrans" presStyleLbl="sibTrans2D1" presStyleIdx="2" presStyleCnt="4"/>
      <dgm:spPr/>
      <dgm:t>
        <a:bodyPr/>
        <a:lstStyle/>
        <a:p>
          <a:endParaRPr lang="fr-FR"/>
        </a:p>
      </dgm:t>
    </dgm:pt>
    <dgm:pt modelId="{3B4EF4F1-578D-7A46-B449-5A217861CD73}" type="pres">
      <dgm:prSet presAssocID="{D6AB0DDC-DB8D-474D-B0B5-8A042C83CD59}" presName="connectorText" presStyleLbl="sibTrans2D1" presStyleIdx="2" presStyleCnt="4"/>
      <dgm:spPr/>
      <dgm:t>
        <a:bodyPr/>
        <a:lstStyle/>
        <a:p>
          <a:endParaRPr lang="fr-FR"/>
        </a:p>
      </dgm:t>
    </dgm:pt>
    <dgm:pt modelId="{A2ED1ABC-3A2D-5F49-A6AA-8FED3A9A8696}" type="pres">
      <dgm:prSet presAssocID="{92400652-4131-704A-8572-0287E8C54AAC}" presName="node" presStyleLbl="node1" presStyleIdx="3" presStyleCnt="5">
        <dgm:presLayoutVars>
          <dgm:bulletEnabled val="1"/>
        </dgm:presLayoutVars>
      </dgm:prSet>
      <dgm:spPr/>
      <dgm:t>
        <a:bodyPr/>
        <a:lstStyle/>
        <a:p>
          <a:endParaRPr lang="fr-FR"/>
        </a:p>
      </dgm:t>
    </dgm:pt>
    <dgm:pt modelId="{937713EC-9F11-4A4D-81AC-346F5B191B11}" type="pres">
      <dgm:prSet presAssocID="{13B4F345-F14E-DC49-ACBA-A5E734F18D2A}" presName="sibTrans" presStyleLbl="sibTrans2D1" presStyleIdx="3" presStyleCnt="4"/>
      <dgm:spPr/>
      <dgm:t>
        <a:bodyPr/>
        <a:lstStyle/>
        <a:p>
          <a:endParaRPr lang="fr-FR"/>
        </a:p>
      </dgm:t>
    </dgm:pt>
    <dgm:pt modelId="{48FEB0C0-C362-174F-B867-0A096DAB8146}" type="pres">
      <dgm:prSet presAssocID="{13B4F345-F14E-DC49-ACBA-A5E734F18D2A}" presName="connectorText" presStyleLbl="sibTrans2D1" presStyleIdx="3" presStyleCnt="4"/>
      <dgm:spPr/>
      <dgm:t>
        <a:bodyPr/>
        <a:lstStyle/>
        <a:p>
          <a:endParaRPr lang="fr-FR"/>
        </a:p>
      </dgm:t>
    </dgm:pt>
    <dgm:pt modelId="{916739F2-BBAB-B54E-9D1A-848B5857B0A1}" type="pres">
      <dgm:prSet presAssocID="{CBCE9C41-CD6A-E14E-AFB2-67DF55BFD856}" presName="node" presStyleLbl="node1" presStyleIdx="4" presStyleCnt="5">
        <dgm:presLayoutVars>
          <dgm:bulletEnabled val="1"/>
        </dgm:presLayoutVars>
      </dgm:prSet>
      <dgm:spPr/>
      <dgm:t>
        <a:bodyPr/>
        <a:lstStyle/>
        <a:p>
          <a:endParaRPr lang="fr-FR"/>
        </a:p>
      </dgm:t>
    </dgm:pt>
  </dgm:ptLst>
  <dgm:cxnLst>
    <dgm:cxn modelId="{8C6C4A42-A213-E946-A284-AFC33BB8E8B7}" type="presOf" srcId="{13B4F345-F14E-DC49-ACBA-A5E734F18D2A}" destId="{48FEB0C0-C362-174F-B867-0A096DAB8146}" srcOrd="1" destOrd="0" presId="urn:microsoft.com/office/officeart/2005/8/layout/process1"/>
    <dgm:cxn modelId="{913DAD97-11CC-DE49-8DF9-D55FE0A58702}" type="presOf" srcId="{D01C77AC-3FAF-BD41-AC01-34B8FA1BF051}" destId="{4E90E0CA-8FE0-284E-8FDA-DBBC9D9AD9FC}" srcOrd="0" destOrd="0" presId="urn:microsoft.com/office/officeart/2005/8/layout/process1"/>
    <dgm:cxn modelId="{F3F42034-9D52-4645-88D6-3226AD7CC65C}" srcId="{EF5A6238-2075-2943-963D-39AACED11CAE}" destId="{D01C77AC-3FAF-BD41-AC01-34B8FA1BF051}" srcOrd="1" destOrd="0" parTransId="{7C07ACC5-6255-5544-8611-4B454A6D8C4F}" sibTransId="{03B53B0B-8326-E44E-BE04-4E26E79B3CA4}"/>
    <dgm:cxn modelId="{963C5747-112C-6549-8BF9-8013DB762926}" srcId="{EF5A6238-2075-2943-963D-39AACED11CAE}" destId="{8ABFAF8E-5AAB-0F43-AB04-08D03499FFE9}" srcOrd="2" destOrd="0" parTransId="{C9896BB1-BC27-2749-BFEB-AEC16284FCF1}" sibTransId="{D6AB0DDC-DB8D-474D-B0B5-8A042C83CD59}"/>
    <dgm:cxn modelId="{82651507-F224-4D4E-871A-4460A5168F56}" type="presOf" srcId="{1FF24AAC-B3CA-8148-A164-18AD4A619B44}" destId="{BEC8F59C-1490-624D-9CC3-5A8A9127E8AB}" srcOrd="0" destOrd="0" presId="urn:microsoft.com/office/officeart/2005/8/layout/process1"/>
    <dgm:cxn modelId="{02FAD844-199B-D845-BDEF-85346522B0EE}" type="presOf" srcId="{EF5A6238-2075-2943-963D-39AACED11CAE}" destId="{28DF0B65-C66D-CE43-8C81-8CD908AB789E}" srcOrd="0" destOrd="0" presId="urn:microsoft.com/office/officeart/2005/8/layout/process1"/>
    <dgm:cxn modelId="{D8D297B1-276B-4A45-AC75-B00067F9046D}" srcId="{EF5A6238-2075-2943-963D-39AACED11CAE}" destId="{CBCE9C41-CD6A-E14E-AFB2-67DF55BFD856}" srcOrd="4" destOrd="0" parTransId="{CC781576-BFFC-1845-AE5F-0507B6A10F1B}" sibTransId="{9B0F85EB-4D2C-AE48-BBF9-4659FE726270}"/>
    <dgm:cxn modelId="{BE8CFA12-0F5B-6749-9501-9AF563DCC5FB}" type="presOf" srcId="{D6AB0DDC-DB8D-474D-B0B5-8A042C83CD59}" destId="{3B4EF4F1-578D-7A46-B449-5A217861CD73}" srcOrd="1" destOrd="0" presId="urn:microsoft.com/office/officeart/2005/8/layout/process1"/>
    <dgm:cxn modelId="{579886CC-AF5C-4C4B-BE55-FB000D91FFD9}" type="presOf" srcId="{CBCE9C41-CD6A-E14E-AFB2-67DF55BFD856}" destId="{916739F2-BBAB-B54E-9D1A-848B5857B0A1}" srcOrd="0" destOrd="0" presId="urn:microsoft.com/office/officeart/2005/8/layout/process1"/>
    <dgm:cxn modelId="{B5A2BCA5-8E04-AB46-9803-0A972086F41C}" type="presOf" srcId="{8ABFAF8E-5AAB-0F43-AB04-08D03499FFE9}" destId="{BCAA7F81-CE53-214A-A8CD-BA00CE716325}" srcOrd="0" destOrd="0" presId="urn:microsoft.com/office/officeart/2005/8/layout/process1"/>
    <dgm:cxn modelId="{45776687-B085-524A-B0C7-267909CA34B7}" srcId="{EF5A6238-2075-2943-963D-39AACED11CAE}" destId="{1FF24AAC-B3CA-8148-A164-18AD4A619B44}" srcOrd="0" destOrd="0" parTransId="{AEBC2E89-D579-8F4D-BEE8-65090084EBBA}" sibTransId="{B74AEE2B-3C20-C246-85D9-905D1EB6D7C8}"/>
    <dgm:cxn modelId="{54ABF3F3-9CE1-6E46-A036-F80CEE493267}" type="presOf" srcId="{B74AEE2B-3C20-C246-85D9-905D1EB6D7C8}" destId="{30B470ED-D2EF-CA4C-AC72-3287E5117376}" srcOrd="0" destOrd="0" presId="urn:microsoft.com/office/officeart/2005/8/layout/process1"/>
    <dgm:cxn modelId="{C476A853-5803-0441-80ED-B610C593E175}" type="presOf" srcId="{13B4F345-F14E-DC49-ACBA-A5E734F18D2A}" destId="{937713EC-9F11-4A4D-81AC-346F5B191B11}" srcOrd="0" destOrd="0" presId="urn:microsoft.com/office/officeart/2005/8/layout/process1"/>
    <dgm:cxn modelId="{B29E3772-EE00-E74B-A4BA-84C87F1AB1B0}" srcId="{EF5A6238-2075-2943-963D-39AACED11CAE}" destId="{92400652-4131-704A-8572-0287E8C54AAC}" srcOrd="3" destOrd="0" parTransId="{C00BA272-FE7D-7C4A-A2A1-9443C85CC809}" sibTransId="{13B4F345-F14E-DC49-ACBA-A5E734F18D2A}"/>
    <dgm:cxn modelId="{FA63E0EB-BFF7-1E4C-BE93-E370435B9C29}" type="presOf" srcId="{D6AB0DDC-DB8D-474D-B0B5-8A042C83CD59}" destId="{872A1593-55FB-9648-9522-B33F2F30B45E}" srcOrd="0" destOrd="0" presId="urn:microsoft.com/office/officeart/2005/8/layout/process1"/>
    <dgm:cxn modelId="{416B8F43-4916-CF4A-BD40-768AFEB9EDA7}" type="presOf" srcId="{03B53B0B-8326-E44E-BE04-4E26E79B3CA4}" destId="{0505A619-6AC2-D34A-BE2F-C0EAFD43D259}" srcOrd="0" destOrd="0" presId="urn:microsoft.com/office/officeart/2005/8/layout/process1"/>
    <dgm:cxn modelId="{AE9A837E-31D8-D84D-AFB6-3BD9B9F94E11}" type="presOf" srcId="{B74AEE2B-3C20-C246-85D9-905D1EB6D7C8}" destId="{E9712A7F-966C-A645-BAA0-51463C069553}" srcOrd="1" destOrd="0" presId="urn:microsoft.com/office/officeart/2005/8/layout/process1"/>
    <dgm:cxn modelId="{19DB6A5B-7012-6F45-9C82-8F5773EA335B}" type="presOf" srcId="{03B53B0B-8326-E44E-BE04-4E26E79B3CA4}" destId="{8A3E8402-8F97-014A-A117-48E9E1CB5669}" srcOrd="1" destOrd="0" presId="urn:microsoft.com/office/officeart/2005/8/layout/process1"/>
    <dgm:cxn modelId="{3FB587B1-AB22-B549-BB27-619B46E52ACE}" type="presOf" srcId="{92400652-4131-704A-8572-0287E8C54AAC}" destId="{A2ED1ABC-3A2D-5F49-A6AA-8FED3A9A8696}" srcOrd="0" destOrd="0" presId="urn:microsoft.com/office/officeart/2005/8/layout/process1"/>
    <dgm:cxn modelId="{9FACD0D8-668B-DF4F-AE50-953453BAF1EC}" type="presParOf" srcId="{28DF0B65-C66D-CE43-8C81-8CD908AB789E}" destId="{BEC8F59C-1490-624D-9CC3-5A8A9127E8AB}" srcOrd="0" destOrd="0" presId="urn:microsoft.com/office/officeart/2005/8/layout/process1"/>
    <dgm:cxn modelId="{11EB835B-B525-834E-80CD-1B9C734EA487}" type="presParOf" srcId="{28DF0B65-C66D-CE43-8C81-8CD908AB789E}" destId="{30B470ED-D2EF-CA4C-AC72-3287E5117376}" srcOrd="1" destOrd="0" presId="urn:microsoft.com/office/officeart/2005/8/layout/process1"/>
    <dgm:cxn modelId="{E457747E-8D6D-9645-9FFC-23C3AC04E19F}" type="presParOf" srcId="{30B470ED-D2EF-CA4C-AC72-3287E5117376}" destId="{E9712A7F-966C-A645-BAA0-51463C069553}" srcOrd="0" destOrd="0" presId="urn:microsoft.com/office/officeart/2005/8/layout/process1"/>
    <dgm:cxn modelId="{97BF8E2E-B5CF-0E4A-B898-65283D8FA06B}" type="presParOf" srcId="{28DF0B65-C66D-CE43-8C81-8CD908AB789E}" destId="{4E90E0CA-8FE0-284E-8FDA-DBBC9D9AD9FC}" srcOrd="2" destOrd="0" presId="urn:microsoft.com/office/officeart/2005/8/layout/process1"/>
    <dgm:cxn modelId="{03C18D4F-C333-E948-B8CD-B47E11DB3283}" type="presParOf" srcId="{28DF0B65-C66D-CE43-8C81-8CD908AB789E}" destId="{0505A619-6AC2-D34A-BE2F-C0EAFD43D259}" srcOrd="3" destOrd="0" presId="urn:microsoft.com/office/officeart/2005/8/layout/process1"/>
    <dgm:cxn modelId="{2ADF99D0-46A7-B244-9F26-683388E89804}" type="presParOf" srcId="{0505A619-6AC2-D34A-BE2F-C0EAFD43D259}" destId="{8A3E8402-8F97-014A-A117-48E9E1CB5669}" srcOrd="0" destOrd="0" presId="urn:microsoft.com/office/officeart/2005/8/layout/process1"/>
    <dgm:cxn modelId="{8CF96ACB-6F4B-404C-AC94-9CD73F36B5DF}" type="presParOf" srcId="{28DF0B65-C66D-CE43-8C81-8CD908AB789E}" destId="{BCAA7F81-CE53-214A-A8CD-BA00CE716325}" srcOrd="4" destOrd="0" presId="urn:microsoft.com/office/officeart/2005/8/layout/process1"/>
    <dgm:cxn modelId="{74F29558-BCA2-F849-9254-01BA84299134}" type="presParOf" srcId="{28DF0B65-C66D-CE43-8C81-8CD908AB789E}" destId="{872A1593-55FB-9648-9522-B33F2F30B45E}" srcOrd="5" destOrd="0" presId="urn:microsoft.com/office/officeart/2005/8/layout/process1"/>
    <dgm:cxn modelId="{AB602A63-B1B9-CB49-9689-FC9819119EAD}" type="presParOf" srcId="{872A1593-55FB-9648-9522-B33F2F30B45E}" destId="{3B4EF4F1-578D-7A46-B449-5A217861CD73}" srcOrd="0" destOrd="0" presId="urn:microsoft.com/office/officeart/2005/8/layout/process1"/>
    <dgm:cxn modelId="{5CC93AE1-CE58-3D4D-8D4D-F217B8FC0ACB}" type="presParOf" srcId="{28DF0B65-C66D-CE43-8C81-8CD908AB789E}" destId="{A2ED1ABC-3A2D-5F49-A6AA-8FED3A9A8696}" srcOrd="6" destOrd="0" presId="urn:microsoft.com/office/officeart/2005/8/layout/process1"/>
    <dgm:cxn modelId="{6D749EB5-E4E5-474B-B893-D5E8C1AF2B5A}" type="presParOf" srcId="{28DF0B65-C66D-CE43-8C81-8CD908AB789E}" destId="{937713EC-9F11-4A4D-81AC-346F5B191B11}" srcOrd="7" destOrd="0" presId="urn:microsoft.com/office/officeart/2005/8/layout/process1"/>
    <dgm:cxn modelId="{0D813DE0-82BF-6A41-BD47-144B58158F97}" type="presParOf" srcId="{937713EC-9F11-4A4D-81AC-346F5B191B11}" destId="{48FEB0C0-C362-174F-B867-0A096DAB8146}" srcOrd="0" destOrd="0" presId="urn:microsoft.com/office/officeart/2005/8/layout/process1"/>
    <dgm:cxn modelId="{905CB147-1817-1B45-BCB6-09F5822AD75C}" type="presParOf" srcId="{28DF0B65-C66D-CE43-8C81-8CD908AB789E}" destId="{916739F2-BBAB-B54E-9D1A-848B5857B0A1}" srcOrd="8" destOrd="0" presId="urn:microsoft.com/office/officeart/2005/8/layout/process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EC8F59C-1490-624D-9CC3-5A8A9127E8AB}">
      <dsp:nvSpPr>
        <dsp:cNvPr id="0" name=""/>
        <dsp:cNvSpPr/>
      </dsp:nvSpPr>
      <dsp:spPr>
        <a:xfrm>
          <a:off x="2460" y="856983"/>
          <a:ext cx="762889" cy="457733"/>
        </a:xfrm>
        <a:prstGeom prst="roundRect">
          <a:avLst>
            <a:gd name="adj" fmla="val 10000"/>
          </a:avLst>
        </a:prstGeom>
        <a:solidFill>
          <a:srgbClr val="800000"/>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t>Épargne</a:t>
          </a:r>
        </a:p>
      </dsp:txBody>
      <dsp:txXfrm>
        <a:off x="15867" y="870390"/>
        <a:ext cx="736075" cy="430919"/>
      </dsp:txXfrm>
    </dsp:sp>
    <dsp:sp modelId="{30B470ED-D2EF-CA4C-AC72-3287E5117376}">
      <dsp:nvSpPr>
        <dsp:cNvPr id="0" name=""/>
        <dsp:cNvSpPr/>
      </dsp:nvSpPr>
      <dsp:spPr>
        <a:xfrm>
          <a:off x="841639" y="991251"/>
          <a:ext cx="161732" cy="189196"/>
        </a:xfrm>
        <a:prstGeom prst="rightArrow">
          <a:avLst>
            <a:gd name="adj1" fmla="val 60000"/>
            <a:gd name="adj2" fmla="val 50000"/>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fr-FR" sz="800" kern="1200"/>
        </a:p>
      </dsp:txBody>
      <dsp:txXfrm>
        <a:off x="841639" y="1029090"/>
        <a:ext cx="113212" cy="113518"/>
      </dsp:txXfrm>
    </dsp:sp>
    <dsp:sp modelId="{4E90E0CA-8FE0-284E-8FDA-DBBC9D9AD9FC}">
      <dsp:nvSpPr>
        <dsp:cNvPr id="0" name=""/>
        <dsp:cNvSpPr/>
      </dsp:nvSpPr>
      <dsp:spPr>
        <a:xfrm>
          <a:off x="1070506" y="856983"/>
          <a:ext cx="762889" cy="457733"/>
        </a:xfrm>
        <a:prstGeom prst="roundRect">
          <a:avLst>
            <a:gd name="adj" fmla="val 10000"/>
          </a:avLst>
        </a:prstGeom>
        <a:solidFill>
          <a:srgbClr val="705032"/>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t>Placements</a:t>
          </a:r>
        </a:p>
      </dsp:txBody>
      <dsp:txXfrm>
        <a:off x="1083913" y="870390"/>
        <a:ext cx="736075" cy="430919"/>
      </dsp:txXfrm>
    </dsp:sp>
    <dsp:sp modelId="{0505A619-6AC2-D34A-BE2F-C0EAFD43D259}">
      <dsp:nvSpPr>
        <dsp:cNvPr id="0" name=""/>
        <dsp:cNvSpPr/>
      </dsp:nvSpPr>
      <dsp:spPr>
        <a:xfrm>
          <a:off x="1909685" y="991251"/>
          <a:ext cx="161732" cy="189196"/>
        </a:xfrm>
        <a:prstGeom prst="rightArrow">
          <a:avLst>
            <a:gd name="adj1" fmla="val 60000"/>
            <a:gd name="adj2" fmla="val 50000"/>
          </a:avLst>
        </a:prstGeom>
        <a:solidFill>
          <a:schemeClr val="accent5">
            <a:shade val="90000"/>
            <a:hueOff val="-104963"/>
            <a:satOff val="-6237"/>
            <a:lumOff val="9227"/>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fr-FR" sz="800" kern="1200"/>
        </a:p>
      </dsp:txBody>
      <dsp:txXfrm>
        <a:off x="1909685" y="1029090"/>
        <a:ext cx="113212" cy="113518"/>
      </dsp:txXfrm>
    </dsp:sp>
    <dsp:sp modelId="{BCAA7F81-CE53-214A-A8CD-BA00CE716325}">
      <dsp:nvSpPr>
        <dsp:cNvPr id="0" name=""/>
        <dsp:cNvSpPr/>
      </dsp:nvSpPr>
      <dsp:spPr>
        <a:xfrm>
          <a:off x="2138552" y="856983"/>
          <a:ext cx="762889" cy="457733"/>
        </a:xfrm>
        <a:prstGeom prst="roundRect">
          <a:avLst>
            <a:gd name="adj" fmla="val 10000"/>
          </a:avLst>
        </a:prstGeom>
        <a:solidFill>
          <a:schemeClr val="accent4">
            <a:lumMod val="7500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t>Rendement</a:t>
          </a:r>
        </a:p>
      </dsp:txBody>
      <dsp:txXfrm>
        <a:off x="2151959" y="870390"/>
        <a:ext cx="736075" cy="430919"/>
      </dsp:txXfrm>
    </dsp:sp>
    <dsp:sp modelId="{872A1593-55FB-9648-9522-B33F2F30B45E}">
      <dsp:nvSpPr>
        <dsp:cNvPr id="0" name=""/>
        <dsp:cNvSpPr/>
      </dsp:nvSpPr>
      <dsp:spPr>
        <a:xfrm>
          <a:off x="2977731" y="991251"/>
          <a:ext cx="161732" cy="189196"/>
        </a:xfrm>
        <a:prstGeom prst="rightArrow">
          <a:avLst>
            <a:gd name="adj1" fmla="val 60000"/>
            <a:gd name="adj2" fmla="val 50000"/>
          </a:avLst>
        </a:prstGeom>
        <a:solidFill>
          <a:schemeClr val="accent5">
            <a:shade val="90000"/>
            <a:hueOff val="-209925"/>
            <a:satOff val="-12474"/>
            <a:lumOff val="1845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fr-FR" sz="800" kern="1200"/>
        </a:p>
      </dsp:txBody>
      <dsp:txXfrm>
        <a:off x="2977731" y="1029090"/>
        <a:ext cx="113212" cy="113518"/>
      </dsp:txXfrm>
    </dsp:sp>
    <dsp:sp modelId="{A2ED1ABC-3A2D-5F49-A6AA-8FED3A9A8696}">
      <dsp:nvSpPr>
        <dsp:cNvPr id="0" name=""/>
        <dsp:cNvSpPr/>
      </dsp:nvSpPr>
      <dsp:spPr>
        <a:xfrm>
          <a:off x="3206598" y="856983"/>
          <a:ext cx="762889" cy="457733"/>
        </a:xfrm>
        <a:prstGeom prst="roundRect">
          <a:avLst>
            <a:gd name="adj" fmla="val 10000"/>
          </a:avLst>
        </a:prstGeom>
        <a:solidFill>
          <a:schemeClr val="tx2">
            <a:lumMod val="60000"/>
            <a:lumOff val="4000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t>Patrimoine</a:t>
          </a:r>
        </a:p>
      </dsp:txBody>
      <dsp:txXfrm>
        <a:off x="3220005" y="870390"/>
        <a:ext cx="736075" cy="430919"/>
      </dsp:txXfrm>
    </dsp:sp>
    <dsp:sp modelId="{937713EC-9F11-4A4D-81AC-346F5B191B11}">
      <dsp:nvSpPr>
        <dsp:cNvPr id="0" name=""/>
        <dsp:cNvSpPr/>
      </dsp:nvSpPr>
      <dsp:spPr>
        <a:xfrm>
          <a:off x="4045777" y="991251"/>
          <a:ext cx="161732" cy="189196"/>
        </a:xfrm>
        <a:prstGeom prst="rightArrow">
          <a:avLst>
            <a:gd name="adj1" fmla="val 60000"/>
            <a:gd name="adj2" fmla="val 50000"/>
          </a:avLst>
        </a:prstGeom>
        <a:solidFill>
          <a:schemeClr val="accent5">
            <a:shade val="90000"/>
            <a:hueOff val="-314888"/>
            <a:satOff val="-18711"/>
            <a:lumOff val="2768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fr-FR" sz="800" kern="1200"/>
        </a:p>
      </dsp:txBody>
      <dsp:txXfrm>
        <a:off x="4045777" y="1029090"/>
        <a:ext cx="113212" cy="113518"/>
      </dsp:txXfrm>
    </dsp:sp>
    <dsp:sp modelId="{916739F2-BBAB-B54E-9D1A-848B5857B0A1}">
      <dsp:nvSpPr>
        <dsp:cNvPr id="0" name=""/>
        <dsp:cNvSpPr/>
      </dsp:nvSpPr>
      <dsp:spPr>
        <a:xfrm>
          <a:off x="4274644" y="856983"/>
          <a:ext cx="762889" cy="457733"/>
        </a:xfrm>
        <a:prstGeom prst="roundRect">
          <a:avLst>
            <a:gd name="adj" fmla="val 10000"/>
          </a:avLst>
        </a:prstGeom>
        <a:solidFill>
          <a:schemeClr val="bg1">
            <a:lumMod val="5000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t>Revenus de retraite</a:t>
          </a:r>
        </a:p>
      </dsp:txBody>
      <dsp:txXfrm>
        <a:off x="4288051" y="870390"/>
        <a:ext cx="736075" cy="43091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85.jpeg"/></Relationships>
</file>

<file path=word/theme/theme1.xml><?xml version="1.0" encoding="utf-8"?>
<a:theme xmlns:a="http://schemas.openxmlformats.org/drawingml/2006/main" name="Austin">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Austin">
      <a:maj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Austin">
      <a:fillStyleLst>
        <a:solidFill>
          <a:schemeClr val="phClr"/>
        </a:solidFill>
        <a:gradFill rotWithShape="1">
          <a:gsLst>
            <a:gs pos="0">
              <a:schemeClr val="phClr">
                <a:tint val="20000"/>
                <a:satMod val="180000"/>
                <a:lumMod val="98000"/>
              </a:schemeClr>
            </a:gs>
            <a:gs pos="40000">
              <a:schemeClr val="phClr">
                <a:tint val="30000"/>
                <a:satMod val="260000"/>
                <a:lumMod val="84000"/>
              </a:schemeClr>
            </a:gs>
            <a:gs pos="100000">
              <a:schemeClr val="phClr">
                <a:tint val="100000"/>
                <a:satMod val="110000"/>
                <a:lumMod val="100000"/>
              </a:schemeClr>
            </a:gs>
          </a:gsLst>
          <a:lin ang="5040000" scaled="1"/>
        </a:gradFill>
        <a:gradFill rotWithShape="1">
          <a:gsLst>
            <a:gs pos="0">
              <a:schemeClr val="phClr"/>
            </a:gs>
            <a:gs pos="100000">
              <a:schemeClr val="phClr">
                <a:shade val="75000"/>
                <a:satMod val="120000"/>
                <a:lumMod val="9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a:effectStyle>
        <a:effectStyle>
          <a:effectLst>
            <a:outerShdw blurRad="44450" dist="50800" dir="5400000" sx="96000" rotWithShape="0">
              <a:srgbClr val="000000">
                <a:alpha val="34000"/>
              </a:srgbClr>
            </a:outerShdw>
          </a:effectLst>
          <a:scene3d>
            <a:camera prst="orthographicFront">
              <a:rot lat="0" lon="0" rev="0"/>
            </a:camera>
            <a:lightRig rig="threePt" dir="tl">
              <a:rot lat="0" lon="0" rev="20400000"/>
            </a:lightRig>
          </a:scene3d>
          <a:sp3d contourW="15875" prstMaterial="metal">
            <a:bevelT w="101600" h="25400" prst="softRound"/>
            <a:contourClr>
              <a:schemeClr val="phClr">
                <a:shade val="30000"/>
              </a:schemeClr>
            </a:contourClr>
          </a:sp3d>
        </a:effectStyle>
      </a:effectStyleLst>
      <a:bgFillStyleLst>
        <a:solidFill>
          <a:schemeClr val="phClr"/>
        </a:solidFill>
        <a:gradFill rotWithShape="1">
          <a:gsLst>
            <a:gs pos="0">
              <a:schemeClr val="phClr">
                <a:shade val="94000"/>
                <a:satMod val="114000"/>
                <a:lumMod val="96000"/>
              </a:schemeClr>
            </a:gs>
            <a:gs pos="62000">
              <a:schemeClr val="phClr">
                <a:tint val="92000"/>
                <a:shade val="66000"/>
                <a:satMod val="110000"/>
                <a:lumMod val="80000"/>
              </a:schemeClr>
            </a:gs>
            <a:gs pos="100000">
              <a:schemeClr val="phClr">
                <a:tint val="89000"/>
                <a:shade val="62000"/>
                <a:satMod val="110000"/>
                <a:lumMod val="72000"/>
              </a:schemeClr>
            </a:gs>
          </a:gsLst>
          <a:lin ang="5400000" scaled="0"/>
        </a:gradFill>
        <a:blipFill rotWithShape="1">
          <a:blip xmlns:r="http://schemas.openxmlformats.org/officeDocument/2006/relationships" r:embed="rId1">
            <a:duotone>
              <a:schemeClr val="phClr">
                <a:tint val="80000"/>
                <a:shade val="58000"/>
              </a:schemeClr>
              <a:schemeClr val="phClr">
                <a:tint val="73000"/>
                <a:shade val="68000"/>
                <a:satMod val="150000"/>
              </a:schemeClr>
            </a:duotone>
          </a:blip>
          <a:tile tx="0" ty="0" sx="100000" sy="100000" flip="none" algn="tl"/>
        </a:blipFill>
      </a:bgFillStyleLst>
    </a:fmtScheme>
  </a:themeElements>
  <a:objectDefaults>
    <a:spDef>
      <a:spPr>
        <a:effectLst/>
        <a:scene3d>
          <a:camera prst="orthographicFront"/>
          <a:lightRig rig="threePt" dir="tl">
            <a:rot lat="0" lon="0" rev="20400000"/>
          </a:lightRig>
        </a:scene3d>
        <a:sp3d/>
      </a:spPr>
      <a:bodyPr rtlCol="0" anchor="ctr"/>
      <a:lstStyle/>
      <a:style>
        <a:lnRef idx="1">
          <a:schemeClr val="accent1"/>
        </a:lnRef>
        <a:fillRef idx="3">
          <a:schemeClr val="accent1"/>
        </a:fillRef>
        <a:effectRef idx="2">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BBAD83-E3AB-A040-84AA-ABF88975C2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326</Pages>
  <Words>72324</Words>
  <Characters>397784</Characters>
  <Application>Microsoft Macintosh Word</Application>
  <DocSecurity>0</DocSecurity>
  <Lines>3314</Lines>
  <Paragraphs>938</Paragraphs>
  <ScaleCrop>false</ScaleCrop>
  <HeadingPairs>
    <vt:vector size="2" baseType="variant">
      <vt:variant>
        <vt:lpstr>Titre</vt:lpstr>
      </vt:variant>
      <vt:variant>
        <vt:i4>1</vt:i4>
      </vt:variant>
    </vt:vector>
  </HeadingPairs>
  <TitlesOfParts>
    <vt:vector size="1" baseType="lpstr">
      <vt:lpstr/>
    </vt:vector>
  </TitlesOfParts>
  <Company>UQTR</Company>
  <LinksUpToDate>false</LinksUpToDate>
  <CharactersWithSpaces>469170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 Bachand</dc:creator>
  <cp:lastModifiedBy>Marc Bachand</cp:lastModifiedBy>
  <cp:revision>15</cp:revision>
  <cp:lastPrinted>2016-02-18T21:13:00Z</cp:lastPrinted>
  <dcterms:created xsi:type="dcterms:W3CDTF">2016-03-14T16:09:00Z</dcterms:created>
  <dcterms:modified xsi:type="dcterms:W3CDTF">2016-10-19T21:26:00Z</dcterms:modified>
</cp:coreProperties>
</file>